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39E" w:rsidRPr="00C806D0" w:rsidRDefault="00A7539E" w:rsidP="00A7539E">
      <w:pPr>
        <w:pStyle w:val="Heading8"/>
        <w:jc w:val="right"/>
        <w:rPr>
          <w:rFonts w:ascii="Calibri" w:hAnsi="Calibri"/>
          <w:b/>
          <w:color w:val="0D0D0D" w:themeColor="text1" w:themeTint="F2"/>
          <w:sz w:val="28"/>
          <w:szCs w:val="28"/>
        </w:rPr>
      </w:pPr>
      <w:r w:rsidRPr="00C806D0">
        <w:rPr>
          <w:rFonts w:ascii="Calibri" w:hAnsi="Calibri"/>
          <w:b/>
          <w:color w:val="0D0D0D" w:themeColor="text1" w:themeTint="F2"/>
          <w:sz w:val="28"/>
          <w:szCs w:val="28"/>
        </w:rPr>
        <w:t>Appendices</w:t>
      </w:r>
    </w:p>
    <w:p w:rsidR="00A7539E" w:rsidRPr="00C806D0" w:rsidRDefault="00A7539E" w:rsidP="00A7539E">
      <w:pPr>
        <w:jc w:val="right"/>
        <w:rPr>
          <w:i/>
          <w:iCs/>
          <w:sz w:val="28"/>
          <w:szCs w:val="28"/>
        </w:rPr>
      </w:pPr>
    </w:p>
    <w:p w:rsidR="00A7539E" w:rsidRPr="00C806D0" w:rsidRDefault="00A7539E" w:rsidP="00A7539E">
      <w:pPr>
        <w:pBdr>
          <w:bottom w:val="single" w:sz="4" w:space="1" w:color="auto"/>
        </w:pBdr>
        <w:autoSpaceDE w:val="0"/>
        <w:autoSpaceDN w:val="0"/>
        <w:adjustRightInd w:val="0"/>
        <w:rPr>
          <w:i/>
          <w:sz w:val="28"/>
          <w:szCs w:val="28"/>
        </w:rPr>
      </w:pPr>
    </w:p>
    <w:p w:rsidR="00A7539E" w:rsidRPr="00C806D0" w:rsidRDefault="00A7539E">
      <w:pPr>
        <w:spacing w:line="240" w:lineRule="auto"/>
        <w:rPr>
          <w:b/>
          <w:bCs/>
          <w:sz w:val="28"/>
          <w:szCs w:val="28"/>
        </w:rPr>
      </w:pPr>
      <w:r w:rsidRPr="00C806D0">
        <w:rPr>
          <w:b/>
          <w:bCs/>
          <w:sz w:val="28"/>
          <w:szCs w:val="28"/>
        </w:rPr>
        <w:br w:type="page"/>
      </w:r>
    </w:p>
    <w:p w:rsidR="006D0937" w:rsidRPr="00C806D0" w:rsidRDefault="006D0937" w:rsidP="006D0937">
      <w:pPr>
        <w:pStyle w:val="Heading1"/>
        <w:numPr>
          <w:ilvl w:val="0"/>
          <w:numId w:val="0"/>
        </w:numPr>
        <w:ind w:left="431"/>
      </w:pPr>
      <w:r w:rsidRPr="00C806D0">
        <w:lastRenderedPageBreak/>
        <w:t xml:space="preserve">Appendix A: the head injury transportation straight to neurosurgery </w:t>
      </w:r>
      <w:r w:rsidR="0035084F" w:rsidRPr="00C806D0">
        <w:t xml:space="preserve">(HITSNS) </w:t>
      </w:r>
      <w:r w:rsidRPr="00C806D0">
        <w:t>study</w:t>
      </w:r>
    </w:p>
    <w:p w:rsidR="004E6457" w:rsidRPr="00C806D0" w:rsidRDefault="007C7759" w:rsidP="001F299F">
      <w:pPr>
        <w:pStyle w:val="Heading2"/>
      </w:pPr>
      <w:r w:rsidRPr="00C806D0">
        <w:t>background</w:t>
      </w:r>
    </w:p>
    <w:p w:rsidR="004E6457" w:rsidRPr="00C806D0" w:rsidRDefault="001F3F12" w:rsidP="004E6457">
      <w:r w:rsidRPr="00C806D0">
        <w:t xml:space="preserve">The </w:t>
      </w:r>
      <w:r w:rsidR="009D340C" w:rsidRPr="00C806D0">
        <w:t>HITSNS</w:t>
      </w:r>
      <w:r w:rsidRPr="00C806D0">
        <w:t xml:space="preserve"> study</w:t>
      </w:r>
      <w:r w:rsidR="001C7613" w:rsidRPr="00C806D0">
        <w:t xml:space="preserve"> investigated the clinical and cost effectiveness of prehospital triage and bypass, compared with selective secondary transfer, in apparently stable</w:t>
      </w:r>
      <w:r w:rsidR="00CE350E" w:rsidRPr="00C806D0">
        <w:t xml:space="preserve"> </w:t>
      </w:r>
      <w:r w:rsidR="009D340C" w:rsidRPr="00C806D0">
        <w:t>adult</w:t>
      </w:r>
      <w:r w:rsidR="001C7613" w:rsidRPr="00C806D0">
        <w:t>s with suspected significant TBI injured near to NSAHs.</w:t>
      </w:r>
      <w:r w:rsidR="00EB5320" w:rsidRPr="00C806D0">
        <w:rPr>
          <w:noProof/>
          <w:vertAlign w:val="superscript"/>
        </w:rPr>
        <w:t>[</w:t>
      </w:r>
      <w:r w:rsidR="006D4D62" w:rsidRPr="00C806D0">
        <w:rPr>
          <w:noProof/>
          <w:vertAlign w:val="superscript"/>
        </w:rPr>
        <w:t>1</w:t>
      </w:r>
      <w:r w:rsidR="00EB5320" w:rsidRPr="00C806D0">
        <w:rPr>
          <w:noProof/>
          <w:vertAlign w:val="superscript"/>
        </w:rPr>
        <w:t xml:space="preserve">, </w:t>
      </w:r>
      <w:r w:rsidR="006D4D62" w:rsidRPr="00C806D0">
        <w:rPr>
          <w:noProof/>
          <w:vertAlign w:val="superscript"/>
        </w:rPr>
        <w:t>2</w:t>
      </w:r>
      <w:r w:rsidR="00EB5320" w:rsidRPr="00C806D0">
        <w:rPr>
          <w:noProof/>
          <w:vertAlign w:val="superscript"/>
        </w:rPr>
        <w:t>]</w:t>
      </w:r>
      <w:r w:rsidR="001C7613" w:rsidRPr="00C806D0">
        <w:t xml:space="preserve"> The study</w:t>
      </w:r>
      <w:r w:rsidR="00057DC1" w:rsidRPr="00C806D0">
        <w:t xml:space="preserve"> addressed two</w:t>
      </w:r>
      <w:r w:rsidR="009D340C" w:rsidRPr="00C806D0">
        <w:t xml:space="preserve"> complementary research questions</w:t>
      </w:r>
      <w:r w:rsidR="001C7613" w:rsidRPr="00C806D0">
        <w:t xml:space="preserve">. Firstly, in Stream A, a pilot </w:t>
      </w:r>
      <w:r w:rsidR="00CE350E" w:rsidRPr="00C806D0">
        <w:t>pragmatic cluster rando</w:t>
      </w:r>
      <w:r w:rsidR="009D340C" w:rsidRPr="00C806D0">
        <w:t>mised controlled trial examined whether it was feasible to conduct</w:t>
      </w:r>
      <w:r w:rsidR="00CE350E" w:rsidRPr="00C806D0">
        <w:t xml:space="preserve"> a defi</w:t>
      </w:r>
      <w:r w:rsidR="009D340C" w:rsidRPr="00C806D0">
        <w:t>nitive trial investigating</w:t>
      </w:r>
      <w:r w:rsidR="00CE350E" w:rsidRPr="00C806D0">
        <w:t xml:space="preserve"> </w:t>
      </w:r>
      <w:r w:rsidR="009D340C" w:rsidRPr="00C806D0">
        <w:t xml:space="preserve">these interventions. Secondly, </w:t>
      </w:r>
      <w:r w:rsidR="0035084F" w:rsidRPr="00C806D0">
        <w:t xml:space="preserve">in </w:t>
      </w:r>
      <w:r w:rsidR="009D340C" w:rsidRPr="00C806D0">
        <w:t>Stream B, reported in this thesis, an economic evaluation was conducted to identify the optimal management strategy based on currently available evidence and emerg</w:t>
      </w:r>
      <w:r w:rsidR="0035084F" w:rsidRPr="00C806D0">
        <w:t>ing HITSNS Stream A data. This a</w:t>
      </w:r>
      <w:r w:rsidR="009D340C" w:rsidRPr="00C806D0">
        <w:t>ppendix describes the methods of the HITSNS pilot study in detail and briefly reports the Stream A results.</w:t>
      </w:r>
    </w:p>
    <w:p w:rsidR="006D0937" w:rsidRPr="00C806D0" w:rsidRDefault="00CE350E" w:rsidP="006D0937">
      <w:pPr>
        <w:pStyle w:val="Heading2"/>
      </w:pPr>
      <w:r w:rsidRPr="00C806D0">
        <w:t xml:space="preserve">HITSNS pilot study </w:t>
      </w:r>
      <w:r w:rsidR="006D0937" w:rsidRPr="00C806D0">
        <w:t>methodology</w:t>
      </w:r>
    </w:p>
    <w:p w:rsidR="00CE350E" w:rsidRPr="00C806D0" w:rsidRDefault="00CE350E" w:rsidP="001F299F">
      <w:pPr>
        <w:pStyle w:val="Heading3"/>
      </w:pPr>
      <w:r w:rsidRPr="00C806D0">
        <w:t xml:space="preserve">Setting </w:t>
      </w:r>
    </w:p>
    <w:p w:rsidR="006D0937" w:rsidRPr="00C806D0" w:rsidRDefault="006D0937" w:rsidP="006D0937">
      <w:r w:rsidRPr="00C806D0">
        <w:t>The trial was conducted in two separate English ambulance services</w:t>
      </w:r>
      <w:r w:rsidR="00CE350E" w:rsidRPr="00C806D0">
        <w:t>:</w:t>
      </w:r>
      <w:r w:rsidRPr="00C806D0">
        <w:t xml:space="preserve"> NEAS</w:t>
      </w:r>
      <w:r w:rsidR="00CE350E" w:rsidRPr="00C806D0">
        <w:t>;</w:t>
      </w:r>
      <w:r w:rsidRPr="00C806D0">
        <w:t xml:space="preserve"> and in the Lancashire and Cumbrian regions of the NWAS. Each ambulance service </w:t>
      </w:r>
      <w:r w:rsidR="000F4A20" w:rsidRPr="00C806D0">
        <w:t>operates in a mixed</w:t>
      </w:r>
      <w:r w:rsidRPr="00C806D0">
        <w:t xml:space="preserve"> geographical area including rural and urban populations. The NEAS region encompassed </w:t>
      </w:r>
      <w:r w:rsidR="00057DC1" w:rsidRPr="00C806D0">
        <w:t>two SNCs and eight</w:t>
      </w:r>
      <w:r w:rsidRPr="00C806D0">
        <w:t xml:space="preserve"> NSAHs. The NWAS region </w:t>
      </w:r>
      <w:r w:rsidR="00057DC1" w:rsidRPr="00C806D0">
        <w:t>was served by a single SNC and three</w:t>
      </w:r>
      <w:r w:rsidRPr="00C806D0">
        <w:t xml:space="preserve"> NSAHs. Participating study hospitals are listed in Table </w:t>
      </w:r>
      <w:r w:rsidR="00CE350E" w:rsidRPr="00C806D0">
        <w:t>A</w:t>
      </w:r>
      <w:r w:rsidRPr="00C806D0">
        <w:t>1.</w:t>
      </w:r>
    </w:p>
    <w:p w:rsidR="004770C2" w:rsidRPr="00C806D0" w:rsidRDefault="004770C2" w:rsidP="006D0937">
      <w:pPr>
        <w:rPr>
          <w:b/>
        </w:rPr>
      </w:pPr>
    </w:p>
    <w:p w:rsidR="006D0937" w:rsidRPr="00C806D0" w:rsidRDefault="00CE350E" w:rsidP="006D0937">
      <w:pPr>
        <w:rPr>
          <w:b/>
        </w:rPr>
      </w:pPr>
      <w:r w:rsidRPr="00C806D0">
        <w:rPr>
          <w:b/>
        </w:rPr>
        <w:t>Table A</w:t>
      </w:r>
      <w:r w:rsidR="006D0937" w:rsidRPr="00C806D0">
        <w:rPr>
          <w:b/>
        </w:rPr>
        <w:t>1</w:t>
      </w:r>
      <w:r w:rsidR="00CD46AF" w:rsidRPr="00C806D0">
        <w:rPr>
          <w:b/>
        </w:rPr>
        <w:t>.</w:t>
      </w:r>
      <w:r w:rsidR="006D0937" w:rsidRPr="00C806D0">
        <w:rPr>
          <w:b/>
        </w:rPr>
        <w:t xml:space="preserve"> Hospitals participating in the HITSNS study</w:t>
      </w:r>
    </w:p>
    <w:tbl>
      <w:tblPr>
        <w:tblStyle w:val="LightShading1"/>
        <w:tblW w:w="0" w:type="auto"/>
        <w:tblLook w:val="0620" w:firstRow="1" w:lastRow="0" w:firstColumn="0" w:lastColumn="0" w:noHBand="1" w:noVBand="1"/>
      </w:tblPr>
      <w:tblGrid>
        <w:gridCol w:w="789"/>
        <w:gridCol w:w="4077"/>
        <w:gridCol w:w="3227"/>
      </w:tblGrid>
      <w:tr w:rsidR="006D0937" w:rsidRPr="00C806D0" w:rsidTr="004442E4">
        <w:trPr>
          <w:cnfStyle w:val="100000000000" w:firstRow="1" w:lastRow="0" w:firstColumn="0" w:lastColumn="0" w:oddVBand="0" w:evenVBand="0" w:oddHBand="0" w:evenHBand="0" w:firstRowFirstColumn="0" w:firstRowLastColumn="0" w:lastRowFirstColumn="0" w:lastRowLastColumn="0"/>
        </w:trPr>
        <w:tc>
          <w:tcPr>
            <w:tcW w:w="0" w:type="auto"/>
          </w:tcPr>
          <w:p w:rsidR="006D0937" w:rsidRPr="00C806D0" w:rsidRDefault="006D0937" w:rsidP="004442E4">
            <w:pPr>
              <w:rPr>
                <w:sz w:val="20"/>
                <w:szCs w:val="20"/>
              </w:rPr>
            </w:pPr>
            <w:r w:rsidRPr="00C806D0">
              <w:rPr>
                <w:sz w:val="20"/>
                <w:szCs w:val="20"/>
              </w:rPr>
              <w:t>Region</w:t>
            </w:r>
          </w:p>
        </w:tc>
        <w:tc>
          <w:tcPr>
            <w:tcW w:w="0" w:type="auto"/>
          </w:tcPr>
          <w:p w:rsidR="006D0937" w:rsidRPr="00C806D0" w:rsidRDefault="006D0937" w:rsidP="004442E4">
            <w:pPr>
              <w:rPr>
                <w:sz w:val="20"/>
                <w:szCs w:val="20"/>
              </w:rPr>
            </w:pPr>
            <w:r w:rsidRPr="00C806D0">
              <w:rPr>
                <w:sz w:val="20"/>
                <w:szCs w:val="20"/>
              </w:rPr>
              <w:t>Specialist neuroscience centres</w:t>
            </w:r>
          </w:p>
        </w:tc>
        <w:tc>
          <w:tcPr>
            <w:tcW w:w="0" w:type="auto"/>
          </w:tcPr>
          <w:p w:rsidR="006D0937" w:rsidRPr="00C806D0" w:rsidRDefault="006D0937" w:rsidP="004442E4">
            <w:pPr>
              <w:rPr>
                <w:sz w:val="20"/>
                <w:szCs w:val="20"/>
              </w:rPr>
            </w:pPr>
            <w:r w:rsidRPr="00C806D0">
              <w:rPr>
                <w:sz w:val="20"/>
                <w:szCs w:val="20"/>
              </w:rPr>
              <w:t>Non-specialist acute hospitals</w:t>
            </w:r>
          </w:p>
        </w:tc>
      </w:tr>
      <w:tr w:rsidR="006D0937" w:rsidRPr="00C806D0" w:rsidTr="004442E4">
        <w:tc>
          <w:tcPr>
            <w:tcW w:w="0" w:type="auto"/>
          </w:tcPr>
          <w:p w:rsidR="006D0937" w:rsidRPr="00C806D0" w:rsidRDefault="006D0937" w:rsidP="004442E4">
            <w:pPr>
              <w:rPr>
                <w:sz w:val="20"/>
                <w:szCs w:val="20"/>
              </w:rPr>
            </w:pPr>
            <w:r w:rsidRPr="00C806D0">
              <w:rPr>
                <w:sz w:val="20"/>
                <w:szCs w:val="20"/>
              </w:rPr>
              <w:t>NEAS</w:t>
            </w:r>
          </w:p>
        </w:tc>
        <w:tc>
          <w:tcPr>
            <w:tcW w:w="0" w:type="auto"/>
          </w:tcPr>
          <w:p w:rsidR="006D0937" w:rsidRPr="00C806D0" w:rsidRDefault="006D0937" w:rsidP="004442E4">
            <w:pPr>
              <w:rPr>
                <w:sz w:val="20"/>
                <w:szCs w:val="20"/>
              </w:rPr>
            </w:pPr>
            <w:r w:rsidRPr="00C806D0">
              <w:rPr>
                <w:sz w:val="20"/>
                <w:szCs w:val="20"/>
              </w:rPr>
              <w:t>Royal Victoria Hospital, Newcastle</w:t>
            </w:r>
          </w:p>
        </w:tc>
        <w:tc>
          <w:tcPr>
            <w:tcW w:w="0" w:type="auto"/>
          </w:tcPr>
          <w:p w:rsidR="006D0937" w:rsidRPr="00C806D0" w:rsidRDefault="006D0937" w:rsidP="004442E4">
            <w:pPr>
              <w:rPr>
                <w:sz w:val="20"/>
                <w:szCs w:val="20"/>
              </w:rPr>
            </w:pPr>
            <w:r w:rsidRPr="00C806D0">
              <w:rPr>
                <w:sz w:val="20"/>
                <w:szCs w:val="20"/>
              </w:rPr>
              <w:t>North Tyneside District Hospital</w:t>
            </w:r>
          </w:p>
        </w:tc>
      </w:tr>
      <w:tr w:rsidR="006D0937" w:rsidRPr="00C806D0" w:rsidTr="004442E4">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r w:rsidRPr="00C806D0">
              <w:rPr>
                <w:sz w:val="20"/>
                <w:szCs w:val="20"/>
              </w:rPr>
              <w:t>James Cook University Hospital, Middlesbrough</w:t>
            </w:r>
          </w:p>
        </w:tc>
        <w:tc>
          <w:tcPr>
            <w:tcW w:w="0" w:type="auto"/>
          </w:tcPr>
          <w:p w:rsidR="006D0937" w:rsidRPr="00C806D0" w:rsidRDefault="006D0937" w:rsidP="004442E4">
            <w:pPr>
              <w:rPr>
                <w:sz w:val="20"/>
                <w:szCs w:val="20"/>
              </w:rPr>
            </w:pPr>
            <w:r w:rsidRPr="00C806D0">
              <w:rPr>
                <w:sz w:val="20"/>
                <w:szCs w:val="20"/>
              </w:rPr>
              <w:t>Queen Elizabeth Hospital, Gateshead</w:t>
            </w:r>
          </w:p>
        </w:tc>
      </w:tr>
      <w:tr w:rsidR="006D0937" w:rsidRPr="00C806D0" w:rsidTr="004442E4">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r w:rsidRPr="00C806D0">
              <w:rPr>
                <w:sz w:val="20"/>
                <w:szCs w:val="20"/>
              </w:rPr>
              <w:t>South Tyneside District Hospital</w:t>
            </w:r>
          </w:p>
        </w:tc>
      </w:tr>
      <w:tr w:rsidR="006D0937" w:rsidRPr="00C806D0" w:rsidTr="004442E4">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r w:rsidRPr="00C806D0">
              <w:rPr>
                <w:sz w:val="20"/>
                <w:szCs w:val="20"/>
              </w:rPr>
              <w:t>Sunderland Royal Hospital</w:t>
            </w:r>
          </w:p>
        </w:tc>
      </w:tr>
      <w:tr w:rsidR="006D0937" w:rsidRPr="00C806D0" w:rsidTr="004442E4">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r w:rsidRPr="00C806D0">
              <w:rPr>
                <w:sz w:val="20"/>
                <w:szCs w:val="20"/>
              </w:rPr>
              <w:t>Wansbeck General Hospital</w:t>
            </w:r>
          </w:p>
        </w:tc>
      </w:tr>
      <w:tr w:rsidR="006D0937" w:rsidRPr="00C806D0" w:rsidTr="004442E4">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r w:rsidRPr="00C806D0">
              <w:rPr>
                <w:sz w:val="20"/>
                <w:szCs w:val="20"/>
              </w:rPr>
              <w:t>University Hospital of North Durham</w:t>
            </w:r>
          </w:p>
        </w:tc>
      </w:tr>
      <w:tr w:rsidR="006D0937" w:rsidRPr="00C806D0" w:rsidTr="004442E4">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r w:rsidRPr="00C806D0">
              <w:rPr>
                <w:sz w:val="20"/>
                <w:szCs w:val="20"/>
              </w:rPr>
              <w:t>Darlington Memorial Hospital</w:t>
            </w:r>
          </w:p>
        </w:tc>
      </w:tr>
      <w:tr w:rsidR="006D0937" w:rsidRPr="00C806D0" w:rsidTr="004442E4">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r w:rsidRPr="00C806D0">
              <w:rPr>
                <w:sz w:val="20"/>
                <w:szCs w:val="20"/>
              </w:rPr>
              <w:t>University Hospital of North Tees</w:t>
            </w:r>
          </w:p>
        </w:tc>
      </w:tr>
      <w:tr w:rsidR="006D0937" w:rsidRPr="00C806D0" w:rsidTr="004442E4">
        <w:tc>
          <w:tcPr>
            <w:tcW w:w="0" w:type="auto"/>
          </w:tcPr>
          <w:p w:rsidR="006D0937" w:rsidRPr="00C806D0" w:rsidRDefault="006D0937" w:rsidP="004442E4">
            <w:pPr>
              <w:rPr>
                <w:sz w:val="20"/>
                <w:szCs w:val="20"/>
              </w:rPr>
            </w:pPr>
            <w:r w:rsidRPr="00C806D0">
              <w:rPr>
                <w:sz w:val="20"/>
                <w:szCs w:val="20"/>
              </w:rPr>
              <w:t>NWAS</w:t>
            </w:r>
          </w:p>
        </w:tc>
        <w:tc>
          <w:tcPr>
            <w:tcW w:w="0" w:type="auto"/>
          </w:tcPr>
          <w:p w:rsidR="006D0937" w:rsidRPr="00C806D0" w:rsidRDefault="006D0937" w:rsidP="004442E4">
            <w:pPr>
              <w:rPr>
                <w:sz w:val="20"/>
                <w:szCs w:val="20"/>
              </w:rPr>
            </w:pPr>
            <w:r w:rsidRPr="00C806D0">
              <w:rPr>
                <w:sz w:val="20"/>
                <w:szCs w:val="20"/>
              </w:rPr>
              <w:t>Royal Preston Hospital</w:t>
            </w:r>
          </w:p>
        </w:tc>
        <w:tc>
          <w:tcPr>
            <w:tcW w:w="0" w:type="auto"/>
          </w:tcPr>
          <w:p w:rsidR="006D0937" w:rsidRPr="00C806D0" w:rsidRDefault="006D0937" w:rsidP="004442E4">
            <w:pPr>
              <w:rPr>
                <w:sz w:val="20"/>
                <w:szCs w:val="20"/>
              </w:rPr>
            </w:pPr>
            <w:r w:rsidRPr="00C806D0">
              <w:rPr>
                <w:sz w:val="20"/>
                <w:szCs w:val="20"/>
              </w:rPr>
              <w:t>Blackburn Royal Infirmary</w:t>
            </w:r>
          </w:p>
        </w:tc>
      </w:tr>
      <w:tr w:rsidR="006D0937" w:rsidRPr="00C806D0" w:rsidTr="004442E4">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r w:rsidRPr="00C806D0">
              <w:rPr>
                <w:sz w:val="20"/>
                <w:szCs w:val="20"/>
              </w:rPr>
              <w:t>Blackpool Victoria Hospital</w:t>
            </w:r>
          </w:p>
        </w:tc>
      </w:tr>
      <w:tr w:rsidR="006D0937" w:rsidRPr="00C806D0" w:rsidTr="004442E4">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p>
        </w:tc>
        <w:tc>
          <w:tcPr>
            <w:tcW w:w="0" w:type="auto"/>
          </w:tcPr>
          <w:p w:rsidR="006D0937" w:rsidRPr="00C806D0" w:rsidRDefault="006D0937" w:rsidP="004442E4">
            <w:pPr>
              <w:rPr>
                <w:sz w:val="20"/>
                <w:szCs w:val="20"/>
              </w:rPr>
            </w:pPr>
            <w:r w:rsidRPr="00C806D0">
              <w:rPr>
                <w:sz w:val="20"/>
                <w:szCs w:val="20"/>
              </w:rPr>
              <w:t>Royal Lancaster Hospital</w:t>
            </w:r>
          </w:p>
        </w:tc>
      </w:tr>
    </w:tbl>
    <w:p w:rsidR="00CE350E" w:rsidRPr="00C806D0" w:rsidRDefault="00CE350E" w:rsidP="001F299F">
      <w:pPr>
        <w:pStyle w:val="Heading3"/>
      </w:pPr>
      <w:r w:rsidRPr="00C806D0">
        <w:lastRenderedPageBreak/>
        <w:t>Inclusion criteria</w:t>
      </w:r>
    </w:p>
    <w:p w:rsidR="006D0937" w:rsidRPr="00C806D0" w:rsidRDefault="006D0937" w:rsidP="006D0937">
      <w:r w:rsidRPr="00C806D0">
        <w:t xml:space="preserve">Patients were  enrolled in the study if they were injured nearest to a NSAH, but not greater than one hours land ambulance journey from a SNC, and attended by land ambulance personnel with suspected significant head injury (external signs of head trauma or reduced GCS score ≤12). Patients meeting these criteria but thought to be </w:t>
      </w:r>
      <w:r w:rsidR="0035084F" w:rsidRPr="00C806D0">
        <w:t>aged &lt;</w:t>
      </w:r>
      <w:r w:rsidRPr="00C806D0">
        <w:t xml:space="preserve">16 years or have life threatening injuries causing unstable airway, breathing or circulation were excluded. ABC instability was defined as: </w:t>
      </w:r>
    </w:p>
    <w:p w:rsidR="006D0937" w:rsidRPr="00C806D0" w:rsidRDefault="006D0937" w:rsidP="006D0937"/>
    <w:p w:rsidR="006D0937" w:rsidRPr="00C806D0" w:rsidRDefault="006D0937" w:rsidP="00550C9C">
      <w:pPr>
        <w:pStyle w:val="ListParagraph"/>
        <w:numPr>
          <w:ilvl w:val="0"/>
          <w:numId w:val="2"/>
        </w:numPr>
      </w:pPr>
      <w:r w:rsidRPr="00C806D0">
        <w:t>Partial or complete airway obstruction after simple airway manoeuvre, or requirement for a supraglottic airway device at the scene of injury</w:t>
      </w:r>
    </w:p>
    <w:p w:rsidR="006D0937" w:rsidRPr="00C806D0" w:rsidRDefault="006D0937" w:rsidP="00550C9C">
      <w:pPr>
        <w:pStyle w:val="ListParagraph"/>
        <w:numPr>
          <w:ilvl w:val="0"/>
          <w:numId w:val="2"/>
        </w:numPr>
      </w:pPr>
      <w:r w:rsidRPr="00C806D0">
        <w:t>Respiratory rate &lt;12 or &gt;30, or sucking chest wound, or signs of tension pneumothorax</w:t>
      </w:r>
    </w:p>
    <w:p w:rsidR="006D0937" w:rsidRPr="00C806D0" w:rsidRDefault="006D0937" w:rsidP="00550C9C">
      <w:pPr>
        <w:pStyle w:val="ListParagraph"/>
        <w:numPr>
          <w:ilvl w:val="0"/>
          <w:numId w:val="2"/>
        </w:numPr>
      </w:pPr>
      <w:r w:rsidRPr="00C806D0">
        <w:t>Significant external haemorrhage not controlled by pressure, or amputation above the wrist or ankle, or absence of a radial pulse on palpation.</w:t>
      </w:r>
    </w:p>
    <w:p w:rsidR="004770C2" w:rsidRPr="00C806D0" w:rsidRDefault="006D0937" w:rsidP="006D0937">
      <w:r w:rsidRPr="00C806D0">
        <w:t xml:space="preserve">Regional trauma networks were introduced in England during the planning phase of the study. Original inclusion criteria were therefore modified prior to the commencement of recruitment to give consistency with major trauma triage rules and avoid confusion. NWAS instituted a lower respiratory rate for exclusion of &lt;10 breaths per minute (instead of &lt;12). NEAS included patients with a higher GCS score ≤13 (instead of ≤12). Inclusion criteria are presented in detail in Table </w:t>
      </w:r>
      <w:r w:rsidR="00CE350E" w:rsidRPr="00C806D0">
        <w:t>A2</w:t>
      </w:r>
      <w:r w:rsidRPr="00C806D0">
        <w:t>.</w:t>
      </w:r>
    </w:p>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4770C2" w:rsidRPr="00C806D0" w:rsidRDefault="004770C2" w:rsidP="006D0937"/>
    <w:p w:rsidR="006D0937" w:rsidRPr="00C806D0" w:rsidRDefault="006D0937" w:rsidP="006D0937">
      <w:pPr>
        <w:rPr>
          <w:b/>
        </w:rPr>
      </w:pPr>
      <w:r w:rsidRPr="00C806D0">
        <w:rPr>
          <w:b/>
        </w:rPr>
        <w:lastRenderedPageBreak/>
        <w:t>Table A</w:t>
      </w:r>
      <w:r w:rsidR="00CE350E" w:rsidRPr="00C806D0">
        <w:rPr>
          <w:b/>
        </w:rPr>
        <w:t>2</w:t>
      </w:r>
      <w:r w:rsidRPr="00C806D0">
        <w:rPr>
          <w:b/>
        </w:rPr>
        <w:t>. HITSNS inclusion and exclusion criteria</w:t>
      </w:r>
    </w:p>
    <w:tbl>
      <w:tblPr>
        <w:tblStyle w:val="LightShading1"/>
        <w:tblW w:w="0" w:type="auto"/>
        <w:tblLook w:val="0620" w:firstRow="1" w:lastRow="0" w:firstColumn="0" w:lastColumn="0" w:noHBand="1" w:noVBand="1"/>
      </w:tblPr>
      <w:tblGrid>
        <w:gridCol w:w="4460"/>
        <w:gridCol w:w="4260"/>
      </w:tblGrid>
      <w:tr w:rsidR="006D0937" w:rsidRPr="00C806D0" w:rsidTr="00B8295E">
        <w:trPr>
          <w:cnfStyle w:val="100000000000" w:firstRow="1" w:lastRow="0" w:firstColumn="0" w:lastColumn="0" w:oddVBand="0" w:evenVBand="0" w:oddHBand="0" w:evenHBand="0" w:firstRowFirstColumn="0" w:firstRowLastColumn="0" w:lastRowFirstColumn="0" w:lastRowLastColumn="0"/>
          <w:trHeight w:val="304"/>
        </w:trPr>
        <w:tc>
          <w:tcPr>
            <w:tcW w:w="0" w:type="auto"/>
          </w:tcPr>
          <w:p w:rsidR="006D0937" w:rsidRPr="00C806D0" w:rsidRDefault="00B8295E" w:rsidP="004442E4">
            <w:pPr>
              <w:rPr>
                <w:sz w:val="20"/>
                <w:szCs w:val="20"/>
              </w:rPr>
            </w:pPr>
            <w:r w:rsidRPr="00C806D0">
              <w:rPr>
                <w:sz w:val="20"/>
                <w:szCs w:val="20"/>
              </w:rPr>
              <w:t>Inclusion criteria</w:t>
            </w:r>
          </w:p>
          <w:p w:rsidR="006D0937" w:rsidRPr="00C806D0" w:rsidRDefault="006D0937" w:rsidP="004442E4">
            <w:pPr>
              <w:rPr>
                <w:sz w:val="20"/>
                <w:szCs w:val="20"/>
              </w:rPr>
            </w:pPr>
          </w:p>
        </w:tc>
        <w:tc>
          <w:tcPr>
            <w:tcW w:w="0" w:type="auto"/>
          </w:tcPr>
          <w:p w:rsidR="006D0937" w:rsidRPr="00C806D0" w:rsidRDefault="00B8295E" w:rsidP="004442E4">
            <w:pPr>
              <w:rPr>
                <w:sz w:val="20"/>
                <w:szCs w:val="20"/>
              </w:rPr>
            </w:pPr>
            <w:r w:rsidRPr="00C806D0">
              <w:rPr>
                <w:sz w:val="20"/>
                <w:szCs w:val="20"/>
              </w:rPr>
              <w:t>Exclusion criteria</w:t>
            </w:r>
          </w:p>
        </w:tc>
      </w:tr>
      <w:tr w:rsidR="00B8295E" w:rsidRPr="00C806D0" w:rsidTr="00B8295E">
        <w:tc>
          <w:tcPr>
            <w:tcW w:w="0" w:type="auto"/>
          </w:tcPr>
          <w:p w:rsidR="00B8295E" w:rsidRPr="00C806D0" w:rsidRDefault="00B8295E" w:rsidP="00B8295E">
            <w:pPr>
              <w:rPr>
                <w:b/>
                <w:sz w:val="20"/>
                <w:szCs w:val="20"/>
              </w:rPr>
            </w:pPr>
            <w:r w:rsidRPr="00C806D0">
              <w:rPr>
                <w:b/>
                <w:sz w:val="20"/>
                <w:szCs w:val="20"/>
              </w:rPr>
              <w:t>TBI:</w:t>
            </w:r>
          </w:p>
        </w:tc>
        <w:tc>
          <w:tcPr>
            <w:tcW w:w="0" w:type="auto"/>
          </w:tcPr>
          <w:p w:rsidR="00B8295E" w:rsidRPr="00C806D0" w:rsidRDefault="00B8295E" w:rsidP="004442E4">
            <w:pPr>
              <w:rPr>
                <w:sz w:val="20"/>
                <w:szCs w:val="20"/>
              </w:rPr>
            </w:pPr>
            <w:r w:rsidRPr="00C806D0">
              <w:rPr>
                <w:b/>
                <w:sz w:val="20"/>
                <w:szCs w:val="20"/>
              </w:rPr>
              <w:t>TBI:</w:t>
            </w:r>
          </w:p>
        </w:tc>
      </w:tr>
      <w:tr w:rsidR="006D0937" w:rsidRPr="00C806D0" w:rsidTr="00B8295E">
        <w:tc>
          <w:tcPr>
            <w:tcW w:w="0" w:type="auto"/>
          </w:tcPr>
          <w:p w:rsidR="006D0937" w:rsidRPr="00C806D0" w:rsidRDefault="006D0937" w:rsidP="00B8295E">
            <w:pPr>
              <w:rPr>
                <w:sz w:val="20"/>
                <w:szCs w:val="20"/>
              </w:rPr>
            </w:pPr>
            <w:r w:rsidRPr="00C806D0">
              <w:rPr>
                <w:sz w:val="20"/>
                <w:szCs w:val="20"/>
              </w:rPr>
              <w:t>Signs of significant TBI: External evidence of head injury with GCS≤</w:t>
            </w:r>
            <w:r w:rsidR="00F26147" w:rsidRPr="00C806D0">
              <w:rPr>
                <w:sz w:val="20"/>
                <w:szCs w:val="20"/>
              </w:rPr>
              <w:t>13</w:t>
            </w:r>
            <w:r w:rsidRPr="00C806D0">
              <w:rPr>
                <w:sz w:val="20"/>
                <w:szCs w:val="20"/>
              </w:rPr>
              <w:t>*, open skull or depressed skull fracture.</w:t>
            </w:r>
          </w:p>
        </w:tc>
        <w:tc>
          <w:tcPr>
            <w:tcW w:w="0" w:type="auto"/>
          </w:tcPr>
          <w:p w:rsidR="006D0937" w:rsidRPr="00C806D0" w:rsidRDefault="006D0937" w:rsidP="00B8295E">
            <w:pPr>
              <w:rPr>
                <w:sz w:val="20"/>
                <w:szCs w:val="20"/>
              </w:rPr>
            </w:pPr>
            <w:r w:rsidRPr="00C806D0">
              <w:rPr>
                <w:sz w:val="20"/>
                <w:szCs w:val="20"/>
              </w:rPr>
              <w:t>No signs of significant TBI: External evidence of head injury, but GCS&gt;13, no open or depressed skull fracture.</w:t>
            </w:r>
          </w:p>
        </w:tc>
      </w:tr>
      <w:tr w:rsidR="006D0937" w:rsidRPr="00C806D0" w:rsidTr="00B8295E">
        <w:trPr>
          <w:trHeight w:val="466"/>
        </w:trPr>
        <w:tc>
          <w:tcPr>
            <w:tcW w:w="0" w:type="auto"/>
          </w:tcPr>
          <w:p w:rsidR="006D0937" w:rsidRPr="00C806D0" w:rsidRDefault="00B8295E" w:rsidP="00B8295E">
            <w:pPr>
              <w:rPr>
                <w:sz w:val="20"/>
                <w:szCs w:val="20"/>
              </w:rPr>
            </w:pPr>
            <w:r w:rsidRPr="00C806D0">
              <w:rPr>
                <w:b/>
                <w:sz w:val="20"/>
                <w:szCs w:val="20"/>
              </w:rPr>
              <w:t>Clinical:</w:t>
            </w:r>
          </w:p>
        </w:tc>
        <w:tc>
          <w:tcPr>
            <w:tcW w:w="0" w:type="auto"/>
          </w:tcPr>
          <w:p w:rsidR="006D0937" w:rsidRPr="00C806D0" w:rsidRDefault="00B8295E" w:rsidP="004442E4">
            <w:pPr>
              <w:rPr>
                <w:b/>
                <w:sz w:val="20"/>
                <w:szCs w:val="20"/>
              </w:rPr>
            </w:pPr>
            <w:r w:rsidRPr="00C806D0">
              <w:rPr>
                <w:b/>
                <w:sz w:val="20"/>
                <w:szCs w:val="20"/>
              </w:rPr>
              <w:t>Clinical:</w:t>
            </w:r>
          </w:p>
        </w:tc>
      </w:tr>
      <w:tr w:rsidR="006D0937" w:rsidRPr="00C806D0" w:rsidTr="00B8295E">
        <w:tc>
          <w:tcPr>
            <w:tcW w:w="0" w:type="auto"/>
          </w:tcPr>
          <w:p w:rsidR="006D0937" w:rsidRPr="00C806D0" w:rsidRDefault="006D0937" w:rsidP="004442E4">
            <w:pPr>
              <w:rPr>
                <w:sz w:val="20"/>
                <w:szCs w:val="20"/>
              </w:rPr>
            </w:pPr>
            <w:r w:rsidRPr="00C806D0">
              <w:rPr>
                <w:sz w:val="20"/>
                <w:szCs w:val="20"/>
              </w:rPr>
              <w:t>No overt ABC compromise† (No PH airway obstruction, no intubation, RR 12-30</w:t>
            </w:r>
            <w:r w:rsidR="009268BA" w:rsidRPr="00C806D0">
              <w:rPr>
                <w:sz w:val="20"/>
                <w:szCs w:val="20"/>
              </w:rPr>
              <w:t>bpm†</w:t>
            </w:r>
            <w:r w:rsidRPr="00C806D0">
              <w:rPr>
                <w:sz w:val="20"/>
                <w:szCs w:val="20"/>
              </w:rPr>
              <w:t>, No sucking chest wound, no tension pneumothorax, no amputation above wrist/ankle, no absence of radial pulse‡)</w:t>
            </w:r>
          </w:p>
        </w:tc>
        <w:tc>
          <w:tcPr>
            <w:tcW w:w="0" w:type="auto"/>
          </w:tcPr>
          <w:p w:rsidR="006D0937" w:rsidRPr="00C806D0" w:rsidRDefault="006D0937" w:rsidP="00B8295E">
            <w:pPr>
              <w:rPr>
                <w:sz w:val="20"/>
                <w:szCs w:val="20"/>
              </w:rPr>
            </w:pPr>
            <w:r w:rsidRPr="00C806D0">
              <w:rPr>
                <w:sz w:val="20"/>
                <w:szCs w:val="20"/>
              </w:rPr>
              <w:t>Overt ABC compromise† (Any of PH: airway obstruction, intubation, RR &lt;12 or &gt;30</w:t>
            </w:r>
            <w:r w:rsidR="009268BA" w:rsidRPr="00C806D0">
              <w:rPr>
                <w:sz w:val="20"/>
                <w:szCs w:val="20"/>
              </w:rPr>
              <w:t>bpm</w:t>
            </w:r>
            <w:r w:rsidRPr="00C806D0">
              <w:rPr>
                <w:sz w:val="20"/>
                <w:szCs w:val="20"/>
              </w:rPr>
              <w:t>, sucking chest wound, tension pneumothorax, amputation above wrist/ankle, absence of radial pulse)</w:t>
            </w:r>
          </w:p>
        </w:tc>
      </w:tr>
      <w:tr w:rsidR="00B8295E" w:rsidRPr="00C806D0" w:rsidTr="00B8295E">
        <w:tc>
          <w:tcPr>
            <w:tcW w:w="0" w:type="auto"/>
          </w:tcPr>
          <w:p w:rsidR="00B8295E" w:rsidRPr="00C806D0" w:rsidRDefault="00B8295E" w:rsidP="004442E4">
            <w:pPr>
              <w:rPr>
                <w:b/>
                <w:sz w:val="20"/>
                <w:szCs w:val="20"/>
              </w:rPr>
            </w:pPr>
            <w:r w:rsidRPr="00C806D0">
              <w:rPr>
                <w:b/>
                <w:sz w:val="20"/>
                <w:szCs w:val="20"/>
              </w:rPr>
              <w:t>Location:</w:t>
            </w:r>
          </w:p>
        </w:tc>
        <w:tc>
          <w:tcPr>
            <w:tcW w:w="0" w:type="auto"/>
          </w:tcPr>
          <w:p w:rsidR="00B8295E" w:rsidRPr="00C806D0" w:rsidRDefault="00B8295E" w:rsidP="004442E4">
            <w:pPr>
              <w:rPr>
                <w:b/>
                <w:sz w:val="20"/>
                <w:szCs w:val="20"/>
              </w:rPr>
            </w:pPr>
            <w:r w:rsidRPr="00C806D0">
              <w:rPr>
                <w:b/>
                <w:sz w:val="20"/>
                <w:szCs w:val="20"/>
              </w:rPr>
              <w:t>Location:</w:t>
            </w:r>
          </w:p>
        </w:tc>
      </w:tr>
      <w:tr w:rsidR="00B8295E" w:rsidRPr="00C806D0" w:rsidTr="00B8295E">
        <w:tc>
          <w:tcPr>
            <w:tcW w:w="0" w:type="auto"/>
          </w:tcPr>
          <w:p w:rsidR="00B8295E" w:rsidRPr="00C806D0" w:rsidRDefault="00B8295E" w:rsidP="00B8295E">
            <w:pPr>
              <w:rPr>
                <w:sz w:val="20"/>
                <w:szCs w:val="20"/>
              </w:rPr>
            </w:pPr>
            <w:r w:rsidRPr="00C806D0">
              <w:rPr>
                <w:sz w:val="20"/>
                <w:szCs w:val="20"/>
              </w:rPr>
              <w:t xml:space="preserve">Injured nearest to NSAH and &lt;1 hours travel time of a SNC. </w:t>
            </w:r>
          </w:p>
        </w:tc>
        <w:tc>
          <w:tcPr>
            <w:tcW w:w="0" w:type="auto"/>
          </w:tcPr>
          <w:p w:rsidR="00B8295E" w:rsidRPr="00C806D0" w:rsidRDefault="00B8295E" w:rsidP="00B8295E">
            <w:pPr>
              <w:rPr>
                <w:b/>
                <w:sz w:val="20"/>
                <w:szCs w:val="20"/>
              </w:rPr>
            </w:pPr>
            <w:r w:rsidRPr="00C806D0">
              <w:rPr>
                <w:sz w:val="20"/>
                <w:szCs w:val="20"/>
              </w:rPr>
              <w:t>Injured nearest to SNC, or &gt;1 hours travel time of a SNC.</w:t>
            </w:r>
          </w:p>
        </w:tc>
      </w:tr>
      <w:tr w:rsidR="00B8295E" w:rsidRPr="00C806D0" w:rsidTr="00B8295E">
        <w:tc>
          <w:tcPr>
            <w:tcW w:w="0" w:type="auto"/>
          </w:tcPr>
          <w:p w:rsidR="00B8295E" w:rsidRPr="00C806D0" w:rsidRDefault="00B8295E" w:rsidP="004442E4">
            <w:pPr>
              <w:rPr>
                <w:b/>
                <w:sz w:val="20"/>
                <w:szCs w:val="20"/>
              </w:rPr>
            </w:pPr>
            <w:r w:rsidRPr="00C806D0">
              <w:rPr>
                <w:b/>
                <w:sz w:val="20"/>
                <w:szCs w:val="20"/>
              </w:rPr>
              <w:t>Demographic:</w:t>
            </w:r>
          </w:p>
        </w:tc>
        <w:tc>
          <w:tcPr>
            <w:tcW w:w="0" w:type="auto"/>
          </w:tcPr>
          <w:p w:rsidR="00B8295E" w:rsidRPr="00C806D0" w:rsidRDefault="00B8295E" w:rsidP="004442E4">
            <w:pPr>
              <w:rPr>
                <w:b/>
                <w:sz w:val="20"/>
                <w:szCs w:val="20"/>
              </w:rPr>
            </w:pPr>
            <w:r w:rsidRPr="00C806D0">
              <w:rPr>
                <w:b/>
                <w:sz w:val="20"/>
                <w:szCs w:val="20"/>
              </w:rPr>
              <w:t>Demographic:</w:t>
            </w:r>
          </w:p>
        </w:tc>
      </w:tr>
      <w:tr w:rsidR="00B8295E" w:rsidRPr="00C806D0" w:rsidTr="00B8295E">
        <w:tc>
          <w:tcPr>
            <w:tcW w:w="0" w:type="auto"/>
          </w:tcPr>
          <w:p w:rsidR="00B8295E" w:rsidRPr="00C806D0" w:rsidRDefault="00B8295E" w:rsidP="004442E4">
            <w:pPr>
              <w:rPr>
                <w:sz w:val="20"/>
                <w:szCs w:val="20"/>
              </w:rPr>
            </w:pPr>
            <w:r w:rsidRPr="00C806D0">
              <w:rPr>
                <w:sz w:val="20"/>
                <w:szCs w:val="20"/>
              </w:rPr>
              <w:t>Adult, appearing &gt;16 years old</w:t>
            </w:r>
          </w:p>
        </w:tc>
        <w:tc>
          <w:tcPr>
            <w:tcW w:w="0" w:type="auto"/>
          </w:tcPr>
          <w:p w:rsidR="00B8295E" w:rsidRPr="00C806D0" w:rsidRDefault="00B8295E" w:rsidP="004442E4">
            <w:pPr>
              <w:rPr>
                <w:sz w:val="20"/>
                <w:szCs w:val="20"/>
              </w:rPr>
            </w:pPr>
            <w:r w:rsidRPr="00C806D0">
              <w:rPr>
                <w:sz w:val="20"/>
                <w:szCs w:val="20"/>
              </w:rPr>
              <w:t>Child, appearing &lt;16 years old</w:t>
            </w:r>
          </w:p>
        </w:tc>
      </w:tr>
      <w:tr w:rsidR="00B8295E" w:rsidRPr="00C806D0" w:rsidTr="00B8295E">
        <w:tc>
          <w:tcPr>
            <w:tcW w:w="0" w:type="auto"/>
          </w:tcPr>
          <w:p w:rsidR="00B8295E" w:rsidRPr="00C806D0" w:rsidRDefault="00B8295E" w:rsidP="004442E4">
            <w:pPr>
              <w:rPr>
                <w:b/>
                <w:sz w:val="20"/>
                <w:szCs w:val="20"/>
              </w:rPr>
            </w:pPr>
            <w:r w:rsidRPr="00C806D0">
              <w:rPr>
                <w:b/>
                <w:sz w:val="20"/>
                <w:szCs w:val="20"/>
              </w:rPr>
              <w:t>EMS:</w:t>
            </w:r>
          </w:p>
        </w:tc>
        <w:tc>
          <w:tcPr>
            <w:tcW w:w="0" w:type="auto"/>
          </w:tcPr>
          <w:p w:rsidR="00B8295E" w:rsidRPr="00C806D0" w:rsidRDefault="00B8295E" w:rsidP="004442E4">
            <w:pPr>
              <w:rPr>
                <w:b/>
                <w:sz w:val="20"/>
                <w:szCs w:val="20"/>
              </w:rPr>
            </w:pPr>
            <w:r w:rsidRPr="00C806D0">
              <w:rPr>
                <w:b/>
                <w:sz w:val="20"/>
                <w:szCs w:val="20"/>
              </w:rPr>
              <w:t>EMS:</w:t>
            </w:r>
          </w:p>
        </w:tc>
      </w:tr>
      <w:tr w:rsidR="00B8295E" w:rsidRPr="00C806D0" w:rsidTr="00B8295E">
        <w:tc>
          <w:tcPr>
            <w:tcW w:w="0" w:type="auto"/>
          </w:tcPr>
          <w:p w:rsidR="00B8295E" w:rsidRPr="00C806D0" w:rsidRDefault="00B8295E" w:rsidP="00B8295E">
            <w:pPr>
              <w:rPr>
                <w:b/>
                <w:sz w:val="20"/>
                <w:szCs w:val="20"/>
              </w:rPr>
            </w:pPr>
            <w:r w:rsidRPr="00C806D0">
              <w:rPr>
                <w:sz w:val="20"/>
                <w:szCs w:val="20"/>
              </w:rPr>
              <w:t>Attended by EMS in land ambulance</w:t>
            </w:r>
          </w:p>
        </w:tc>
        <w:tc>
          <w:tcPr>
            <w:tcW w:w="0" w:type="auto"/>
          </w:tcPr>
          <w:p w:rsidR="00B8295E" w:rsidRPr="00C806D0" w:rsidRDefault="00B8295E" w:rsidP="004442E4">
            <w:pPr>
              <w:rPr>
                <w:sz w:val="20"/>
                <w:szCs w:val="20"/>
              </w:rPr>
            </w:pPr>
            <w:r w:rsidRPr="00C806D0">
              <w:rPr>
                <w:sz w:val="20"/>
                <w:szCs w:val="20"/>
              </w:rPr>
              <w:t>Not attended by EMS. Attended by air ambulance, or other non-land ambulance EMS vehicle</w:t>
            </w:r>
          </w:p>
        </w:tc>
      </w:tr>
    </w:tbl>
    <w:p w:rsidR="009268BA" w:rsidRPr="00C806D0" w:rsidRDefault="009268BA" w:rsidP="009268BA">
      <w:pPr>
        <w:pStyle w:val="Heading4"/>
        <w:rPr>
          <w:sz w:val="20"/>
          <w:szCs w:val="20"/>
        </w:rPr>
      </w:pPr>
      <w:r w:rsidRPr="00C806D0">
        <w:rPr>
          <w:i w:val="0"/>
          <w:sz w:val="20"/>
          <w:szCs w:val="20"/>
        </w:rPr>
        <w:t>*</w:t>
      </w:r>
      <w:r w:rsidR="00F26147" w:rsidRPr="00C806D0">
        <w:rPr>
          <w:i w:val="0"/>
          <w:sz w:val="20"/>
          <w:szCs w:val="20"/>
        </w:rPr>
        <w:t>NW</w:t>
      </w:r>
      <w:r w:rsidRPr="00C806D0">
        <w:rPr>
          <w:i w:val="0"/>
          <w:sz w:val="20"/>
          <w:szCs w:val="20"/>
        </w:rPr>
        <w:t xml:space="preserve">AS </w:t>
      </w:r>
      <w:r w:rsidR="00F26147" w:rsidRPr="00C806D0">
        <w:rPr>
          <w:i w:val="0"/>
          <w:sz w:val="20"/>
          <w:szCs w:val="20"/>
        </w:rPr>
        <w:t>GCS inclusion criterion ≤12. †NW</w:t>
      </w:r>
      <w:r w:rsidRPr="00C806D0">
        <w:rPr>
          <w:i w:val="0"/>
          <w:sz w:val="20"/>
          <w:szCs w:val="20"/>
        </w:rPr>
        <w:t>AS RR criteria 10-30 . RR: Respiratory rate; bpm: breaths per minute; ABC: airway, breathing, or circulation; PH: prehospital</w:t>
      </w:r>
    </w:p>
    <w:p w:rsidR="006D0937" w:rsidRPr="00C806D0" w:rsidRDefault="00CE350E" w:rsidP="001F299F">
      <w:pPr>
        <w:pStyle w:val="Heading3"/>
      </w:pPr>
      <w:r w:rsidRPr="00C806D0">
        <w:t>Interventions</w:t>
      </w:r>
    </w:p>
    <w:p w:rsidR="006D0937" w:rsidRPr="00C806D0" w:rsidRDefault="0035084F" w:rsidP="006D0937">
      <w:pPr>
        <w:rPr>
          <w:rFonts w:eastAsia="Times New Roman" w:cs="Calibri"/>
        </w:rPr>
      </w:pPr>
      <w:r w:rsidRPr="00C806D0">
        <w:t>Two management strategies</w:t>
      </w:r>
      <w:r w:rsidR="006D0937" w:rsidRPr="00C806D0">
        <w:t xml:space="preserve"> were compared: pre-hospital triage and bypass</w:t>
      </w:r>
      <w:r w:rsidR="001F14A1" w:rsidRPr="00C806D0">
        <w:t xml:space="preserve"> (intervention group)</w:t>
      </w:r>
      <w:r w:rsidR="006D0937" w:rsidRPr="00C806D0">
        <w:t>; and initial transportation to the local NSAH</w:t>
      </w:r>
      <w:r w:rsidR="001F14A1" w:rsidRPr="00C806D0">
        <w:t xml:space="preserve"> (control group)</w:t>
      </w:r>
      <w:r w:rsidR="006D0937" w:rsidRPr="00C806D0">
        <w:t xml:space="preserve">, which was current NHS practice at the time the study was designed. </w:t>
      </w:r>
      <w:r w:rsidRPr="00C806D0">
        <w:t>Treat</w:t>
      </w:r>
      <w:r w:rsidR="006D0937" w:rsidRPr="00C806D0">
        <w:t>ment subsequent to arrival at the initial hospital was at the discretion of local clinicians and was not prescribed. The fundamental differences between these pathways are the differential timing and quality of resusci</w:t>
      </w:r>
      <w:r w:rsidR="009268BA" w:rsidRPr="00C806D0">
        <w:t>tation and definitive care. Pre</w:t>
      </w:r>
      <w:r w:rsidR="006D0937" w:rsidRPr="00C806D0">
        <w:t xml:space="preserve">hospital triage and bypass expedites access to acute neurosurgery and neurocritical care, and may also increase the number of patients’ receiving ostensibly superior specialist treatment. However, </w:t>
      </w:r>
      <w:r w:rsidR="006D0937" w:rsidRPr="00C806D0">
        <w:rPr>
          <w:rFonts w:eastAsia="Times New Roman" w:cs="Calibri"/>
        </w:rPr>
        <w:t xml:space="preserve">risks of secondary brain injury from deterioration during prolonged </w:t>
      </w:r>
      <w:r w:rsidR="002A16B4" w:rsidRPr="00C806D0">
        <w:rPr>
          <w:rFonts w:eastAsia="Times New Roman" w:cs="Calibri"/>
        </w:rPr>
        <w:t>prehospital</w:t>
      </w:r>
      <w:r w:rsidR="006D0937" w:rsidRPr="00C806D0">
        <w:rPr>
          <w:rFonts w:eastAsia="Times New Roman" w:cs="Calibri"/>
        </w:rPr>
        <w:t xml:space="preserve"> transportation, and over-triage of patients not requiring specialist care, are conceivable disadvantages. </w:t>
      </w:r>
    </w:p>
    <w:p w:rsidR="006D0937" w:rsidRPr="00C806D0" w:rsidRDefault="006D0937" w:rsidP="006D0937">
      <w:pPr>
        <w:rPr>
          <w:rFonts w:eastAsia="Times New Roman" w:cs="Calibri"/>
        </w:rPr>
      </w:pPr>
    </w:p>
    <w:p w:rsidR="006D0937" w:rsidRPr="00C806D0" w:rsidRDefault="006D0937" w:rsidP="006D0937">
      <w:pPr>
        <w:rPr>
          <w:rFonts w:eastAsia="Times New Roman" w:cs="Calibri"/>
        </w:rPr>
      </w:pPr>
      <w:r w:rsidRPr="00C806D0">
        <w:rPr>
          <w:rFonts w:eastAsia="Times New Roman" w:cs="Calibri"/>
        </w:rPr>
        <w:lastRenderedPageBreak/>
        <w:t xml:space="preserve">A training programme was delivered to ambulance service personal outlining the background, objectives and design of the HITSNS study, detailing trial procedures, identifying required roles and responsibilities, and highlighting the position of the HITSNS trial procedures within regional trauma systems. Training within NEAS was primarily by self-directed learning packages, online training modules, and divisional level teaching of team leaders. Uptake of training was monitored by self-certified completion of training, with a minimum of 70% </w:t>
      </w:r>
      <w:r w:rsidR="002B63C0" w:rsidRPr="00C806D0">
        <w:rPr>
          <w:rFonts w:eastAsia="Times New Roman" w:cs="Calibri"/>
        </w:rPr>
        <w:t xml:space="preserve">of staff receiving </w:t>
      </w:r>
      <w:r w:rsidRPr="00C806D0">
        <w:rPr>
          <w:rFonts w:eastAsia="Times New Roman" w:cs="Calibri"/>
        </w:rPr>
        <w:t>training targeted.  Mandatory paper-based t</w:t>
      </w:r>
      <w:r w:rsidR="00826466" w:rsidRPr="00C806D0">
        <w:rPr>
          <w:rFonts w:eastAsia="Times New Roman" w:cs="Calibri"/>
        </w:rPr>
        <w:t>eachin</w:t>
      </w:r>
      <w:r w:rsidR="002B63C0" w:rsidRPr="00C806D0">
        <w:rPr>
          <w:rFonts w:eastAsia="Times New Roman" w:cs="Calibri"/>
        </w:rPr>
        <w:t>g</w:t>
      </w:r>
      <w:r w:rsidRPr="00C806D0">
        <w:rPr>
          <w:rFonts w:eastAsia="Times New Roman" w:cs="Calibri"/>
        </w:rPr>
        <w:t xml:space="preserve"> packages were subsequently mailed to uncertified ambulance personnel who remained untrained once this goal was reached. In contrast, </w:t>
      </w:r>
      <w:r w:rsidR="002B63C0" w:rsidRPr="00C806D0">
        <w:rPr>
          <w:rFonts w:eastAsia="Times New Roman" w:cs="Calibri"/>
        </w:rPr>
        <w:t xml:space="preserve">individual </w:t>
      </w:r>
      <w:r w:rsidR="00826466" w:rsidRPr="00C806D0">
        <w:rPr>
          <w:rFonts w:eastAsia="Times New Roman" w:cs="Calibri"/>
        </w:rPr>
        <w:t xml:space="preserve">face-to-face </w:t>
      </w:r>
      <w:r w:rsidR="002B63C0" w:rsidRPr="00C806D0">
        <w:rPr>
          <w:rFonts w:eastAsia="Times New Roman" w:cs="Calibri"/>
        </w:rPr>
        <w:t>training was performed in NWAS, made possible by the lower number</w:t>
      </w:r>
      <w:r w:rsidRPr="00C806D0">
        <w:rPr>
          <w:rFonts w:eastAsia="Times New Roman" w:cs="Calibri"/>
        </w:rPr>
        <w:t xml:space="preserve"> of paramedics that required training.</w:t>
      </w:r>
    </w:p>
    <w:p w:rsidR="00CE350E" w:rsidRPr="00C806D0" w:rsidRDefault="00CE350E" w:rsidP="001F299F">
      <w:pPr>
        <w:pStyle w:val="Heading3"/>
        <w:rPr>
          <w:rFonts w:eastAsia="Times New Roman"/>
        </w:rPr>
      </w:pPr>
      <w:r w:rsidRPr="00C806D0">
        <w:rPr>
          <w:rFonts w:eastAsia="Times New Roman"/>
        </w:rPr>
        <w:t>Randomisation</w:t>
      </w:r>
    </w:p>
    <w:p w:rsidR="006D0937" w:rsidRPr="00C806D0" w:rsidRDefault="006D0937" w:rsidP="006D0937">
      <w:r w:rsidRPr="00C806D0">
        <w:t>The potentially time critical nature of signific</w:t>
      </w:r>
      <w:r w:rsidR="00627794" w:rsidRPr="00C806D0">
        <w:t>ant TBI and the challenging pre</w:t>
      </w:r>
      <w:r w:rsidRPr="00C806D0">
        <w:t>hospital environment precluded the use of individual randomisation, and unit of service cluster randomisation based on ambulance station was therefore used</w:t>
      </w:r>
      <w:r w:rsidR="00CE350E" w:rsidRPr="00C806D0">
        <w:t xml:space="preserve"> to allocate patients to each intervention</w:t>
      </w:r>
      <w:r w:rsidRPr="00C806D0">
        <w:t xml:space="preserve">. Forty six ambulance stations from NEAS, and 28 from NWAS, were allocated to different interventions using </w:t>
      </w:r>
      <w:r w:rsidR="000E5E01" w:rsidRPr="00C806D0">
        <w:t>one:one</w:t>
      </w:r>
      <w:r w:rsidRPr="00C806D0">
        <w:t xml:space="preserve"> matched pair randomisation based on distance from the nearest NSAH, distance from nearest SNC, and </w:t>
      </w:r>
      <w:r w:rsidR="000E5E01" w:rsidRPr="00C806D0">
        <w:t>number of full time ambulances</w:t>
      </w:r>
      <w:r w:rsidRPr="00C806D0">
        <w:t xml:space="preserve">. </w:t>
      </w:r>
      <w:r w:rsidR="009D340C" w:rsidRPr="00C806D0">
        <w:t xml:space="preserve">In the event of paramedics rotating to different </w:t>
      </w:r>
      <w:r w:rsidR="009268BA" w:rsidRPr="00C806D0">
        <w:t xml:space="preserve">a </w:t>
      </w:r>
      <w:r w:rsidR="009D340C" w:rsidRPr="00C806D0">
        <w:t>station</w:t>
      </w:r>
      <w:r w:rsidR="000E5E01" w:rsidRPr="00C806D0">
        <w:t>,</w:t>
      </w:r>
      <w:r w:rsidR="009D340C" w:rsidRPr="00C806D0">
        <w:t xml:space="preserve"> treatment allocation was ultimately determined according to the base ambulance station of the senior attending paramedic.</w:t>
      </w:r>
    </w:p>
    <w:p w:rsidR="00CE350E" w:rsidRPr="00C806D0" w:rsidRDefault="00CE350E" w:rsidP="001F299F">
      <w:pPr>
        <w:pStyle w:val="Heading3"/>
      </w:pPr>
      <w:r w:rsidRPr="00C806D0">
        <w:t>Recruitment</w:t>
      </w:r>
    </w:p>
    <w:p w:rsidR="006D0937" w:rsidRPr="00C806D0" w:rsidRDefault="006D0937" w:rsidP="006D0937">
      <w:r w:rsidRPr="00C806D0">
        <w:t xml:space="preserve">Patients were identified for trial inclusion using a combination of prospective and retrospective procedures. Paramedics attending patients in the field could directly notify study personal of patients meeting study inclusion criteria. Trained research paramedics also screened all electronic ambulance service report forms on a daily basis </w:t>
      </w:r>
      <w:r w:rsidR="00496EBA" w:rsidRPr="00C806D0">
        <w:t xml:space="preserve">to identify cases </w:t>
      </w:r>
      <w:r w:rsidRPr="00C806D0">
        <w:t>that contained free text terms possibly related to significant TBI, or where trauma ‘pre-alerts’ had been issued to receiving hospitals. Recruitment commenced in NEAS on the 1</w:t>
      </w:r>
      <w:r w:rsidRPr="00C806D0">
        <w:rPr>
          <w:vertAlign w:val="superscript"/>
        </w:rPr>
        <w:t>st</w:t>
      </w:r>
      <w:r w:rsidRPr="00C806D0">
        <w:t xml:space="preserve"> January 2012, with full participation of all clusters by 1</w:t>
      </w:r>
      <w:r w:rsidRPr="00C806D0">
        <w:rPr>
          <w:vertAlign w:val="superscript"/>
        </w:rPr>
        <w:t>st</w:t>
      </w:r>
      <w:r w:rsidRPr="00C806D0">
        <w:t xml:space="preserve"> April 2012. Full recruitment in NWAS started immediately on the 18th April 2012. Enrolment finished in both ambulance services on the 31</w:t>
      </w:r>
      <w:r w:rsidRPr="00C806D0">
        <w:rPr>
          <w:vertAlign w:val="superscript"/>
        </w:rPr>
        <w:t>st</w:t>
      </w:r>
      <w:r w:rsidRPr="00C806D0">
        <w:t xml:space="preserve"> March 2013.</w:t>
      </w:r>
    </w:p>
    <w:p w:rsidR="00CE350E" w:rsidRPr="00C806D0" w:rsidRDefault="00CE350E" w:rsidP="006D0937"/>
    <w:p w:rsidR="00CE350E" w:rsidRPr="00C806D0" w:rsidRDefault="00057DC1" w:rsidP="006D0937">
      <w:r w:rsidRPr="00C806D0">
        <w:t>T</w:t>
      </w:r>
      <w:r w:rsidR="00CE350E" w:rsidRPr="00C806D0">
        <w:t xml:space="preserve">he acceptable recruitment rate required </w:t>
      </w:r>
      <w:r w:rsidRPr="00C806D0">
        <w:t>in the pilot study to demonstrate</w:t>
      </w:r>
      <w:r w:rsidR="00CE350E" w:rsidRPr="00C806D0">
        <w:t xml:space="preserve"> feasibility was informed by the theoretical power calculation of a future definitive trial with unfavourable outcome on the extended GOS as the primary endpoint. The following assumptions were made: a 30% event rate in the control group, a two-tailed 5% absolute difference in </w:t>
      </w:r>
      <w:r w:rsidR="00CE350E" w:rsidRPr="00C806D0">
        <w:lastRenderedPageBreak/>
        <w:t xml:space="preserve">unfavourable GOS outcome, intracluster correlation of 0.02; cluster size of 35; no loss to follow up; power of 80% to avoid a type </w:t>
      </w:r>
      <w:r w:rsidRPr="00C806D0">
        <w:t>II</w:t>
      </w:r>
      <w:r w:rsidR="00CE350E" w:rsidRPr="00C806D0">
        <w:t xml:space="preserve"> error; and a 5% risk of a type </w:t>
      </w:r>
      <w:r w:rsidRPr="00C806D0">
        <w:t>I</w:t>
      </w:r>
      <w:r w:rsidR="00CE350E" w:rsidRPr="00C806D0">
        <w:t xml:space="preserve"> error. Four thousand two hundred patients (2,100 in each study arm) would consequently be required, enrolled from 120 amb</w:t>
      </w:r>
      <w:r w:rsidRPr="00C806D0">
        <w:t>ulance stations in four ambulance services over three</w:t>
      </w:r>
      <w:r w:rsidR="00CE350E" w:rsidRPr="00C806D0">
        <w:t xml:space="preserve"> years. As the </w:t>
      </w:r>
      <w:r w:rsidR="002A16B4" w:rsidRPr="00C806D0">
        <w:t>HITSNS</w:t>
      </w:r>
      <w:r w:rsidRPr="00C806D0">
        <w:t xml:space="preserve"> study was conducted in two</w:t>
      </w:r>
      <w:r w:rsidR="00CE350E" w:rsidRPr="00C806D0">
        <w:t xml:space="preserve"> ambulances services over a single year recruitmen</w:t>
      </w:r>
      <w:r w:rsidR="00496EBA" w:rsidRPr="00C806D0">
        <w:t>t of 700 patients was envisaged.</w:t>
      </w:r>
    </w:p>
    <w:p w:rsidR="00CE350E" w:rsidRPr="00C806D0" w:rsidRDefault="00CE350E" w:rsidP="001F299F">
      <w:pPr>
        <w:pStyle w:val="Heading3"/>
      </w:pPr>
      <w:r w:rsidRPr="00C806D0">
        <w:t>Outcomes</w:t>
      </w:r>
    </w:p>
    <w:p w:rsidR="006D0937" w:rsidRPr="00C806D0" w:rsidRDefault="00057DC1" w:rsidP="006D0937">
      <w:r w:rsidRPr="00C806D0">
        <w:t>There were five</w:t>
      </w:r>
      <w:r w:rsidR="006D0937" w:rsidRPr="00C806D0">
        <w:t xml:space="preserve"> primary outcomes of the HITSNS</w:t>
      </w:r>
      <w:r w:rsidR="009268BA" w:rsidRPr="00C806D0">
        <w:t xml:space="preserve"> Stream A</w:t>
      </w:r>
      <w:r w:rsidR="006D0937" w:rsidRPr="00C806D0">
        <w:t xml:space="preserve"> </w:t>
      </w:r>
      <w:r w:rsidR="009268BA" w:rsidRPr="00C806D0">
        <w:t xml:space="preserve">pilot </w:t>
      </w:r>
      <w:r w:rsidR="006D0937" w:rsidRPr="00C806D0">
        <w:t>study</w:t>
      </w:r>
      <w:r w:rsidRPr="00C806D0">
        <w:t>,</w:t>
      </w:r>
      <w:r w:rsidR="006D0937" w:rsidRPr="00C806D0">
        <w:t xml:space="preserve"> which examined the following feasibility endpoints. </w:t>
      </w:r>
    </w:p>
    <w:p w:rsidR="00057DC1" w:rsidRPr="00C806D0" w:rsidRDefault="00057DC1" w:rsidP="006D0937"/>
    <w:p w:rsidR="006D0937" w:rsidRPr="00C806D0" w:rsidRDefault="006D0937" w:rsidP="00550C9C">
      <w:pPr>
        <w:pStyle w:val="ListParagraph"/>
        <w:numPr>
          <w:ilvl w:val="0"/>
          <w:numId w:val="3"/>
        </w:numPr>
      </w:pPr>
      <w:r w:rsidRPr="00C806D0">
        <w:t xml:space="preserve">Acceptable recruitment rate: The monthly recruitment rate should exceed 50% of that necessary for a definitive trial. Based on sample size calculations, 350 patients recruited over 12 months with an increasing monthly recruitment rate was considered acceptable. </w:t>
      </w:r>
    </w:p>
    <w:p w:rsidR="006D0937" w:rsidRPr="00C806D0" w:rsidRDefault="006D0937" w:rsidP="00550C9C">
      <w:pPr>
        <w:pStyle w:val="ListParagraph"/>
        <w:numPr>
          <w:ilvl w:val="0"/>
          <w:numId w:val="3"/>
        </w:numPr>
      </w:pPr>
      <w:r w:rsidRPr="00C806D0">
        <w:t>Prevalence of significant TBI patients: The proportion of patients with significant TBI in each arm should be greater than 80%.</w:t>
      </w:r>
    </w:p>
    <w:p w:rsidR="006D0937" w:rsidRPr="00C806D0" w:rsidRDefault="006D0937" w:rsidP="00550C9C">
      <w:pPr>
        <w:pStyle w:val="ListParagraph"/>
        <w:numPr>
          <w:ilvl w:val="0"/>
          <w:numId w:val="3"/>
        </w:numPr>
      </w:pPr>
      <w:r w:rsidRPr="00C806D0">
        <w:t>Compliance with treatment allocation: Non-compliance with management pathway allocation should not exceed 10% in each study arm.</w:t>
      </w:r>
    </w:p>
    <w:p w:rsidR="006D0937" w:rsidRPr="00C806D0" w:rsidRDefault="006D0937" w:rsidP="00550C9C">
      <w:pPr>
        <w:pStyle w:val="ListParagraph"/>
        <w:numPr>
          <w:ilvl w:val="0"/>
          <w:numId w:val="3"/>
        </w:numPr>
      </w:pPr>
      <w:r w:rsidRPr="00C806D0">
        <w:t>Selection bias: Prognostic factors should be balanced across each study group and between compliant/non-compliant patients.</w:t>
      </w:r>
    </w:p>
    <w:p w:rsidR="006D0937" w:rsidRPr="00C806D0" w:rsidRDefault="006D0937" w:rsidP="00550C9C">
      <w:pPr>
        <w:pStyle w:val="ListParagraph"/>
        <w:numPr>
          <w:ilvl w:val="0"/>
          <w:numId w:val="3"/>
        </w:numPr>
      </w:pPr>
      <w:r w:rsidRPr="00C806D0">
        <w:t>Acceptability: There should be no difference in the acceptability of the studied management pathways to patients, families or staff.</w:t>
      </w:r>
    </w:p>
    <w:p w:rsidR="006D0937" w:rsidRPr="00C806D0" w:rsidRDefault="006D0937" w:rsidP="006D0937">
      <w:r w:rsidRPr="00C806D0">
        <w:t>Secondary o</w:t>
      </w:r>
      <w:r w:rsidR="00057DC1" w:rsidRPr="00C806D0">
        <w:t>utcomes were 30 day mortality, six</w:t>
      </w:r>
      <w:r w:rsidRPr="00C806D0">
        <w:t xml:space="preserve"> month extended GOS score and </w:t>
      </w:r>
      <w:r w:rsidR="00057DC1" w:rsidRPr="00C806D0">
        <w:t>EQ5D three</w:t>
      </w:r>
      <w:r w:rsidRPr="00C806D0">
        <w:t xml:space="preserve"> level version</w:t>
      </w:r>
      <w:r w:rsidR="00057DC1" w:rsidRPr="00C806D0">
        <w:t>,</w:t>
      </w:r>
      <w:r w:rsidRPr="00C806D0">
        <w:t xml:space="preserve"> using the UK tariff for utility values. These outcomes would form the basis of any definitive HITSNS trial. Serious adverse events were also monitored during the </w:t>
      </w:r>
      <w:r w:rsidR="00057DC1" w:rsidRPr="00C806D0">
        <w:t>study.</w:t>
      </w:r>
    </w:p>
    <w:p w:rsidR="006D0937" w:rsidRPr="00C806D0" w:rsidRDefault="00CE350E" w:rsidP="001F299F">
      <w:pPr>
        <w:pStyle w:val="Heading3"/>
      </w:pPr>
      <w:r w:rsidRPr="00C806D0">
        <w:t>Data collection</w:t>
      </w:r>
    </w:p>
    <w:p w:rsidR="006D0937" w:rsidRPr="00C806D0" w:rsidRDefault="006D0937" w:rsidP="006D0937">
      <w:r w:rsidRPr="00C806D0">
        <w:t xml:space="preserve">Baseline </w:t>
      </w:r>
      <w:r w:rsidR="00335B1F" w:rsidRPr="00C806D0">
        <w:t>data were</w:t>
      </w:r>
      <w:r w:rsidRPr="00C806D0">
        <w:t xml:space="preserve"> collected on patient demographics, injury characteristics, process measures, management pathway, and treatments by TARN data collectors for patients m</w:t>
      </w:r>
      <w:r w:rsidR="00C9013E" w:rsidRPr="00C806D0">
        <w:t xml:space="preserve">eeting TARN inclusion criteria, </w:t>
      </w:r>
      <w:r w:rsidRPr="00C806D0">
        <w:t xml:space="preserve">or by research paramedics for cases not eligible for TARN. </w:t>
      </w:r>
      <w:r w:rsidR="00335B1F" w:rsidRPr="00C806D0">
        <w:t>Data were</w:t>
      </w:r>
      <w:r w:rsidR="00057DC1" w:rsidRPr="00C806D0">
        <w:t xml:space="preserve"> collected using the TARN electronic Data Collection and Reporting system </w:t>
      </w:r>
      <w:r w:rsidRPr="00C806D0">
        <w:t>utilising the procedures described previously</w:t>
      </w:r>
      <w:r w:rsidR="00057DC1" w:rsidRPr="00C806D0">
        <w:t xml:space="preserve"> in Chapter Three</w:t>
      </w:r>
      <w:r w:rsidRPr="00C806D0">
        <w:t xml:space="preserve">. Thirty day mortality was determined in all patients who did not refuse consent to participate in the trial and was obtained by research paramedics or TARN data collectors by examination of hospital notes and electronic NHS </w:t>
      </w:r>
      <w:r w:rsidRPr="00C806D0">
        <w:lastRenderedPageBreak/>
        <w:t>summary</w:t>
      </w:r>
      <w:r w:rsidR="00057DC1" w:rsidRPr="00C806D0">
        <w:t xml:space="preserve"> of</w:t>
      </w:r>
      <w:r w:rsidRPr="00C806D0">
        <w:t xml:space="preserve"> care records. Patients who consented to longer term follow up, and were identified as still alive from NHS summary of care records, underwent a telephone interview by a research paramedic or</w:t>
      </w:r>
      <w:r w:rsidR="00057DC1" w:rsidRPr="00C806D0">
        <w:t xml:space="preserve"> the trial manager to complete e</w:t>
      </w:r>
      <w:r w:rsidRPr="00C806D0">
        <w:t>x</w:t>
      </w:r>
      <w:r w:rsidR="00496EBA" w:rsidRPr="00C806D0">
        <w:t>tended GOS, EQ</w:t>
      </w:r>
      <w:r w:rsidRPr="00C806D0">
        <w:t>5D and patient satisfaction questionnaires. Research paramedics, TARN data collectors and the trial manager had access to information about management pathways from patient notes and were consequently unblinded as intervention allocation could be deduced.</w:t>
      </w:r>
    </w:p>
    <w:p w:rsidR="00CE350E" w:rsidRPr="00C806D0" w:rsidRDefault="00CE350E" w:rsidP="001F299F">
      <w:pPr>
        <w:pStyle w:val="Heading3"/>
      </w:pPr>
      <w:r w:rsidRPr="00C806D0">
        <w:t>Trial management</w:t>
      </w:r>
    </w:p>
    <w:p w:rsidR="00CD46AF" w:rsidRPr="00C806D0" w:rsidRDefault="00CE350E" w:rsidP="006D0937">
      <w:r w:rsidRPr="00C806D0">
        <w:t xml:space="preserve">A trial protocol with a pre-specified analysis plan was registered with </w:t>
      </w:r>
      <w:r w:rsidR="001C7613" w:rsidRPr="00C806D0">
        <w:t xml:space="preserve">the NIHR. </w:t>
      </w:r>
      <w:r w:rsidR="006D0937" w:rsidRPr="00C806D0">
        <w:t>An independent Trial Steering Group, including lay representative and experts in emergency medicine and neurosurgery, provided overall supervision of the HITSNS study. An independent Data Monitoring Committee assessed mortality, disability and serious adverse events endpoints; with the power to recommend the Trial Steering Group stopped or modified the trial. Day-to-day management of the trial was conducted by a Trial Management Group consisting of the Chief Investigator, trial manager, statistician, research paramedics and clinical experts from emergency medicine, neurosurgery and ambulance services</w:t>
      </w:r>
      <w:r w:rsidR="00E47122" w:rsidRPr="00C806D0">
        <w:t>.</w:t>
      </w:r>
    </w:p>
    <w:p w:rsidR="00C9013E" w:rsidRPr="00C806D0" w:rsidRDefault="00C9013E" w:rsidP="001F299F">
      <w:pPr>
        <w:pStyle w:val="Heading3"/>
      </w:pPr>
      <w:r w:rsidRPr="00C806D0">
        <w:t>Ethics, consent</w:t>
      </w:r>
      <w:r w:rsidR="00496EBA" w:rsidRPr="00C806D0">
        <w:t>,</w:t>
      </w:r>
      <w:r w:rsidRPr="00C806D0">
        <w:t xml:space="preserve"> and funding.</w:t>
      </w:r>
    </w:p>
    <w:p w:rsidR="00C9013E" w:rsidRPr="00C806D0" w:rsidRDefault="00C9013E" w:rsidP="00C9013E">
      <w:r w:rsidRPr="00C806D0">
        <w:t>The HITNS study received ethical approval from the NHS North Wales Research Ethics Committee (reference number: 10/WNo03/30). Good Clinical Practice recommendations and principles from the World Medical Association Declaration of Helsinki were adhered to.</w:t>
      </w:r>
      <w:r w:rsidR="00EB5320" w:rsidRPr="00C806D0">
        <w:rPr>
          <w:noProof/>
          <w:vertAlign w:val="superscript"/>
        </w:rPr>
        <w:t>[</w:t>
      </w:r>
      <w:r w:rsidR="006D4D62" w:rsidRPr="00C806D0">
        <w:rPr>
          <w:noProof/>
          <w:vertAlign w:val="superscript"/>
        </w:rPr>
        <w:t>3</w:t>
      </w:r>
      <w:r w:rsidR="00EB5320" w:rsidRPr="00C806D0">
        <w:rPr>
          <w:noProof/>
          <w:vertAlign w:val="superscript"/>
        </w:rPr>
        <w:t xml:space="preserve">, </w:t>
      </w:r>
      <w:r w:rsidR="006D4D62" w:rsidRPr="00C806D0">
        <w:rPr>
          <w:noProof/>
          <w:vertAlign w:val="superscript"/>
        </w:rPr>
        <w:t>4</w:t>
      </w:r>
      <w:r w:rsidR="00EB5320" w:rsidRPr="00C806D0">
        <w:rPr>
          <w:noProof/>
          <w:vertAlign w:val="superscript"/>
        </w:rPr>
        <w:t>]</w:t>
      </w:r>
      <w:r w:rsidRPr="00C806D0">
        <w:t xml:space="preserve"> Patients were allocated to interventions at the scene of injury without informed consent under </w:t>
      </w:r>
      <w:r w:rsidR="000F4A20" w:rsidRPr="00C806D0">
        <w:t>the provisions</w:t>
      </w:r>
      <w:r w:rsidRPr="00C806D0">
        <w:t xml:space="preserve"> of the </w:t>
      </w:r>
      <w:r w:rsidR="00E47122" w:rsidRPr="00C806D0">
        <w:t xml:space="preserve">2005 </w:t>
      </w:r>
      <w:r w:rsidRPr="00C806D0">
        <w:t>UK</w:t>
      </w:r>
      <w:r w:rsidR="00E47122" w:rsidRPr="00C806D0">
        <w:t xml:space="preserve"> Mental Capacity Act</w:t>
      </w:r>
      <w:r w:rsidRPr="00C806D0">
        <w:t>.</w:t>
      </w:r>
      <w:r w:rsidR="00EB5320" w:rsidRPr="00C806D0">
        <w:rPr>
          <w:noProof/>
          <w:vertAlign w:val="superscript"/>
        </w:rPr>
        <w:t>[</w:t>
      </w:r>
      <w:r w:rsidR="006D4D62" w:rsidRPr="00C806D0">
        <w:rPr>
          <w:noProof/>
          <w:vertAlign w:val="superscript"/>
        </w:rPr>
        <w:t>5</w:t>
      </w:r>
      <w:r w:rsidR="00EB5320" w:rsidRPr="00C806D0">
        <w:rPr>
          <w:noProof/>
          <w:vertAlign w:val="superscript"/>
        </w:rPr>
        <w:t xml:space="preserve">, </w:t>
      </w:r>
      <w:r w:rsidR="006D4D62" w:rsidRPr="00C806D0">
        <w:rPr>
          <w:noProof/>
          <w:vertAlign w:val="superscript"/>
        </w:rPr>
        <w:t>6</w:t>
      </w:r>
      <w:r w:rsidR="00EB5320" w:rsidRPr="00C806D0">
        <w:rPr>
          <w:noProof/>
          <w:vertAlign w:val="superscript"/>
        </w:rPr>
        <w:t>]</w:t>
      </w:r>
      <w:r w:rsidRPr="00C806D0">
        <w:t xml:space="preserve"> </w:t>
      </w:r>
      <w:r w:rsidR="00496EBA" w:rsidRPr="00C806D0">
        <w:t>‘Opt in’ c</w:t>
      </w:r>
      <w:r w:rsidRPr="00C806D0">
        <w:t xml:space="preserve">onsent was subsequently sought for follow up and inclusion of data. In patients with capacity, research paramedics or nurses approached patients directly in hospital to obtain informed consent. Discharged patients were contacted by post, including a study information sheet, consent form and an invitation for a telephone interview to obtain consent. If a reply slip was returned patients were telephoned and asked to return the signed consent form after a detailed discussion about the study. Alternatively completed consent forms could be returned directly without an interview. Short message service text reminders were sent by mobile phone to non-responders. Where capacity was not recovered a personal consultee (usually next of kin), or if unavailable a professional consultee (nominated senior health care practitioners within each ambulance service), was approached using the same processes. Ethical approval was given to include anonymised baseline </w:t>
      </w:r>
      <w:r w:rsidR="00496EBA" w:rsidRPr="00C806D0">
        <w:t xml:space="preserve">demographic </w:t>
      </w:r>
      <w:r w:rsidRPr="00C806D0">
        <w:t xml:space="preserve">and 30 day mortality data in all patients who did not decline consent. The trial was sponsored by the University of Manchester and funded by the UK NIHR Health Technology Appraisal Programme. </w:t>
      </w:r>
    </w:p>
    <w:p w:rsidR="00065DD0" w:rsidRPr="00C806D0" w:rsidRDefault="00CE350E" w:rsidP="00CE350E">
      <w:pPr>
        <w:pStyle w:val="Heading2"/>
      </w:pPr>
      <w:r w:rsidRPr="00C806D0">
        <w:lastRenderedPageBreak/>
        <w:t xml:space="preserve">HITSNS </w:t>
      </w:r>
      <w:r w:rsidR="00CD46AF" w:rsidRPr="00C806D0">
        <w:t xml:space="preserve">stream a </w:t>
      </w:r>
      <w:r w:rsidRPr="00C806D0">
        <w:t>Results</w:t>
      </w:r>
    </w:p>
    <w:p w:rsidR="00CE350E" w:rsidRPr="00C806D0" w:rsidRDefault="00CD46AF" w:rsidP="001F299F">
      <w:pPr>
        <w:pStyle w:val="Heading3"/>
      </w:pPr>
      <w:r w:rsidRPr="00C806D0">
        <w:t>Recruitment</w:t>
      </w:r>
    </w:p>
    <w:p w:rsidR="00065DD0" w:rsidRPr="00C806D0" w:rsidRDefault="00065DD0" w:rsidP="00065DD0">
      <w:pPr>
        <w:rPr>
          <w:rFonts w:ascii="Calibri" w:hAnsi="Calibri"/>
        </w:rPr>
      </w:pPr>
      <w:r w:rsidRPr="00C806D0">
        <w:t xml:space="preserve">In total 80,856 patients were screened for meeting HITSNS inclusion criteria. </w:t>
      </w:r>
      <w:r w:rsidRPr="00C806D0">
        <w:rPr>
          <w:rFonts w:ascii="Calibri" w:hAnsi="Calibri"/>
        </w:rPr>
        <w:t xml:space="preserve">Two hundred and ninety three eligible patients were subsequently enrolled between January 2012 and April 2013, with 256 entered from NEAS clusters and 37 recruited by NWAS ambulance stations. Of these one hundred and sixty nine patients presented to intervention clusters </w:t>
      </w:r>
      <w:r w:rsidR="00E47122" w:rsidRPr="00C806D0">
        <w:rPr>
          <w:rFonts w:ascii="Calibri" w:hAnsi="Calibri"/>
        </w:rPr>
        <w:t xml:space="preserve">(57.7%, 153 NEAS, 16 NWAS). </w:t>
      </w:r>
      <w:r w:rsidRPr="00C806D0">
        <w:rPr>
          <w:rFonts w:ascii="Calibri" w:hAnsi="Calibri"/>
        </w:rPr>
        <w:t xml:space="preserve">The remaining 124 patients were enrolled from control clusters (42.3%, 103 NEAS, 21 NWAS). </w:t>
      </w:r>
    </w:p>
    <w:p w:rsidR="00065DD0" w:rsidRPr="00C806D0" w:rsidRDefault="00065DD0" w:rsidP="00065DD0">
      <w:pPr>
        <w:rPr>
          <w:rFonts w:ascii="Calibri" w:hAnsi="Calibri"/>
        </w:rPr>
      </w:pPr>
    </w:p>
    <w:p w:rsidR="00065DD0" w:rsidRPr="00C806D0" w:rsidRDefault="00065DD0" w:rsidP="00065DD0">
      <w:pPr>
        <w:rPr>
          <w:rFonts w:ascii="Calibri" w:hAnsi="Calibri"/>
        </w:rPr>
      </w:pPr>
      <w:r w:rsidRPr="00C806D0">
        <w:rPr>
          <w:rFonts w:ascii="Calibri" w:hAnsi="Calibri"/>
        </w:rPr>
        <w:t>Forty three of the 46 randomised NEAS clusters recruited patients</w:t>
      </w:r>
      <w:r w:rsidR="00057DC1" w:rsidRPr="00C806D0">
        <w:rPr>
          <w:rFonts w:ascii="Calibri" w:hAnsi="Calibri"/>
        </w:rPr>
        <w:t xml:space="preserve"> with a median cluster size of five</w:t>
      </w:r>
      <w:r w:rsidRPr="00C806D0">
        <w:rPr>
          <w:rFonts w:ascii="Calibri" w:hAnsi="Calibri"/>
        </w:rPr>
        <w:t xml:space="preserve"> patients. Cluster recruitment exhibited a right skewed distribution with a mode of one patient enrolled per cluster, a minimum of zero, a maximum of 12 </w:t>
      </w:r>
      <w:r w:rsidR="00057DC1" w:rsidRPr="00C806D0">
        <w:rPr>
          <w:rFonts w:ascii="Calibri" w:hAnsi="Calibri"/>
        </w:rPr>
        <w:t>and an inter-quartile range of two to eight</w:t>
      </w:r>
      <w:r w:rsidRPr="00C806D0">
        <w:rPr>
          <w:rFonts w:ascii="Calibri" w:hAnsi="Calibri"/>
        </w:rPr>
        <w:t xml:space="preserve"> patients. A greater number of empty clusters were evident in NWAS with only 13 from 28 randomised ambulance stations enrolling patients. NWAS clusters also demonstrated a right skewed recruitment distribution and unequal cluster sizes with a minimum, mode and median of zero patients, an upper quartile of </w:t>
      </w:r>
      <w:r w:rsidR="00057DC1" w:rsidRPr="00C806D0">
        <w:rPr>
          <w:rFonts w:ascii="Calibri" w:hAnsi="Calibri"/>
        </w:rPr>
        <w:t>one</w:t>
      </w:r>
      <w:r w:rsidRPr="00C806D0">
        <w:rPr>
          <w:rFonts w:ascii="Calibri" w:hAnsi="Calibri"/>
        </w:rPr>
        <w:t xml:space="preserve">, and a maximum of </w:t>
      </w:r>
      <w:r w:rsidR="00057DC1" w:rsidRPr="00C806D0">
        <w:rPr>
          <w:rFonts w:ascii="Calibri" w:hAnsi="Calibri"/>
        </w:rPr>
        <w:t>eight</w:t>
      </w:r>
      <w:r w:rsidRPr="00C806D0">
        <w:rPr>
          <w:rFonts w:ascii="Calibri" w:hAnsi="Calibri"/>
        </w:rPr>
        <w:t xml:space="preserve"> case</w:t>
      </w:r>
      <w:r w:rsidR="00DA7ABD" w:rsidRPr="00C806D0">
        <w:rPr>
          <w:rFonts w:ascii="Calibri" w:hAnsi="Calibri"/>
        </w:rPr>
        <w:t xml:space="preserve">s enrolled per cluster. </w:t>
      </w:r>
    </w:p>
    <w:p w:rsidR="00065DD0" w:rsidRPr="00C806D0" w:rsidRDefault="00065DD0" w:rsidP="00065DD0">
      <w:pPr>
        <w:rPr>
          <w:rFonts w:ascii="Calibri" w:hAnsi="Calibri"/>
        </w:rPr>
      </w:pPr>
    </w:p>
    <w:p w:rsidR="00065DD0" w:rsidRPr="00C806D0" w:rsidRDefault="00065DD0" w:rsidP="00065DD0">
      <w:pPr>
        <w:rPr>
          <w:rFonts w:ascii="Calibri" w:hAnsi="Calibri"/>
        </w:rPr>
      </w:pPr>
      <w:r w:rsidRPr="00C806D0">
        <w:rPr>
          <w:rFonts w:ascii="Calibri" w:hAnsi="Calibri"/>
        </w:rPr>
        <w:t xml:space="preserve">Complete </w:t>
      </w:r>
      <w:r w:rsidR="00335B1F" w:rsidRPr="00C806D0">
        <w:rPr>
          <w:rFonts w:ascii="Calibri" w:hAnsi="Calibri"/>
        </w:rPr>
        <w:t>data were</w:t>
      </w:r>
      <w:r w:rsidRPr="00C806D0">
        <w:rPr>
          <w:rFonts w:ascii="Calibri" w:hAnsi="Calibri"/>
        </w:rPr>
        <w:t xml:space="preserve"> available for patient age, gender, inclusion criteria variables and compliance with treatment allocation. Of the 169 patients allocated to </w:t>
      </w:r>
      <w:r w:rsidR="00057DC1" w:rsidRPr="00C806D0">
        <w:rPr>
          <w:rFonts w:ascii="Calibri" w:hAnsi="Calibri"/>
        </w:rPr>
        <w:t>prehospital triage and bypass, six</w:t>
      </w:r>
      <w:r w:rsidRPr="00C806D0">
        <w:rPr>
          <w:rFonts w:ascii="Calibri" w:hAnsi="Calibri"/>
        </w:rPr>
        <w:t xml:space="preserve"> declined consent for data collection (3.6%, </w:t>
      </w:r>
      <w:r w:rsidR="00057DC1" w:rsidRPr="00C806D0">
        <w:rPr>
          <w:rFonts w:ascii="Calibri" w:hAnsi="Calibri"/>
        </w:rPr>
        <w:t>five from NEAS, one</w:t>
      </w:r>
      <w:r w:rsidRPr="00C806D0">
        <w:rPr>
          <w:rFonts w:ascii="Calibri" w:hAnsi="Calibri"/>
        </w:rPr>
        <w:t xml:space="preserve"> from NWAS) and were missing data on injury descriptions, p</w:t>
      </w:r>
      <w:r w:rsidR="00496EBA" w:rsidRPr="00C806D0">
        <w:rPr>
          <w:rFonts w:ascii="Calibri" w:hAnsi="Calibri"/>
        </w:rPr>
        <w:t>hysiology,</w:t>
      </w:r>
      <w:r w:rsidRPr="00C806D0">
        <w:rPr>
          <w:rFonts w:ascii="Calibri" w:hAnsi="Calibri"/>
        </w:rPr>
        <w:t xml:space="preserve"> treatment</w:t>
      </w:r>
      <w:r w:rsidR="00496EBA" w:rsidRPr="00C806D0">
        <w:rPr>
          <w:rFonts w:ascii="Calibri" w:hAnsi="Calibri"/>
        </w:rPr>
        <w:t>, and outcome</w:t>
      </w:r>
      <w:r w:rsidRPr="00C806D0">
        <w:rPr>
          <w:rFonts w:ascii="Calibri" w:hAnsi="Calibri"/>
        </w:rPr>
        <w:t xml:space="preserve"> variables. </w:t>
      </w:r>
      <w:r w:rsidR="00057DC1" w:rsidRPr="00C806D0">
        <w:rPr>
          <w:rFonts w:ascii="Calibri" w:hAnsi="Calibri"/>
        </w:rPr>
        <w:t>Similarly five</w:t>
      </w:r>
      <w:r w:rsidR="00E47122" w:rsidRPr="00C806D0">
        <w:rPr>
          <w:rFonts w:ascii="Calibri" w:hAnsi="Calibri"/>
        </w:rPr>
        <w:t xml:space="preserve"> patients from control clusters declined consent for data collection (4.0%, all </w:t>
      </w:r>
      <w:r w:rsidR="00057DC1" w:rsidRPr="00C806D0">
        <w:rPr>
          <w:rFonts w:ascii="Calibri" w:hAnsi="Calibri"/>
        </w:rPr>
        <w:t>five</w:t>
      </w:r>
      <w:r w:rsidR="00E47122" w:rsidRPr="00C806D0">
        <w:rPr>
          <w:rFonts w:ascii="Calibri" w:hAnsi="Calibri"/>
        </w:rPr>
        <w:t xml:space="preserve"> from NEAS).</w:t>
      </w:r>
      <w:r w:rsidR="00496EBA" w:rsidRPr="00C806D0">
        <w:rPr>
          <w:rFonts w:ascii="Calibri" w:hAnsi="Calibri"/>
        </w:rPr>
        <w:t xml:space="preserve"> Data on 30 day mortality was unavail</w:t>
      </w:r>
      <w:r w:rsidR="00057DC1" w:rsidRPr="00C806D0">
        <w:rPr>
          <w:rFonts w:ascii="Calibri" w:hAnsi="Calibri"/>
        </w:rPr>
        <w:t>able in a further 10 patients (four from Intervention clusters, six</w:t>
      </w:r>
      <w:r w:rsidR="00496EBA" w:rsidRPr="00C806D0">
        <w:rPr>
          <w:rFonts w:ascii="Calibri" w:hAnsi="Calibri"/>
        </w:rPr>
        <w:t xml:space="preserve"> from control cluster</w:t>
      </w:r>
      <w:r w:rsidR="00A605DC" w:rsidRPr="00C806D0">
        <w:rPr>
          <w:rFonts w:ascii="Calibri" w:hAnsi="Calibri"/>
        </w:rPr>
        <w:t>s</w:t>
      </w:r>
      <w:r w:rsidR="00496EBA" w:rsidRPr="00C806D0">
        <w:rPr>
          <w:rFonts w:ascii="Calibri" w:hAnsi="Calibri"/>
        </w:rPr>
        <w:t xml:space="preserve">) secondary to </w:t>
      </w:r>
      <w:r w:rsidR="00C74DA1" w:rsidRPr="00C806D0">
        <w:rPr>
          <w:rFonts w:ascii="Calibri" w:hAnsi="Calibri"/>
        </w:rPr>
        <w:t>unknown patient identity.</w:t>
      </w:r>
      <w:r w:rsidR="00496EBA" w:rsidRPr="00C806D0">
        <w:rPr>
          <w:rFonts w:ascii="Calibri" w:hAnsi="Calibri"/>
        </w:rPr>
        <w:t xml:space="preserve"> </w:t>
      </w:r>
      <w:r w:rsidR="00C74DA1" w:rsidRPr="00C806D0">
        <w:rPr>
          <w:rFonts w:ascii="Calibri" w:hAnsi="Calibri"/>
        </w:rPr>
        <w:t>A much higher level of los</w:t>
      </w:r>
      <w:r w:rsidR="00057DC1" w:rsidRPr="00C806D0">
        <w:rPr>
          <w:rFonts w:ascii="Calibri" w:hAnsi="Calibri"/>
        </w:rPr>
        <w:t>s to follow up was present for six</w:t>
      </w:r>
      <w:r w:rsidR="00C74DA1" w:rsidRPr="00C806D0">
        <w:rPr>
          <w:rFonts w:ascii="Calibri" w:hAnsi="Calibri"/>
        </w:rPr>
        <w:t xml:space="preserve"> month GOS and EQ5D endpoints with a further 218 patients not replying to consent, or no contactable after giving consent (129 intervention and 89 control cases). Figure A1 presents a flow chart summarising the allocation of clusters and derivation of study participants.</w:t>
      </w:r>
    </w:p>
    <w:p w:rsidR="00496EBA" w:rsidRPr="00C806D0" w:rsidRDefault="00496EBA" w:rsidP="00065DD0">
      <w:pPr>
        <w:rPr>
          <w:rFonts w:ascii="Calibri" w:hAnsi="Calibri"/>
        </w:rPr>
      </w:pPr>
    </w:p>
    <w:p w:rsidR="00496EBA" w:rsidRPr="00C806D0" w:rsidRDefault="00496EBA" w:rsidP="00496EBA">
      <w:pPr>
        <w:rPr>
          <w:rFonts w:ascii="Arial" w:hAnsi="Arial" w:cs="Arial"/>
          <w:sz w:val="18"/>
          <w:szCs w:val="18"/>
          <w:lang w:val="en-GB"/>
        </w:rPr>
      </w:pPr>
    </w:p>
    <w:p w:rsidR="00496EBA" w:rsidRPr="00C806D0" w:rsidRDefault="00496EBA" w:rsidP="00496EBA">
      <w:pPr>
        <w:rPr>
          <w:rFonts w:ascii="Arial" w:hAnsi="Arial" w:cs="Arial"/>
          <w:sz w:val="18"/>
          <w:szCs w:val="18"/>
          <w:lang w:val="en-GB"/>
        </w:rPr>
      </w:pPr>
    </w:p>
    <w:p w:rsidR="00065DD0" w:rsidRPr="00C806D0" w:rsidRDefault="00065DD0" w:rsidP="00065DD0">
      <w:pPr>
        <w:rPr>
          <w:rFonts w:ascii="Calibri" w:hAnsi="Calibri"/>
        </w:rPr>
      </w:pPr>
    </w:p>
    <w:p w:rsidR="00065DD0" w:rsidRPr="00C806D0" w:rsidRDefault="00065DD0" w:rsidP="00065DD0">
      <w:pPr>
        <w:rPr>
          <w:rFonts w:ascii="Calibri" w:hAnsi="Calibri"/>
        </w:rPr>
      </w:pPr>
    </w:p>
    <w:p w:rsidR="00065DD0" w:rsidRPr="00C806D0" w:rsidRDefault="00065DD0" w:rsidP="00065DD0">
      <w:pPr>
        <w:rPr>
          <w:rFonts w:ascii="Calibri" w:hAnsi="Calibri"/>
        </w:rPr>
      </w:pPr>
    </w:p>
    <w:p w:rsidR="00065DD0" w:rsidRPr="00C806D0" w:rsidRDefault="00404C7A" w:rsidP="00065DD0">
      <w:pPr>
        <w:rPr>
          <w:i/>
          <w:shd w:val="clear" w:color="auto" w:fill="FFFFFF"/>
        </w:rPr>
      </w:pPr>
      <w:r w:rsidRPr="00C806D0">
        <w:rPr>
          <w:i/>
          <w:noProof/>
          <w:shd w:val="clear" w:color="auto" w:fill="FFFFFF"/>
          <w:lang w:val="en-US"/>
        </w:rPr>
        <w:lastRenderedPageBreak/>
        <w:drawing>
          <wp:inline distT="0" distB="0" distL="0" distR="0">
            <wp:extent cx="5400040" cy="7060565"/>
            <wp:effectExtent l="19050" t="0" r="0" b="0"/>
            <wp:docPr id="2" name="Picture 1" descr="HITSNS_flow_chart_overall_follow_up_APPENDIX_A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SNS_flow_chart_overall_follow_up_APPENDIX_A_1.2.JPG"/>
                    <pic:cNvPicPr/>
                  </pic:nvPicPr>
                  <pic:blipFill>
                    <a:blip r:embed="rId7" cstate="print"/>
                    <a:stretch>
                      <a:fillRect/>
                    </a:stretch>
                  </pic:blipFill>
                  <pic:spPr>
                    <a:xfrm>
                      <a:off x="0" y="0"/>
                      <a:ext cx="5400040" cy="7060565"/>
                    </a:xfrm>
                    <a:prstGeom prst="rect">
                      <a:avLst/>
                    </a:prstGeom>
                  </pic:spPr>
                </pic:pic>
              </a:graphicData>
            </a:graphic>
          </wp:inline>
        </w:drawing>
      </w:r>
    </w:p>
    <w:p w:rsidR="00065DD0" w:rsidRPr="00C806D0" w:rsidRDefault="00065DD0" w:rsidP="00065DD0">
      <w:pPr>
        <w:rPr>
          <w:i/>
          <w:shd w:val="clear" w:color="auto" w:fill="FFFFFF"/>
        </w:rPr>
      </w:pPr>
    </w:p>
    <w:p w:rsidR="00065DD0" w:rsidRPr="00C806D0" w:rsidRDefault="00DA7ABD" w:rsidP="00065DD0">
      <w:pPr>
        <w:rPr>
          <w:b/>
          <w:shd w:val="clear" w:color="auto" w:fill="FFFFFF"/>
        </w:rPr>
      </w:pPr>
      <w:r w:rsidRPr="00C806D0">
        <w:rPr>
          <w:b/>
          <w:shd w:val="clear" w:color="auto" w:fill="FFFFFF"/>
        </w:rPr>
        <w:t>Figure A</w:t>
      </w:r>
      <w:r w:rsidR="00065DD0" w:rsidRPr="00C806D0">
        <w:rPr>
          <w:b/>
          <w:shd w:val="clear" w:color="auto" w:fill="FFFFFF"/>
        </w:rPr>
        <w:t xml:space="preserve">1. Derivation of study participants </w:t>
      </w:r>
      <w:r w:rsidR="00404C7A" w:rsidRPr="00C806D0">
        <w:rPr>
          <w:b/>
          <w:shd w:val="clear" w:color="auto" w:fill="FFFFFF"/>
        </w:rPr>
        <w:t>in</w:t>
      </w:r>
      <w:r w:rsidR="00065DD0" w:rsidRPr="00C806D0">
        <w:rPr>
          <w:b/>
          <w:shd w:val="clear" w:color="auto" w:fill="FFFFFF"/>
        </w:rPr>
        <w:t xml:space="preserve"> the HITSNS </w:t>
      </w:r>
      <w:r w:rsidR="00404C7A" w:rsidRPr="00C806D0">
        <w:rPr>
          <w:b/>
          <w:shd w:val="clear" w:color="auto" w:fill="FFFFFF"/>
        </w:rPr>
        <w:t xml:space="preserve">pilot study </w:t>
      </w:r>
    </w:p>
    <w:p w:rsidR="00404C7A" w:rsidRPr="00C806D0" w:rsidRDefault="00404C7A" w:rsidP="00E47122">
      <w:pPr>
        <w:pStyle w:val="Heading4"/>
      </w:pPr>
    </w:p>
    <w:p w:rsidR="00404C7A" w:rsidRPr="00C806D0" w:rsidRDefault="00404C7A" w:rsidP="00404C7A"/>
    <w:p w:rsidR="001F299F" w:rsidRPr="00C806D0" w:rsidRDefault="001F299F" w:rsidP="00404C7A"/>
    <w:p w:rsidR="00065DD0" w:rsidRPr="00C806D0" w:rsidRDefault="00E47122" w:rsidP="001F299F">
      <w:pPr>
        <w:pStyle w:val="Heading3"/>
      </w:pPr>
      <w:r w:rsidRPr="00C806D0">
        <w:lastRenderedPageBreak/>
        <w:t>Primary outcomes</w:t>
      </w:r>
    </w:p>
    <w:p w:rsidR="00583825" w:rsidRPr="00C806D0" w:rsidRDefault="00583825" w:rsidP="00583825">
      <w:r w:rsidRPr="00C806D0">
        <w:t>The HITSNS pilot study failed to meet several of the feasibility endpoints:</w:t>
      </w:r>
    </w:p>
    <w:p w:rsidR="001D659C" w:rsidRPr="00C806D0" w:rsidRDefault="001D659C" w:rsidP="00583825"/>
    <w:p w:rsidR="00BA244B" w:rsidRPr="00C806D0" w:rsidRDefault="00BA244B" w:rsidP="00550C9C">
      <w:pPr>
        <w:pStyle w:val="ListParagraph"/>
        <w:numPr>
          <w:ilvl w:val="0"/>
          <w:numId w:val="4"/>
        </w:numPr>
      </w:pPr>
      <w:r w:rsidRPr="00C806D0">
        <w:t>Only 293 patients were enrolled over the duration of the pilot study, reaching 83.7% of the minimum acceptable recruitment total of 350 cases.</w:t>
      </w:r>
    </w:p>
    <w:p w:rsidR="00583825" w:rsidRPr="00C806D0" w:rsidRDefault="007070E9" w:rsidP="00550C9C">
      <w:pPr>
        <w:pStyle w:val="ListParagraph"/>
        <w:numPr>
          <w:ilvl w:val="0"/>
          <w:numId w:val="4"/>
        </w:numPr>
      </w:pPr>
      <w:r w:rsidRPr="00C806D0">
        <w:t xml:space="preserve">The vast majority of patients presenting with suspected stable significant TBI ultimately had mild TBI. </w:t>
      </w:r>
      <w:r w:rsidR="001F14A1" w:rsidRPr="00C806D0">
        <w:t xml:space="preserve">The proportion of </w:t>
      </w:r>
      <w:r w:rsidR="00BA244B" w:rsidRPr="00C806D0">
        <w:t xml:space="preserve">enrolled </w:t>
      </w:r>
      <w:r w:rsidR="001F14A1" w:rsidRPr="00C806D0">
        <w:t xml:space="preserve">HITSNS patients with significant TBI </w:t>
      </w:r>
      <w:r w:rsidRPr="00C806D0">
        <w:t xml:space="preserve">thus </w:t>
      </w:r>
      <w:r w:rsidR="001F14A1" w:rsidRPr="00C806D0">
        <w:t>fell far short of th</w:t>
      </w:r>
      <w:r w:rsidR="00BA244B" w:rsidRPr="00C806D0">
        <w:t>e specified 80% target, with only 25% (n=70, 95%CI 21-31%) having evidence of intracranial pathology on head CT.</w:t>
      </w:r>
      <w:r w:rsidRPr="00C806D0">
        <w:t xml:space="preserve"> </w:t>
      </w:r>
    </w:p>
    <w:p w:rsidR="001F14A1" w:rsidRPr="00C806D0" w:rsidRDefault="00BA244B" w:rsidP="00550C9C">
      <w:pPr>
        <w:pStyle w:val="ListParagraph"/>
        <w:numPr>
          <w:ilvl w:val="0"/>
          <w:numId w:val="4"/>
        </w:numPr>
      </w:pPr>
      <w:r w:rsidRPr="00C806D0">
        <w:t>The target for c</w:t>
      </w:r>
      <w:r w:rsidR="001F14A1" w:rsidRPr="00C806D0">
        <w:t xml:space="preserve">ompliance with treatment allocation was </w:t>
      </w:r>
      <w:r w:rsidRPr="00C806D0">
        <w:t>also</w:t>
      </w:r>
      <w:r w:rsidR="001F14A1" w:rsidRPr="00C806D0">
        <w:t xml:space="preserve"> not met</w:t>
      </w:r>
      <w:r w:rsidRPr="00C806D0">
        <w:t>, with adherence to the prescribed management strategy observed in</w:t>
      </w:r>
      <w:r w:rsidR="001F14A1" w:rsidRPr="00C806D0">
        <w:t xml:space="preserve"> only of 183 of the enrolled patients (62%, 95%CI 57-67%). Compliance varied significantly between intervention groups, and was much higher in the control group compared with</w:t>
      </w:r>
      <w:r w:rsidR="00FD6847" w:rsidRPr="00C806D0">
        <w:t xml:space="preserve"> the intervention group (81%, 95%CI 72-91%</w:t>
      </w:r>
      <w:r w:rsidRPr="00C806D0">
        <w:t xml:space="preserve">, 100/124 </w:t>
      </w:r>
      <w:r w:rsidR="00FD6847" w:rsidRPr="00C806D0">
        <w:t xml:space="preserve"> v 49%, 95%CI 41-57%</w:t>
      </w:r>
      <w:r w:rsidRPr="00C806D0">
        <w:t>, 83/163</w:t>
      </w:r>
      <w:r w:rsidR="00FD6847" w:rsidRPr="00C806D0">
        <w:t>). Compliance also differed markedly between trial regions with notably lower adherence in NEAS versus NWAS (59%, 95%CI 50-66%</w:t>
      </w:r>
      <w:r w:rsidR="00057DC1" w:rsidRPr="00C806D0">
        <w:t xml:space="preserve">, 150/256 v </w:t>
      </w:r>
      <w:r w:rsidR="00FD6847" w:rsidRPr="00C806D0">
        <w:t>90%, 95%CI 78-95%</w:t>
      </w:r>
      <w:r w:rsidR="00057DC1" w:rsidRPr="00C806D0">
        <w:t>, 33/37</w:t>
      </w:r>
      <w:r w:rsidR="00FD6847" w:rsidRPr="00C806D0">
        <w:t>).</w:t>
      </w:r>
    </w:p>
    <w:p w:rsidR="00583825" w:rsidRPr="00C806D0" w:rsidRDefault="00FD6847" w:rsidP="00E47122">
      <w:r w:rsidRPr="00C806D0">
        <w:t>Other feasibility outcomes were successfully achieved:</w:t>
      </w:r>
    </w:p>
    <w:p w:rsidR="009E4F73" w:rsidRPr="00C806D0" w:rsidRDefault="009E4F73" w:rsidP="00E47122"/>
    <w:p w:rsidR="00583825" w:rsidRPr="00C806D0" w:rsidRDefault="00BA244B" w:rsidP="00550C9C">
      <w:pPr>
        <w:pStyle w:val="ListParagraph"/>
        <w:numPr>
          <w:ilvl w:val="0"/>
          <w:numId w:val="3"/>
        </w:numPr>
      </w:pPr>
      <w:r w:rsidRPr="00C806D0">
        <w:t xml:space="preserve">There were no </w:t>
      </w:r>
      <w:r w:rsidR="007070E9" w:rsidRPr="00C806D0">
        <w:t xml:space="preserve">clinically significant differences in case-mix between control and interventions groups. </w:t>
      </w:r>
    </w:p>
    <w:p w:rsidR="007070E9" w:rsidRPr="00C806D0" w:rsidRDefault="007070E9" w:rsidP="00550C9C">
      <w:pPr>
        <w:pStyle w:val="ListParagraph"/>
        <w:numPr>
          <w:ilvl w:val="0"/>
          <w:numId w:val="3"/>
        </w:numPr>
      </w:pPr>
      <w:r w:rsidRPr="00C806D0">
        <w:t xml:space="preserve">The studied management pathways appeared acceptable to patients, families and staff, with high satisfaction with treatment apparent in both study groups. </w:t>
      </w:r>
    </w:p>
    <w:p w:rsidR="00E47122" w:rsidRPr="00C806D0" w:rsidRDefault="00E47122" w:rsidP="001F299F">
      <w:pPr>
        <w:pStyle w:val="Heading3"/>
      </w:pPr>
      <w:r w:rsidRPr="00C806D0">
        <w:t>Secondary outcomes</w:t>
      </w:r>
    </w:p>
    <w:p w:rsidR="00065DD0" w:rsidRPr="00C806D0" w:rsidRDefault="00AD024E" w:rsidP="006D0937">
      <w:r w:rsidRPr="00C806D0">
        <w:t xml:space="preserve">Marginally higher 30 day mortality was observed in the intervention group </w:t>
      </w:r>
      <w:r w:rsidR="00335B1F" w:rsidRPr="00C806D0">
        <w:t>compared with</w:t>
      </w:r>
      <w:r w:rsidRPr="00C806D0">
        <w:t xml:space="preserve"> control </w:t>
      </w:r>
      <w:r w:rsidR="00F57237" w:rsidRPr="00C806D0">
        <w:t>patients</w:t>
      </w:r>
      <w:r w:rsidRPr="00C806D0">
        <w:t>, but the difference was</w:t>
      </w:r>
      <w:r w:rsidR="004E6F33" w:rsidRPr="00C806D0">
        <w:t xml:space="preserve"> statistically </w:t>
      </w:r>
      <w:r w:rsidRPr="00C806D0">
        <w:t xml:space="preserve">not </w:t>
      </w:r>
      <w:r w:rsidR="004E6F33" w:rsidRPr="00C806D0">
        <w:t>significant</w:t>
      </w:r>
      <w:r w:rsidRPr="00C806D0">
        <w:t xml:space="preserve"> (complete case, </w:t>
      </w:r>
      <w:r w:rsidR="00F57237" w:rsidRPr="00C806D0">
        <w:t>as randomised analysis</w:t>
      </w:r>
      <w:r w:rsidRPr="00C806D0">
        <w:t>, adjusted for clustering: 9.43</w:t>
      </w:r>
      <w:r w:rsidR="00A605DC" w:rsidRPr="00C806D0">
        <w:t xml:space="preserve">%, </w:t>
      </w:r>
      <w:r w:rsidR="00F57237" w:rsidRPr="00C806D0">
        <w:t>15/159 v 8.85% 10/123</w:t>
      </w:r>
      <w:r w:rsidRPr="00C806D0">
        <w:t xml:space="preserve">, </w:t>
      </w:r>
      <w:r w:rsidR="00F57237" w:rsidRPr="00C806D0">
        <w:t>p=0.89</w:t>
      </w:r>
      <w:r w:rsidRPr="00C806D0">
        <w:t>)</w:t>
      </w:r>
      <w:r w:rsidR="00F57237" w:rsidRPr="00C806D0">
        <w:t xml:space="preserve">. </w:t>
      </w:r>
      <w:r w:rsidR="006D39B2" w:rsidRPr="00C806D0">
        <w:t xml:space="preserve">The extremely high loss to follow up for assessing </w:t>
      </w:r>
      <w:r w:rsidR="00DA4B26" w:rsidRPr="00C806D0">
        <w:t>six</w:t>
      </w:r>
      <w:r w:rsidR="006D39B2" w:rsidRPr="00C806D0">
        <w:t xml:space="preserve"> month GOS and EQ5D (80.5%) precluded any meaningful analysis of these endpoints.</w:t>
      </w:r>
    </w:p>
    <w:p w:rsidR="001D659C" w:rsidRPr="00C806D0" w:rsidRDefault="001D659C" w:rsidP="006D0937"/>
    <w:p w:rsidR="001D659C" w:rsidRPr="00C806D0" w:rsidRDefault="001D659C" w:rsidP="006D0937"/>
    <w:p w:rsidR="001D659C" w:rsidRPr="00C806D0" w:rsidRDefault="001D659C" w:rsidP="006D0937"/>
    <w:p w:rsidR="001B7145" w:rsidRPr="00C806D0" w:rsidRDefault="001B7145" w:rsidP="006D0937"/>
    <w:p w:rsidR="001B7145" w:rsidRPr="00C806D0" w:rsidRDefault="001B7145" w:rsidP="006D0937"/>
    <w:p w:rsidR="00DA7ABD" w:rsidRPr="00C806D0" w:rsidRDefault="00DA7ABD" w:rsidP="0017772C">
      <w:pPr>
        <w:pStyle w:val="Heading2"/>
        <w:rPr>
          <w:color w:val="0D0D0D" w:themeColor="text1" w:themeTint="F2"/>
        </w:rPr>
      </w:pPr>
      <w:r w:rsidRPr="00C806D0">
        <w:rPr>
          <w:color w:val="0D0D0D" w:themeColor="text1" w:themeTint="F2"/>
        </w:rPr>
        <w:lastRenderedPageBreak/>
        <w:t>references</w:t>
      </w:r>
    </w:p>
    <w:p w:rsidR="006D4D62" w:rsidRPr="00C806D0" w:rsidRDefault="006D4D62" w:rsidP="006D4D62">
      <w:pPr>
        <w:spacing w:line="240" w:lineRule="auto"/>
        <w:ind w:left="720" w:hanging="720"/>
        <w:rPr>
          <w:rFonts w:ascii="Calibri" w:hAnsi="Calibri"/>
          <w:noProof/>
          <w:color w:val="0D0D0D" w:themeColor="text1" w:themeTint="F2"/>
        </w:rPr>
      </w:pPr>
      <w:bookmarkStart w:id="0" w:name="_ENREF_1_1"/>
      <w:r w:rsidRPr="00C806D0">
        <w:rPr>
          <w:rFonts w:ascii="Calibri" w:hAnsi="Calibri"/>
          <w:noProof/>
          <w:color w:val="0D0D0D" w:themeColor="text1" w:themeTint="F2"/>
        </w:rPr>
        <w:t>1.</w:t>
      </w:r>
      <w:r w:rsidRPr="00C806D0">
        <w:rPr>
          <w:rFonts w:ascii="Calibri" w:hAnsi="Calibri"/>
          <w:noProof/>
          <w:color w:val="0D0D0D" w:themeColor="text1" w:themeTint="F2"/>
        </w:rPr>
        <w:tab/>
        <w:t xml:space="preserve">Lecky F RW, Fuller G, McClelland G, Pennington E, Goodacre S, Han K, Curran A, Holliman D, Freeman J, Chapman N, Stevenson M, Byers S, Mason S, Potter H, Coats T, Mackway-Jones K, Peters M, Shewan J, Strong M.: </w:t>
      </w:r>
      <w:r w:rsidRPr="00C806D0">
        <w:rPr>
          <w:rFonts w:ascii="Calibri" w:hAnsi="Calibri"/>
          <w:b/>
          <w:noProof/>
          <w:color w:val="0D0D0D" w:themeColor="text1" w:themeTint="F2"/>
        </w:rPr>
        <w:t xml:space="preserve">The Head Injury Transportation Straight to Neurosurgery (HITSNS) Trial - A Feasibility Study </w:t>
      </w:r>
      <w:r w:rsidRPr="00C806D0">
        <w:rPr>
          <w:rFonts w:ascii="Calibri" w:hAnsi="Calibri"/>
          <w:i/>
          <w:noProof/>
          <w:color w:val="0D0D0D" w:themeColor="text1" w:themeTint="F2"/>
        </w:rPr>
        <w:t xml:space="preserve">Health Technology Assessment </w:t>
      </w:r>
      <w:r w:rsidRPr="00C806D0">
        <w:rPr>
          <w:rFonts w:ascii="Calibri" w:hAnsi="Calibri"/>
          <w:noProof/>
          <w:color w:val="0D0D0D" w:themeColor="text1" w:themeTint="F2"/>
        </w:rPr>
        <w:t xml:space="preserve">2014, </w:t>
      </w:r>
      <w:r w:rsidRPr="00C806D0">
        <w:rPr>
          <w:rFonts w:ascii="Calibri" w:hAnsi="Calibri"/>
          <w:b/>
          <w:noProof/>
          <w:color w:val="0D0D0D" w:themeColor="text1" w:themeTint="F2"/>
        </w:rPr>
        <w:t>In press</w:t>
      </w:r>
      <w:r w:rsidRPr="00C806D0">
        <w:rPr>
          <w:rFonts w:ascii="Calibri" w:hAnsi="Calibri"/>
          <w:noProof/>
          <w:color w:val="0D0D0D" w:themeColor="text1" w:themeTint="F2"/>
        </w:rPr>
        <w:t>.</w:t>
      </w:r>
      <w:bookmarkEnd w:id="0"/>
    </w:p>
    <w:p w:rsidR="006D4D62" w:rsidRPr="00C806D0" w:rsidRDefault="006D4D62" w:rsidP="006D4D62">
      <w:pPr>
        <w:spacing w:line="240" w:lineRule="auto"/>
        <w:ind w:left="720" w:hanging="720"/>
        <w:rPr>
          <w:rFonts w:ascii="Calibri" w:hAnsi="Calibri"/>
          <w:noProof/>
          <w:color w:val="0D0D0D" w:themeColor="text1" w:themeTint="F2"/>
        </w:rPr>
      </w:pPr>
      <w:bookmarkStart w:id="1" w:name="_ENREF_1_2"/>
      <w:r w:rsidRPr="00C806D0">
        <w:rPr>
          <w:rFonts w:ascii="Calibri" w:hAnsi="Calibri"/>
          <w:noProof/>
          <w:color w:val="0D0D0D" w:themeColor="text1" w:themeTint="F2"/>
        </w:rPr>
        <w:t>2.</w:t>
      </w:r>
      <w:r w:rsidRPr="00C806D0">
        <w:rPr>
          <w:rFonts w:ascii="Calibri" w:hAnsi="Calibri"/>
          <w:noProof/>
          <w:color w:val="0D0D0D" w:themeColor="text1" w:themeTint="F2"/>
        </w:rPr>
        <w:tab/>
      </w:r>
      <w:r w:rsidRPr="00C806D0">
        <w:rPr>
          <w:rFonts w:ascii="Calibri" w:hAnsi="Calibri"/>
          <w:b/>
          <w:noProof/>
          <w:color w:val="0D0D0D" w:themeColor="text1" w:themeTint="F2"/>
        </w:rPr>
        <w:t xml:space="preserve">Head Injury Straight to Neurosurgery Trial </w:t>
      </w:r>
      <w:r w:rsidRPr="00C806D0">
        <w:rPr>
          <w:rFonts w:ascii="Calibri" w:hAnsi="Calibri"/>
          <w:noProof/>
          <w:color w:val="0D0D0D" w:themeColor="text1" w:themeTint="F2"/>
        </w:rPr>
        <w:t>[http://www.hits-ns.tarn.ac.uk/]</w:t>
      </w:r>
      <w:bookmarkEnd w:id="1"/>
    </w:p>
    <w:p w:rsidR="006D4D62" w:rsidRPr="00C806D0" w:rsidRDefault="006D4D62" w:rsidP="006D4D62">
      <w:pPr>
        <w:spacing w:line="240" w:lineRule="auto"/>
        <w:ind w:left="720" w:hanging="720"/>
        <w:rPr>
          <w:rFonts w:ascii="Calibri" w:hAnsi="Calibri"/>
          <w:noProof/>
          <w:color w:val="0D0D0D" w:themeColor="text1" w:themeTint="F2"/>
        </w:rPr>
      </w:pPr>
      <w:bookmarkStart w:id="2" w:name="_ENREF_1_3"/>
      <w:r w:rsidRPr="00C806D0">
        <w:rPr>
          <w:rFonts w:ascii="Calibri" w:hAnsi="Calibri"/>
          <w:noProof/>
          <w:color w:val="0D0D0D" w:themeColor="text1" w:themeTint="F2"/>
        </w:rPr>
        <w:t>3.</w:t>
      </w:r>
      <w:r w:rsidRPr="00C806D0">
        <w:rPr>
          <w:rFonts w:ascii="Calibri" w:hAnsi="Calibri"/>
          <w:noProof/>
          <w:color w:val="0D0D0D" w:themeColor="text1" w:themeTint="F2"/>
        </w:rPr>
        <w:tab/>
        <w:t xml:space="preserve">Hutchinson DR: </w:t>
      </w:r>
      <w:r w:rsidRPr="00C806D0">
        <w:rPr>
          <w:rFonts w:ascii="Calibri" w:hAnsi="Calibri"/>
          <w:b/>
          <w:noProof/>
          <w:color w:val="0D0D0D" w:themeColor="text1" w:themeTint="F2"/>
        </w:rPr>
        <w:t>ICH GCP guidelines : including other key clinical trials requirements</w:t>
      </w:r>
      <w:r w:rsidRPr="00C806D0">
        <w:rPr>
          <w:rFonts w:ascii="Calibri" w:hAnsi="Calibri"/>
          <w:noProof/>
          <w:color w:val="0D0D0D" w:themeColor="text1" w:themeTint="F2"/>
        </w:rPr>
        <w:t>. [Great Britain]: Roche; 2012.</w:t>
      </w:r>
      <w:bookmarkEnd w:id="2"/>
    </w:p>
    <w:p w:rsidR="006D4D62" w:rsidRPr="00C806D0" w:rsidRDefault="006D4D62" w:rsidP="006D4D62">
      <w:pPr>
        <w:spacing w:line="240" w:lineRule="auto"/>
        <w:ind w:left="720" w:hanging="720"/>
        <w:rPr>
          <w:rFonts w:ascii="Calibri" w:hAnsi="Calibri"/>
          <w:noProof/>
          <w:color w:val="0D0D0D" w:themeColor="text1" w:themeTint="F2"/>
        </w:rPr>
      </w:pPr>
      <w:bookmarkStart w:id="3" w:name="_ENREF_1_4"/>
      <w:r w:rsidRPr="00C806D0">
        <w:rPr>
          <w:rFonts w:ascii="Calibri" w:hAnsi="Calibri"/>
          <w:noProof/>
          <w:color w:val="0D0D0D" w:themeColor="text1" w:themeTint="F2"/>
        </w:rPr>
        <w:t>4.</w:t>
      </w:r>
      <w:r w:rsidRPr="00C806D0">
        <w:rPr>
          <w:rFonts w:ascii="Calibri" w:hAnsi="Calibri"/>
          <w:noProof/>
          <w:color w:val="0D0D0D" w:themeColor="text1" w:themeTint="F2"/>
        </w:rPr>
        <w:tab/>
      </w:r>
      <w:r w:rsidRPr="00C806D0">
        <w:rPr>
          <w:rFonts w:ascii="Calibri" w:hAnsi="Calibri"/>
          <w:b/>
          <w:noProof/>
          <w:color w:val="0D0D0D" w:themeColor="text1" w:themeTint="F2"/>
        </w:rPr>
        <w:t>Declaration of Helsinki</w:t>
      </w:r>
      <w:r w:rsidRPr="00C806D0">
        <w:rPr>
          <w:rFonts w:ascii="Calibri" w:hAnsi="Calibri"/>
          <w:noProof/>
          <w:color w:val="0D0D0D" w:themeColor="text1" w:themeTint="F2"/>
        </w:rPr>
        <w:t xml:space="preserve">. </w:t>
      </w:r>
      <w:r w:rsidRPr="00C806D0">
        <w:rPr>
          <w:rFonts w:ascii="Calibri" w:hAnsi="Calibri"/>
          <w:i/>
          <w:noProof/>
          <w:color w:val="0D0D0D" w:themeColor="text1" w:themeTint="F2"/>
        </w:rPr>
        <w:t xml:space="preserve">Law, medicine &amp; health care : a publication of the American Society of Law &amp; Medicine </w:t>
      </w:r>
      <w:r w:rsidRPr="00C806D0">
        <w:rPr>
          <w:rFonts w:ascii="Calibri" w:hAnsi="Calibri"/>
          <w:noProof/>
          <w:color w:val="0D0D0D" w:themeColor="text1" w:themeTint="F2"/>
        </w:rPr>
        <w:t xml:space="preserve">1991, </w:t>
      </w:r>
      <w:r w:rsidRPr="00C806D0">
        <w:rPr>
          <w:rFonts w:ascii="Calibri" w:hAnsi="Calibri"/>
          <w:b/>
          <w:noProof/>
          <w:color w:val="0D0D0D" w:themeColor="text1" w:themeTint="F2"/>
        </w:rPr>
        <w:t>19</w:t>
      </w:r>
      <w:r w:rsidRPr="00C806D0">
        <w:rPr>
          <w:rFonts w:ascii="Calibri" w:hAnsi="Calibri"/>
          <w:noProof/>
          <w:color w:val="0D0D0D" w:themeColor="text1" w:themeTint="F2"/>
        </w:rPr>
        <w:t>(3-4):264-265.</w:t>
      </w:r>
      <w:bookmarkEnd w:id="3"/>
    </w:p>
    <w:p w:rsidR="006D4D62" w:rsidRPr="00C806D0" w:rsidRDefault="006D4D62" w:rsidP="006D4D62">
      <w:pPr>
        <w:spacing w:line="240" w:lineRule="auto"/>
        <w:ind w:left="720" w:hanging="720"/>
        <w:rPr>
          <w:rFonts w:ascii="Calibri" w:hAnsi="Calibri"/>
          <w:noProof/>
          <w:color w:val="0D0D0D" w:themeColor="text1" w:themeTint="F2"/>
        </w:rPr>
      </w:pPr>
      <w:bookmarkStart w:id="4" w:name="_ENREF_1_5"/>
      <w:r w:rsidRPr="00C806D0">
        <w:rPr>
          <w:rFonts w:ascii="Calibri" w:hAnsi="Calibri"/>
          <w:noProof/>
          <w:color w:val="0D0D0D" w:themeColor="text1" w:themeTint="F2"/>
        </w:rPr>
        <w:t>5.</w:t>
      </w:r>
      <w:r w:rsidRPr="00C806D0">
        <w:rPr>
          <w:rFonts w:ascii="Calibri" w:hAnsi="Calibri"/>
          <w:noProof/>
          <w:color w:val="0D0D0D" w:themeColor="text1" w:themeTint="F2"/>
        </w:rPr>
        <w:tab/>
        <w:t xml:space="preserve">Britan GoG: </w:t>
      </w:r>
      <w:r w:rsidRPr="00C806D0">
        <w:rPr>
          <w:rFonts w:ascii="Calibri" w:hAnsi="Calibri"/>
          <w:b/>
          <w:noProof/>
          <w:color w:val="0D0D0D" w:themeColor="text1" w:themeTint="F2"/>
        </w:rPr>
        <w:t>Mental Capacity Act 2005</w:t>
      </w:r>
      <w:r w:rsidRPr="00C806D0">
        <w:rPr>
          <w:rFonts w:ascii="Calibri" w:hAnsi="Calibri"/>
          <w:noProof/>
          <w:color w:val="0D0D0D" w:themeColor="text1" w:themeTint="F2"/>
        </w:rPr>
        <w:t>. In</w:t>
      </w:r>
      <w:r w:rsidRPr="00C806D0">
        <w:rPr>
          <w:rFonts w:ascii="Calibri" w:hAnsi="Calibri"/>
          <w:i/>
          <w:noProof/>
          <w:color w:val="0D0D0D" w:themeColor="text1" w:themeTint="F2"/>
        </w:rPr>
        <w:t>.</w:t>
      </w:r>
      <w:r w:rsidRPr="00C806D0">
        <w:rPr>
          <w:rFonts w:ascii="Calibri" w:hAnsi="Calibri"/>
          <w:noProof/>
          <w:color w:val="0D0D0D" w:themeColor="text1" w:themeTint="F2"/>
        </w:rPr>
        <w:t xml:space="preserve"> London; 2005.</w:t>
      </w:r>
      <w:bookmarkEnd w:id="4"/>
    </w:p>
    <w:p w:rsidR="006D4D62" w:rsidRPr="00C806D0" w:rsidRDefault="006D4D62" w:rsidP="006D4D62">
      <w:pPr>
        <w:spacing w:line="240" w:lineRule="auto"/>
        <w:ind w:left="720" w:hanging="720"/>
        <w:rPr>
          <w:rFonts w:ascii="Calibri" w:hAnsi="Calibri"/>
          <w:noProof/>
          <w:color w:val="0D0D0D" w:themeColor="text1" w:themeTint="F2"/>
        </w:rPr>
      </w:pPr>
      <w:bookmarkStart w:id="5" w:name="_ENREF_1_6"/>
      <w:r w:rsidRPr="00C806D0">
        <w:rPr>
          <w:rFonts w:ascii="Calibri" w:hAnsi="Calibri"/>
          <w:noProof/>
          <w:color w:val="0D0D0D" w:themeColor="text1" w:themeTint="F2"/>
        </w:rPr>
        <w:t>6.</w:t>
      </w:r>
      <w:r w:rsidRPr="00C806D0">
        <w:rPr>
          <w:rFonts w:ascii="Calibri" w:hAnsi="Calibri"/>
          <w:noProof/>
          <w:color w:val="0D0D0D" w:themeColor="text1" w:themeTint="F2"/>
        </w:rPr>
        <w:tab/>
        <w:t xml:space="preserve">Alonzi A, Pringle M: </w:t>
      </w:r>
      <w:r w:rsidRPr="00C806D0">
        <w:rPr>
          <w:rFonts w:ascii="Calibri" w:hAnsi="Calibri"/>
          <w:b/>
          <w:noProof/>
          <w:color w:val="0D0D0D" w:themeColor="text1" w:themeTint="F2"/>
        </w:rPr>
        <w:t>Mental Capacity Act 2005</w:t>
      </w:r>
      <w:r w:rsidRPr="00C806D0">
        <w:rPr>
          <w:rFonts w:ascii="Calibri" w:hAnsi="Calibri"/>
          <w:noProof/>
          <w:color w:val="0D0D0D" w:themeColor="text1" w:themeTint="F2"/>
        </w:rPr>
        <w:t>, vol. 335; 2007.</w:t>
      </w:r>
      <w:bookmarkEnd w:id="5"/>
    </w:p>
    <w:p w:rsidR="006D4D62" w:rsidRPr="00C806D0" w:rsidRDefault="006D4D62" w:rsidP="006D4D62">
      <w:pPr>
        <w:spacing w:line="240" w:lineRule="auto"/>
        <w:rPr>
          <w:rFonts w:ascii="Calibri" w:hAnsi="Calibri"/>
          <w:noProof/>
          <w:color w:val="0D0D0D" w:themeColor="text1" w:themeTint="F2"/>
        </w:rPr>
      </w:pPr>
    </w:p>
    <w:p w:rsidR="00EB5320" w:rsidRPr="00C806D0" w:rsidRDefault="00EB5320">
      <w:pPr>
        <w:spacing w:line="240" w:lineRule="auto"/>
      </w:pPr>
    </w:p>
    <w:p w:rsidR="001F299F" w:rsidRPr="00C806D0" w:rsidRDefault="001F299F">
      <w:pPr>
        <w:spacing w:line="240" w:lineRule="auto"/>
        <w:sectPr w:rsidR="001F299F" w:rsidRPr="00C806D0" w:rsidSect="00161CFB">
          <w:footerReference w:type="default" r:id="rId8"/>
          <w:footerReference w:type="first" r:id="rId9"/>
          <w:pgSz w:w="11906" w:h="16838"/>
          <w:pgMar w:top="1134" w:right="1134" w:bottom="1134" w:left="2268" w:header="708" w:footer="708" w:gutter="0"/>
          <w:pgNumType w:start="331"/>
          <w:cols w:space="708"/>
          <w:docGrid w:linePitch="360"/>
        </w:sectPr>
      </w:pPr>
    </w:p>
    <w:p w:rsidR="00EB5320" w:rsidRPr="00C806D0" w:rsidRDefault="00EB5320" w:rsidP="00EB5320">
      <w:pPr>
        <w:pStyle w:val="Heading1"/>
      </w:pPr>
      <w:r w:rsidRPr="00C806D0">
        <w:lastRenderedPageBreak/>
        <w:t>appendix B: the effectiveness of alternative management pathways for patients with significant traumatic brain injury – a literature review and systematic review</w:t>
      </w:r>
    </w:p>
    <w:p w:rsidR="00EB5320" w:rsidRPr="00C806D0" w:rsidRDefault="00EB5320" w:rsidP="00EB5320">
      <w:pPr>
        <w:pStyle w:val="Heading2"/>
      </w:pPr>
      <w:r w:rsidRPr="00C806D0">
        <w:t>Supplementary methodological information</w:t>
      </w:r>
    </w:p>
    <w:p w:rsidR="00EB5320" w:rsidRPr="00C806D0" w:rsidRDefault="00EB5320" w:rsidP="002A360F">
      <w:pPr>
        <w:pStyle w:val="Heading3"/>
      </w:pPr>
      <w:r w:rsidRPr="00C806D0">
        <w:t>Literature search for systematic reviews and original research studies examining the comparative effectiveness of alternative management pathways for patients with suspected TBI</w:t>
      </w:r>
    </w:p>
    <w:p w:rsidR="00EB5320" w:rsidRPr="00C806D0" w:rsidRDefault="00EB5320" w:rsidP="00EB5320">
      <w:pPr>
        <w:pStyle w:val="Heading4"/>
        <w:rPr>
          <w:caps/>
        </w:rPr>
      </w:pPr>
      <w:r w:rsidRPr="00C806D0">
        <w:t>Electronic information sources</w:t>
      </w:r>
    </w:p>
    <w:p w:rsidR="00EB5320" w:rsidRPr="00C806D0" w:rsidRDefault="00EB5320" w:rsidP="00550C9C">
      <w:pPr>
        <w:pStyle w:val="ListParagraph"/>
        <w:numPr>
          <w:ilvl w:val="0"/>
          <w:numId w:val="11"/>
        </w:numPr>
        <w:rPr>
          <w:color w:val="000000"/>
          <w:lang w:eastAsia="en-GB"/>
        </w:rPr>
      </w:pPr>
      <w:r w:rsidRPr="00C806D0">
        <w:rPr>
          <w:color w:val="000000"/>
          <w:lang w:eastAsia="en-GB"/>
        </w:rPr>
        <w:t>Cochrane library: Cochrane database of systematic reviews; Health Technology Assessment database; Database of Abstracts of Reviews of Effects</w:t>
      </w:r>
    </w:p>
    <w:p w:rsidR="00EB5320" w:rsidRPr="00C806D0" w:rsidRDefault="00EB5320" w:rsidP="00550C9C">
      <w:pPr>
        <w:pStyle w:val="ListParagraph"/>
        <w:numPr>
          <w:ilvl w:val="0"/>
          <w:numId w:val="11"/>
        </w:numPr>
        <w:rPr>
          <w:color w:val="000000"/>
          <w:lang w:eastAsia="en-GB"/>
        </w:rPr>
      </w:pPr>
      <w:r w:rsidRPr="00C806D0">
        <w:rPr>
          <w:color w:val="000000"/>
          <w:lang w:eastAsia="en-GB"/>
        </w:rPr>
        <w:t>Centre for Reviews and Dissemination database</w:t>
      </w:r>
    </w:p>
    <w:p w:rsidR="00EB5320" w:rsidRPr="00C806D0" w:rsidRDefault="00EB5320" w:rsidP="00550C9C">
      <w:pPr>
        <w:pStyle w:val="ListParagraph"/>
        <w:numPr>
          <w:ilvl w:val="0"/>
          <w:numId w:val="11"/>
        </w:numPr>
        <w:rPr>
          <w:color w:val="000000"/>
          <w:lang w:eastAsia="en-GB"/>
        </w:rPr>
      </w:pPr>
      <w:r w:rsidRPr="00C806D0">
        <w:rPr>
          <w:color w:val="000000"/>
          <w:lang w:eastAsia="en-GB"/>
        </w:rPr>
        <w:t>P</w:t>
      </w:r>
      <w:r w:rsidRPr="00C806D0">
        <w:rPr>
          <w:color w:val="222222"/>
          <w:shd w:val="clear" w:color="auto" w:fill="FFFFFF"/>
        </w:rPr>
        <w:t>UBMED</w:t>
      </w:r>
    </w:p>
    <w:p w:rsidR="00EB5320" w:rsidRPr="00C806D0" w:rsidRDefault="00EB5320" w:rsidP="00550C9C">
      <w:pPr>
        <w:pStyle w:val="ListParagraph"/>
        <w:numPr>
          <w:ilvl w:val="0"/>
          <w:numId w:val="11"/>
        </w:numPr>
        <w:rPr>
          <w:color w:val="000000"/>
          <w:lang w:eastAsia="en-GB"/>
        </w:rPr>
      </w:pPr>
      <w:r w:rsidRPr="00C806D0">
        <w:rPr>
          <w:color w:val="000000"/>
          <w:lang w:eastAsia="en-GB"/>
        </w:rPr>
        <w:t xml:space="preserve">MEDLINE </w:t>
      </w:r>
    </w:p>
    <w:p w:rsidR="00EB5320" w:rsidRPr="00C806D0" w:rsidRDefault="00EB5320" w:rsidP="00550C9C">
      <w:pPr>
        <w:pStyle w:val="ListParagraph"/>
        <w:numPr>
          <w:ilvl w:val="0"/>
          <w:numId w:val="11"/>
        </w:numPr>
        <w:rPr>
          <w:color w:val="000000"/>
          <w:lang w:eastAsia="en-GB"/>
        </w:rPr>
      </w:pPr>
      <w:r w:rsidRPr="00C806D0">
        <w:rPr>
          <w:color w:val="000000"/>
          <w:lang w:eastAsia="en-GB"/>
        </w:rPr>
        <w:t xml:space="preserve">EMBASE </w:t>
      </w:r>
    </w:p>
    <w:p w:rsidR="00EB5320" w:rsidRPr="00C806D0" w:rsidRDefault="00EB5320" w:rsidP="00550C9C">
      <w:pPr>
        <w:pStyle w:val="ListParagraph"/>
        <w:numPr>
          <w:ilvl w:val="0"/>
          <w:numId w:val="11"/>
        </w:numPr>
        <w:rPr>
          <w:color w:val="000000"/>
          <w:lang w:eastAsia="en-GB"/>
        </w:rPr>
      </w:pPr>
      <w:r w:rsidRPr="00C806D0">
        <w:rPr>
          <w:color w:val="000000"/>
          <w:lang w:eastAsia="en-GB"/>
        </w:rPr>
        <w:t>CINAHL</w:t>
      </w:r>
    </w:p>
    <w:p w:rsidR="00EB5320" w:rsidRPr="00C806D0" w:rsidRDefault="00EB5320" w:rsidP="00550C9C">
      <w:pPr>
        <w:pStyle w:val="ListParagraph"/>
        <w:numPr>
          <w:ilvl w:val="0"/>
          <w:numId w:val="11"/>
        </w:numPr>
        <w:rPr>
          <w:color w:val="000000"/>
          <w:lang w:eastAsia="en-GB"/>
        </w:rPr>
      </w:pPr>
      <w:r w:rsidRPr="00C806D0">
        <w:rPr>
          <w:color w:val="000000"/>
          <w:lang w:eastAsia="en-GB"/>
        </w:rPr>
        <w:t>PROSPERO database</w:t>
      </w:r>
    </w:p>
    <w:p w:rsidR="00EB5320" w:rsidRPr="00C806D0" w:rsidRDefault="00EB5320" w:rsidP="00550C9C">
      <w:pPr>
        <w:pStyle w:val="ListParagraph"/>
        <w:numPr>
          <w:ilvl w:val="0"/>
          <w:numId w:val="11"/>
        </w:numPr>
        <w:rPr>
          <w:color w:val="000000"/>
          <w:lang w:eastAsia="en-GB"/>
        </w:rPr>
      </w:pPr>
      <w:r w:rsidRPr="00C806D0">
        <w:rPr>
          <w:color w:val="000000"/>
          <w:lang w:eastAsia="en-GB"/>
        </w:rPr>
        <w:t>Health Technology Assessment Agency, National Institute of Clinical Excellence, MAPI websites</w:t>
      </w:r>
    </w:p>
    <w:p w:rsidR="00EB5320" w:rsidRPr="00C806D0" w:rsidRDefault="00EB5320" w:rsidP="00550C9C">
      <w:pPr>
        <w:pStyle w:val="ListParagraph"/>
        <w:numPr>
          <w:ilvl w:val="0"/>
          <w:numId w:val="11"/>
        </w:numPr>
        <w:rPr>
          <w:color w:val="000000"/>
          <w:lang w:eastAsia="en-GB"/>
        </w:rPr>
      </w:pPr>
      <w:r w:rsidRPr="00C806D0">
        <w:rPr>
          <w:color w:val="000000"/>
          <w:lang w:eastAsia="en-GB"/>
        </w:rPr>
        <w:t>Science Citation Index (author and citation searching)</w:t>
      </w:r>
    </w:p>
    <w:p w:rsidR="00EB5320" w:rsidRPr="00C806D0" w:rsidRDefault="00EB5320" w:rsidP="00EB5320">
      <w:pPr>
        <w:pStyle w:val="Heading4"/>
        <w:rPr>
          <w:caps/>
        </w:rPr>
      </w:pPr>
      <w:r w:rsidRPr="00C806D0">
        <w:t>Search limits</w:t>
      </w:r>
    </w:p>
    <w:p w:rsidR="00EB5320" w:rsidRPr="00C806D0" w:rsidRDefault="00EB5320" w:rsidP="00EB5320">
      <w:r w:rsidRPr="00C806D0">
        <w:rPr>
          <w:rFonts w:ascii="Calibri" w:hAnsi="Calibri"/>
        </w:rPr>
        <w:t>T</w:t>
      </w:r>
      <w:r w:rsidRPr="00C806D0">
        <w:rPr>
          <w:rFonts w:ascii="Calibri" w:hAnsi="Calibri"/>
          <w:lang w:eastAsia="en-GB"/>
        </w:rPr>
        <w:t xml:space="preserve">he MEDLINE search is listed below and was adapted for use in other data sources. </w:t>
      </w:r>
    </w:p>
    <w:p w:rsidR="00EB5320" w:rsidRPr="00C806D0" w:rsidRDefault="00EB5320" w:rsidP="00EB5320">
      <w:pPr>
        <w:rPr>
          <w:rStyle w:val="dbdate"/>
          <w:rFonts w:ascii="Calibri" w:hAnsi="Calibri" w:cs="Arial"/>
        </w:rPr>
      </w:pPr>
      <w:r w:rsidRPr="00C806D0">
        <w:rPr>
          <w:rFonts w:ascii="Calibri" w:hAnsi="Calibri"/>
          <w:b/>
        </w:rPr>
        <w:t>Platform:</w:t>
      </w:r>
      <w:r w:rsidRPr="00C806D0">
        <w:rPr>
          <w:rFonts w:ascii="Calibri" w:hAnsi="Calibri"/>
        </w:rPr>
        <w:t xml:space="preserve"> </w:t>
      </w:r>
      <w:r w:rsidRPr="00C806D0">
        <w:rPr>
          <w:rStyle w:val="dbname"/>
          <w:rFonts w:ascii="Calibri" w:hAnsi="Calibri" w:cs="Arial"/>
        </w:rPr>
        <w:t xml:space="preserve">Ovid MEDLINE(R) In-Process &amp; Other Non-Indexed Citations and Ovid MEDLINE(R) </w:t>
      </w:r>
      <w:r w:rsidRPr="00C806D0">
        <w:rPr>
          <w:rStyle w:val="dbdate"/>
          <w:rFonts w:ascii="Calibri" w:hAnsi="Calibri" w:cs="Arial"/>
        </w:rPr>
        <w:t>1946 to Present</w:t>
      </w:r>
    </w:p>
    <w:p w:rsidR="00EB5320" w:rsidRPr="00C806D0" w:rsidRDefault="00EB5320" w:rsidP="00EB5320">
      <w:pPr>
        <w:rPr>
          <w:rFonts w:ascii="Calibri" w:hAnsi="Calibri"/>
        </w:rPr>
      </w:pPr>
      <w:r w:rsidRPr="00C806D0">
        <w:rPr>
          <w:rFonts w:ascii="Calibri" w:hAnsi="Calibri"/>
          <w:b/>
        </w:rPr>
        <w:t>Date limits:</w:t>
      </w:r>
      <w:r w:rsidRPr="00C806D0">
        <w:rPr>
          <w:rFonts w:ascii="Calibri" w:hAnsi="Calibri"/>
        </w:rPr>
        <w:t xml:space="preserve"> 1975 – Week 4, 2013.  Current awareness searches conducted to week 33, 2013</w:t>
      </w:r>
    </w:p>
    <w:p w:rsidR="00EB5320" w:rsidRPr="00C806D0" w:rsidRDefault="00EB5320" w:rsidP="00EB5320">
      <w:pPr>
        <w:rPr>
          <w:rFonts w:ascii="Calibri" w:hAnsi="Calibri"/>
        </w:rPr>
      </w:pPr>
      <w:r w:rsidRPr="00C806D0">
        <w:rPr>
          <w:rFonts w:ascii="Calibri" w:hAnsi="Calibri"/>
          <w:b/>
        </w:rPr>
        <w:t>Other limits:</w:t>
      </w:r>
      <w:r w:rsidRPr="00C806D0">
        <w:rPr>
          <w:rFonts w:ascii="Calibri" w:hAnsi="Calibri"/>
        </w:rPr>
        <w:t xml:space="preserve"> Human only, no editorials/comments/letters</w:t>
      </w:r>
    </w:p>
    <w:p w:rsidR="00EB5320" w:rsidRPr="00C806D0" w:rsidRDefault="00EB5320" w:rsidP="00EB5320">
      <w:pPr>
        <w:pStyle w:val="Heading4"/>
      </w:pPr>
      <w:r w:rsidRPr="00C806D0">
        <w:t>Search strategy</w:t>
      </w:r>
    </w:p>
    <w:p w:rsidR="00EB5320" w:rsidRPr="00C806D0" w:rsidRDefault="00EB5320" w:rsidP="00550C9C">
      <w:pPr>
        <w:pStyle w:val="ListParagraph"/>
        <w:numPr>
          <w:ilvl w:val="0"/>
          <w:numId w:val="12"/>
        </w:numPr>
        <w:rPr>
          <w:rFonts w:eastAsia="Times New Roman"/>
          <w:color w:val="0A0905"/>
          <w:lang w:eastAsia="en-GB"/>
        </w:rPr>
      </w:pPr>
      <w:r w:rsidRPr="00C806D0">
        <w:rPr>
          <w:rFonts w:eastAsia="Times New Roman"/>
          <w:color w:val="0A0905"/>
          <w:lang w:eastAsia="en-GB"/>
        </w:rPr>
        <w:t>exp Craniocerebral Trauma/</w:t>
      </w:r>
    </w:p>
    <w:p w:rsidR="00EB5320" w:rsidRPr="00C806D0" w:rsidRDefault="00EB5320" w:rsidP="00550C9C">
      <w:pPr>
        <w:pStyle w:val="ListParagraph"/>
        <w:numPr>
          <w:ilvl w:val="0"/>
          <w:numId w:val="12"/>
        </w:numPr>
        <w:rPr>
          <w:rFonts w:eastAsia="Times New Roman"/>
          <w:color w:val="0A0905"/>
          <w:lang w:eastAsia="en-GB"/>
        </w:rPr>
      </w:pPr>
      <w:r w:rsidRPr="00C806D0">
        <w:rPr>
          <w:rFonts w:eastAsia="Times New Roman"/>
          <w:color w:val="0A0905"/>
          <w:lang w:eastAsia="en-GB"/>
        </w:rPr>
        <w:t>((cerebral or craniocerebral or intracranial or cranio-cerebral or intra-cranial or cranial or head or brain or neurological) adj trauma$).ti,ab.</w:t>
      </w:r>
    </w:p>
    <w:p w:rsidR="00EB5320" w:rsidRPr="00C806D0" w:rsidRDefault="00EB5320" w:rsidP="00550C9C">
      <w:pPr>
        <w:pStyle w:val="ListParagraph"/>
        <w:numPr>
          <w:ilvl w:val="0"/>
          <w:numId w:val="12"/>
        </w:numPr>
        <w:rPr>
          <w:rFonts w:eastAsia="Times New Roman"/>
          <w:color w:val="0A0905"/>
          <w:lang w:eastAsia="en-GB"/>
        </w:rPr>
      </w:pPr>
      <w:r w:rsidRPr="00C806D0">
        <w:rPr>
          <w:rFonts w:eastAsia="Times New Roman"/>
          <w:color w:val="0A0905"/>
          <w:lang w:eastAsia="en-GB"/>
        </w:rPr>
        <w:lastRenderedPageBreak/>
        <w:t>((cerebral or craniocerebral or intracranial or cranio-cerebral or intra-cerebral or cranial or head or brain or neurological) adj injur$).ti,ab.</w:t>
      </w:r>
    </w:p>
    <w:p w:rsidR="00EB5320" w:rsidRPr="00C806D0" w:rsidRDefault="00EB5320" w:rsidP="00550C9C">
      <w:pPr>
        <w:pStyle w:val="ListParagraph"/>
        <w:numPr>
          <w:ilvl w:val="0"/>
          <w:numId w:val="12"/>
        </w:numPr>
        <w:rPr>
          <w:rFonts w:eastAsia="Times New Roman"/>
          <w:color w:val="0A0905"/>
          <w:lang w:eastAsia="en-GB"/>
        </w:rPr>
      </w:pPr>
      <w:r w:rsidRPr="00C806D0">
        <w:rPr>
          <w:rFonts w:eastAsia="Times New Roman"/>
          <w:color w:val="0A0905"/>
          <w:lang w:eastAsia="en-GB"/>
        </w:rPr>
        <w:t>(Traumatic adj ((cerebral or craniocerebral or intracranial or cranio-cerebral or intra-cranial or cranial or head or brain or neurological) and injur$)).ti,ab.</w:t>
      </w:r>
    </w:p>
    <w:p w:rsidR="00EB5320" w:rsidRPr="00C806D0" w:rsidRDefault="00EB5320" w:rsidP="00550C9C">
      <w:pPr>
        <w:pStyle w:val="ListParagraph"/>
        <w:numPr>
          <w:ilvl w:val="0"/>
          <w:numId w:val="12"/>
        </w:numPr>
        <w:rPr>
          <w:rFonts w:eastAsia="Times New Roman"/>
          <w:color w:val="0A0905"/>
          <w:lang w:eastAsia="en-GB"/>
        </w:rPr>
      </w:pPr>
      <w:r w:rsidRPr="00C806D0">
        <w:rPr>
          <w:rFonts w:eastAsia="Times New Roman"/>
          <w:color w:val="0A0905"/>
          <w:lang w:eastAsia="en-GB"/>
        </w:rPr>
        <w:t>(neurotrauma or neuro-trauma).ti,ab</w:t>
      </w:r>
    </w:p>
    <w:p w:rsidR="00EB5320" w:rsidRPr="00C806D0" w:rsidRDefault="00EB5320" w:rsidP="00550C9C">
      <w:pPr>
        <w:pStyle w:val="ListParagraph"/>
        <w:numPr>
          <w:ilvl w:val="0"/>
          <w:numId w:val="12"/>
        </w:numPr>
        <w:rPr>
          <w:rFonts w:eastAsia="Times New Roman"/>
          <w:color w:val="0A0905"/>
          <w:lang w:eastAsia="en-GB"/>
        </w:rPr>
      </w:pPr>
      <w:r w:rsidRPr="00C806D0">
        <w:rPr>
          <w:rFonts w:eastAsia="Times New Roman"/>
          <w:color w:val="0A0905"/>
          <w:lang w:eastAsia="en-GB"/>
        </w:rPr>
        <w:t>1 or 2 or 3 or 4 or 5</w:t>
      </w:r>
    </w:p>
    <w:p w:rsidR="00EB5320" w:rsidRPr="00C806D0" w:rsidRDefault="00EB5320" w:rsidP="00550C9C">
      <w:pPr>
        <w:pStyle w:val="ListParagraph"/>
        <w:numPr>
          <w:ilvl w:val="0"/>
          <w:numId w:val="12"/>
        </w:numPr>
        <w:rPr>
          <w:color w:val="000000" w:themeColor="text1"/>
        </w:rPr>
      </w:pPr>
      <w:r w:rsidRPr="00C806D0">
        <w:rPr>
          <w:color w:val="000000" w:themeColor="text1"/>
        </w:rPr>
        <w:t>Neurosurgery/organization &amp; administration*</w:t>
      </w:r>
    </w:p>
    <w:p w:rsidR="00EB5320" w:rsidRPr="00C806D0" w:rsidRDefault="00EB5320" w:rsidP="00550C9C">
      <w:pPr>
        <w:pStyle w:val="ListParagraph"/>
        <w:numPr>
          <w:ilvl w:val="0"/>
          <w:numId w:val="12"/>
        </w:numPr>
        <w:rPr>
          <w:color w:val="000000" w:themeColor="text1"/>
        </w:rPr>
      </w:pPr>
      <w:r w:rsidRPr="00C806D0">
        <w:rPr>
          <w:color w:val="000000" w:themeColor="text1"/>
        </w:rPr>
        <w:t>Patient Transfer/</w:t>
      </w:r>
    </w:p>
    <w:p w:rsidR="00EB5320" w:rsidRPr="00C806D0" w:rsidRDefault="00EB5320" w:rsidP="00550C9C">
      <w:pPr>
        <w:pStyle w:val="ListParagraph"/>
        <w:numPr>
          <w:ilvl w:val="0"/>
          <w:numId w:val="12"/>
        </w:numPr>
        <w:rPr>
          <w:color w:val="000000" w:themeColor="text1"/>
        </w:rPr>
      </w:pPr>
      <w:r w:rsidRPr="00C806D0">
        <w:rPr>
          <w:color w:val="000000" w:themeColor="text1"/>
        </w:rPr>
        <w:t>Regional Medical Programs/</w:t>
      </w:r>
    </w:p>
    <w:p w:rsidR="00EB5320" w:rsidRPr="00C806D0" w:rsidRDefault="00EB5320" w:rsidP="00550C9C">
      <w:pPr>
        <w:pStyle w:val="ListParagraph"/>
        <w:numPr>
          <w:ilvl w:val="0"/>
          <w:numId w:val="12"/>
        </w:numPr>
        <w:rPr>
          <w:color w:val="000000" w:themeColor="text1"/>
        </w:rPr>
      </w:pPr>
      <w:r w:rsidRPr="00C806D0">
        <w:rPr>
          <w:color w:val="000000" w:themeColor="text1"/>
        </w:rPr>
        <w:t>Transportation of Patients/</w:t>
      </w:r>
    </w:p>
    <w:p w:rsidR="00EB5320" w:rsidRPr="00C806D0" w:rsidRDefault="00EB5320" w:rsidP="00550C9C">
      <w:pPr>
        <w:pStyle w:val="ListParagraph"/>
        <w:numPr>
          <w:ilvl w:val="0"/>
          <w:numId w:val="12"/>
        </w:numPr>
        <w:rPr>
          <w:color w:val="000000" w:themeColor="text1"/>
        </w:rPr>
      </w:pPr>
      <w:r w:rsidRPr="00C806D0">
        <w:rPr>
          <w:color w:val="000000" w:themeColor="text1"/>
        </w:rPr>
        <w:t>Triage/methods*</w:t>
      </w:r>
    </w:p>
    <w:p w:rsidR="00EB5320" w:rsidRPr="00C806D0" w:rsidRDefault="00EB5320" w:rsidP="00550C9C">
      <w:pPr>
        <w:pStyle w:val="ListParagraph"/>
        <w:numPr>
          <w:ilvl w:val="0"/>
          <w:numId w:val="12"/>
        </w:numPr>
        <w:rPr>
          <w:color w:val="000000" w:themeColor="text1"/>
        </w:rPr>
      </w:pPr>
      <w:r w:rsidRPr="00C806D0">
        <w:rPr>
          <w:color w:val="000000" w:themeColor="text1"/>
        </w:rPr>
        <w:t>*Ambulances/</w:t>
      </w:r>
    </w:p>
    <w:p w:rsidR="00EB5320" w:rsidRPr="00C806D0" w:rsidRDefault="00EB5320" w:rsidP="00550C9C">
      <w:pPr>
        <w:pStyle w:val="ListParagraph"/>
        <w:numPr>
          <w:ilvl w:val="0"/>
          <w:numId w:val="12"/>
        </w:numPr>
        <w:rPr>
          <w:color w:val="000000" w:themeColor="text1"/>
        </w:rPr>
      </w:pPr>
      <w:r w:rsidRPr="00C806D0">
        <w:rPr>
          <w:color w:val="000000" w:themeColor="text1"/>
        </w:rPr>
        <w:t xml:space="preserve">(ambulance$ and triage).mp. </w:t>
      </w:r>
    </w:p>
    <w:p w:rsidR="00EB5320" w:rsidRPr="00C806D0" w:rsidRDefault="00EB5320" w:rsidP="00550C9C">
      <w:pPr>
        <w:pStyle w:val="ListParagraph"/>
        <w:numPr>
          <w:ilvl w:val="0"/>
          <w:numId w:val="12"/>
        </w:numPr>
        <w:rPr>
          <w:rFonts w:eastAsia="Arial Unicode MS"/>
          <w:color w:val="000000" w:themeColor="text1"/>
        </w:rPr>
      </w:pPr>
      <w:r w:rsidRPr="00C806D0">
        <w:rPr>
          <w:rFonts w:eastAsia="Arial Unicode MS"/>
          <w:color w:val="000000" w:themeColor="text1"/>
        </w:rPr>
        <w:t xml:space="preserve">(prehospital adj triage).mp. </w:t>
      </w:r>
    </w:p>
    <w:p w:rsidR="00EB5320" w:rsidRPr="00C806D0" w:rsidRDefault="00EB5320" w:rsidP="00550C9C">
      <w:pPr>
        <w:pStyle w:val="ListParagraph"/>
        <w:numPr>
          <w:ilvl w:val="0"/>
          <w:numId w:val="12"/>
        </w:numPr>
        <w:rPr>
          <w:rFonts w:eastAsia="Arial Unicode MS"/>
          <w:color w:val="000000" w:themeColor="text1"/>
        </w:rPr>
      </w:pPr>
      <w:r w:rsidRPr="00C806D0">
        <w:rPr>
          <w:rFonts w:eastAsia="Arial Unicode MS"/>
          <w:color w:val="000000" w:themeColor="text1"/>
        </w:rPr>
        <w:t xml:space="preserve">(pre-hospital adj triage).mp. </w:t>
      </w:r>
    </w:p>
    <w:p w:rsidR="00EB5320" w:rsidRPr="00C806D0" w:rsidRDefault="00EB5320" w:rsidP="00550C9C">
      <w:pPr>
        <w:pStyle w:val="ListParagraph"/>
        <w:numPr>
          <w:ilvl w:val="0"/>
          <w:numId w:val="12"/>
        </w:numPr>
        <w:rPr>
          <w:rFonts w:eastAsia="Arial Unicode MS"/>
          <w:color w:val="000000" w:themeColor="text1"/>
        </w:rPr>
      </w:pPr>
      <w:r w:rsidRPr="00C806D0">
        <w:rPr>
          <w:color w:val="000000" w:themeColor="text1"/>
        </w:rPr>
        <w:t xml:space="preserve">(pre-hospital adj trauma adj triage).mp. </w:t>
      </w:r>
    </w:p>
    <w:p w:rsidR="00EB5320" w:rsidRPr="00C806D0" w:rsidRDefault="00EB5320" w:rsidP="00550C9C">
      <w:pPr>
        <w:pStyle w:val="ListParagraph"/>
        <w:numPr>
          <w:ilvl w:val="0"/>
          <w:numId w:val="12"/>
        </w:numPr>
        <w:rPr>
          <w:color w:val="000000" w:themeColor="text1"/>
        </w:rPr>
      </w:pPr>
      <w:r w:rsidRPr="00C806D0">
        <w:rPr>
          <w:color w:val="000000" w:themeColor="text1"/>
        </w:rPr>
        <w:t xml:space="preserve">(prehospital adj trauma adj triage).mp. </w:t>
      </w:r>
    </w:p>
    <w:p w:rsidR="00EB5320" w:rsidRPr="00C806D0" w:rsidRDefault="00EB5320" w:rsidP="00550C9C">
      <w:pPr>
        <w:pStyle w:val="ListParagraph"/>
        <w:numPr>
          <w:ilvl w:val="0"/>
          <w:numId w:val="12"/>
        </w:numPr>
        <w:rPr>
          <w:color w:val="000000" w:themeColor="text1"/>
        </w:rPr>
      </w:pPr>
      <w:r w:rsidRPr="00C806D0">
        <w:rPr>
          <w:color w:val="000000" w:themeColor="text1"/>
        </w:rPr>
        <w:t>((prehospital or pre-hospital) and triage and protocol$).mp</w:t>
      </w:r>
    </w:p>
    <w:p w:rsidR="00EB5320" w:rsidRPr="00C806D0" w:rsidRDefault="00EB5320" w:rsidP="00550C9C">
      <w:pPr>
        <w:pStyle w:val="ListParagraph"/>
        <w:numPr>
          <w:ilvl w:val="0"/>
          <w:numId w:val="12"/>
        </w:numPr>
        <w:rPr>
          <w:color w:val="000000" w:themeColor="text1"/>
        </w:rPr>
      </w:pPr>
      <w:r w:rsidRPr="00C806D0">
        <w:rPr>
          <w:color w:val="000000" w:themeColor="text1"/>
        </w:rPr>
        <w:t xml:space="preserve">regionali?ation.ti,ab. </w:t>
      </w:r>
    </w:p>
    <w:p w:rsidR="00EB5320" w:rsidRPr="00C806D0" w:rsidRDefault="00EB5320" w:rsidP="00550C9C">
      <w:pPr>
        <w:pStyle w:val="ListParagraph"/>
        <w:numPr>
          <w:ilvl w:val="0"/>
          <w:numId w:val="12"/>
        </w:numPr>
        <w:rPr>
          <w:color w:val="000000" w:themeColor="text1"/>
        </w:rPr>
      </w:pPr>
      <w:r w:rsidRPr="00C806D0">
        <w:rPr>
          <w:color w:val="000000" w:themeColor="text1"/>
        </w:rPr>
        <w:t xml:space="preserve">(direct adj1 (admitted or admission$)).ti,ab. </w:t>
      </w:r>
    </w:p>
    <w:p w:rsidR="00EB5320" w:rsidRPr="00C806D0" w:rsidRDefault="00EB5320" w:rsidP="00550C9C">
      <w:pPr>
        <w:pStyle w:val="ListParagraph"/>
        <w:numPr>
          <w:ilvl w:val="0"/>
          <w:numId w:val="12"/>
        </w:numPr>
        <w:rPr>
          <w:rFonts w:eastAsia="Arial Unicode MS"/>
          <w:color w:val="000000" w:themeColor="text1"/>
        </w:rPr>
      </w:pPr>
      <w:r w:rsidRPr="00C806D0">
        <w:rPr>
          <w:rFonts w:eastAsia="Arial Unicode MS"/>
          <w:color w:val="000000" w:themeColor="text1"/>
        </w:rPr>
        <w:t xml:space="preserve">(direct$ adj5 transport$).ti,ab. </w:t>
      </w:r>
    </w:p>
    <w:p w:rsidR="00EB5320" w:rsidRPr="00C806D0" w:rsidRDefault="00EB5320" w:rsidP="00550C9C">
      <w:pPr>
        <w:pStyle w:val="ListParagraph"/>
        <w:numPr>
          <w:ilvl w:val="0"/>
          <w:numId w:val="12"/>
        </w:numPr>
        <w:rPr>
          <w:rFonts w:eastAsia="Arial Unicode MS"/>
          <w:color w:val="000000" w:themeColor="text1"/>
        </w:rPr>
      </w:pPr>
      <w:r w:rsidRPr="00C806D0">
        <w:rPr>
          <w:rFonts w:eastAsia="Arial Unicode MS"/>
          <w:color w:val="000000" w:themeColor="text1"/>
        </w:rPr>
        <w:t xml:space="preserve">(direct$ adj5 admi$).ti,ab. </w:t>
      </w:r>
    </w:p>
    <w:p w:rsidR="00EB5320" w:rsidRPr="00C806D0" w:rsidRDefault="00EB5320" w:rsidP="00550C9C">
      <w:pPr>
        <w:pStyle w:val="ListParagraph"/>
        <w:numPr>
          <w:ilvl w:val="0"/>
          <w:numId w:val="12"/>
        </w:numPr>
        <w:rPr>
          <w:rFonts w:eastAsia="Arial Unicode MS"/>
          <w:color w:val="000000" w:themeColor="text1"/>
        </w:rPr>
      </w:pPr>
      <w:r w:rsidRPr="00C806D0">
        <w:rPr>
          <w:rFonts w:eastAsia="Arial Unicode MS"/>
          <w:color w:val="000000" w:themeColor="text1"/>
        </w:rPr>
        <w:t>(hospital$ adj bypass$).mp.</w:t>
      </w:r>
    </w:p>
    <w:p w:rsidR="00EB5320" w:rsidRPr="00C806D0" w:rsidRDefault="00EB5320" w:rsidP="00550C9C">
      <w:pPr>
        <w:pStyle w:val="ListParagraph"/>
        <w:numPr>
          <w:ilvl w:val="0"/>
          <w:numId w:val="12"/>
        </w:numPr>
        <w:rPr>
          <w:rFonts w:eastAsia="Arial Unicode MS"/>
          <w:color w:val="000000" w:themeColor="text1"/>
        </w:rPr>
      </w:pPr>
      <w:r w:rsidRPr="00C806D0">
        <w:rPr>
          <w:rFonts w:eastAsia="Arial Unicode MS"/>
          <w:color w:val="000000" w:themeColor="text1"/>
        </w:rPr>
        <w:t xml:space="preserve">(direct$ adj3 transfer$).mp. </w:t>
      </w:r>
    </w:p>
    <w:p w:rsidR="00EB5320" w:rsidRPr="00C806D0" w:rsidRDefault="00EB5320" w:rsidP="00550C9C">
      <w:pPr>
        <w:pStyle w:val="ListParagraph"/>
        <w:numPr>
          <w:ilvl w:val="0"/>
          <w:numId w:val="12"/>
        </w:numPr>
        <w:rPr>
          <w:rFonts w:eastAsia="Arial Unicode MS"/>
          <w:color w:val="000000" w:themeColor="text1"/>
        </w:rPr>
      </w:pPr>
      <w:r w:rsidRPr="00C806D0">
        <w:rPr>
          <w:rFonts w:eastAsia="Arial Unicode MS"/>
          <w:color w:val="000000" w:themeColor="text1"/>
        </w:rPr>
        <w:t xml:space="preserve">(bypass$ adj3 protocol$).mp. </w:t>
      </w:r>
    </w:p>
    <w:p w:rsidR="00EB5320" w:rsidRPr="00C806D0" w:rsidRDefault="00EB5320" w:rsidP="00550C9C">
      <w:pPr>
        <w:pStyle w:val="ListParagraph"/>
        <w:numPr>
          <w:ilvl w:val="0"/>
          <w:numId w:val="12"/>
        </w:numPr>
        <w:rPr>
          <w:color w:val="000000" w:themeColor="text1"/>
        </w:rPr>
      </w:pPr>
      <w:r w:rsidRPr="00C806D0">
        <w:rPr>
          <w:color w:val="000000" w:themeColor="text1"/>
        </w:rPr>
        <w:t xml:space="preserve">(trauma care system$ or rapid transfer$ or integrated transfer system$).ti,ab. </w:t>
      </w:r>
    </w:p>
    <w:p w:rsidR="00EB5320" w:rsidRPr="00C806D0" w:rsidRDefault="00EB5320" w:rsidP="00550C9C">
      <w:pPr>
        <w:pStyle w:val="ListParagraph"/>
        <w:numPr>
          <w:ilvl w:val="0"/>
          <w:numId w:val="12"/>
        </w:numPr>
        <w:rPr>
          <w:color w:val="000000" w:themeColor="text1"/>
        </w:rPr>
      </w:pPr>
      <w:r w:rsidRPr="00C806D0">
        <w:rPr>
          <w:color w:val="000000" w:themeColor="text1"/>
        </w:rPr>
        <w:t xml:space="preserve">trauma care.ti.  </w:t>
      </w:r>
    </w:p>
    <w:p w:rsidR="00EB5320" w:rsidRPr="00C806D0" w:rsidRDefault="00EB5320" w:rsidP="00550C9C">
      <w:pPr>
        <w:pStyle w:val="ListParagraph"/>
        <w:numPr>
          <w:ilvl w:val="0"/>
          <w:numId w:val="12"/>
        </w:numPr>
        <w:rPr>
          <w:rFonts w:eastAsia="Arial Unicode MS"/>
          <w:color w:val="000000" w:themeColor="text1"/>
        </w:rPr>
      </w:pPr>
      <w:r w:rsidRPr="00C806D0">
        <w:rPr>
          <w:rFonts w:eastAsia="Arial Unicode MS"/>
          <w:color w:val="000000" w:themeColor="text1"/>
        </w:rPr>
        <w:t>trauma network$.ti,ab.</w:t>
      </w:r>
    </w:p>
    <w:p w:rsidR="00EB5320" w:rsidRPr="00C806D0" w:rsidRDefault="00EB5320" w:rsidP="00550C9C">
      <w:pPr>
        <w:pStyle w:val="ListParagraph"/>
        <w:numPr>
          <w:ilvl w:val="0"/>
          <w:numId w:val="12"/>
        </w:numPr>
        <w:rPr>
          <w:rFonts w:eastAsia="Arial Unicode MS"/>
          <w:color w:val="000000" w:themeColor="text1"/>
        </w:rPr>
      </w:pPr>
      <w:r w:rsidRPr="00C806D0">
        <w:rPr>
          <w:rFonts w:eastAsia="Arial Unicode MS"/>
          <w:color w:val="000000" w:themeColor="text1"/>
        </w:rPr>
        <w:t>trauma system$.ti,ab</w:t>
      </w:r>
    </w:p>
    <w:p w:rsidR="00EB5320" w:rsidRPr="00C806D0" w:rsidRDefault="00EB5320" w:rsidP="00550C9C">
      <w:pPr>
        <w:pStyle w:val="ListParagraph"/>
        <w:numPr>
          <w:ilvl w:val="0"/>
          <w:numId w:val="12"/>
        </w:numPr>
        <w:rPr>
          <w:rFonts w:eastAsia="Times New Roman"/>
          <w:color w:val="000000"/>
          <w:lang w:eastAsia="en-GB"/>
        </w:rPr>
      </w:pPr>
      <w:r w:rsidRPr="00C806D0">
        <w:rPr>
          <w:rFonts w:eastAsia="Arial Unicode MS"/>
          <w:color w:val="000000" w:themeColor="text1"/>
        </w:rPr>
        <w:t xml:space="preserve">triage.ti,ab. </w:t>
      </w:r>
    </w:p>
    <w:p w:rsidR="00EB5320" w:rsidRPr="00C806D0" w:rsidRDefault="00EB5320" w:rsidP="00550C9C">
      <w:pPr>
        <w:pStyle w:val="ListParagraph"/>
        <w:numPr>
          <w:ilvl w:val="0"/>
          <w:numId w:val="12"/>
        </w:numPr>
        <w:rPr>
          <w:rFonts w:eastAsia="Times New Roman"/>
          <w:color w:val="000000"/>
          <w:lang w:eastAsia="en-GB"/>
        </w:rPr>
      </w:pPr>
      <w:r w:rsidRPr="00C806D0">
        <w:rPr>
          <w:rFonts w:eastAsia="Arial Unicode MS"/>
        </w:rPr>
        <w:t xml:space="preserve">(direct$ adj3 transfer$).mp. </w:t>
      </w:r>
    </w:p>
    <w:p w:rsidR="00EB5320" w:rsidRPr="00C806D0" w:rsidRDefault="00EB5320" w:rsidP="00550C9C">
      <w:pPr>
        <w:pStyle w:val="ListParagraph"/>
        <w:numPr>
          <w:ilvl w:val="0"/>
          <w:numId w:val="12"/>
        </w:numPr>
        <w:rPr>
          <w:rFonts w:eastAsia="Arial Unicode MS"/>
        </w:rPr>
      </w:pPr>
      <w:r w:rsidRPr="00C806D0">
        <w:rPr>
          <w:rFonts w:eastAsia="Arial Unicode MS"/>
        </w:rPr>
        <w:t xml:space="preserve">Trauma Centers/ </w:t>
      </w:r>
    </w:p>
    <w:p w:rsidR="00EB5320" w:rsidRPr="00C806D0" w:rsidRDefault="00EB5320" w:rsidP="00550C9C">
      <w:pPr>
        <w:pStyle w:val="ListParagraph"/>
        <w:numPr>
          <w:ilvl w:val="0"/>
          <w:numId w:val="12"/>
        </w:numPr>
        <w:rPr>
          <w:rFonts w:eastAsia="Arial Unicode MS"/>
        </w:rPr>
      </w:pPr>
      <w:r w:rsidRPr="00C806D0">
        <w:rPr>
          <w:rFonts w:eastAsia="Arial Unicode MS"/>
        </w:rPr>
        <w:t xml:space="preserve">trauma cent$.tw. </w:t>
      </w:r>
    </w:p>
    <w:p w:rsidR="00EB5320" w:rsidRPr="00C806D0" w:rsidRDefault="00EB5320" w:rsidP="00550C9C">
      <w:pPr>
        <w:pStyle w:val="ListParagraph"/>
        <w:numPr>
          <w:ilvl w:val="0"/>
          <w:numId w:val="12"/>
        </w:numPr>
        <w:rPr>
          <w:rFonts w:eastAsia="Arial Unicode MS"/>
        </w:rPr>
      </w:pPr>
      <w:r w:rsidRPr="00C806D0">
        <w:rPr>
          <w:rFonts w:eastAsia="Arial Unicode MS"/>
        </w:rPr>
        <w:t xml:space="preserve">(regional adj2 (cent$ or unit$ or hospital$ or facilit$)).tw. </w:t>
      </w:r>
    </w:p>
    <w:p w:rsidR="00EB5320" w:rsidRPr="00C806D0" w:rsidRDefault="00EB5320" w:rsidP="00550C9C">
      <w:pPr>
        <w:pStyle w:val="ListParagraph"/>
        <w:numPr>
          <w:ilvl w:val="0"/>
          <w:numId w:val="12"/>
        </w:numPr>
        <w:rPr>
          <w:rFonts w:eastAsia="Arial Unicode MS"/>
        </w:rPr>
      </w:pPr>
      <w:r w:rsidRPr="00C806D0">
        <w:rPr>
          <w:rFonts w:eastAsia="Arial Unicode MS"/>
        </w:rPr>
        <w:t xml:space="preserve">(speciali$ adj2 (cent$ or unit$ or hospital$ or facilit$)).tw. </w:t>
      </w:r>
    </w:p>
    <w:p w:rsidR="00EB5320" w:rsidRPr="00C806D0" w:rsidRDefault="00EB5320" w:rsidP="00550C9C">
      <w:pPr>
        <w:pStyle w:val="ListParagraph"/>
        <w:numPr>
          <w:ilvl w:val="0"/>
          <w:numId w:val="12"/>
        </w:numPr>
        <w:rPr>
          <w:rFonts w:eastAsia="Arial Unicode MS"/>
        </w:rPr>
      </w:pPr>
      <w:r w:rsidRPr="00C806D0">
        <w:rPr>
          <w:rFonts w:eastAsia="Arial Unicode MS"/>
        </w:rPr>
        <w:t xml:space="preserve">(tertiary adj2 (cent$ or unit$ or hospital$ or facilit$)).tw. </w:t>
      </w:r>
    </w:p>
    <w:p w:rsidR="00EB5320" w:rsidRPr="00C806D0" w:rsidRDefault="00EB5320" w:rsidP="00550C9C">
      <w:pPr>
        <w:pStyle w:val="ListParagraph"/>
        <w:numPr>
          <w:ilvl w:val="0"/>
          <w:numId w:val="12"/>
        </w:numPr>
        <w:rPr>
          <w:rFonts w:eastAsia="Arial Unicode MS"/>
        </w:rPr>
      </w:pPr>
      <w:r w:rsidRPr="00C806D0">
        <w:rPr>
          <w:rFonts w:eastAsia="Arial Unicode MS"/>
        </w:rPr>
        <w:lastRenderedPageBreak/>
        <w:t xml:space="preserve">(neurosurgical adj2 (cent$ or unit$ or hospital$ or facilit$)).tw. </w:t>
      </w:r>
    </w:p>
    <w:p w:rsidR="00EB5320" w:rsidRPr="00C806D0" w:rsidRDefault="00EB5320" w:rsidP="00550C9C">
      <w:pPr>
        <w:pStyle w:val="ListParagraph"/>
        <w:numPr>
          <w:ilvl w:val="0"/>
          <w:numId w:val="12"/>
        </w:numPr>
        <w:rPr>
          <w:rFonts w:eastAsia="Arial Unicode MS"/>
        </w:rPr>
      </w:pPr>
      <w:r w:rsidRPr="00C806D0">
        <w:rPr>
          <w:rFonts w:eastAsia="Arial Unicode MS"/>
        </w:rPr>
        <w:t xml:space="preserve">(critical care adj (cent$ or unit$ or hospital$ or facilit$)).tw. </w:t>
      </w:r>
    </w:p>
    <w:p w:rsidR="00EB5320" w:rsidRPr="00C806D0" w:rsidRDefault="00EB5320" w:rsidP="00550C9C">
      <w:pPr>
        <w:pStyle w:val="ListParagraph"/>
        <w:numPr>
          <w:ilvl w:val="0"/>
          <w:numId w:val="12"/>
        </w:numPr>
        <w:rPr>
          <w:rFonts w:eastAsia="Arial Unicode MS"/>
        </w:rPr>
      </w:pPr>
      <w:r w:rsidRPr="00C806D0">
        <w:rPr>
          <w:rFonts w:eastAsia="Arial Unicode MS"/>
        </w:rPr>
        <w:t>or/7-39</w:t>
      </w:r>
    </w:p>
    <w:p w:rsidR="00EB5320" w:rsidRPr="00C806D0" w:rsidRDefault="00EB5320" w:rsidP="00550C9C">
      <w:pPr>
        <w:pStyle w:val="ListParagraph"/>
        <w:numPr>
          <w:ilvl w:val="0"/>
          <w:numId w:val="12"/>
        </w:numPr>
        <w:rPr>
          <w:rFonts w:eastAsia="Calibri"/>
        </w:rPr>
      </w:pPr>
      <w:r w:rsidRPr="00C806D0">
        <w:t>l</w:t>
      </w:r>
      <w:r w:rsidRPr="00C806D0">
        <w:rPr>
          <w:rFonts w:eastAsia="Calibri"/>
        </w:rPr>
        <w:t>etter.pt.</w:t>
      </w:r>
    </w:p>
    <w:p w:rsidR="00EB5320" w:rsidRPr="00C806D0" w:rsidRDefault="00EB5320" w:rsidP="00550C9C">
      <w:pPr>
        <w:pStyle w:val="ListParagraph"/>
        <w:numPr>
          <w:ilvl w:val="0"/>
          <w:numId w:val="12"/>
        </w:numPr>
        <w:rPr>
          <w:rFonts w:eastAsia="Calibri"/>
        </w:rPr>
      </w:pPr>
      <w:r w:rsidRPr="00C806D0">
        <w:rPr>
          <w:rFonts w:eastAsia="Calibri"/>
        </w:rPr>
        <w:t>comment.pt.</w:t>
      </w:r>
    </w:p>
    <w:p w:rsidR="00EB5320" w:rsidRPr="00C806D0" w:rsidRDefault="00EB5320" w:rsidP="00550C9C">
      <w:pPr>
        <w:pStyle w:val="ListParagraph"/>
        <w:numPr>
          <w:ilvl w:val="0"/>
          <w:numId w:val="12"/>
        </w:numPr>
        <w:rPr>
          <w:rFonts w:eastAsia="Calibri"/>
        </w:rPr>
      </w:pPr>
      <w:r w:rsidRPr="00C806D0">
        <w:rPr>
          <w:rFonts w:eastAsia="Calibri"/>
        </w:rPr>
        <w:t>editorial.pt.</w:t>
      </w:r>
    </w:p>
    <w:p w:rsidR="00EB5320" w:rsidRPr="00C806D0" w:rsidRDefault="00EB5320" w:rsidP="00550C9C">
      <w:pPr>
        <w:pStyle w:val="ListParagraph"/>
        <w:numPr>
          <w:ilvl w:val="0"/>
          <w:numId w:val="12"/>
        </w:numPr>
        <w:rPr>
          <w:rFonts w:eastAsia="Calibri"/>
        </w:rPr>
      </w:pPr>
      <w:r w:rsidRPr="00C806D0">
        <w:t>or/40-42</w:t>
      </w:r>
    </w:p>
    <w:p w:rsidR="00EB5320" w:rsidRPr="00C806D0" w:rsidRDefault="00EB5320" w:rsidP="00550C9C">
      <w:pPr>
        <w:pStyle w:val="ListParagraph"/>
        <w:numPr>
          <w:ilvl w:val="0"/>
          <w:numId w:val="12"/>
        </w:numPr>
      </w:pPr>
      <w:r w:rsidRPr="00C806D0">
        <w:t>39 not 43</w:t>
      </w:r>
    </w:p>
    <w:p w:rsidR="00EB5320" w:rsidRPr="00C806D0" w:rsidRDefault="00EB5320" w:rsidP="00550C9C">
      <w:pPr>
        <w:pStyle w:val="ListParagraph"/>
        <w:numPr>
          <w:ilvl w:val="0"/>
          <w:numId w:val="12"/>
        </w:numPr>
      </w:pPr>
      <w:r w:rsidRPr="00C806D0">
        <w:t>6 and 44</w:t>
      </w:r>
    </w:p>
    <w:p w:rsidR="00EB5320" w:rsidRPr="00C806D0" w:rsidRDefault="00EB5320" w:rsidP="002A360F">
      <w:pPr>
        <w:pStyle w:val="Heading3"/>
      </w:pPr>
      <w:r w:rsidRPr="00C806D0">
        <w:t>Systematic review examining the relative effectiveness of routine transfer and no transfer management strategies in patients with non-surgical significant TBI injured closest to a NSAH</w:t>
      </w:r>
    </w:p>
    <w:p w:rsidR="00EB5320" w:rsidRPr="00C806D0" w:rsidRDefault="00EB5320" w:rsidP="00EB5320">
      <w:pPr>
        <w:pStyle w:val="Heading4"/>
        <w:rPr>
          <w:caps/>
        </w:rPr>
      </w:pPr>
      <w:r w:rsidRPr="00C806D0">
        <w:t>Information sources</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 xml:space="preserve">Cochrane Database of Systematic Reviews </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Database of Abstracts of Reviews of Effectiveness</w:t>
      </w:r>
    </w:p>
    <w:p w:rsidR="00EB5320" w:rsidRPr="00C806D0" w:rsidRDefault="00EB5320" w:rsidP="00550C9C">
      <w:pPr>
        <w:pStyle w:val="ListParagraph"/>
        <w:numPr>
          <w:ilvl w:val="0"/>
          <w:numId w:val="13"/>
        </w:numPr>
        <w:rPr>
          <w:rFonts w:ascii="Calibri" w:hAnsi="Calibri"/>
          <w:color w:val="000000"/>
          <w:lang w:eastAsia="en-GB"/>
        </w:rPr>
      </w:pPr>
      <w:r w:rsidRPr="00C806D0">
        <w:rPr>
          <w:rStyle w:val="Emphasis"/>
          <w:rFonts w:ascii="Calibri" w:hAnsi="Calibri" w:cs="Arial"/>
          <w:bCs/>
          <w:i w:val="0"/>
          <w:color w:val="000000"/>
          <w:shd w:val="clear" w:color="auto" w:fill="FFFFFF"/>
        </w:rPr>
        <w:t>Cochrane Central</w:t>
      </w:r>
      <w:r w:rsidRPr="00C806D0">
        <w:rPr>
          <w:rStyle w:val="apple-converted-space"/>
          <w:rFonts w:ascii="Calibri" w:hAnsi="Calibri" w:cs="Arial"/>
          <w:i/>
          <w:color w:val="222222"/>
          <w:shd w:val="clear" w:color="auto" w:fill="FFFFFF"/>
        </w:rPr>
        <w:t> </w:t>
      </w:r>
      <w:r w:rsidRPr="00C806D0">
        <w:rPr>
          <w:rFonts w:ascii="Calibri" w:hAnsi="Calibri"/>
          <w:color w:val="222222"/>
          <w:shd w:val="clear" w:color="auto" w:fill="FFFFFF"/>
        </w:rPr>
        <w:t>Register of Controlled Trials</w:t>
      </w:r>
      <w:r w:rsidRPr="00C806D0">
        <w:rPr>
          <w:rFonts w:ascii="Calibri" w:hAnsi="Calibri"/>
          <w:color w:val="000000"/>
          <w:lang w:eastAsia="en-GB"/>
        </w:rPr>
        <w:t xml:space="preserve"> </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Cochrane Injuries Group Specialised Register</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metaRegister of Controlled Trials</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lang w:eastAsia="en-GB"/>
        </w:rPr>
        <w:t xml:space="preserve">ClinicalTrials.gov </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 xml:space="preserve">MEDLINE </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 xml:space="preserve">EMBASE </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CINAHL</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 xml:space="preserve">Science Citation Index </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lang w:eastAsia="en-GB"/>
        </w:rPr>
        <w:t>Conference Proceedings Citation Index – Science</w:t>
      </w:r>
      <w:r w:rsidRPr="00C806D0">
        <w:rPr>
          <w:rFonts w:ascii="Calibri" w:hAnsi="Calibri"/>
          <w:color w:val="000000"/>
          <w:lang w:eastAsia="en-GB"/>
        </w:rPr>
        <w:t xml:space="preserve"> </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lang w:eastAsia="en-GB"/>
        </w:rPr>
        <w:t>BIOSIS preview</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SIGLE</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Index to UK Theses</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color w:val="000000"/>
          <w:lang w:eastAsia="en-GB"/>
        </w:rPr>
        <w:t>ProQuest Dissertation &amp; Theses Database</w:t>
      </w:r>
    </w:p>
    <w:p w:rsidR="00EB5320" w:rsidRPr="00C806D0" w:rsidRDefault="00EB5320" w:rsidP="00550C9C">
      <w:pPr>
        <w:pStyle w:val="ListParagraph"/>
        <w:numPr>
          <w:ilvl w:val="0"/>
          <w:numId w:val="13"/>
        </w:numPr>
        <w:rPr>
          <w:rFonts w:ascii="Calibri" w:hAnsi="Calibri"/>
          <w:color w:val="000000"/>
          <w:lang w:eastAsia="en-GB"/>
        </w:rPr>
      </w:pPr>
      <w:r w:rsidRPr="00C806D0">
        <w:rPr>
          <w:rFonts w:ascii="Calibri" w:hAnsi="Calibri"/>
          <w:lang w:eastAsia="en-GB"/>
        </w:rPr>
        <w:t xml:space="preserve">NIHR CRN Portfolio database, NRR Archive, </w:t>
      </w:r>
      <w:r w:rsidRPr="00C806D0">
        <w:rPr>
          <w:rFonts w:ascii="Calibri" w:hAnsi="Calibri"/>
          <w:color w:val="000000"/>
          <w:lang w:eastAsia="en-GB"/>
        </w:rPr>
        <w:t>Health Technology Assessment Agency, National Institute of Clinical Excellence websites</w:t>
      </w:r>
    </w:p>
    <w:p w:rsidR="00EB5320" w:rsidRPr="00C806D0" w:rsidRDefault="00EB5320" w:rsidP="00550C9C">
      <w:pPr>
        <w:pStyle w:val="ListParagraph"/>
        <w:numPr>
          <w:ilvl w:val="0"/>
          <w:numId w:val="13"/>
        </w:numPr>
        <w:rPr>
          <w:rFonts w:ascii="Calibri" w:hAnsi="Calibri"/>
        </w:rPr>
      </w:pPr>
      <w:r w:rsidRPr="00C806D0">
        <w:rPr>
          <w:rFonts w:ascii="Calibri" w:hAnsi="Calibri"/>
          <w:color w:val="000000"/>
          <w:lang w:eastAsia="en-GB"/>
        </w:rPr>
        <w:t xml:space="preserve">National Clinical Guidelines Clearing House, Scottish Intercollegiate Guidelines Network, </w:t>
      </w:r>
      <w:r w:rsidRPr="00C806D0">
        <w:rPr>
          <w:rFonts w:ascii="Calibri" w:hAnsi="Calibri"/>
        </w:rPr>
        <w:t>Australian National Health and Medical Research Council: Clinical Practice Guidelines, Canadian Medical Association – Infobase: Clinical Practice Guidelines, New Zealand Guidelines Group websites.</w:t>
      </w:r>
    </w:p>
    <w:p w:rsidR="00EB5320" w:rsidRPr="00C806D0" w:rsidRDefault="00EB5320" w:rsidP="00550C9C">
      <w:pPr>
        <w:pStyle w:val="ListParagraph"/>
        <w:numPr>
          <w:ilvl w:val="0"/>
          <w:numId w:val="13"/>
        </w:numPr>
        <w:rPr>
          <w:rFonts w:ascii="Calibri" w:hAnsi="Calibri"/>
        </w:rPr>
      </w:pPr>
      <w:r w:rsidRPr="00C806D0">
        <w:rPr>
          <w:rFonts w:ascii="Calibri" w:hAnsi="Calibri"/>
        </w:rPr>
        <w:lastRenderedPageBreak/>
        <w:t>Checking  reference lists of retrieved article</w:t>
      </w:r>
    </w:p>
    <w:p w:rsidR="00EB5320" w:rsidRPr="00C806D0" w:rsidRDefault="00EB5320" w:rsidP="00550C9C">
      <w:pPr>
        <w:pStyle w:val="ListParagraph"/>
        <w:numPr>
          <w:ilvl w:val="0"/>
          <w:numId w:val="13"/>
        </w:numPr>
        <w:rPr>
          <w:rFonts w:ascii="Calibri" w:hAnsi="Calibri"/>
        </w:rPr>
      </w:pPr>
      <w:r w:rsidRPr="00C806D0">
        <w:rPr>
          <w:rFonts w:ascii="Calibri" w:hAnsi="Calibri"/>
        </w:rPr>
        <w:t>Checking reference lists of existing literature reviews</w:t>
      </w:r>
    </w:p>
    <w:p w:rsidR="00EB5320" w:rsidRPr="00C806D0" w:rsidRDefault="00EB5320" w:rsidP="00550C9C">
      <w:pPr>
        <w:pStyle w:val="ListParagraph"/>
        <w:numPr>
          <w:ilvl w:val="0"/>
          <w:numId w:val="13"/>
        </w:numPr>
        <w:rPr>
          <w:rFonts w:ascii="Calibri" w:hAnsi="Calibri"/>
        </w:rPr>
      </w:pPr>
      <w:r w:rsidRPr="00C806D0">
        <w:rPr>
          <w:rFonts w:ascii="Calibri" w:hAnsi="Calibri"/>
        </w:rPr>
        <w:t>Correspondence with experts in the field, and relevant study authors</w:t>
      </w:r>
    </w:p>
    <w:p w:rsidR="00EB5320" w:rsidRPr="00C806D0" w:rsidRDefault="00EB5320" w:rsidP="00EB5320">
      <w:pPr>
        <w:pStyle w:val="Heading4"/>
        <w:rPr>
          <w:lang w:eastAsia="en-GB"/>
        </w:rPr>
      </w:pPr>
      <w:r w:rsidRPr="00C806D0">
        <w:rPr>
          <w:lang w:eastAsia="en-GB"/>
        </w:rPr>
        <w:t>Search limits</w:t>
      </w:r>
    </w:p>
    <w:p w:rsidR="00EB5320" w:rsidRPr="00C806D0" w:rsidRDefault="00EB5320" w:rsidP="00EB5320">
      <w:pPr>
        <w:rPr>
          <w:rFonts w:ascii="Calibri" w:hAnsi="Calibri"/>
          <w:lang w:eastAsia="en-GB"/>
        </w:rPr>
      </w:pPr>
      <w:r w:rsidRPr="00C806D0">
        <w:rPr>
          <w:rFonts w:ascii="Calibri" w:hAnsi="Calibri"/>
        </w:rPr>
        <w:t>T</w:t>
      </w:r>
      <w:r w:rsidRPr="00C806D0">
        <w:rPr>
          <w:rFonts w:ascii="Calibri" w:hAnsi="Calibri"/>
          <w:lang w:eastAsia="en-GB"/>
        </w:rPr>
        <w:t xml:space="preserve">he MEDLINE/EMBASE search is listed below and was adapted for use in other data sources. </w:t>
      </w:r>
    </w:p>
    <w:p w:rsidR="00EB5320" w:rsidRPr="00C806D0" w:rsidRDefault="00EB5320" w:rsidP="00EB5320">
      <w:pPr>
        <w:rPr>
          <w:rStyle w:val="dbdate"/>
          <w:rFonts w:ascii="Calibri" w:hAnsi="Calibri" w:cs="Arial"/>
        </w:rPr>
      </w:pPr>
      <w:r w:rsidRPr="00C806D0">
        <w:rPr>
          <w:rFonts w:ascii="Calibri" w:hAnsi="Calibri"/>
          <w:b/>
        </w:rPr>
        <w:t>Platform:</w:t>
      </w:r>
      <w:r w:rsidRPr="00C806D0">
        <w:rPr>
          <w:rFonts w:ascii="Calibri" w:hAnsi="Calibri"/>
        </w:rPr>
        <w:t xml:space="preserve"> </w:t>
      </w:r>
      <w:r w:rsidRPr="00C806D0">
        <w:rPr>
          <w:rStyle w:val="dbname"/>
          <w:rFonts w:ascii="Calibri" w:hAnsi="Calibri" w:cs="Arial"/>
        </w:rPr>
        <w:t>Diaglog Proquest</w:t>
      </w:r>
    </w:p>
    <w:p w:rsidR="00EB5320" w:rsidRPr="00C806D0" w:rsidRDefault="00EB5320" w:rsidP="00EB5320">
      <w:pPr>
        <w:rPr>
          <w:rFonts w:ascii="Calibri" w:hAnsi="Calibri"/>
        </w:rPr>
      </w:pPr>
      <w:r w:rsidRPr="00C806D0">
        <w:rPr>
          <w:rFonts w:ascii="Calibri" w:hAnsi="Calibri"/>
          <w:b/>
        </w:rPr>
        <w:t>Date limits:</w:t>
      </w:r>
      <w:r w:rsidRPr="00C806D0">
        <w:rPr>
          <w:rFonts w:ascii="Calibri" w:hAnsi="Calibri"/>
        </w:rPr>
        <w:t xml:space="preserve"> 1975 – Week 4, 2013.  Current awareness searches conducted to week 33, 2013</w:t>
      </w:r>
    </w:p>
    <w:p w:rsidR="00EB5320" w:rsidRPr="00C806D0" w:rsidRDefault="00EB5320" w:rsidP="00EB5320">
      <w:pPr>
        <w:rPr>
          <w:rFonts w:ascii="Calibri" w:hAnsi="Calibri"/>
        </w:rPr>
      </w:pPr>
      <w:r w:rsidRPr="00C806D0">
        <w:rPr>
          <w:rFonts w:ascii="Calibri" w:hAnsi="Calibri"/>
          <w:b/>
        </w:rPr>
        <w:t>Other limits:</w:t>
      </w:r>
      <w:r w:rsidRPr="00C806D0">
        <w:rPr>
          <w:rFonts w:ascii="Calibri" w:hAnsi="Calibri"/>
        </w:rPr>
        <w:t xml:space="preserve"> Human only, no editorials/comments/letters</w:t>
      </w:r>
    </w:p>
    <w:p w:rsidR="00EB5320" w:rsidRPr="00C806D0" w:rsidRDefault="00EB5320" w:rsidP="00EB5320">
      <w:pPr>
        <w:pStyle w:val="Heading4"/>
      </w:pPr>
      <w:r w:rsidRPr="00C806D0">
        <w:t>Search strategy</w:t>
      </w:r>
    </w:p>
    <w:p w:rsidR="00EB5320" w:rsidRPr="00C806D0" w:rsidRDefault="00EB5320" w:rsidP="00EB5320">
      <w:pPr>
        <w:rPr>
          <w:lang w:eastAsia="en-GB"/>
        </w:rPr>
      </w:pPr>
      <w:r w:rsidRPr="00C806D0">
        <w:rPr>
          <w:lang w:eastAsia="en-GB"/>
        </w:rPr>
        <w:t>S1 MESH.EXACT("Brain Injuries") OR MESH.EXACT("Diffuse Axonal Injury") OR MESH.EXACT("Coma, Post-Head Injury") OR MESH.EXACT("Head Injuries, Closed") OR MESH.EXACT("Craniocerebral Trauma -- classification")</w:t>
      </w:r>
    </w:p>
    <w:p w:rsidR="00EB5320" w:rsidRPr="00C806D0" w:rsidRDefault="00EB5320" w:rsidP="00EB5320">
      <w:pPr>
        <w:rPr>
          <w:lang w:eastAsia="en-GB"/>
        </w:rPr>
      </w:pPr>
      <w:r w:rsidRPr="00C806D0">
        <w:rPr>
          <w:lang w:eastAsia="en-GB"/>
        </w:rPr>
        <w:t>S2 ti,ab((cerebral or craniocerebral or cranio pre/0 cerebral or cranio-cerebral or intracranial or intra pre/0 cranial or or intra-cranial or intercranial or inter-cranial or neurological or head$1 or brain$1) near/5 (trauma$3))</w:t>
      </w:r>
    </w:p>
    <w:p w:rsidR="00EB5320" w:rsidRPr="00C806D0" w:rsidRDefault="00EB5320" w:rsidP="00EB5320">
      <w:pPr>
        <w:rPr>
          <w:lang w:eastAsia="en-GB"/>
        </w:rPr>
      </w:pPr>
      <w:r w:rsidRPr="00C806D0">
        <w:rPr>
          <w:lang w:eastAsia="en-GB"/>
        </w:rPr>
        <w:t>S3 ti,ab((cerebral or craniocerebral or cranio pre/0 cerebral or cranio-cerebral or intracranial or intra pre/0 cranial or or intra-cranial or intercranial or inter-cranial or neurological or head$1 or brain$1) near/5 (injur$3))</w:t>
      </w:r>
    </w:p>
    <w:p w:rsidR="00EB5320" w:rsidRPr="00C806D0" w:rsidRDefault="00EB5320" w:rsidP="00EB5320">
      <w:pPr>
        <w:rPr>
          <w:lang w:eastAsia="en-GB"/>
        </w:rPr>
      </w:pPr>
      <w:r w:rsidRPr="00C806D0">
        <w:rPr>
          <w:lang w:eastAsia="en-GB"/>
        </w:rPr>
        <w:t>S4 ti,ab((cerebral or craniocerebral or cranio pre/0 cerebral or cranio-cerebral or intracranial or intra pre/0 cranial or or intra-cranial or intercranial or inter-cranial or neurological or head$1 or brain$1) near/5 (lesion$1))</w:t>
      </w:r>
    </w:p>
    <w:p w:rsidR="00EB5320" w:rsidRPr="00C806D0" w:rsidRDefault="00EB5320" w:rsidP="00EB5320">
      <w:pPr>
        <w:rPr>
          <w:lang w:eastAsia="en-GB"/>
        </w:rPr>
      </w:pPr>
      <w:r w:rsidRPr="00C806D0">
        <w:rPr>
          <w:lang w:eastAsia="en-GB"/>
        </w:rPr>
        <w:t>S5 ti,ab((traumatic) pre/0 (cerebral or craniocerebral or cranio pre/0 cerebral or neurological or intracranial or intra pre/0 cranial or cranio-cerebral or intra-cranial or head$1 or brain$1)) and (injur$3 or trauma or lesion$1)</w:t>
      </w:r>
    </w:p>
    <w:p w:rsidR="00EB5320" w:rsidRPr="00C806D0" w:rsidRDefault="00EB5320" w:rsidP="00EB5320">
      <w:pPr>
        <w:rPr>
          <w:lang w:eastAsia="en-GB"/>
        </w:rPr>
      </w:pPr>
      <w:r w:rsidRPr="00C806D0">
        <w:rPr>
          <w:lang w:eastAsia="en-GB"/>
        </w:rPr>
        <w:t>S6 ti,ab((cerebral or brain$1) pre/0 (oedema$ or odema$ or edema$ or swelling))</w:t>
      </w:r>
    </w:p>
    <w:p w:rsidR="00EB5320" w:rsidRPr="00C806D0" w:rsidRDefault="00EB5320" w:rsidP="00EB5320">
      <w:pPr>
        <w:rPr>
          <w:lang w:eastAsia="en-GB"/>
        </w:rPr>
      </w:pPr>
      <w:r w:rsidRPr="00C806D0">
        <w:rPr>
          <w:lang w:eastAsia="en-GB"/>
        </w:rPr>
        <w:t>S7 ti,ab(neurotrauma or neuro-trauma)</w:t>
      </w:r>
    </w:p>
    <w:p w:rsidR="00EB5320" w:rsidRPr="00C806D0" w:rsidRDefault="00EB5320" w:rsidP="00EB5320">
      <w:pPr>
        <w:rPr>
          <w:lang w:eastAsia="en-GB"/>
        </w:rPr>
      </w:pPr>
      <w:r w:rsidRPr="00C806D0">
        <w:rPr>
          <w:lang w:eastAsia="en-GB"/>
        </w:rPr>
        <w:t>S8 ti,ab(TBI or SHI or severe HI)</w:t>
      </w:r>
    </w:p>
    <w:p w:rsidR="00EB5320" w:rsidRPr="00C806D0" w:rsidRDefault="00EB5320" w:rsidP="00EB5320">
      <w:pPr>
        <w:rPr>
          <w:lang w:eastAsia="en-GB"/>
        </w:rPr>
      </w:pPr>
      <w:r w:rsidRPr="00C806D0">
        <w:rPr>
          <w:lang w:eastAsia="en-GB"/>
        </w:rPr>
        <w:t>S9 ti,ab(Diffuse axonal injur*)</w:t>
      </w:r>
    </w:p>
    <w:p w:rsidR="00EB5320" w:rsidRPr="00C806D0" w:rsidRDefault="00EB5320" w:rsidP="00EB5320">
      <w:pPr>
        <w:rPr>
          <w:lang w:eastAsia="en-GB"/>
        </w:rPr>
      </w:pPr>
      <w:r w:rsidRPr="00C806D0">
        <w:rPr>
          <w:lang w:eastAsia="en-GB"/>
        </w:rPr>
        <w:t>S10 s1 or s2 or s3 or s4 or s5 or s6 or s7 or s8 or s9</w:t>
      </w:r>
    </w:p>
    <w:p w:rsidR="00EB5320" w:rsidRPr="00C806D0" w:rsidRDefault="00EB5320" w:rsidP="00EB5320">
      <w:pPr>
        <w:rPr>
          <w:lang w:eastAsia="en-GB"/>
        </w:rPr>
      </w:pPr>
      <w:r w:rsidRPr="00C806D0">
        <w:rPr>
          <w:lang w:eastAsia="en-GB"/>
        </w:rPr>
        <w:t>S11 MESH.EXACT("Transportation of Patients")</w:t>
      </w:r>
    </w:p>
    <w:p w:rsidR="00EB5320" w:rsidRPr="00C806D0" w:rsidRDefault="00EB5320" w:rsidP="00EB5320">
      <w:pPr>
        <w:rPr>
          <w:lang w:eastAsia="en-GB"/>
        </w:rPr>
      </w:pPr>
      <w:r w:rsidRPr="00C806D0">
        <w:rPr>
          <w:lang w:eastAsia="en-GB"/>
        </w:rPr>
        <w:t>S12 ti,ab((secondary or interhospital or inter-hospital or inter pre/0 hospital) pre/0 (transfer$3 or transport$5 or refer$4))</w:t>
      </w:r>
    </w:p>
    <w:p w:rsidR="00EB5320" w:rsidRPr="00C806D0" w:rsidRDefault="00EB5320" w:rsidP="00EB5320">
      <w:pPr>
        <w:rPr>
          <w:lang w:eastAsia="en-GB"/>
        </w:rPr>
      </w:pPr>
      <w:r w:rsidRPr="00C806D0">
        <w:rPr>
          <w:lang w:eastAsia="en-GB"/>
        </w:rPr>
        <w:t>S13 MESH.EXACT("Patient Transfer") or MESH.EXACT(“Ambulances”)</w:t>
      </w:r>
    </w:p>
    <w:p w:rsidR="00EB5320" w:rsidRPr="00C806D0" w:rsidRDefault="00EB5320" w:rsidP="00EB5320">
      <w:pPr>
        <w:rPr>
          <w:lang w:eastAsia="en-GB"/>
        </w:rPr>
      </w:pPr>
      <w:r w:rsidRPr="00C806D0">
        <w:rPr>
          <w:lang w:eastAsia="en-GB"/>
        </w:rPr>
        <w:lastRenderedPageBreak/>
        <w:t>S14 MJMESH.EXACT("Hospitalization")</w:t>
      </w:r>
    </w:p>
    <w:p w:rsidR="00EB5320" w:rsidRPr="00C806D0" w:rsidRDefault="00EB5320" w:rsidP="00EB5320">
      <w:pPr>
        <w:rPr>
          <w:lang w:eastAsia="en-GB"/>
        </w:rPr>
      </w:pPr>
      <w:r w:rsidRPr="00C806D0">
        <w:rPr>
          <w:lang w:eastAsia="en-GB"/>
        </w:rPr>
        <w:t>S15 s11 or s12 or s13 or s14</w:t>
      </w:r>
    </w:p>
    <w:p w:rsidR="00EB5320" w:rsidRPr="00C806D0" w:rsidRDefault="00EB5320" w:rsidP="00EB5320">
      <w:pPr>
        <w:rPr>
          <w:lang w:eastAsia="en-GB"/>
        </w:rPr>
      </w:pPr>
      <w:r w:rsidRPr="00C806D0">
        <w:rPr>
          <w:lang w:eastAsia="en-GB"/>
        </w:rPr>
        <w:t>S16 MESH.EXACT("Neurosurgery")</w:t>
      </w:r>
    </w:p>
    <w:p w:rsidR="00EB5320" w:rsidRPr="00C806D0" w:rsidRDefault="00EB5320" w:rsidP="00EB5320">
      <w:pPr>
        <w:rPr>
          <w:lang w:eastAsia="en-GB"/>
        </w:rPr>
      </w:pPr>
      <w:r w:rsidRPr="00C806D0">
        <w:rPr>
          <w:lang w:eastAsia="en-GB"/>
        </w:rPr>
        <w:t>S17 MESH.EXACT("Neurosciences")</w:t>
      </w:r>
    </w:p>
    <w:p w:rsidR="00EB5320" w:rsidRPr="00C806D0" w:rsidRDefault="00EB5320" w:rsidP="00EB5320">
      <w:pPr>
        <w:rPr>
          <w:lang w:eastAsia="en-GB"/>
        </w:rPr>
      </w:pPr>
      <w:r w:rsidRPr="00C806D0">
        <w:rPr>
          <w:lang w:eastAsia="en-GB"/>
        </w:rPr>
        <w:t>S18 MESH.EXACT("Intensive Care") or MESH.EXACT("Critical care")</w:t>
      </w:r>
    </w:p>
    <w:p w:rsidR="00EB5320" w:rsidRPr="00C806D0" w:rsidRDefault="00EB5320" w:rsidP="00EB5320">
      <w:pPr>
        <w:rPr>
          <w:lang w:eastAsia="en-GB"/>
        </w:rPr>
      </w:pPr>
      <w:r w:rsidRPr="00C806D0">
        <w:rPr>
          <w:lang w:eastAsia="en-GB"/>
        </w:rPr>
        <w:t>S19 (s16 or s17) and s18</w:t>
      </w:r>
    </w:p>
    <w:p w:rsidR="00EB5320" w:rsidRPr="00C806D0" w:rsidRDefault="00EB5320" w:rsidP="00EB5320">
      <w:pPr>
        <w:rPr>
          <w:lang w:eastAsia="en-GB"/>
        </w:rPr>
      </w:pPr>
      <w:r w:rsidRPr="00C806D0">
        <w:rPr>
          <w:lang w:eastAsia="en-GB"/>
        </w:rPr>
        <w:t>S20 ti,ab((neurological or neurosurg$4 or neuroscience$1 or specialist or trauma or neurocritical) pre/2 (centre$1 or center$1 or service$1 or unit$1 or department$1 or care))</w:t>
      </w:r>
    </w:p>
    <w:p w:rsidR="00EB5320" w:rsidRPr="00C806D0" w:rsidRDefault="00EB5320" w:rsidP="00EB5320">
      <w:pPr>
        <w:rPr>
          <w:lang w:eastAsia="en-GB"/>
        </w:rPr>
      </w:pPr>
      <w:r w:rsidRPr="00C806D0">
        <w:rPr>
          <w:lang w:eastAsia="en-GB"/>
        </w:rPr>
        <w:t>S21 s19 or s20</w:t>
      </w:r>
    </w:p>
    <w:p w:rsidR="00EB5320" w:rsidRPr="00C806D0" w:rsidRDefault="00EB5320" w:rsidP="00EB5320">
      <w:pPr>
        <w:rPr>
          <w:lang w:eastAsia="en-GB"/>
        </w:rPr>
      </w:pPr>
      <w:r w:rsidRPr="00C806D0">
        <w:rPr>
          <w:lang w:eastAsia="en-GB"/>
        </w:rPr>
        <w:t>S22 MESH.EXACT("Trauma Centers") or MESH.EXACT("</w:t>
      </w:r>
      <w:r w:rsidRPr="00C806D0">
        <w:rPr>
          <w:shd w:val="clear" w:color="auto" w:fill="FFFFFF"/>
        </w:rPr>
        <w:t>Hospitals, Teaching</w:t>
      </w:r>
      <w:r w:rsidRPr="00C806D0">
        <w:rPr>
          <w:lang w:eastAsia="en-GB"/>
        </w:rPr>
        <w:t>")</w:t>
      </w:r>
    </w:p>
    <w:p w:rsidR="00EB5320" w:rsidRPr="00C806D0" w:rsidRDefault="00EB5320" w:rsidP="00EB5320">
      <w:pPr>
        <w:rPr>
          <w:lang w:eastAsia="en-GB"/>
        </w:rPr>
      </w:pPr>
      <w:r w:rsidRPr="00C806D0">
        <w:rPr>
          <w:lang w:eastAsia="en-GB"/>
        </w:rPr>
        <w:t>S23 ti,ab(specialist or neurological or neurosurg$4 or neuroscience$1 or neurocritical$2 or neuro pre/0 critical$2 or neuro-critical$2)</w:t>
      </w:r>
    </w:p>
    <w:p w:rsidR="00EB5320" w:rsidRPr="00C806D0" w:rsidRDefault="00EB5320" w:rsidP="00EB5320">
      <w:pPr>
        <w:rPr>
          <w:lang w:eastAsia="en-GB"/>
        </w:rPr>
      </w:pPr>
      <w:r w:rsidRPr="00C806D0">
        <w:rPr>
          <w:lang w:eastAsia="en-GB"/>
        </w:rPr>
        <w:t>S24 ti,ab(intensive pre/0 care or intensive pre/0 therap$3 or critical pre/0 care)</w:t>
      </w:r>
    </w:p>
    <w:p w:rsidR="00EB5320" w:rsidRPr="00C806D0" w:rsidRDefault="00EB5320" w:rsidP="00EB5320">
      <w:pPr>
        <w:rPr>
          <w:lang w:eastAsia="en-GB"/>
        </w:rPr>
      </w:pPr>
      <w:r w:rsidRPr="00C806D0">
        <w:rPr>
          <w:lang w:eastAsia="en-GB"/>
        </w:rPr>
        <w:t>S25 s23 pre/0 s24</w:t>
      </w:r>
    </w:p>
    <w:p w:rsidR="00EB5320" w:rsidRPr="00C806D0" w:rsidRDefault="00EB5320" w:rsidP="00EB5320">
      <w:pPr>
        <w:rPr>
          <w:lang w:eastAsia="en-GB"/>
        </w:rPr>
      </w:pPr>
      <w:r w:rsidRPr="00C806D0">
        <w:rPr>
          <w:lang w:eastAsia="en-GB"/>
        </w:rPr>
        <w:t>S26 s22 or s25</w:t>
      </w:r>
    </w:p>
    <w:p w:rsidR="00EB5320" w:rsidRPr="00C806D0" w:rsidRDefault="00EB5320" w:rsidP="00EB5320">
      <w:pPr>
        <w:rPr>
          <w:lang w:eastAsia="en-GB"/>
        </w:rPr>
      </w:pPr>
      <w:r w:rsidRPr="00C806D0">
        <w:rPr>
          <w:lang w:eastAsia="en-GB"/>
        </w:rPr>
        <w:t>S27 s15 or s21 or s26</w:t>
      </w:r>
    </w:p>
    <w:p w:rsidR="00EB5320" w:rsidRPr="00C806D0" w:rsidRDefault="00EB5320" w:rsidP="00EB5320">
      <w:pPr>
        <w:rPr>
          <w:lang w:eastAsia="en-GB"/>
        </w:rPr>
      </w:pPr>
      <w:r w:rsidRPr="00C806D0">
        <w:rPr>
          <w:lang w:eastAsia="en-GB"/>
        </w:rPr>
        <w:t>S28 MESH.EXACT("Wounds and Injuries -- mortality") OR MESH.EXACT("Craniocerebral Trauma -- mortality")</w:t>
      </w:r>
    </w:p>
    <w:p w:rsidR="00EB5320" w:rsidRPr="00C806D0" w:rsidRDefault="00EB5320" w:rsidP="00EB5320">
      <w:pPr>
        <w:rPr>
          <w:lang w:eastAsia="en-GB"/>
        </w:rPr>
      </w:pPr>
      <w:r w:rsidRPr="00C806D0">
        <w:rPr>
          <w:lang w:eastAsia="en-GB"/>
        </w:rPr>
        <w:t>S29 MESH.EXACT("Fatal Outcome") OR MESH.EXACT("Hospital Mortality") OR MESH.EXACT("Survival Rate")</w:t>
      </w:r>
    </w:p>
    <w:p w:rsidR="00EB5320" w:rsidRPr="00C806D0" w:rsidRDefault="00EB5320" w:rsidP="00EB5320">
      <w:pPr>
        <w:rPr>
          <w:lang w:eastAsia="en-GB"/>
        </w:rPr>
      </w:pPr>
      <w:r w:rsidRPr="00C806D0">
        <w:rPr>
          <w:lang w:eastAsia="en-GB"/>
        </w:rPr>
        <w:t>S30 MESH.EXACT("Glasgow Outcome Scale")</w:t>
      </w:r>
    </w:p>
    <w:p w:rsidR="00EB5320" w:rsidRPr="00C806D0" w:rsidRDefault="00EB5320" w:rsidP="00EB5320">
      <w:pPr>
        <w:rPr>
          <w:lang w:eastAsia="en-GB"/>
        </w:rPr>
      </w:pPr>
      <w:r w:rsidRPr="00C806D0">
        <w:rPr>
          <w:lang w:eastAsia="en-GB"/>
        </w:rPr>
        <w:t>S31 MESH.EXACT("Treatment Outcome")</w:t>
      </w:r>
    </w:p>
    <w:p w:rsidR="00EB5320" w:rsidRPr="00C806D0" w:rsidRDefault="00EB5320" w:rsidP="00EB5320">
      <w:pPr>
        <w:rPr>
          <w:lang w:eastAsia="en-GB"/>
        </w:rPr>
      </w:pPr>
      <w:r w:rsidRPr="00C806D0">
        <w:rPr>
          <w:lang w:eastAsia="en-GB"/>
        </w:rPr>
        <w:t>S32 MESH.EXPLODE("Brain Damage, Chronic")</w:t>
      </w:r>
    </w:p>
    <w:p w:rsidR="00EB5320" w:rsidRPr="00C806D0" w:rsidRDefault="00EB5320" w:rsidP="00EB5320">
      <w:pPr>
        <w:rPr>
          <w:lang w:eastAsia="en-GB"/>
        </w:rPr>
      </w:pPr>
      <w:r w:rsidRPr="00C806D0">
        <w:rPr>
          <w:lang w:eastAsia="en-GB"/>
        </w:rPr>
        <w:t>S33 ti,ab(Outcome or mortality or death* or fatal* or morbidity or disability or unfavourable outcome or favourable outcome or persistent vegetative state)</w:t>
      </w:r>
    </w:p>
    <w:p w:rsidR="00EB5320" w:rsidRPr="00C806D0" w:rsidRDefault="00EB5320" w:rsidP="00EB5320">
      <w:pPr>
        <w:rPr>
          <w:rFonts w:eastAsia="Times New Roman"/>
          <w:lang w:eastAsia="en-GB"/>
        </w:rPr>
      </w:pPr>
      <w:r w:rsidRPr="00C806D0">
        <w:rPr>
          <w:rFonts w:eastAsia="Times New Roman"/>
          <w:lang w:eastAsia="en-GB"/>
        </w:rPr>
        <w:t>S34 ti,ab(Glasgow outcome scale or GOS or disability rating scale or DRS)</w:t>
      </w:r>
    </w:p>
    <w:p w:rsidR="00EB5320" w:rsidRPr="00C806D0" w:rsidRDefault="00EB5320" w:rsidP="00EB5320">
      <w:pPr>
        <w:rPr>
          <w:rFonts w:eastAsia="Times New Roman"/>
          <w:lang w:eastAsia="en-GB"/>
        </w:rPr>
      </w:pPr>
      <w:r w:rsidRPr="00C806D0">
        <w:rPr>
          <w:rFonts w:eastAsia="Times New Roman"/>
          <w:lang w:eastAsia="en-GB"/>
        </w:rPr>
        <w:t>S35 s28 or s29 or s30 or s31 or s32 or s33 or s34</w:t>
      </w:r>
    </w:p>
    <w:p w:rsidR="00EB5320" w:rsidRPr="00C806D0" w:rsidRDefault="00EB5320" w:rsidP="00EB5320">
      <w:pPr>
        <w:rPr>
          <w:rFonts w:eastAsia="Times New Roman"/>
          <w:lang w:eastAsia="en-GB"/>
        </w:rPr>
      </w:pPr>
      <w:r w:rsidRPr="00C806D0">
        <w:rPr>
          <w:rFonts w:eastAsia="Times New Roman"/>
          <w:lang w:eastAsia="en-GB"/>
        </w:rPr>
        <w:t>S36 s10 and s27 and s35</w:t>
      </w:r>
    </w:p>
    <w:p w:rsidR="00EB5320" w:rsidRPr="00C806D0" w:rsidRDefault="00EB5320" w:rsidP="00EB5320">
      <w:pPr>
        <w:rPr>
          <w:rFonts w:eastAsia="Times New Roman"/>
          <w:lang w:eastAsia="en-GB"/>
        </w:rPr>
      </w:pPr>
      <w:r w:rsidRPr="00C806D0">
        <w:rPr>
          <w:rFonts w:eastAsia="Times New Roman"/>
          <w:lang w:eastAsia="en-GB"/>
        </w:rPr>
        <w:t>S37 s36 and fdb(medlineprof)</w:t>
      </w:r>
    </w:p>
    <w:p w:rsidR="00EB5320" w:rsidRPr="00C806D0" w:rsidRDefault="00EB5320" w:rsidP="00EB5320">
      <w:pPr>
        <w:rPr>
          <w:rFonts w:eastAsia="Times New Roman"/>
          <w:lang w:eastAsia="en-GB"/>
        </w:rPr>
      </w:pPr>
      <w:r w:rsidRPr="00C806D0">
        <w:rPr>
          <w:rFonts w:eastAsia="Times New Roman"/>
          <w:lang w:eastAsia="en-GB"/>
        </w:rPr>
        <w:t>S38 EMB.EXACT("traumatic brain injury" OR "brain injury") OR EMB.EXACT("diffuse axonal injury")</w:t>
      </w:r>
    </w:p>
    <w:p w:rsidR="00EB5320" w:rsidRPr="00C806D0" w:rsidRDefault="00EB5320" w:rsidP="00EB5320">
      <w:pPr>
        <w:rPr>
          <w:rFonts w:eastAsia="Times New Roman"/>
          <w:lang w:eastAsia="en-GB"/>
        </w:rPr>
      </w:pPr>
      <w:r w:rsidRPr="00C806D0">
        <w:rPr>
          <w:rFonts w:eastAsia="Times New Roman"/>
          <w:lang w:eastAsia="en-GB"/>
        </w:rPr>
        <w:t>S39 s38 or s2 or s3 or s4 or s5 or s6 or s7 or s8 or s9</w:t>
      </w:r>
    </w:p>
    <w:p w:rsidR="00EB5320" w:rsidRPr="00C806D0" w:rsidRDefault="00EB5320" w:rsidP="00EB5320">
      <w:pPr>
        <w:rPr>
          <w:rFonts w:eastAsia="Times New Roman"/>
          <w:lang w:eastAsia="en-GB"/>
        </w:rPr>
      </w:pPr>
      <w:r w:rsidRPr="00C806D0">
        <w:rPr>
          <w:rFonts w:eastAsia="Times New Roman"/>
          <w:lang w:eastAsia="en-GB"/>
        </w:rPr>
        <w:t>S40 EMB.EXACT("patient transport") or MJEMB.EXACT("hospitalization") or EMB.EXACT("ambulance")</w:t>
      </w:r>
    </w:p>
    <w:p w:rsidR="00EB5320" w:rsidRPr="00C806D0" w:rsidRDefault="00EB5320" w:rsidP="00EB5320">
      <w:pPr>
        <w:rPr>
          <w:rFonts w:eastAsia="Times New Roman"/>
          <w:lang w:eastAsia="en-GB"/>
        </w:rPr>
      </w:pPr>
      <w:r w:rsidRPr="00C806D0">
        <w:rPr>
          <w:rFonts w:eastAsia="Times New Roman"/>
          <w:lang w:eastAsia="en-GB"/>
        </w:rPr>
        <w:t>S41 s12 or s40</w:t>
      </w:r>
    </w:p>
    <w:p w:rsidR="00EB5320" w:rsidRPr="00C806D0" w:rsidRDefault="00EB5320" w:rsidP="00EB5320">
      <w:pPr>
        <w:rPr>
          <w:rFonts w:eastAsia="Times New Roman"/>
          <w:lang w:eastAsia="en-GB"/>
        </w:rPr>
      </w:pPr>
      <w:r w:rsidRPr="00C806D0">
        <w:rPr>
          <w:rFonts w:eastAsia="Times New Roman"/>
          <w:lang w:eastAsia="en-GB"/>
        </w:rPr>
        <w:t>S42 EMB.EXACT("neurosurgery")</w:t>
      </w:r>
    </w:p>
    <w:p w:rsidR="00EB5320" w:rsidRPr="00C806D0" w:rsidRDefault="00EB5320" w:rsidP="00EB5320">
      <w:pPr>
        <w:rPr>
          <w:rFonts w:eastAsia="Times New Roman"/>
          <w:lang w:eastAsia="en-GB"/>
        </w:rPr>
      </w:pPr>
      <w:r w:rsidRPr="00C806D0">
        <w:rPr>
          <w:rFonts w:eastAsia="Times New Roman"/>
          <w:lang w:eastAsia="en-GB"/>
        </w:rPr>
        <w:lastRenderedPageBreak/>
        <w:t>S43 EMB.EXACT("neuroscience")</w:t>
      </w:r>
    </w:p>
    <w:p w:rsidR="00EB5320" w:rsidRPr="00C806D0" w:rsidRDefault="00EB5320" w:rsidP="00EB5320">
      <w:pPr>
        <w:rPr>
          <w:rFonts w:eastAsia="Times New Roman"/>
          <w:lang w:eastAsia="en-GB"/>
        </w:rPr>
      </w:pPr>
      <w:r w:rsidRPr="00C806D0">
        <w:rPr>
          <w:rFonts w:eastAsia="Times New Roman"/>
          <w:lang w:eastAsia="en-GB"/>
        </w:rPr>
        <w:t>S44 EMB.EXACT("intensive care")</w:t>
      </w:r>
    </w:p>
    <w:p w:rsidR="00EB5320" w:rsidRPr="00C806D0" w:rsidRDefault="00EB5320" w:rsidP="00EB5320">
      <w:pPr>
        <w:rPr>
          <w:rFonts w:eastAsia="Times New Roman"/>
          <w:lang w:eastAsia="en-GB"/>
        </w:rPr>
      </w:pPr>
      <w:r w:rsidRPr="00C806D0">
        <w:rPr>
          <w:rFonts w:eastAsia="Times New Roman"/>
          <w:lang w:eastAsia="en-GB"/>
        </w:rPr>
        <w:t>S45 (s43 or s44) and s45</w:t>
      </w:r>
    </w:p>
    <w:p w:rsidR="00EB5320" w:rsidRPr="00C806D0" w:rsidRDefault="00EB5320" w:rsidP="00EB5320">
      <w:pPr>
        <w:rPr>
          <w:rFonts w:eastAsia="Times New Roman"/>
          <w:lang w:eastAsia="en-GB"/>
        </w:rPr>
      </w:pPr>
      <w:r w:rsidRPr="00C806D0">
        <w:rPr>
          <w:rFonts w:eastAsia="Times New Roman"/>
          <w:lang w:eastAsia="en-GB"/>
        </w:rPr>
        <w:t>S46 s20 or s45</w:t>
      </w:r>
    </w:p>
    <w:p w:rsidR="00EB5320" w:rsidRPr="00C806D0" w:rsidRDefault="00EB5320" w:rsidP="00EB5320">
      <w:pPr>
        <w:rPr>
          <w:rFonts w:eastAsia="Times New Roman"/>
          <w:lang w:eastAsia="en-GB"/>
        </w:rPr>
      </w:pPr>
      <w:r w:rsidRPr="00C806D0">
        <w:rPr>
          <w:rFonts w:eastAsia="Times New Roman"/>
          <w:lang w:eastAsia="en-GB"/>
        </w:rPr>
        <w:t>S47 EMB.EXACT("emergency health service") or EMB.EXACT("teaching hospital")</w:t>
      </w:r>
    </w:p>
    <w:p w:rsidR="00EB5320" w:rsidRPr="00C806D0" w:rsidRDefault="00EB5320" w:rsidP="00EB5320">
      <w:pPr>
        <w:rPr>
          <w:rFonts w:eastAsia="Times New Roman"/>
          <w:lang w:eastAsia="en-GB"/>
        </w:rPr>
      </w:pPr>
      <w:r w:rsidRPr="00C806D0">
        <w:rPr>
          <w:rFonts w:eastAsia="Times New Roman"/>
          <w:lang w:eastAsia="en-GB"/>
        </w:rPr>
        <w:t>S48 s25 or s47</w:t>
      </w:r>
    </w:p>
    <w:p w:rsidR="00EB5320" w:rsidRPr="00C806D0" w:rsidRDefault="00EB5320" w:rsidP="00EB5320">
      <w:pPr>
        <w:rPr>
          <w:rFonts w:eastAsia="Times New Roman"/>
          <w:lang w:eastAsia="en-GB"/>
        </w:rPr>
      </w:pPr>
      <w:r w:rsidRPr="00C806D0">
        <w:rPr>
          <w:rFonts w:eastAsia="Times New Roman"/>
          <w:lang w:eastAsia="en-GB"/>
        </w:rPr>
        <w:t>S49 s41 or s46 or s48</w:t>
      </w:r>
    </w:p>
    <w:p w:rsidR="00EB5320" w:rsidRPr="00C806D0" w:rsidRDefault="00EB5320" w:rsidP="00EB5320">
      <w:pPr>
        <w:rPr>
          <w:rFonts w:eastAsia="Times New Roman"/>
          <w:lang w:eastAsia="en-GB"/>
        </w:rPr>
      </w:pPr>
      <w:r w:rsidRPr="00C806D0">
        <w:rPr>
          <w:rFonts w:eastAsia="Times New Roman"/>
          <w:lang w:eastAsia="en-GB"/>
        </w:rPr>
        <w:t>S50 EMB.EXACT("injury") OR EMB.EXACT("head injury")</w:t>
      </w:r>
    </w:p>
    <w:p w:rsidR="00EB5320" w:rsidRPr="00C806D0" w:rsidRDefault="00EB5320" w:rsidP="00EB5320">
      <w:pPr>
        <w:rPr>
          <w:rFonts w:eastAsia="Times New Roman"/>
          <w:lang w:eastAsia="en-GB"/>
        </w:rPr>
      </w:pPr>
      <w:r w:rsidRPr="00C806D0">
        <w:rPr>
          <w:rFonts w:eastAsia="Times New Roman"/>
          <w:lang w:eastAsia="en-GB"/>
        </w:rPr>
        <w:t>S51 EMB.EXACT.EXPLODE("mortality")</w:t>
      </w:r>
    </w:p>
    <w:p w:rsidR="00EB5320" w:rsidRPr="00C806D0" w:rsidRDefault="00EB5320" w:rsidP="00EB5320">
      <w:pPr>
        <w:rPr>
          <w:rFonts w:eastAsia="Times New Roman"/>
          <w:lang w:eastAsia="en-GB"/>
        </w:rPr>
      </w:pPr>
      <w:r w:rsidRPr="00C806D0">
        <w:rPr>
          <w:rFonts w:eastAsia="Times New Roman"/>
          <w:lang w:eastAsia="en-GB"/>
        </w:rPr>
        <w:t>S52 s50 and s51</w:t>
      </w:r>
    </w:p>
    <w:p w:rsidR="00EB5320" w:rsidRPr="00C806D0" w:rsidRDefault="00EB5320" w:rsidP="00EB5320">
      <w:pPr>
        <w:rPr>
          <w:rFonts w:eastAsia="Times New Roman"/>
          <w:lang w:eastAsia="en-GB"/>
        </w:rPr>
      </w:pPr>
      <w:r w:rsidRPr="00C806D0">
        <w:rPr>
          <w:rFonts w:eastAsia="Times New Roman"/>
          <w:lang w:eastAsia="en-GB"/>
        </w:rPr>
        <w:t>S53 EMB.EXACT("fatality") OR EMB.EXACT("mortality") OR EMB.EXACT("survival rate") or EMB.EXPLODE("disability")</w:t>
      </w:r>
    </w:p>
    <w:p w:rsidR="00EB5320" w:rsidRPr="00C806D0" w:rsidRDefault="00EB5320" w:rsidP="00EB5320">
      <w:pPr>
        <w:rPr>
          <w:rFonts w:eastAsia="Times New Roman"/>
          <w:lang w:eastAsia="en-GB"/>
        </w:rPr>
      </w:pPr>
      <w:r w:rsidRPr="00C806D0">
        <w:rPr>
          <w:rFonts w:eastAsia="Times New Roman"/>
          <w:lang w:eastAsia="en-GB"/>
        </w:rPr>
        <w:t>S54 EMB.EXACT("Glasgow outcome scale")</w:t>
      </w:r>
    </w:p>
    <w:p w:rsidR="00EB5320" w:rsidRPr="00C806D0" w:rsidRDefault="00EB5320" w:rsidP="00EB5320">
      <w:pPr>
        <w:rPr>
          <w:rFonts w:eastAsia="Times New Roman"/>
          <w:lang w:eastAsia="en-GB"/>
        </w:rPr>
      </w:pPr>
      <w:r w:rsidRPr="00C806D0">
        <w:rPr>
          <w:rFonts w:eastAsia="Times New Roman"/>
          <w:lang w:eastAsia="en-GB"/>
        </w:rPr>
        <w:t>S55 EMB.EXACT("treatment outcome")</w:t>
      </w:r>
    </w:p>
    <w:p w:rsidR="00EB5320" w:rsidRPr="00C806D0" w:rsidRDefault="00EB5320" w:rsidP="00EB5320">
      <w:pPr>
        <w:rPr>
          <w:rFonts w:eastAsia="Times New Roman"/>
          <w:lang w:eastAsia="en-GB"/>
        </w:rPr>
      </w:pPr>
      <w:r w:rsidRPr="00C806D0">
        <w:rPr>
          <w:rFonts w:eastAsia="Times New Roman"/>
          <w:lang w:eastAsia="en-GB"/>
        </w:rPr>
        <w:t>S56 s52 or s53 or s54 or s55 or s33 or s34</w:t>
      </w:r>
    </w:p>
    <w:p w:rsidR="00EB5320" w:rsidRPr="00C806D0" w:rsidRDefault="00EB5320" w:rsidP="00EB5320">
      <w:pPr>
        <w:rPr>
          <w:rFonts w:eastAsia="Times New Roman"/>
          <w:lang w:eastAsia="en-GB"/>
        </w:rPr>
      </w:pPr>
      <w:r w:rsidRPr="00C806D0">
        <w:rPr>
          <w:rFonts w:eastAsia="Times New Roman"/>
          <w:lang w:eastAsia="en-GB"/>
        </w:rPr>
        <w:t>S57 s39 and s49 and s56</w:t>
      </w:r>
    </w:p>
    <w:p w:rsidR="00EB5320" w:rsidRPr="00C806D0" w:rsidRDefault="00EB5320" w:rsidP="00EB5320">
      <w:pPr>
        <w:rPr>
          <w:rFonts w:eastAsia="Times New Roman"/>
          <w:lang w:eastAsia="en-GB"/>
        </w:rPr>
      </w:pPr>
      <w:r w:rsidRPr="00C806D0">
        <w:rPr>
          <w:rFonts w:eastAsia="Times New Roman"/>
          <w:lang w:eastAsia="en-GB"/>
        </w:rPr>
        <w:t>S58 s57 and fdb(embase)</w:t>
      </w:r>
    </w:p>
    <w:p w:rsidR="00EB5320" w:rsidRPr="00C806D0" w:rsidRDefault="00EB5320" w:rsidP="00EB5320">
      <w:pPr>
        <w:rPr>
          <w:rFonts w:ascii="Arial" w:hAnsi="Arial" w:cs="Arial"/>
        </w:rPr>
      </w:pPr>
      <w:r w:rsidRPr="00C806D0">
        <w:rPr>
          <w:rFonts w:eastAsia="Times New Roman"/>
          <w:lang w:eastAsia="en-GB"/>
        </w:rPr>
        <w:t>S59 s37 or s58</w:t>
      </w:r>
    </w:p>
    <w:p w:rsidR="00EB5320" w:rsidRPr="00C806D0" w:rsidRDefault="00EB5320" w:rsidP="00EB5320">
      <w:pPr>
        <w:rPr>
          <w:rFonts w:ascii="Arial" w:hAnsi="Arial" w:cs="Arial"/>
        </w:rPr>
      </w:pPr>
    </w:p>
    <w:p w:rsidR="00EB5320" w:rsidRPr="00C806D0" w:rsidRDefault="00EB5320" w:rsidP="00EB5320">
      <w:pPr>
        <w:rPr>
          <w:rFonts w:ascii="Arial" w:hAnsi="Arial" w:cs="Arial"/>
        </w:rPr>
      </w:pPr>
    </w:p>
    <w:p w:rsidR="00EB5320" w:rsidRPr="00C806D0" w:rsidRDefault="00EB5320" w:rsidP="00EB5320">
      <w:pPr>
        <w:pStyle w:val="BodyText"/>
        <w:rPr>
          <w:rFonts w:ascii="Calibri" w:hAnsi="Calibri" w:cs="Arial"/>
          <w:sz w:val="28"/>
        </w:rPr>
      </w:pPr>
    </w:p>
    <w:p w:rsidR="00EB5320" w:rsidRPr="00C806D0" w:rsidRDefault="00EB5320" w:rsidP="00EB5320">
      <w:pPr>
        <w:pStyle w:val="BodyText"/>
        <w:rPr>
          <w:rFonts w:ascii="Calibri" w:hAnsi="Calibri" w:cs="Arial"/>
          <w:sz w:val="28"/>
        </w:rPr>
      </w:pPr>
    </w:p>
    <w:p w:rsidR="00EB5320" w:rsidRPr="00C806D0" w:rsidRDefault="00EB5320" w:rsidP="00EB5320">
      <w:pPr>
        <w:pStyle w:val="BodyText"/>
        <w:rPr>
          <w:rFonts w:ascii="Calibri" w:hAnsi="Calibri" w:cs="Arial"/>
          <w:sz w:val="28"/>
        </w:rPr>
      </w:pPr>
    </w:p>
    <w:p w:rsidR="00EB5320" w:rsidRPr="00C806D0" w:rsidRDefault="00EB5320" w:rsidP="00EB5320">
      <w:pPr>
        <w:pStyle w:val="BodyText"/>
        <w:rPr>
          <w:rFonts w:ascii="Calibri" w:hAnsi="Calibri" w:cs="Arial"/>
          <w:sz w:val="28"/>
        </w:rPr>
      </w:pPr>
    </w:p>
    <w:p w:rsidR="00EB5320" w:rsidRPr="00C806D0" w:rsidRDefault="00EB5320" w:rsidP="00EB5320">
      <w:pPr>
        <w:pStyle w:val="BodyText"/>
        <w:rPr>
          <w:rFonts w:ascii="Calibri" w:hAnsi="Calibri" w:cs="Arial"/>
          <w:sz w:val="28"/>
        </w:rPr>
      </w:pPr>
    </w:p>
    <w:p w:rsidR="00EB5320" w:rsidRPr="00C806D0" w:rsidRDefault="00EB5320" w:rsidP="00EB5320">
      <w:pPr>
        <w:pStyle w:val="BodyText"/>
        <w:rPr>
          <w:rFonts w:ascii="Calibri" w:hAnsi="Calibri" w:cs="Arial"/>
          <w:sz w:val="28"/>
        </w:rPr>
      </w:pPr>
    </w:p>
    <w:p w:rsidR="00EB5320" w:rsidRPr="00C806D0" w:rsidRDefault="00EB5320" w:rsidP="00EB5320">
      <w:pPr>
        <w:pStyle w:val="BodyText"/>
        <w:rPr>
          <w:rFonts w:ascii="Calibri" w:hAnsi="Calibri" w:cs="Arial"/>
          <w:sz w:val="28"/>
        </w:rPr>
      </w:pPr>
    </w:p>
    <w:p w:rsidR="00EB5320" w:rsidRPr="00C806D0" w:rsidRDefault="00EB5320" w:rsidP="00EB5320">
      <w:pPr>
        <w:pStyle w:val="BodyText"/>
        <w:rPr>
          <w:rFonts w:ascii="Calibri" w:hAnsi="Calibri" w:cs="Arial"/>
          <w:sz w:val="28"/>
        </w:rPr>
      </w:pPr>
    </w:p>
    <w:p w:rsidR="00EB5320" w:rsidRPr="00C806D0" w:rsidRDefault="00EB5320" w:rsidP="00EB5320">
      <w:pPr>
        <w:pStyle w:val="BodyText"/>
        <w:rPr>
          <w:rFonts w:ascii="Calibri" w:hAnsi="Calibri" w:cs="Arial"/>
          <w:sz w:val="28"/>
        </w:rPr>
      </w:pPr>
    </w:p>
    <w:p w:rsidR="00E31429" w:rsidRPr="00C806D0" w:rsidRDefault="00E31429" w:rsidP="00EB5320">
      <w:pPr>
        <w:pStyle w:val="BodyText"/>
        <w:rPr>
          <w:rFonts w:ascii="Calibri" w:hAnsi="Calibri" w:cs="Arial"/>
          <w:sz w:val="28"/>
        </w:rPr>
      </w:pPr>
    </w:p>
    <w:p w:rsidR="00E31429" w:rsidRPr="00C806D0" w:rsidRDefault="00E31429" w:rsidP="00EB5320">
      <w:pPr>
        <w:pStyle w:val="BodyText"/>
        <w:rPr>
          <w:rFonts w:ascii="Calibri" w:hAnsi="Calibri" w:cs="Arial"/>
          <w:sz w:val="28"/>
        </w:rPr>
      </w:pPr>
    </w:p>
    <w:p w:rsidR="00E31429" w:rsidRPr="00C806D0" w:rsidRDefault="00E31429" w:rsidP="00EB5320">
      <w:pPr>
        <w:pStyle w:val="BodyText"/>
        <w:rPr>
          <w:rFonts w:ascii="Calibri" w:hAnsi="Calibri" w:cs="Arial"/>
          <w:sz w:val="28"/>
        </w:rPr>
      </w:pPr>
    </w:p>
    <w:p w:rsidR="00E31429" w:rsidRPr="00C806D0" w:rsidRDefault="00E31429" w:rsidP="00EB5320">
      <w:pPr>
        <w:pStyle w:val="BodyText"/>
        <w:rPr>
          <w:rFonts w:ascii="Calibri" w:hAnsi="Calibri" w:cs="Arial"/>
          <w:sz w:val="28"/>
        </w:rPr>
      </w:pPr>
    </w:p>
    <w:p w:rsidR="00E31429" w:rsidRPr="00C806D0" w:rsidRDefault="00E31429" w:rsidP="00EB5320">
      <w:pPr>
        <w:pStyle w:val="BodyText"/>
        <w:rPr>
          <w:rFonts w:ascii="Calibri" w:hAnsi="Calibri" w:cs="Arial"/>
          <w:sz w:val="28"/>
        </w:rPr>
      </w:pPr>
    </w:p>
    <w:p w:rsidR="00E31429" w:rsidRPr="00C806D0" w:rsidRDefault="00E31429" w:rsidP="00EB5320">
      <w:pPr>
        <w:pStyle w:val="BodyText"/>
        <w:rPr>
          <w:rFonts w:ascii="Calibri" w:hAnsi="Calibri" w:cs="Arial"/>
          <w:sz w:val="28"/>
        </w:rPr>
      </w:pPr>
    </w:p>
    <w:p w:rsidR="006F2FC6" w:rsidRPr="00C806D0" w:rsidRDefault="006F2FC6" w:rsidP="002A360F">
      <w:pPr>
        <w:pStyle w:val="Heading3"/>
        <w:sectPr w:rsidR="006F2FC6" w:rsidRPr="00C806D0" w:rsidSect="00E31429">
          <w:footerReference w:type="default" r:id="rId10"/>
          <w:pgSz w:w="11906" w:h="16838"/>
          <w:pgMar w:top="1134" w:right="1134" w:bottom="1134" w:left="2268" w:header="709" w:footer="709" w:gutter="0"/>
          <w:cols w:space="708"/>
          <w:docGrid w:linePitch="360"/>
        </w:sectPr>
      </w:pPr>
    </w:p>
    <w:p w:rsidR="00EB5320" w:rsidRPr="00C806D0" w:rsidRDefault="00EB5320" w:rsidP="002A360F">
      <w:pPr>
        <w:pStyle w:val="Heading3"/>
      </w:pPr>
      <w:r w:rsidRPr="00C806D0">
        <w:lastRenderedPageBreak/>
        <w:t>Risk of Bias instrument for Cohort Studies</w:t>
      </w:r>
    </w:p>
    <w:p w:rsidR="00EB5320" w:rsidRPr="00C806D0" w:rsidRDefault="00EB5320" w:rsidP="00EB5320">
      <w:pPr>
        <w:rPr>
          <w:b/>
        </w:rPr>
      </w:pPr>
      <w:r w:rsidRPr="00C806D0">
        <w:rPr>
          <w:b/>
        </w:rPr>
        <w:t>Table B1. Risk of bias criteria for critical appraisal of cohort studies retrieved in systematic review examining the effectiveness of routine and no secondary transfer strategies in non-surgical significant TBI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666"/>
        <w:gridCol w:w="1867"/>
        <w:gridCol w:w="2198"/>
        <w:gridCol w:w="1926"/>
        <w:gridCol w:w="1938"/>
        <w:gridCol w:w="2142"/>
        <w:gridCol w:w="1694"/>
      </w:tblGrid>
      <w:tr w:rsidR="00EB5320" w:rsidRPr="00C806D0" w:rsidTr="004442E4">
        <w:tc>
          <w:tcPr>
            <w:tcW w:w="458" w:type="pct"/>
          </w:tcPr>
          <w:p w:rsidR="00EB5320" w:rsidRPr="00C806D0" w:rsidRDefault="00EB5320" w:rsidP="004442E4">
            <w:pPr>
              <w:autoSpaceDE w:val="0"/>
              <w:autoSpaceDN w:val="0"/>
              <w:adjustRightInd w:val="0"/>
              <w:spacing w:line="240" w:lineRule="auto"/>
              <w:jc w:val="center"/>
              <w:rPr>
                <w:rFonts w:cs="Arial"/>
                <w:b/>
                <w:color w:val="000000" w:themeColor="text1"/>
                <w:sz w:val="19"/>
                <w:szCs w:val="19"/>
                <w:lang w:eastAsia="en-GB"/>
              </w:rPr>
            </w:pPr>
            <w:r w:rsidRPr="00C806D0">
              <w:rPr>
                <w:rFonts w:cs="Arial"/>
                <w:b/>
                <w:color w:val="000000" w:themeColor="text1"/>
                <w:sz w:val="19"/>
                <w:szCs w:val="19"/>
                <w:lang w:eastAsia="en-GB"/>
              </w:rPr>
              <w:t>Bias domain</w:t>
            </w:r>
          </w:p>
        </w:tc>
        <w:tc>
          <w:tcPr>
            <w:tcW w:w="563" w:type="pct"/>
          </w:tcPr>
          <w:p w:rsidR="00EB5320" w:rsidRPr="00C806D0" w:rsidRDefault="00EB5320" w:rsidP="004442E4">
            <w:pPr>
              <w:autoSpaceDE w:val="0"/>
              <w:autoSpaceDN w:val="0"/>
              <w:adjustRightInd w:val="0"/>
              <w:spacing w:line="240" w:lineRule="auto"/>
              <w:jc w:val="center"/>
              <w:rPr>
                <w:rFonts w:cs="Arial"/>
                <w:b/>
                <w:color w:val="000000" w:themeColor="text1"/>
                <w:sz w:val="19"/>
                <w:szCs w:val="19"/>
                <w:lang w:eastAsia="en-GB"/>
              </w:rPr>
            </w:pPr>
            <w:r w:rsidRPr="00C806D0">
              <w:rPr>
                <w:rFonts w:cs="Arial"/>
                <w:b/>
                <w:color w:val="000000" w:themeColor="text1"/>
                <w:sz w:val="19"/>
                <w:szCs w:val="19"/>
                <w:lang w:eastAsia="en-GB"/>
              </w:rPr>
              <w:t>Source of bias</w:t>
            </w:r>
          </w:p>
        </w:tc>
        <w:tc>
          <w:tcPr>
            <w:tcW w:w="631" w:type="pct"/>
          </w:tcPr>
          <w:p w:rsidR="00EB5320" w:rsidRPr="00C806D0" w:rsidRDefault="00EB5320" w:rsidP="004442E4">
            <w:pPr>
              <w:autoSpaceDE w:val="0"/>
              <w:autoSpaceDN w:val="0"/>
              <w:adjustRightInd w:val="0"/>
              <w:spacing w:line="240" w:lineRule="auto"/>
              <w:jc w:val="center"/>
              <w:rPr>
                <w:rFonts w:cs="Arial"/>
                <w:b/>
                <w:color w:val="000000" w:themeColor="text1"/>
                <w:sz w:val="19"/>
                <w:szCs w:val="19"/>
                <w:lang w:eastAsia="en-GB"/>
              </w:rPr>
            </w:pPr>
            <w:r w:rsidRPr="00C806D0">
              <w:rPr>
                <w:rFonts w:cs="Arial"/>
                <w:b/>
                <w:color w:val="000000" w:themeColor="text1"/>
                <w:sz w:val="19"/>
                <w:szCs w:val="19"/>
                <w:lang w:eastAsia="en-GB"/>
              </w:rPr>
              <w:t>Very low risk of bias</w:t>
            </w:r>
          </w:p>
        </w:tc>
        <w:tc>
          <w:tcPr>
            <w:tcW w:w="743" w:type="pct"/>
          </w:tcPr>
          <w:p w:rsidR="00EB5320" w:rsidRPr="00C806D0" w:rsidRDefault="00EB5320" w:rsidP="004442E4">
            <w:pPr>
              <w:autoSpaceDE w:val="0"/>
              <w:autoSpaceDN w:val="0"/>
              <w:adjustRightInd w:val="0"/>
              <w:spacing w:line="240" w:lineRule="auto"/>
              <w:jc w:val="center"/>
              <w:rPr>
                <w:rFonts w:cs="Arial"/>
                <w:b/>
                <w:color w:val="000000" w:themeColor="text1"/>
                <w:sz w:val="19"/>
                <w:szCs w:val="19"/>
                <w:lang w:eastAsia="en-GB"/>
              </w:rPr>
            </w:pPr>
            <w:r w:rsidRPr="00C806D0">
              <w:rPr>
                <w:rFonts w:cs="Arial"/>
                <w:b/>
                <w:color w:val="000000" w:themeColor="text1"/>
                <w:sz w:val="19"/>
                <w:szCs w:val="19"/>
                <w:lang w:eastAsia="en-GB"/>
              </w:rPr>
              <w:t>Low risk of bias</w:t>
            </w:r>
          </w:p>
        </w:tc>
        <w:tc>
          <w:tcPr>
            <w:tcW w:w="651" w:type="pct"/>
          </w:tcPr>
          <w:p w:rsidR="00EB5320" w:rsidRPr="00C806D0" w:rsidRDefault="00EB5320" w:rsidP="004442E4">
            <w:pPr>
              <w:autoSpaceDE w:val="0"/>
              <w:autoSpaceDN w:val="0"/>
              <w:adjustRightInd w:val="0"/>
              <w:spacing w:line="240" w:lineRule="auto"/>
              <w:jc w:val="center"/>
              <w:rPr>
                <w:rFonts w:cs="Arial"/>
                <w:b/>
                <w:color w:val="000000" w:themeColor="text1"/>
                <w:sz w:val="19"/>
                <w:szCs w:val="19"/>
                <w:lang w:eastAsia="en-GB"/>
              </w:rPr>
            </w:pPr>
            <w:r w:rsidRPr="00C806D0">
              <w:rPr>
                <w:rFonts w:cs="Arial"/>
                <w:b/>
                <w:color w:val="000000" w:themeColor="text1"/>
                <w:sz w:val="19"/>
                <w:szCs w:val="19"/>
                <w:lang w:eastAsia="en-GB"/>
              </w:rPr>
              <w:t>Moderate risk of bias</w:t>
            </w:r>
          </w:p>
        </w:tc>
        <w:tc>
          <w:tcPr>
            <w:tcW w:w="655" w:type="pct"/>
          </w:tcPr>
          <w:p w:rsidR="00EB5320" w:rsidRPr="00C806D0" w:rsidRDefault="00EB5320" w:rsidP="004442E4">
            <w:pPr>
              <w:autoSpaceDE w:val="0"/>
              <w:autoSpaceDN w:val="0"/>
              <w:adjustRightInd w:val="0"/>
              <w:spacing w:line="240" w:lineRule="auto"/>
              <w:jc w:val="center"/>
              <w:rPr>
                <w:rFonts w:cs="Arial"/>
                <w:b/>
                <w:color w:val="000000" w:themeColor="text1"/>
                <w:sz w:val="19"/>
                <w:szCs w:val="19"/>
                <w:lang w:eastAsia="en-GB"/>
              </w:rPr>
            </w:pPr>
            <w:r w:rsidRPr="00C806D0">
              <w:rPr>
                <w:rFonts w:cs="Arial"/>
                <w:b/>
                <w:color w:val="000000" w:themeColor="text1"/>
                <w:sz w:val="19"/>
                <w:szCs w:val="19"/>
                <w:lang w:eastAsia="en-GB"/>
              </w:rPr>
              <w:t>High risk of bias</w:t>
            </w:r>
          </w:p>
        </w:tc>
        <w:tc>
          <w:tcPr>
            <w:tcW w:w="724" w:type="pct"/>
          </w:tcPr>
          <w:p w:rsidR="00EB5320" w:rsidRPr="00C806D0" w:rsidRDefault="00EB5320" w:rsidP="004442E4">
            <w:pPr>
              <w:autoSpaceDE w:val="0"/>
              <w:autoSpaceDN w:val="0"/>
              <w:adjustRightInd w:val="0"/>
              <w:spacing w:line="240" w:lineRule="auto"/>
              <w:jc w:val="center"/>
              <w:rPr>
                <w:rFonts w:cs="Arial"/>
                <w:b/>
                <w:color w:val="000000" w:themeColor="text1"/>
                <w:sz w:val="19"/>
                <w:szCs w:val="19"/>
                <w:lang w:eastAsia="en-GB"/>
              </w:rPr>
            </w:pPr>
            <w:r w:rsidRPr="00C806D0">
              <w:rPr>
                <w:rFonts w:cs="Arial"/>
                <w:b/>
                <w:color w:val="000000" w:themeColor="text1"/>
                <w:sz w:val="19"/>
                <w:szCs w:val="19"/>
                <w:lang w:eastAsia="en-GB"/>
              </w:rPr>
              <w:t>Very high risk of bias</w:t>
            </w:r>
          </w:p>
        </w:tc>
        <w:tc>
          <w:tcPr>
            <w:tcW w:w="573" w:type="pct"/>
          </w:tcPr>
          <w:p w:rsidR="00EB5320" w:rsidRPr="00C806D0" w:rsidRDefault="00EB5320" w:rsidP="004442E4">
            <w:pPr>
              <w:autoSpaceDE w:val="0"/>
              <w:autoSpaceDN w:val="0"/>
              <w:adjustRightInd w:val="0"/>
              <w:spacing w:line="240" w:lineRule="auto"/>
              <w:jc w:val="center"/>
              <w:rPr>
                <w:rFonts w:cs="Arial"/>
                <w:b/>
                <w:color w:val="000000" w:themeColor="text1"/>
                <w:sz w:val="19"/>
                <w:szCs w:val="19"/>
                <w:lang w:eastAsia="en-GB"/>
              </w:rPr>
            </w:pPr>
            <w:r w:rsidRPr="00C806D0">
              <w:rPr>
                <w:rFonts w:cs="Arial"/>
                <w:b/>
                <w:color w:val="000000" w:themeColor="text1"/>
                <w:sz w:val="19"/>
                <w:szCs w:val="19"/>
                <w:lang w:eastAsia="en-GB"/>
              </w:rPr>
              <w:t>Unclear risk of bias</w:t>
            </w:r>
          </w:p>
        </w:tc>
      </w:tr>
      <w:tr w:rsidR="00EB5320" w:rsidRPr="00C806D0" w:rsidTr="004442E4">
        <w:tc>
          <w:tcPr>
            <w:tcW w:w="458" w:type="pct"/>
          </w:tcPr>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r w:rsidRPr="00C806D0">
              <w:rPr>
                <w:rFonts w:cs="Arial"/>
                <w:b/>
                <w:color w:val="000000" w:themeColor="text1"/>
                <w:sz w:val="19"/>
                <w:szCs w:val="19"/>
                <w:lang w:eastAsia="en-GB"/>
              </w:rPr>
              <w:t>Selection bias a.</w:t>
            </w:r>
          </w:p>
        </w:tc>
        <w:tc>
          <w:tcPr>
            <w:tcW w:w="56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Outcome (or risk of outcome) influences selection of participants into exposed / non-exposed groups.</w:t>
            </w:r>
          </w:p>
        </w:tc>
        <w:tc>
          <w:tcPr>
            <w:tcW w:w="631" w:type="pct"/>
          </w:tcPr>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[Randomisation, with valid sequence generation &amp; allocation concealment]</w:t>
            </w:r>
          </w:p>
        </w:tc>
        <w:tc>
          <w:tcPr>
            <w:tcW w:w="74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Study population is representative of the source population. Selection probabilities for exposed / unexposed group not influenced by risk of outcome.</w:t>
            </w:r>
          </w:p>
        </w:tc>
        <w:tc>
          <w:tcPr>
            <w:tcW w:w="651"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Inclusion of participants into study groups possibly dependent on outcome, with cohorts possibly unrepresentative of source population.</w:t>
            </w:r>
          </w:p>
        </w:tc>
        <w:tc>
          <w:tcPr>
            <w:tcW w:w="655"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Inclusion of participants into study groups is dependent on risk of outcome/ outcome, with cohorts unrepresentative of the source population.</w:t>
            </w:r>
          </w:p>
        </w:tc>
        <w:tc>
          <w:tcPr>
            <w:tcW w:w="724"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Inclusion of participants into study groups is largely dependent on risk of outcome/outcome, with cohorts very unrepresentative of the source population.</w:t>
            </w:r>
          </w:p>
        </w:tc>
        <w:tc>
          <w:tcPr>
            <w:tcW w:w="57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Unable to assess risk of selection bias.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Method of selection into study groups not adequately described, or nature of cohort selection means full assessment not possible.</w:t>
            </w:r>
          </w:p>
        </w:tc>
      </w:tr>
      <w:tr w:rsidR="00EB5320" w:rsidRPr="00C806D0" w:rsidTr="004442E4">
        <w:tc>
          <w:tcPr>
            <w:tcW w:w="458"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b/>
                <w:color w:val="000000" w:themeColor="text1"/>
                <w:sz w:val="19"/>
                <w:szCs w:val="19"/>
                <w:lang w:eastAsia="en-GB"/>
              </w:rPr>
              <w:t>Selection bias</w:t>
            </w:r>
            <w:r w:rsidRPr="00C806D0">
              <w:rPr>
                <w:rFonts w:cs="Arial"/>
                <w:color w:val="000000" w:themeColor="text1"/>
                <w:sz w:val="19"/>
                <w:szCs w:val="19"/>
                <w:lang w:eastAsia="en-GB"/>
              </w:rPr>
              <w:t xml:space="preserve"> </w:t>
            </w:r>
            <w:r w:rsidRPr="00C806D0">
              <w:rPr>
                <w:rFonts w:cs="Arial"/>
                <w:b/>
                <w:color w:val="000000" w:themeColor="text1"/>
                <w:sz w:val="19"/>
                <w:szCs w:val="19"/>
                <w:lang w:eastAsia="en-GB"/>
              </w:rPr>
              <w:t>b.</w:t>
            </w:r>
          </w:p>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r w:rsidRPr="00C806D0">
              <w:rPr>
                <w:rFonts w:cs="Arial"/>
                <w:color w:val="000000" w:themeColor="text1"/>
                <w:sz w:val="19"/>
                <w:szCs w:val="19"/>
                <w:lang w:eastAsia="en-GB"/>
              </w:rPr>
              <w:t>(attrition bias)</w:t>
            </w:r>
          </w:p>
        </w:tc>
        <w:tc>
          <w:tcPr>
            <w:tcW w:w="56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Incomplete outcome assessment </w:t>
            </w:r>
          </w:p>
        </w:tc>
        <w:tc>
          <w:tcPr>
            <w:tcW w:w="631"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No loss to follow up</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74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Minimal numbers lost to follow up (0-5%)</w:t>
            </w: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Sensitivity analysis reveals results are very robust to attrition bias.</w:t>
            </w:r>
          </w:p>
        </w:tc>
        <w:tc>
          <w:tcPr>
            <w:tcW w:w="651"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Limited numbers lost to follow up (5 -10%)</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Sensitivity analysis reveals results are robust to attrition bias.</w:t>
            </w:r>
          </w:p>
        </w:tc>
        <w:tc>
          <w:tcPr>
            <w:tcW w:w="655"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Large numbers lost to follow up (&gt;10%)</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Sensitivity analysis reveals results are susceptible to attrition bias.</w:t>
            </w:r>
          </w:p>
        </w:tc>
        <w:tc>
          <w:tcPr>
            <w:tcW w:w="724"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Large numbers lost to follow up (&gt;20%)</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Sensitivity analysis reveals results are very susceptible to attrition bias.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57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Loss to follow up and reasons for attrition not reported.</w:t>
            </w:r>
          </w:p>
        </w:tc>
      </w:tr>
      <w:tr w:rsidR="00EB5320" w:rsidRPr="00C806D0" w:rsidTr="004442E4">
        <w:tc>
          <w:tcPr>
            <w:tcW w:w="458" w:type="pct"/>
          </w:tcPr>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r w:rsidRPr="00C806D0">
              <w:rPr>
                <w:rFonts w:cs="Arial"/>
                <w:b/>
                <w:color w:val="000000" w:themeColor="text1"/>
                <w:sz w:val="19"/>
                <w:szCs w:val="19"/>
                <w:lang w:eastAsia="en-GB"/>
              </w:rPr>
              <w:t>Information bias</w:t>
            </w:r>
          </w:p>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p>
        </w:tc>
        <w:tc>
          <w:tcPr>
            <w:tcW w:w="56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Inaccurate measurement of exposure</w:t>
            </w:r>
          </w:p>
        </w:tc>
        <w:tc>
          <w:tcPr>
            <w:tcW w:w="631"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Objective, validated, reliable measure for exposure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Blinded investigators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lastRenderedPageBreak/>
              <w:t>Measurement standardised between study groups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74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9C40A1" w:rsidP="004442E4">
            <w:pPr>
              <w:autoSpaceDE w:val="0"/>
              <w:autoSpaceDN w:val="0"/>
              <w:adjustRightInd w:val="0"/>
              <w:spacing w:line="240" w:lineRule="auto"/>
              <w:rPr>
                <w:rFonts w:cs="Arial"/>
                <w:color w:val="000000" w:themeColor="text1"/>
                <w:sz w:val="19"/>
                <w:szCs w:val="19"/>
                <w:lang w:eastAsia="en-GB"/>
              </w:rPr>
            </w:pPr>
            <w:r w:rsidRPr="00C806D0">
              <w:rPr>
                <w:rFonts w:cs="Arial"/>
                <w:noProof/>
                <w:color w:val="000000" w:themeColor="text1"/>
                <w:sz w:val="19"/>
                <w:szCs w:val="19"/>
                <w:lang w:eastAsia="en-GB"/>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6" type="#_x0000_t69" style="position:absolute;margin-left:2.05pt;margin-top:11.7pt;width:290.15pt;height:34.35pt;z-index:251660288"/>
              </w:pict>
            </w:r>
          </w:p>
        </w:tc>
        <w:tc>
          <w:tcPr>
            <w:tcW w:w="651"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655"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724"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Subjective, non-validated, unreliable measure of exposure.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Exposure assessors not blinded to study </w:t>
            </w:r>
            <w:r w:rsidRPr="00C806D0">
              <w:rPr>
                <w:rFonts w:cs="Arial"/>
                <w:color w:val="000000" w:themeColor="text1"/>
                <w:sz w:val="19"/>
                <w:szCs w:val="19"/>
                <w:lang w:eastAsia="en-GB"/>
              </w:rPr>
              <w:lastRenderedPageBreak/>
              <w:t>hypothesis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Measurement not-standardised between study groups</w:t>
            </w:r>
          </w:p>
        </w:tc>
        <w:tc>
          <w:tcPr>
            <w:tcW w:w="57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lastRenderedPageBreak/>
              <w:t>Measurement of exposure not reported clearly</w:t>
            </w:r>
          </w:p>
        </w:tc>
      </w:tr>
      <w:tr w:rsidR="00EB5320" w:rsidRPr="00C806D0" w:rsidTr="004442E4">
        <w:tc>
          <w:tcPr>
            <w:tcW w:w="458" w:type="pct"/>
          </w:tcPr>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p>
        </w:tc>
        <w:tc>
          <w:tcPr>
            <w:tcW w:w="56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Inaccurate measurement of outcome</w:t>
            </w:r>
          </w:p>
        </w:tc>
        <w:tc>
          <w:tcPr>
            <w:tcW w:w="631"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Objective, validated, reliable measure for exposure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9C40A1" w:rsidP="004442E4">
            <w:pPr>
              <w:autoSpaceDE w:val="0"/>
              <w:autoSpaceDN w:val="0"/>
              <w:adjustRightInd w:val="0"/>
              <w:spacing w:line="240" w:lineRule="auto"/>
              <w:rPr>
                <w:rFonts w:cs="Arial"/>
                <w:color w:val="000000" w:themeColor="text1"/>
                <w:sz w:val="19"/>
                <w:szCs w:val="19"/>
                <w:lang w:eastAsia="en-GB"/>
              </w:rPr>
            </w:pPr>
            <w:r w:rsidRPr="00C806D0">
              <w:rPr>
                <w:rFonts w:cs="Arial"/>
                <w:noProof/>
                <w:color w:val="000000" w:themeColor="text1"/>
                <w:sz w:val="19"/>
                <w:szCs w:val="19"/>
                <w:lang w:eastAsia="en-GB"/>
              </w:rPr>
              <w:pict>
                <v:shape id="_x0000_s1027" type="#_x0000_t69" style="position:absolute;margin-left:91.75pt;margin-top:3.3pt;width:290.15pt;height:34.35pt;z-index:251661312"/>
              </w:pict>
            </w:r>
            <w:r w:rsidR="00EB5320" w:rsidRPr="00C806D0">
              <w:rPr>
                <w:rFonts w:cs="Arial"/>
                <w:color w:val="000000" w:themeColor="text1"/>
                <w:sz w:val="19"/>
                <w:szCs w:val="19"/>
                <w:lang w:eastAsia="en-GB"/>
              </w:rPr>
              <w:t>Blinded investigators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Measurement standardised between study groups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74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651"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655"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724"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Subjective, non-validated, unreliable measurement of outcomes.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Investigators not blinded to exposure status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Measurement not-standardised between study groups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No reliable system for detecting outcomes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Follow up length insufficient or differed between groups </w:t>
            </w:r>
          </w:p>
        </w:tc>
        <w:tc>
          <w:tcPr>
            <w:tcW w:w="573" w:type="pct"/>
          </w:tcPr>
          <w:p w:rsidR="00EB5320" w:rsidRPr="00C806D0" w:rsidRDefault="00EB5320" w:rsidP="00C867F9">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Measurement of </w:t>
            </w:r>
            <w:r w:rsidR="00C867F9" w:rsidRPr="00C806D0">
              <w:rPr>
                <w:rFonts w:cs="Arial"/>
                <w:color w:val="000000" w:themeColor="text1"/>
                <w:sz w:val="19"/>
                <w:szCs w:val="19"/>
                <w:lang w:eastAsia="en-GB"/>
              </w:rPr>
              <w:t>outcome</w:t>
            </w:r>
            <w:r w:rsidRPr="00C806D0">
              <w:rPr>
                <w:rFonts w:cs="Arial"/>
                <w:color w:val="000000" w:themeColor="text1"/>
                <w:sz w:val="19"/>
                <w:szCs w:val="19"/>
                <w:lang w:eastAsia="en-GB"/>
              </w:rPr>
              <w:t xml:space="preserve"> not reported clearly</w:t>
            </w:r>
          </w:p>
        </w:tc>
      </w:tr>
      <w:tr w:rsidR="00EB5320" w:rsidRPr="00C806D0" w:rsidTr="004442E4">
        <w:tc>
          <w:tcPr>
            <w:tcW w:w="458" w:type="pct"/>
          </w:tcPr>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r w:rsidRPr="00C806D0">
              <w:rPr>
                <w:rFonts w:cs="Arial"/>
                <w:b/>
                <w:color w:val="000000" w:themeColor="text1"/>
                <w:sz w:val="19"/>
                <w:szCs w:val="19"/>
                <w:lang w:eastAsia="en-GB"/>
              </w:rPr>
              <w:t>Confounding*</w:t>
            </w:r>
          </w:p>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p>
        </w:tc>
        <w:tc>
          <w:tcPr>
            <w:tcW w:w="56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Variables associated with exposure, and are causal risk factors (or surrogate marker) for the outcome, are unbalanced between study groups.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631" w:type="pct"/>
          </w:tcPr>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 xml:space="preserve">[Randomisation with valid sequence generation and allocation concealment. </w:t>
            </w: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Adequate sample size, balance of prognostic variables across treatment groups.</w:t>
            </w: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Control of pre-</w:t>
            </w:r>
            <w:r w:rsidRPr="00C806D0">
              <w:rPr>
                <w:rFonts w:cs="Arial"/>
                <w:i/>
                <w:color w:val="000000" w:themeColor="text1"/>
                <w:sz w:val="19"/>
                <w:szCs w:val="19"/>
                <w:lang w:eastAsia="en-GB"/>
              </w:rPr>
              <w:lastRenderedPageBreak/>
              <w:t>specified confounders in analysis]</w:t>
            </w: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All significant confounders identified, balanced, validly measured, and validly controlled for. Further unknown confounders </w:t>
            </w:r>
            <w:r w:rsidRPr="00C806D0">
              <w:rPr>
                <w:rFonts w:cs="Arial"/>
                <w:i/>
                <w:color w:val="000000" w:themeColor="text1"/>
                <w:sz w:val="19"/>
                <w:szCs w:val="19"/>
                <w:lang w:eastAsia="en-GB"/>
              </w:rPr>
              <w:t xml:space="preserve">extremely </w:t>
            </w:r>
            <w:r w:rsidRPr="00C806D0">
              <w:rPr>
                <w:rFonts w:cs="Arial"/>
                <w:color w:val="000000" w:themeColor="text1"/>
                <w:sz w:val="19"/>
                <w:szCs w:val="19"/>
                <w:lang w:eastAsia="en-GB"/>
              </w:rPr>
              <w:t xml:space="preserve">unlikely.  </w:t>
            </w:r>
          </w:p>
        </w:tc>
        <w:tc>
          <w:tcPr>
            <w:tcW w:w="743" w:type="pct"/>
          </w:tcPr>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lastRenderedPageBreak/>
              <w:t>Identification:</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All significant confounders pre-specified and measured. </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Measurement:</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Objective, validated, reliable, equal, measurement of confounders across study groups.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Minimal missing </w:t>
            </w:r>
            <w:r w:rsidRPr="00C806D0">
              <w:rPr>
                <w:rFonts w:cs="Arial"/>
                <w:color w:val="000000" w:themeColor="text1"/>
                <w:sz w:val="19"/>
                <w:szCs w:val="19"/>
                <w:lang w:eastAsia="en-GB"/>
              </w:rPr>
              <w:lastRenderedPageBreak/>
              <w:t>confounder data (0-5%), equal across groups.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Valid Imputation of missing data e.g. Multiple imputation</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Balance: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Known confounders well balanced between groups.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Adjustment:</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Valid control of all significant confounder at design and/or analysis stage.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Unknown confounders unlikely.</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Sensitivity analysis shows results are very robust to unmeasured or unknown confounders.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651" w:type="pct"/>
          </w:tcPr>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lastRenderedPageBreak/>
              <w:t>Identification:</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Significant confounders largely pre-specified and measured.</w:t>
            </w: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Measurement:</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Objective, validated, reliable measurement of confounders.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Limited missing confounder data (5-</w:t>
            </w:r>
            <w:r w:rsidRPr="00C806D0">
              <w:rPr>
                <w:rFonts w:cs="Arial"/>
                <w:color w:val="000000" w:themeColor="text1"/>
                <w:sz w:val="19"/>
                <w:szCs w:val="19"/>
                <w:lang w:eastAsia="en-GB"/>
              </w:rPr>
              <w:lastRenderedPageBreak/>
              <w:t>15%).</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Valid Imputation of lost outcomes e.g. Multiple imputation</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Balance: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Known confounders well balanced between groups.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Adjustment:</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Valid control of significant confounders at design and/or analysis stage.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Unknown confounders cannot be ruled out.</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Sensitivity analysis shows results are sensitive to unmeasured or unknown confounders.</w:t>
            </w:r>
          </w:p>
        </w:tc>
        <w:tc>
          <w:tcPr>
            <w:tcW w:w="655" w:type="pct"/>
          </w:tcPr>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lastRenderedPageBreak/>
              <w:t>Identification:</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Significant confounders not pre-specified or measured.</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Measurement:</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Subjective, unvalidated, unequal, or unreliable measurement of confounders.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lastRenderedPageBreak/>
              <w:t>Large amount of missing confounder data (&gt;15%).</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Ad hoc methods for imputing missing data e.g. LOCF, average value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Balance: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Known confounders not balanced between groups</w:t>
            </w: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Adjustment:</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Not all significant confounders controlled for at design or analysis stage.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Method of controlling for confounder potentially not valid e.g. Propensity strata not balanced, invalid regression model development.</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Unknown confounders very likely </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Sensitivity analysis shows results are very sensitive to </w:t>
            </w:r>
            <w:r w:rsidRPr="00C806D0">
              <w:rPr>
                <w:rFonts w:cs="Arial"/>
                <w:color w:val="000000" w:themeColor="text1"/>
                <w:sz w:val="19"/>
                <w:szCs w:val="19"/>
                <w:lang w:eastAsia="en-GB"/>
              </w:rPr>
              <w:lastRenderedPageBreak/>
              <w:t>unmeasured or unknown confounders.</w:t>
            </w:r>
          </w:p>
        </w:tc>
        <w:tc>
          <w:tcPr>
            <w:tcW w:w="724" w:type="pct"/>
          </w:tcPr>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lastRenderedPageBreak/>
              <w:t>Identification:</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Significant confounders not pre-specified or measured.</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Balance:</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Imbalance at baseline between study groups with respect to confounding variables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i/>
                <w:color w:val="000000" w:themeColor="text1"/>
                <w:sz w:val="19"/>
                <w:szCs w:val="19"/>
                <w:lang w:eastAsia="en-GB"/>
              </w:rPr>
              <w:t>Adjustment:</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No attempt to control </w:t>
            </w:r>
            <w:r w:rsidRPr="00C806D0">
              <w:rPr>
                <w:rFonts w:cs="Arial"/>
                <w:color w:val="000000" w:themeColor="text1"/>
                <w:sz w:val="19"/>
                <w:szCs w:val="19"/>
                <w:lang w:eastAsia="en-GB"/>
              </w:rPr>
              <w:lastRenderedPageBreak/>
              <w:t>for confounding in design or analysis.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57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lastRenderedPageBreak/>
              <w:t>Identification, measurement, balance, or adjustment of confounders not sufficiently described to allow judgment of risk of bias</w:t>
            </w:r>
          </w:p>
        </w:tc>
      </w:tr>
      <w:tr w:rsidR="00EB5320" w:rsidRPr="00C806D0" w:rsidTr="004442E4">
        <w:tc>
          <w:tcPr>
            <w:tcW w:w="458" w:type="pct"/>
          </w:tcPr>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r w:rsidRPr="00C806D0">
              <w:rPr>
                <w:rFonts w:cs="Arial"/>
                <w:b/>
                <w:color w:val="000000" w:themeColor="text1"/>
                <w:sz w:val="19"/>
                <w:szCs w:val="19"/>
                <w:lang w:eastAsia="en-GB"/>
              </w:rPr>
              <w:lastRenderedPageBreak/>
              <w:t>Reporting bias</w:t>
            </w:r>
          </w:p>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p>
        </w:tc>
        <w:tc>
          <w:tcPr>
            <w:tcW w:w="56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Selective reporting of outcomes</w:t>
            </w:r>
          </w:p>
        </w:tc>
        <w:tc>
          <w:tcPr>
            <w:tcW w:w="631"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All primary and secondary analyses reported, as pre-specified in protocol.</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743"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 xml:space="preserve">All </w:t>
            </w:r>
            <w:r w:rsidRPr="00C806D0">
              <w:rPr>
                <w:rFonts w:cs="Arial"/>
                <w:i/>
                <w:color w:val="000000" w:themeColor="text1"/>
                <w:sz w:val="19"/>
                <w:szCs w:val="19"/>
                <w:lang w:eastAsia="en-GB"/>
              </w:rPr>
              <w:t xml:space="preserve">a-priori </w:t>
            </w:r>
            <w:r w:rsidRPr="00C806D0">
              <w:rPr>
                <w:rFonts w:cs="Arial"/>
                <w:color w:val="000000" w:themeColor="text1"/>
                <w:sz w:val="19"/>
                <w:szCs w:val="19"/>
                <w:lang w:eastAsia="en-GB"/>
              </w:rPr>
              <w:t xml:space="preserve">and </w:t>
            </w:r>
            <w:r w:rsidRPr="00C806D0">
              <w:rPr>
                <w:rFonts w:cs="Arial"/>
                <w:i/>
                <w:color w:val="000000" w:themeColor="text1"/>
                <w:sz w:val="19"/>
                <w:szCs w:val="19"/>
                <w:lang w:eastAsia="en-GB"/>
              </w:rPr>
              <w:t xml:space="preserve">post-hoc </w:t>
            </w:r>
            <w:r w:rsidRPr="00C806D0">
              <w:rPr>
                <w:rFonts w:cs="Arial"/>
                <w:color w:val="000000" w:themeColor="text1"/>
                <w:sz w:val="19"/>
                <w:szCs w:val="19"/>
                <w:lang w:eastAsia="en-GB"/>
              </w:rPr>
              <w:t>analyses clearly listed in paper, but no protocol reported.</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Primary and secondary analyses differ minimally from those pre-specified in protocol.</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651" w:type="pct"/>
          </w:tcPr>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color w:val="000000" w:themeColor="text1"/>
                <w:sz w:val="19"/>
                <w:szCs w:val="19"/>
                <w:lang w:eastAsia="en-GB"/>
              </w:rPr>
              <w:t xml:space="preserve">Some analyses reported in paper are labelled as </w:t>
            </w:r>
            <w:r w:rsidRPr="00C806D0">
              <w:rPr>
                <w:rFonts w:cs="Arial"/>
                <w:i/>
                <w:color w:val="000000" w:themeColor="text1"/>
                <w:sz w:val="19"/>
                <w:szCs w:val="19"/>
                <w:lang w:eastAsia="en-GB"/>
              </w:rPr>
              <w:t xml:space="preserve">a-priori </w:t>
            </w:r>
            <w:r w:rsidRPr="00C806D0">
              <w:rPr>
                <w:rFonts w:cs="Arial"/>
                <w:color w:val="000000" w:themeColor="text1"/>
                <w:sz w:val="19"/>
                <w:szCs w:val="19"/>
                <w:lang w:eastAsia="en-GB"/>
              </w:rPr>
              <w:t xml:space="preserve">or </w:t>
            </w:r>
            <w:r w:rsidRPr="00C806D0">
              <w:rPr>
                <w:rFonts w:cs="Arial"/>
                <w:i/>
                <w:color w:val="000000" w:themeColor="text1"/>
                <w:sz w:val="19"/>
                <w:szCs w:val="19"/>
                <w:lang w:eastAsia="en-GB"/>
              </w:rPr>
              <w:t>post-hoc.</w:t>
            </w: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Primary and secondary analyses differ slightly from those pre-specified in protocol.</w:t>
            </w:r>
          </w:p>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p>
        </w:tc>
        <w:tc>
          <w:tcPr>
            <w:tcW w:w="655" w:type="pct"/>
          </w:tcPr>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color w:val="000000" w:themeColor="text1"/>
                <w:sz w:val="19"/>
                <w:szCs w:val="19"/>
                <w:lang w:eastAsia="en-GB"/>
              </w:rPr>
              <w:t xml:space="preserve">Analyses not labelled </w:t>
            </w:r>
            <w:r w:rsidRPr="00C806D0">
              <w:rPr>
                <w:rFonts w:cs="Arial"/>
                <w:i/>
                <w:color w:val="000000" w:themeColor="text1"/>
                <w:sz w:val="19"/>
                <w:szCs w:val="19"/>
                <w:lang w:eastAsia="en-GB"/>
              </w:rPr>
              <w:t xml:space="preserve">a-priori </w:t>
            </w:r>
            <w:r w:rsidRPr="00C806D0">
              <w:rPr>
                <w:rFonts w:cs="Arial"/>
                <w:color w:val="000000" w:themeColor="text1"/>
                <w:sz w:val="19"/>
                <w:szCs w:val="19"/>
                <w:lang w:eastAsia="en-GB"/>
              </w:rPr>
              <w:t xml:space="preserve">or </w:t>
            </w:r>
            <w:r w:rsidRPr="00C806D0">
              <w:rPr>
                <w:rFonts w:cs="Arial"/>
                <w:i/>
                <w:color w:val="000000" w:themeColor="text1"/>
                <w:sz w:val="19"/>
                <w:szCs w:val="19"/>
                <w:lang w:eastAsia="en-GB"/>
              </w:rPr>
              <w:t>post-hoc.</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Primary and secondary analyses differ moderately from those pre-specified in protocol.</w:t>
            </w:r>
          </w:p>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p>
        </w:tc>
        <w:tc>
          <w:tcPr>
            <w:tcW w:w="724" w:type="pct"/>
          </w:tcPr>
          <w:p w:rsidR="00EB5320" w:rsidRPr="00C806D0" w:rsidRDefault="00EB5320" w:rsidP="004442E4">
            <w:pPr>
              <w:autoSpaceDE w:val="0"/>
              <w:autoSpaceDN w:val="0"/>
              <w:adjustRightInd w:val="0"/>
              <w:spacing w:line="240" w:lineRule="auto"/>
              <w:rPr>
                <w:rFonts w:cs="Arial"/>
                <w:i/>
                <w:color w:val="000000" w:themeColor="text1"/>
                <w:sz w:val="19"/>
                <w:szCs w:val="19"/>
                <w:lang w:eastAsia="en-GB"/>
              </w:rPr>
            </w:pPr>
            <w:r w:rsidRPr="00C806D0">
              <w:rPr>
                <w:rFonts w:cs="Arial"/>
                <w:color w:val="000000" w:themeColor="text1"/>
                <w:sz w:val="19"/>
                <w:szCs w:val="19"/>
                <w:lang w:eastAsia="en-GB"/>
              </w:rPr>
              <w:t xml:space="preserve">Analyses not labelled </w:t>
            </w:r>
            <w:r w:rsidRPr="00C806D0">
              <w:rPr>
                <w:rFonts w:cs="Arial"/>
                <w:i/>
                <w:color w:val="000000" w:themeColor="text1"/>
                <w:sz w:val="19"/>
                <w:szCs w:val="19"/>
                <w:lang w:eastAsia="en-GB"/>
              </w:rPr>
              <w:t xml:space="preserve">a-priori </w:t>
            </w:r>
            <w:r w:rsidRPr="00C806D0">
              <w:rPr>
                <w:rFonts w:cs="Arial"/>
                <w:color w:val="000000" w:themeColor="text1"/>
                <w:sz w:val="19"/>
                <w:szCs w:val="19"/>
                <w:lang w:eastAsia="en-GB"/>
              </w:rPr>
              <w:t xml:space="preserve">or </w:t>
            </w:r>
            <w:r w:rsidRPr="00C806D0">
              <w:rPr>
                <w:rFonts w:cs="Arial"/>
                <w:i/>
                <w:color w:val="000000" w:themeColor="text1"/>
                <w:sz w:val="19"/>
                <w:szCs w:val="19"/>
                <w:lang w:eastAsia="en-GB"/>
              </w:rPr>
              <w:t>post-hoc.</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Primary and secondary analyses differ significantly from those pre-specified in protocol.</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Linked outcomes are obviously not reported</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Obvious conflict of interest</w:t>
            </w:r>
          </w:p>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p>
        </w:tc>
        <w:tc>
          <w:tcPr>
            <w:tcW w:w="573" w:type="pct"/>
          </w:tcPr>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r w:rsidRPr="00C806D0">
              <w:rPr>
                <w:rFonts w:eastAsia="FreeSans" w:cs="FreeSans"/>
                <w:color w:val="000000" w:themeColor="text1"/>
                <w:sz w:val="19"/>
                <w:szCs w:val="19"/>
                <w:lang w:eastAsia="en-GB"/>
              </w:rPr>
              <w:t>Presence of protocol or pre-specified analyses not reported.</w:t>
            </w:r>
          </w:p>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p>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r w:rsidRPr="00C806D0">
              <w:rPr>
                <w:rFonts w:eastAsia="FreeSans" w:cs="FreeSans"/>
                <w:color w:val="000000" w:themeColor="text1"/>
                <w:sz w:val="19"/>
                <w:szCs w:val="19"/>
                <w:lang w:eastAsia="en-GB"/>
              </w:rPr>
              <w:t>Conflict of interests not declared</w:t>
            </w:r>
          </w:p>
        </w:tc>
      </w:tr>
      <w:tr w:rsidR="00EB5320" w:rsidRPr="00C806D0" w:rsidTr="004442E4">
        <w:tc>
          <w:tcPr>
            <w:tcW w:w="458" w:type="pct"/>
          </w:tcPr>
          <w:p w:rsidR="00EB5320" w:rsidRPr="00C806D0" w:rsidRDefault="00EB5320" w:rsidP="004442E4">
            <w:pPr>
              <w:autoSpaceDE w:val="0"/>
              <w:autoSpaceDN w:val="0"/>
              <w:adjustRightInd w:val="0"/>
              <w:spacing w:line="240" w:lineRule="auto"/>
              <w:rPr>
                <w:rFonts w:cs="Arial"/>
                <w:b/>
                <w:color w:val="000000" w:themeColor="text1"/>
                <w:sz w:val="19"/>
                <w:szCs w:val="19"/>
                <w:lang w:eastAsia="en-GB"/>
              </w:rPr>
            </w:pPr>
            <w:r w:rsidRPr="00C806D0">
              <w:rPr>
                <w:rFonts w:cs="Arial"/>
                <w:b/>
                <w:color w:val="000000" w:themeColor="text1"/>
                <w:sz w:val="19"/>
                <w:szCs w:val="19"/>
                <w:lang w:eastAsia="en-GB"/>
              </w:rPr>
              <w:t>Other sources of bias</w:t>
            </w:r>
          </w:p>
        </w:tc>
        <w:tc>
          <w:tcPr>
            <w:tcW w:w="563" w:type="pct"/>
          </w:tcPr>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r w:rsidRPr="00C806D0">
              <w:rPr>
                <w:rFonts w:eastAsia="FreeSans" w:cs="FreeSans"/>
                <w:color w:val="000000" w:themeColor="text1"/>
                <w:sz w:val="19"/>
                <w:szCs w:val="19"/>
                <w:lang w:eastAsia="en-GB"/>
              </w:rPr>
              <w:t>Bias due to problems not covered elsewhere domains in the tool e.g. Performance bias in prospective cohort studies</w:t>
            </w:r>
          </w:p>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631"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r w:rsidRPr="00C806D0">
              <w:rPr>
                <w:rFonts w:cs="Arial"/>
                <w:color w:val="000000" w:themeColor="text1"/>
                <w:sz w:val="19"/>
                <w:szCs w:val="19"/>
                <w:lang w:eastAsia="en-GB"/>
              </w:rPr>
              <w:t>No other potential sources of bias</w:t>
            </w:r>
          </w:p>
        </w:tc>
        <w:tc>
          <w:tcPr>
            <w:tcW w:w="743" w:type="pct"/>
          </w:tcPr>
          <w:p w:rsidR="00EB5320" w:rsidRPr="00C806D0" w:rsidRDefault="009C40A1" w:rsidP="004442E4">
            <w:pPr>
              <w:autoSpaceDE w:val="0"/>
              <w:autoSpaceDN w:val="0"/>
              <w:adjustRightInd w:val="0"/>
              <w:spacing w:line="240" w:lineRule="auto"/>
              <w:rPr>
                <w:rFonts w:cs="Arial"/>
                <w:color w:val="000000" w:themeColor="text1"/>
                <w:sz w:val="19"/>
                <w:szCs w:val="19"/>
                <w:lang w:eastAsia="en-GB"/>
              </w:rPr>
            </w:pPr>
            <w:r w:rsidRPr="00C806D0">
              <w:rPr>
                <w:rFonts w:cs="Arial"/>
                <w:noProof/>
                <w:color w:val="000000" w:themeColor="text1"/>
                <w:sz w:val="19"/>
                <w:szCs w:val="19"/>
                <w:lang w:val="en-GB" w:eastAsia="en-GB"/>
              </w:rPr>
              <w:pict>
                <v:shape id="_x0000_s1031" type="#_x0000_t69" style="position:absolute;margin-left:1.9pt;margin-top:32.15pt;width:290.15pt;height:34.35pt;z-index:251666432;mso-position-horizontal-relative:text;mso-position-vertical-relative:text"/>
              </w:pict>
            </w:r>
          </w:p>
        </w:tc>
        <w:tc>
          <w:tcPr>
            <w:tcW w:w="651" w:type="pct"/>
          </w:tcPr>
          <w:p w:rsidR="00EB5320" w:rsidRPr="00C806D0" w:rsidRDefault="00EB5320" w:rsidP="004442E4">
            <w:pPr>
              <w:autoSpaceDE w:val="0"/>
              <w:autoSpaceDN w:val="0"/>
              <w:adjustRightInd w:val="0"/>
              <w:spacing w:line="240" w:lineRule="auto"/>
              <w:rPr>
                <w:rFonts w:cs="Arial"/>
                <w:color w:val="000000" w:themeColor="text1"/>
                <w:sz w:val="19"/>
                <w:szCs w:val="19"/>
                <w:lang w:eastAsia="en-GB"/>
              </w:rPr>
            </w:pPr>
          </w:p>
        </w:tc>
        <w:tc>
          <w:tcPr>
            <w:tcW w:w="655" w:type="pct"/>
          </w:tcPr>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p>
        </w:tc>
        <w:tc>
          <w:tcPr>
            <w:tcW w:w="724" w:type="pct"/>
          </w:tcPr>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r w:rsidRPr="00C806D0">
              <w:rPr>
                <w:rFonts w:eastAsia="FreeSans" w:cs="FreeSans"/>
                <w:color w:val="000000" w:themeColor="text1"/>
                <w:sz w:val="19"/>
                <w:szCs w:val="19"/>
                <w:lang w:eastAsia="en-GB"/>
              </w:rPr>
              <w:t>Other sources of bias likely to strongly influence results.</w:t>
            </w:r>
          </w:p>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p>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p>
        </w:tc>
        <w:tc>
          <w:tcPr>
            <w:tcW w:w="573" w:type="pct"/>
          </w:tcPr>
          <w:p w:rsidR="00EB5320" w:rsidRPr="00C806D0" w:rsidRDefault="00EB5320" w:rsidP="004442E4">
            <w:pPr>
              <w:autoSpaceDE w:val="0"/>
              <w:autoSpaceDN w:val="0"/>
              <w:adjustRightInd w:val="0"/>
              <w:spacing w:line="240" w:lineRule="auto"/>
              <w:rPr>
                <w:rFonts w:eastAsia="FreeSans" w:cs="FreeSans"/>
                <w:color w:val="000000" w:themeColor="text1"/>
                <w:sz w:val="19"/>
                <w:szCs w:val="19"/>
                <w:lang w:eastAsia="en-GB"/>
              </w:rPr>
            </w:pPr>
            <w:r w:rsidRPr="00C806D0">
              <w:rPr>
                <w:rFonts w:eastAsia="FreeSans" w:cs="FreeSans"/>
                <w:color w:val="000000" w:themeColor="text1"/>
                <w:sz w:val="19"/>
                <w:szCs w:val="19"/>
                <w:lang w:eastAsia="en-GB"/>
              </w:rPr>
              <w:t>Lack of information reported to assess additional risk of additional sources of bias</w:t>
            </w:r>
          </w:p>
        </w:tc>
      </w:tr>
    </w:tbl>
    <w:p w:rsidR="00EB5320" w:rsidRPr="00C806D0" w:rsidRDefault="00EB5320" w:rsidP="00EB5320">
      <w:pPr>
        <w:rPr>
          <w:rFonts w:ascii="Arial" w:hAnsi="Arial" w:cs="Arial"/>
          <w:b/>
          <w:bCs/>
          <w:color w:val="000000" w:themeColor="text1"/>
          <w:sz w:val="24"/>
          <w:szCs w:val="24"/>
        </w:rPr>
      </w:pPr>
      <w:r w:rsidRPr="00C806D0">
        <w:t xml:space="preserve">*Confounding variables considered: Age;  GCS;  pupils; hypoxia; hypotension; extracranial Injury; CT findings: e.g. Marshall diffuse injury score or equivalent; coagulopathy; anaemia;  hypergylceamia; comorbidity; performance status; any other relevant confounder   </w:t>
      </w:r>
    </w:p>
    <w:p w:rsidR="00EB5320" w:rsidRPr="00C806D0" w:rsidRDefault="00EB5320" w:rsidP="00EB5320">
      <w:pPr>
        <w:pStyle w:val="Heading2"/>
      </w:pPr>
      <w:r w:rsidRPr="00C806D0">
        <w:lastRenderedPageBreak/>
        <w:t>supplementary results</w:t>
      </w:r>
    </w:p>
    <w:p w:rsidR="00EB5320" w:rsidRPr="00C806D0" w:rsidRDefault="00EB5320" w:rsidP="002A360F">
      <w:pPr>
        <w:pStyle w:val="Heading3"/>
      </w:pPr>
      <w:r w:rsidRPr="00C806D0">
        <w:t>Details of near miss studies</w:t>
      </w:r>
    </w:p>
    <w:p w:rsidR="00EB5320" w:rsidRPr="00C806D0" w:rsidRDefault="00EB5320" w:rsidP="00EB5320">
      <w:pPr>
        <w:rPr>
          <w:b/>
        </w:rPr>
      </w:pPr>
      <w:r w:rsidRPr="00C806D0">
        <w:rPr>
          <w:b/>
        </w:rPr>
        <w:t>Table B2. Details of near miss studies identified during in systematic review examining the effectiveness of routine and no secondary transfer strategies in non-surgical significant TBI</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2" w:space="0" w:color="auto"/>
        </w:tblBorders>
        <w:tblLayout w:type="fixed"/>
        <w:tblLook w:val="00A0" w:firstRow="1" w:lastRow="0" w:firstColumn="1" w:lastColumn="0" w:noHBand="0" w:noVBand="0"/>
      </w:tblPr>
      <w:tblGrid>
        <w:gridCol w:w="1510"/>
        <w:gridCol w:w="831"/>
        <w:gridCol w:w="1241"/>
        <w:gridCol w:w="2004"/>
        <w:gridCol w:w="1417"/>
        <w:gridCol w:w="1701"/>
        <w:gridCol w:w="2287"/>
        <w:gridCol w:w="1440"/>
        <w:gridCol w:w="1518"/>
      </w:tblGrid>
      <w:tr w:rsidR="00EB5320" w:rsidRPr="00C806D0" w:rsidTr="004442E4">
        <w:trPr>
          <w:cantSplit/>
          <w:tblHeader/>
        </w:trPr>
        <w:tc>
          <w:tcPr>
            <w:tcW w:w="1510" w:type="dxa"/>
            <w:tcBorders>
              <w:top w:val="single" w:sz="12" w:space="0" w:color="auto"/>
              <w:bottom w:val="single" w:sz="12" w:space="0" w:color="auto"/>
            </w:tcBorders>
            <w:shd w:val="clear" w:color="auto" w:fill="D9D9D9"/>
            <w:tcMar>
              <w:top w:w="28" w:type="dxa"/>
              <w:left w:w="57" w:type="dxa"/>
              <w:bottom w:w="28" w:type="dxa"/>
              <w:right w:w="57" w:type="dxa"/>
            </w:tcMar>
          </w:tcPr>
          <w:p w:rsidR="00EB5320" w:rsidRPr="00C806D0" w:rsidRDefault="00EB5320" w:rsidP="004442E4">
            <w:pPr>
              <w:pStyle w:val="NoSpacing"/>
              <w:rPr>
                <w:b/>
                <w:sz w:val="16"/>
                <w:szCs w:val="16"/>
              </w:rPr>
            </w:pPr>
            <w:r w:rsidRPr="00C806D0">
              <w:rPr>
                <w:b/>
                <w:sz w:val="16"/>
                <w:szCs w:val="16"/>
              </w:rPr>
              <w:t>Study</w:t>
            </w:r>
          </w:p>
        </w:tc>
        <w:tc>
          <w:tcPr>
            <w:tcW w:w="831" w:type="dxa"/>
            <w:tcBorders>
              <w:top w:val="single" w:sz="12" w:space="0" w:color="auto"/>
              <w:bottom w:val="single" w:sz="12" w:space="0" w:color="auto"/>
            </w:tcBorders>
            <w:shd w:val="clear" w:color="auto" w:fill="D9D9D9"/>
          </w:tcPr>
          <w:p w:rsidR="00EB5320" w:rsidRPr="00C806D0" w:rsidRDefault="00EB5320" w:rsidP="004442E4">
            <w:pPr>
              <w:pStyle w:val="NoSpacing"/>
              <w:rPr>
                <w:b/>
                <w:sz w:val="16"/>
                <w:szCs w:val="16"/>
              </w:rPr>
            </w:pPr>
            <w:r w:rsidRPr="00C806D0">
              <w:rPr>
                <w:b/>
                <w:sz w:val="16"/>
                <w:szCs w:val="16"/>
              </w:rPr>
              <w:t>Design</w:t>
            </w:r>
          </w:p>
        </w:tc>
        <w:tc>
          <w:tcPr>
            <w:tcW w:w="1241" w:type="dxa"/>
            <w:tcBorders>
              <w:top w:val="single" w:sz="12" w:space="0" w:color="auto"/>
              <w:bottom w:val="single" w:sz="12" w:space="0" w:color="auto"/>
            </w:tcBorders>
            <w:shd w:val="clear" w:color="auto" w:fill="D9D9D9"/>
            <w:tcMar>
              <w:top w:w="28" w:type="dxa"/>
              <w:left w:w="57" w:type="dxa"/>
              <w:bottom w:w="28" w:type="dxa"/>
              <w:right w:w="57" w:type="dxa"/>
            </w:tcMar>
          </w:tcPr>
          <w:p w:rsidR="00EB5320" w:rsidRPr="00C806D0" w:rsidRDefault="00EB5320" w:rsidP="004442E4">
            <w:pPr>
              <w:pStyle w:val="NoSpacing"/>
              <w:rPr>
                <w:b/>
                <w:sz w:val="16"/>
                <w:szCs w:val="16"/>
              </w:rPr>
            </w:pPr>
            <w:r w:rsidRPr="00C806D0">
              <w:rPr>
                <w:b/>
                <w:sz w:val="16"/>
                <w:szCs w:val="16"/>
              </w:rPr>
              <w:t>Dates, Country Region</w:t>
            </w:r>
          </w:p>
        </w:tc>
        <w:tc>
          <w:tcPr>
            <w:tcW w:w="2004" w:type="dxa"/>
            <w:tcBorders>
              <w:top w:val="single" w:sz="12" w:space="0" w:color="auto"/>
              <w:left w:val="single" w:sz="12" w:space="0" w:color="auto"/>
              <w:bottom w:val="single" w:sz="12" w:space="0" w:color="auto"/>
            </w:tcBorders>
            <w:shd w:val="clear" w:color="auto" w:fill="D9D9D9"/>
            <w:tcMar>
              <w:top w:w="28" w:type="dxa"/>
              <w:left w:w="57" w:type="dxa"/>
              <w:bottom w:w="28" w:type="dxa"/>
              <w:right w:w="57" w:type="dxa"/>
            </w:tcMar>
          </w:tcPr>
          <w:p w:rsidR="00EB5320" w:rsidRPr="00C806D0" w:rsidRDefault="00EB5320" w:rsidP="004442E4">
            <w:pPr>
              <w:pStyle w:val="NoSpacing"/>
              <w:rPr>
                <w:b/>
                <w:sz w:val="16"/>
                <w:szCs w:val="16"/>
              </w:rPr>
            </w:pPr>
            <w:r w:rsidRPr="00C806D0">
              <w:rPr>
                <w:b/>
                <w:sz w:val="16"/>
                <w:szCs w:val="16"/>
              </w:rPr>
              <w:t>Inclusion criteria</w:t>
            </w:r>
          </w:p>
        </w:tc>
        <w:tc>
          <w:tcPr>
            <w:tcW w:w="1417" w:type="dxa"/>
            <w:tcBorders>
              <w:top w:val="single" w:sz="12" w:space="0" w:color="auto"/>
              <w:bottom w:val="single" w:sz="12" w:space="0" w:color="auto"/>
            </w:tcBorders>
            <w:shd w:val="clear" w:color="auto" w:fill="D9D9D9"/>
          </w:tcPr>
          <w:p w:rsidR="00EB5320" w:rsidRPr="00C806D0" w:rsidRDefault="00EB5320" w:rsidP="004442E4">
            <w:pPr>
              <w:pStyle w:val="NoSpacing"/>
              <w:rPr>
                <w:b/>
                <w:sz w:val="16"/>
                <w:szCs w:val="16"/>
              </w:rPr>
            </w:pPr>
            <w:r w:rsidRPr="00C806D0">
              <w:rPr>
                <w:b/>
                <w:sz w:val="16"/>
                <w:szCs w:val="16"/>
              </w:rPr>
              <w:t>Exclusion criteria</w:t>
            </w:r>
          </w:p>
        </w:tc>
        <w:tc>
          <w:tcPr>
            <w:tcW w:w="1701" w:type="dxa"/>
            <w:tcBorders>
              <w:top w:val="single" w:sz="12" w:space="0" w:color="auto"/>
              <w:bottom w:val="single" w:sz="12" w:space="0" w:color="auto"/>
            </w:tcBorders>
            <w:shd w:val="clear" w:color="auto" w:fill="D9D9D9"/>
            <w:tcMar>
              <w:top w:w="28" w:type="dxa"/>
              <w:left w:w="57" w:type="dxa"/>
              <w:bottom w:w="28" w:type="dxa"/>
              <w:right w:w="57" w:type="dxa"/>
            </w:tcMar>
          </w:tcPr>
          <w:p w:rsidR="00EB5320" w:rsidRPr="00C806D0" w:rsidRDefault="00EB5320" w:rsidP="004442E4">
            <w:pPr>
              <w:pStyle w:val="NoSpacing"/>
              <w:rPr>
                <w:b/>
                <w:sz w:val="16"/>
                <w:szCs w:val="16"/>
              </w:rPr>
            </w:pPr>
            <w:r w:rsidRPr="00C806D0">
              <w:rPr>
                <w:b/>
                <w:sz w:val="16"/>
                <w:szCs w:val="16"/>
              </w:rPr>
              <w:t>Exposed group</w:t>
            </w:r>
          </w:p>
        </w:tc>
        <w:tc>
          <w:tcPr>
            <w:tcW w:w="2287" w:type="dxa"/>
            <w:tcBorders>
              <w:top w:val="single" w:sz="12" w:space="0" w:color="auto"/>
              <w:bottom w:val="single" w:sz="12" w:space="0" w:color="auto"/>
            </w:tcBorders>
            <w:shd w:val="clear" w:color="auto" w:fill="D9D9D9"/>
          </w:tcPr>
          <w:p w:rsidR="00EB5320" w:rsidRPr="00C806D0" w:rsidRDefault="00EB5320" w:rsidP="004442E4">
            <w:pPr>
              <w:pStyle w:val="NoSpacing"/>
              <w:rPr>
                <w:b/>
                <w:sz w:val="16"/>
                <w:szCs w:val="16"/>
              </w:rPr>
            </w:pPr>
            <w:r w:rsidRPr="00C806D0">
              <w:rPr>
                <w:b/>
                <w:sz w:val="16"/>
                <w:szCs w:val="16"/>
              </w:rPr>
              <w:t>Unexposed group</w:t>
            </w:r>
          </w:p>
        </w:tc>
        <w:tc>
          <w:tcPr>
            <w:tcW w:w="1440" w:type="dxa"/>
            <w:tcBorders>
              <w:top w:val="single" w:sz="12" w:space="0" w:color="auto"/>
              <w:bottom w:val="single" w:sz="12" w:space="0" w:color="auto"/>
            </w:tcBorders>
            <w:shd w:val="clear" w:color="auto" w:fill="D9D9D9"/>
            <w:tcMar>
              <w:top w:w="28" w:type="dxa"/>
              <w:left w:w="57" w:type="dxa"/>
              <w:bottom w:w="28" w:type="dxa"/>
              <w:right w:w="57" w:type="dxa"/>
            </w:tcMar>
          </w:tcPr>
          <w:p w:rsidR="00EB5320" w:rsidRPr="00C806D0" w:rsidRDefault="00EB5320" w:rsidP="004442E4">
            <w:pPr>
              <w:pStyle w:val="NoSpacing"/>
              <w:rPr>
                <w:b/>
                <w:sz w:val="16"/>
                <w:szCs w:val="16"/>
              </w:rPr>
            </w:pPr>
            <w:r w:rsidRPr="00C806D0">
              <w:rPr>
                <w:b/>
                <w:sz w:val="16"/>
                <w:szCs w:val="16"/>
              </w:rPr>
              <w:t xml:space="preserve"> Outcomes </w:t>
            </w:r>
          </w:p>
        </w:tc>
        <w:tc>
          <w:tcPr>
            <w:tcW w:w="1518" w:type="dxa"/>
            <w:tcBorders>
              <w:top w:val="single" w:sz="12" w:space="0" w:color="auto"/>
              <w:bottom w:val="single" w:sz="12" w:space="0" w:color="auto"/>
            </w:tcBorders>
            <w:shd w:val="clear" w:color="auto" w:fill="D9D9D9"/>
          </w:tcPr>
          <w:p w:rsidR="00EB5320" w:rsidRPr="00C806D0" w:rsidRDefault="00EB5320" w:rsidP="004442E4">
            <w:pPr>
              <w:pStyle w:val="NoSpacing"/>
              <w:rPr>
                <w:b/>
                <w:sz w:val="16"/>
                <w:szCs w:val="16"/>
              </w:rPr>
            </w:pPr>
            <w:r w:rsidRPr="00C806D0">
              <w:rPr>
                <w:b/>
                <w:sz w:val="16"/>
                <w:szCs w:val="16"/>
              </w:rPr>
              <w:t>Reason for ineligibility</w:t>
            </w: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Krob 1984</w:t>
            </w:r>
            <w:r w:rsidRPr="00C806D0">
              <w:rPr>
                <w:noProof/>
                <w:sz w:val="16"/>
                <w:szCs w:val="16"/>
                <w:vertAlign w:val="superscript"/>
              </w:rPr>
              <w:t>[</w:t>
            </w:r>
            <w:r w:rsidR="006D4D62" w:rsidRPr="00C806D0">
              <w:rPr>
                <w:noProof/>
                <w:sz w:val="16"/>
                <w:szCs w:val="16"/>
                <w:vertAlign w:val="superscript"/>
              </w:rPr>
              <w:t>1</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CCS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1977-1979</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 (Iowa)</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All Ages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CNS related motor vehicle deaths</w:t>
            </w:r>
          </w:p>
        </w:tc>
        <w:tc>
          <w:tcPr>
            <w:tcW w:w="1417" w:type="dxa"/>
          </w:tcPr>
          <w:p w:rsidR="00EB5320" w:rsidRPr="00C806D0" w:rsidRDefault="00EB5320" w:rsidP="004442E4">
            <w:pPr>
              <w:pStyle w:val="NoSpacing"/>
              <w:rPr>
                <w:sz w:val="16"/>
                <w:szCs w:val="16"/>
              </w:rPr>
            </w:pPr>
            <w:r w:rsidRPr="00C806D0">
              <w:rPr>
                <w:sz w:val="16"/>
                <w:szCs w:val="16"/>
              </w:rPr>
              <w:t>NR</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‘local hospitals’</w:t>
            </w:r>
          </w:p>
        </w:tc>
        <w:tc>
          <w:tcPr>
            <w:tcW w:w="2287" w:type="dxa"/>
          </w:tcPr>
          <w:p w:rsidR="00EB5320" w:rsidRPr="00C806D0" w:rsidRDefault="00EB5320" w:rsidP="004442E4">
            <w:pPr>
              <w:pStyle w:val="NoSpacing"/>
              <w:rPr>
                <w:sz w:val="16"/>
                <w:szCs w:val="16"/>
              </w:rPr>
            </w:pPr>
            <w:r w:rsidRPr="00C806D0">
              <w:rPr>
                <w:sz w:val="16"/>
                <w:szCs w:val="16"/>
              </w:rPr>
              <w:t>Patients undergoing secondary transfer ‘local hospitals’ to ‘university hospitals’</w:t>
            </w:r>
          </w:p>
        </w:tc>
        <w:tc>
          <w:tcPr>
            <w:tcW w:w="1440" w:type="dxa"/>
            <w:tcMar>
              <w:top w:w="28" w:type="dxa"/>
              <w:left w:w="57" w:type="dxa"/>
              <w:bottom w:w="28" w:type="dxa"/>
              <w:right w:w="57" w:type="dxa"/>
            </w:tcMar>
          </w:tcPr>
          <w:p w:rsidR="00EB5320" w:rsidRPr="00C806D0" w:rsidRDefault="00C867F9" w:rsidP="004442E4">
            <w:pPr>
              <w:pStyle w:val="NoSpacing"/>
              <w:rPr>
                <w:sz w:val="16"/>
                <w:szCs w:val="16"/>
              </w:rPr>
            </w:pPr>
            <w:r w:rsidRPr="00C806D0">
              <w:rPr>
                <w:sz w:val="16"/>
                <w:szCs w:val="16"/>
              </w:rPr>
              <w:t>1 year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(no adjustment for confounding)</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Cooke 1995</w:t>
            </w:r>
            <w:r w:rsidRPr="00C806D0">
              <w:rPr>
                <w:noProof/>
                <w:sz w:val="16"/>
                <w:szCs w:val="16"/>
                <w:vertAlign w:val="superscript"/>
              </w:rPr>
              <w:t>[</w:t>
            </w:r>
            <w:r w:rsidR="006D4D62" w:rsidRPr="00C806D0">
              <w:rPr>
                <w:noProof/>
                <w:sz w:val="16"/>
                <w:szCs w:val="16"/>
                <w:vertAlign w:val="superscript"/>
              </w:rPr>
              <w:t>2</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PCS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1990</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United Kingdom (Northern Ireland)</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All ages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ISS&gt;16</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Cranio-cerebral AIS&gt;2</w:t>
            </w:r>
          </w:p>
        </w:tc>
        <w:tc>
          <w:tcPr>
            <w:tcW w:w="1417" w:type="dxa"/>
          </w:tcPr>
          <w:p w:rsidR="00EB5320" w:rsidRPr="00C806D0" w:rsidRDefault="00EB5320" w:rsidP="004442E4">
            <w:pPr>
              <w:pStyle w:val="NoSpacing"/>
              <w:rPr>
                <w:sz w:val="16"/>
                <w:szCs w:val="16"/>
              </w:rPr>
            </w:pPr>
            <w:r w:rsidRPr="00C806D0">
              <w:rPr>
                <w:sz w:val="16"/>
                <w:szCs w:val="16"/>
              </w:rPr>
              <w:t>Death prior to ED presentation</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 xml:space="preserve">Patients receiving all treatment at NSAH </w:t>
            </w:r>
          </w:p>
        </w:tc>
        <w:tc>
          <w:tcPr>
            <w:tcW w:w="2287" w:type="dxa"/>
          </w:tcPr>
          <w:p w:rsidR="00EB5320" w:rsidRPr="00C806D0" w:rsidRDefault="00EB5320" w:rsidP="004442E4">
            <w:pPr>
              <w:pStyle w:val="NoSpacing"/>
              <w:rPr>
                <w:sz w:val="16"/>
                <w:szCs w:val="16"/>
              </w:rPr>
            </w:pPr>
            <w:r w:rsidRPr="00C806D0">
              <w:rPr>
                <w:sz w:val="16"/>
                <w:szCs w:val="16"/>
              </w:rPr>
              <w:t>Patients undergoing secondary transfer from NSAH to SNC</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 year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Moderate TBI (GCS 9-12)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(no adjustment for confounding)</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Danne 1998</w:t>
            </w:r>
            <w:r w:rsidRPr="00C806D0">
              <w:rPr>
                <w:noProof/>
                <w:sz w:val="16"/>
                <w:szCs w:val="16"/>
                <w:vertAlign w:val="superscript"/>
              </w:rPr>
              <w:t>[</w:t>
            </w:r>
            <w:r w:rsidR="006D4D62" w:rsidRPr="00C806D0">
              <w:rPr>
                <w:noProof/>
                <w:sz w:val="16"/>
                <w:szCs w:val="16"/>
                <w:vertAlign w:val="superscript"/>
              </w:rPr>
              <w:t>3</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PCS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1992-1993</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Australia (Victoria)</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All ages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In-patient death</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ICU admission</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&gt;1 body systems injured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ISS&gt;16</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Urgent operation for cranial, thoracic, abdominal injury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 xml:space="preserve"> </w:t>
            </w:r>
          </w:p>
        </w:tc>
        <w:tc>
          <w:tcPr>
            <w:tcW w:w="1417" w:type="dxa"/>
          </w:tcPr>
          <w:p w:rsidR="00EB5320" w:rsidRPr="00C806D0" w:rsidRDefault="00EB5320" w:rsidP="004442E4">
            <w:pPr>
              <w:pStyle w:val="NoSpacing"/>
              <w:rPr>
                <w:sz w:val="16"/>
                <w:szCs w:val="16"/>
              </w:rPr>
            </w:pPr>
            <w:r w:rsidRPr="00C806D0">
              <w:rPr>
                <w:sz w:val="16"/>
                <w:szCs w:val="16"/>
              </w:rPr>
              <w:t>NR</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a rural hospital</w:t>
            </w:r>
          </w:p>
        </w:tc>
        <w:tc>
          <w:tcPr>
            <w:tcW w:w="2287" w:type="dxa"/>
          </w:tcPr>
          <w:p w:rsidR="00EB5320" w:rsidRPr="00C806D0" w:rsidRDefault="00EB5320" w:rsidP="004442E4">
            <w:pPr>
              <w:pStyle w:val="NoSpacing"/>
              <w:rPr>
                <w:sz w:val="16"/>
                <w:szCs w:val="16"/>
              </w:rPr>
            </w:pPr>
            <w:r w:rsidRPr="00C806D0">
              <w:rPr>
                <w:sz w:val="16"/>
                <w:szCs w:val="16"/>
              </w:rPr>
              <w:t>Patients undergoing secondary transfer from rural hospitals to metropolitan hospitals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Preventable or potentially preventable hospital death</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No subgroup analysis of head injured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(blinding of outcome assessors not reported)</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Eguare 2000</w:t>
            </w:r>
            <w:r w:rsidRPr="00C806D0">
              <w:rPr>
                <w:noProof/>
                <w:sz w:val="16"/>
                <w:szCs w:val="16"/>
                <w:vertAlign w:val="superscript"/>
              </w:rPr>
              <w:t>[</w:t>
            </w:r>
            <w:r w:rsidR="006D4D62" w:rsidRPr="00C806D0">
              <w:rPr>
                <w:noProof/>
                <w:sz w:val="16"/>
                <w:szCs w:val="16"/>
                <w:vertAlign w:val="superscript"/>
              </w:rPr>
              <w:t>4</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vertAlign w:val="superscript"/>
              </w:rPr>
            </w:pPr>
            <w:r w:rsidRPr="00C806D0">
              <w:rPr>
                <w:sz w:val="16"/>
                <w:szCs w:val="16"/>
              </w:rPr>
              <w:t>RCS</w:t>
            </w:r>
            <w:r w:rsidRPr="00C806D0">
              <w:rPr>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1995</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Ireland (Limerick)</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All ages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Any head injury presenting to 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417" w:type="dxa"/>
          </w:tcPr>
          <w:p w:rsidR="00EB5320" w:rsidRPr="00C806D0" w:rsidRDefault="00EB5320" w:rsidP="004442E4">
            <w:pPr>
              <w:pStyle w:val="NoSpacing"/>
              <w:rPr>
                <w:sz w:val="16"/>
                <w:szCs w:val="16"/>
              </w:rPr>
            </w:pPr>
            <w:r w:rsidRPr="00C806D0">
              <w:rPr>
                <w:sz w:val="16"/>
                <w:szCs w:val="16"/>
              </w:rPr>
              <w:t>NR</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 xml:space="preserve">Patients receiving all treatment at NSAH </w:t>
            </w:r>
          </w:p>
        </w:tc>
        <w:tc>
          <w:tcPr>
            <w:tcW w:w="2287" w:type="dxa"/>
          </w:tcPr>
          <w:p w:rsidR="00EB5320" w:rsidRPr="00C806D0" w:rsidRDefault="00C867F9" w:rsidP="004442E4">
            <w:pPr>
              <w:pStyle w:val="NoSpacing"/>
              <w:rPr>
                <w:sz w:val="16"/>
                <w:szCs w:val="16"/>
              </w:rPr>
            </w:pPr>
            <w:r w:rsidRPr="00C806D0">
              <w:rPr>
                <w:sz w:val="16"/>
                <w:szCs w:val="16"/>
              </w:rPr>
              <w:t>P</w:t>
            </w:r>
            <w:r w:rsidR="00EB5320" w:rsidRPr="00C806D0">
              <w:rPr>
                <w:sz w:val="16"/>
                <w:szCs w:val="16"/>
              </w:rPr>
              <w:t>atients undergoing secondary transfer from NSAH to SNC</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GOS at discharge</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In-hospital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Moderate TBI (GCS 9-12)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(no adjustment for confounding for analysis of impact of secondary transfer)</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Mann 2001</w:t>
            </w:r>
            <w:r w:rsidRPr="00C806D0">
              <w:rPr>
                <w:noProof/>
                <w:sz w:val="16"/>
                <w:szCs w:val="16"/>
                <w:vertAlign w:val="superscript"/>
              </w:rPr>
              <w:t>[</w:t>
            </w:r>
            <w:r w:rsidR="006D4D62" w:rsidRPr="00C806D0">
              <w:rPr>
                <w:noProof/>
                <w:sz w:val="16"/>
                <w:szCs w:val="16"/>
                <w:vertAlign w:val="superscript"/>
              </w:rPr>
              <w:t>5</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vertAlign w:val="superscript"/>
              </w:rPr>
            </w:pPr>
            <w:r w:rsidRPr="00C806D0">
              <w:rPr>
                <w:sz w:val="16"/>
                <w:szCs w:val="16"/>
              </w:rPr>
              <w:t>RCS, CBA</w:t>
            </w:r>
            <w:r w:rsidRPr="00C806D0">
              <w:rPr>
                <w:sz w:val="16"/>
                <w:szCs w:val="16"/>
                <w:vertAlign w:val="superscript"/>
              </w:rPr>
              <w:t>*, †</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1985-1987, 1990-1994</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 (Oregan)</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&lt;80 years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ICD-9 code for:</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Head Injury</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Chest Injury</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Femur/open tibia fracture</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Spleen/liver injury</w:t>
            </w:r>
          </w:p>
        </w:tc>
        <w:tc>
          <w:tcPr>
            <w:tcW w:w="1417" w:type="dxa"/>
          </w:tcPr>
          <w:p w:rsidR="00EB5320" w:rsidRPr="00C806D0" w:rsidRDefault="00EB5320" w:rsidP="004442E4">
            <w:pPr>
              <w:pStyle w:val="NoSpacing"/>
              <w:rPr>
                <w:sz w:val="16"/>
                <w:szCs w:val="16"/>
              </w:rPr>
            </w:pPr>
            <w:r w:rsidRPr="00C806D0">
              <w:rPr>
                <w:sz w:val="16"/>
                <w:szCs w:val="16"/>
              </w:rPr>
              <w:t>Death within 30 minutes of ED presentation</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Level 3/4 trauma centre</w:t>
            </w:r>
          </w:p>
        </w:tc>
        <w:tc>
          <w:tcPr>
            <w:tcW w:w="2287" w:type="dxa"/>
          </w:tcPr>
          <w:p w:rsidR="00EB5320" w:rsidRPr="00C806D0" w:rsidRDefault="00EB5320" w:rsidP="004442E4">
            <w:pPr>
              <w:pStyle w:val="NoSpacing"/>
              <w:rPr>
                <w:sz w:val="16"/>
                <w:szCs w:val="16"/>
              </w:rPr>
            </w:pPr>
            <w:r w:rsidRPr="00C806D0">
              <w:rPr>
                <w:sz w:val="16"/>
                <w:szCs w:val="16"/>
              </w:rPr>
              <w:t>Patients undergoing secondary transfer from level 3/4 trauma centre to level 1/2 trauma centre.</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30 day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No subgroup analysis of head injured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(no adjustment for confounding for analysis of impact of secondary transfer)</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Sethi 2002*</w:t>
            </w:r>
            <w:r w:rsidRPr="00C806D0">
              <w:rPr>
                <w:noProof/>
                <w:sz w:val="16"/>
                <w:szCs w:val="16"/>
                <w:vertAlign w:val="superscript"/>
              </w:rPr>
              <w:t>[</w:t>
            </w:r>
            <w:r w:rsidR="006D4D62" w:rsidRPr="00C806D0">
              <w:rPr>
                <w:noProof/>
                <w:sz w:val="16"/>
                <w:szCs w:val="16"/>
                <w:vertAlign w:val="superscript"/>
              </w:rPr>
              <w:t>6</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color w:val="FF0000"/>
                <w:sz w:val="16"/>
                <w:szCs w:val="16"/>
              </w:rPr>
            </w:pPr>
          </w:p>
        </w:tc>
        <w:tc>
          <w:tcPr>
            <w:tcW w:w="831" w:type="dxa"/>
          </w:tcPr>
          <w:p w:rsidR="00EB5320" w:rsidRPr="00C806D0" w:rsidRDefault="00EB5320" w:rsidP="004442E4">
            <w:pPr>
              <w:pStyle w:val="NoSpacing"/>
              <w:rPr>
                <w:sz w:val="16"/>
                <w:szCs w:val="16"/>
              </w:rPr>
            </w:pPr>
            <w:r w:rsidRPr="00C806D0">
              <w:rPr>
                <w:sz w:val="16"/>
                <w:szCs w:val="16"/>
              </w:rPr>
              <w:t>PCS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1999</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Malaysia</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&gt;12 years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Admission &gt;72 hours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ICU admission</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Died in hospital</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417" w:type="dxa"/>
          </w:tcPr>
          <w:p w:rsidR="00EB5320" w:rsidRPr="00C806D0" w:rsidRDefault="00EB5320" w:rsidP="004442E4">
            <w:pPr>
              <w:pStyle w:val="NoSpacing"/>
              <w:rPr>
                <w:sz w:val="16"/>
                <w:szCs w:val="16"/>
              </w:rPr>
            </w:pPr>
            <w:r w:rsidRPr="00C806D0">
              <w:rPr>
                <w:sz w:val="16"/>
                <w:szCs w:val="16"/>
              </w:rPr>
              <w:t>Dead on ED presentation</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Patients undergoing secondary transfer</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directly admitted to  a ‘district general hospital’</w:t>
            </w:r>
          </w:p>
        </w:tc>
        <w:tc>
          <w:tcPr>
            <w:tcW w:w="2287" w:type="dxa"/>
          </w:tcPr>
          <w:p w:rsidR="00EB5320" w:rsidRPr="00C806D0" w:rsidRDefault="00EB5320" w:rsidP="004442E4">
            <w:pPr>
              <w:pStyle w:val="NoSpacing"/>
              <w:rPr>
                <w:sz w:val="16"/>
                <w:szCs w:val="16"/>
              </w:rPr>
            </w:pPr>
            <w:r w:rsidRPr="00C806D0">
              <w:rPr>
                <w:sz w:val="16"/>
                <w:szCs w:val="16"/>
              </w:rPr>
              <w:t>Patients directly admitted to a ‘central tertiary referral hospital’ and ‘tertiary care hospital’</w:t>
            </w:r>
          </w:p>
          <w:p w:rsidR="00EB5320" w:rsidRPr="00C806D0" w:rsidRDefault="00EB5320" w:rsidP="004442E4">
            <w:pPr>
              <w:pStyle w:val="NoSpacing"/>
              <w:rPr>
                <w:sz w:val="16"/>
                <w:szCs w:val="16"/>
              </w:rPr>
            </w:pPr>
          </w:p>
          <w:p w:rsidR="00EB5320" w:rsidRPr="00C806D0" w:rsidRDefault="00EB5320" w:rsidP="004442E4">
            <w:pPr>
              <w:pStyle w:val="NoSpacing"/>
              <w:rPr>
                <w:color w:val="FF0000"/>
                <w:sz w:val="16"/>
                <w:szCs w:val="16"/>
              </w:rPr>
            </w:pP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Inpatient mortality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Discharge Barthel Index</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?Overlapping data with Sethi 2007 study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No subgroup analysis of head injured patients </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Exposed group does not include secondary transfer patients</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6D4D62">
            <w:pPr>
              <w:pStyle w:val="NoSpacing"/>
              <w:rPr>
                <w:sz w:val="16"/>
                <w:szCs w:val="16"/>
                <w:vertAlign w:val="superscript"/>
              </w:rPr>
            </w:pPr>
            <w:r w:rsidRPr="00C806D0">
              <w:rPr>
                <w:sz w:val="16"/>
                <w:szCs w:val="16"/>
              </w:rPr>
              <w:lastRenderedPageBreak/>
              <w:t>Ackca 2003</w:t>
            </w:r>
            <w:r w:rsidRPr="00C806D0">
              <w:rPr>
                <w:noProof/>
                <w:sz w:val="16"/>
                <w:szCs w:val="16"/>
                <w:vertAlign w:val="superscript"/>
              </w:rPr>
              <w:t>[</w:t>
            </w:r>
            <w:r w:rsidR="006D4D62" w:rsidRPr="00C806D0">
              <w:rPr>
                <w:noProof/>
                <w:sz w:val="16"/>
                <w:szCs w:val="16"/>
                <w:vertAlign w:val="superscript"/>
              </w:rPr>
              <w:t>7</w:t>
            </w:r>
            <w:r w:rsidRPr="00C806D0">
              <w:rPr>
                <w:noProof/>
                <w:sz w:val="16"/>
                <w:szCs w:val="16"/>
                <w:vertAlign w:val="superscript"/>
              </w:rPr>
              <w:t>]</w:t>
            </w:r>
          </w:p>
        </w:tc>
        <w:tc>
          <w:tcPr>
            <w:tcW w:w="831" w:type="dxa"/>
          </w:tcPr>
          <w:p w:rsidR="00EB5320" w:rsidRPr="00C806D0" w:rsidRDefault="00EB5320" w:rsidP="004442E4">
            <w:pPr>
              <w:pStyle w:val="NoSpacing"/>
              <w:rPr>
                <w:sz w:val="16"/>
                <w:szCs w:val="16"/>
              </w:rPr>
            </w:pPr>
            <w:r w:rsidRPr="00C806D0">
              <w:rPr>
                <w:sz w:val="16"/>
                <w:szCs w:val="16"/>
              </w:rPr>
              <w:t>PCS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2001</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 (Kentucky)</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Head Injury with GCS&lt;9</w:t>
            </w:r>
          </w:p>
        </w:tc>
        <w:tc>
          <w:tcPr>
            <w:tcW w:w="1417" w:type="dxa"/>
          </w:tcPr>
          <w:p w:rsidR="00EB5320" w:rsidRPr="00C806D0" w:rsidRDefault="00EB5320" w:rsidP="004442E4">
            <w:pPr>
              <w:pStyle w:val="NoSpacing"/>
              <w:rPr>
                <w:sz w:val="16"/>
                <w:szCs w:val="16"/>
              </w:rPr>
            </w:pPr>
            <w:r w:rsidRPr="00C806D0">
              <w:rPr>
                <w:sz w:val="16"/>
                <w:szCs w:val="16"/>
              </w:rPr>
              <w:t>NR</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Treatment in university hospital general ICU</w:t>
            </w:r>
          </w:p>
        </w:tc>
        <w:tc>
          <w:tcPr>
            <w:tcW w:w="2287" w:type="dxa"/>
          </w:tcPr>
          <w:p w:rsidR="00EB5320" w:rsidRPr="00C806D0" w:rsidRDefault="00EB5320" w:rsidP="004442E4">
            <w:pPr>
              <w:pStyle w:val="NoSpacing"/>
              <w:rPr>
                <w:sz w:val="16"/>
                <w:szCs w:val="16"/>
              </w:rPr>
            </w:pPr>
            <w:r w:rsidRPr="00C806D0">
              <w:rPr>
                <w:sz w:val="16"/>
                <w:szCs w:val="16"/>
              </w:rPr>
              <w:t>Treatment in university hospital neuroscience ICU (not defined if secondary transfer, direct admission, or bypass)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 hospital mortality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LOS</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Exposed group not admitted to NSAH</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Unexposed group may include bypassed patients </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Unexposed group did </w:t>
            </w:r>
            <w:r w:rsidR="00C80164" w:rsidRPr="00C806D0">
              <w:rPr>
                <w:sz w:val="16"/>
                <w:szCs w:val="16"/>
              </w:rPr>
              <w:t xml:space="preserve">not </w:t>
            </w:r>
            <w:r w:rsidRPr="00C806D0">
              <w:rPr>
                <w:sz w:val="16"/>
                <w:szCs w:val="16"/>
              </w:rPr>
              <w:t>primarily examine secondary transfers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(no adjustment for confounding)</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6D4D62">
            <w:pPr>
              <w:pStyle w:val="NoSpacing"/>
              <w:rPr>
                <w:sz w:val="16"/>
                <w:szCs w:val="16"/>
                <w:vertAlign w:val="superscript"/>
              </w:rPr>
            </w:pPr>
            <w:r w:rsidRPr="00C806D0">
              <w:rPr>
                <w:sz w:val="16"/>
                <w:szCs w:val="16"/>
              </w:rPr>
              <w:lastRenderedPageBreak/>
              <w:t>McDermott 2004</w:t>
            </w:r>
            <w:r w:rsidRPr="00C806D0">
              <w:rPr>
                <w:noProof/>
                <w:sz w:val="16"/>
                <w:szCs w:val="16"/>
                <w:vertAlign w:val="superscript"/>
              </w:rPr>
              <w:t>[</w:t>
            </w:r>
            <w:r w:rsidR="006D4D62" w:rsidRPr="00C806D0">
              <w:rPr>
                <w:noProof/>
                <w:sz w:val="16"/>
                <w:szCs w:val="16"/>
                <w:vertAlign w:val="superscript"/>
              </w:rPr>
              <w:t>8</w:t>
            </w:r>
            <w:r w:rsidRPr="00C806D0">
              <w:rPr>
                <w:noProof/>
                <w:sz w:val="16"/>
                <w:szCs w:val="16"/>
                <w:vertAlign w:val="superscript"/>
              </w:rPr>
              <w:t>]</w:t>
            </w: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1998-1999</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Australia (Victoria)</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NR</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Road traffic accident and head injury AIS&gt;2</w:t>
            </w:r>
          </w:p>
        </w:tc>
        <w:tc>
          <w:tcPr>
            <w:tcW w:w="1417" w:type="dxa"/>
          </w:tcPr>
          <w:p w:rsidR="00EB5320" w:rsidRPr="00C806D0" w:rsidRDefault="00EB5320" w:rsidP="004442E4">
            <w:pPr>
              <w:pStyle w:val="NoSpacing"/>
              <w:rPr>
                <w:sz w:val="16"/>
                <w:szCs w:val="16"/>
              </w:rPr>
            </w:pPr>
            <w:r w:rsidRPr="00C806D0">
              <w:rPr>
                <w:sz w:val="16"/>
                <w:szCs w:val="16"/>
              </w:rPr>
              <w:t>Spinal cord injury</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 xml:space="preserve"> Patients admitted to a hospital without neurosurgical unit. Unclear if includes secondary transfers</w:t>
            </w:r>
          </w:p>
        </w:tc>
        <w:tc>
          <w:tcPr>
            <w:tcW w:w="2287" w:type="dxa"/>
          </w:tcPr>
          <w:p w:rsidR="00EB5320" w:rsidRPr="00C806D0" w:rsidRDefault="00EB5320" w:rsidP="004442E4">
            <w:pPr>
              <w:pStyle w:val="NoSpacing"/>
              <w:rPr>
                <w:sz w:val="16"/>
                <w:szCs w:val="16"/>
              </w:rPr>
            </w:pPr>
            <w:r w:rsidRPr="00C806D0">
              <w:rPr>
                <w:sz w:val="16"/>
                <w:szCs w:val="16"/>
              </w:rPr>
              <w:t>Admission to university hospital with neurosurgical unit (not defined if secondary transfer, direct admission, or bypass)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Management ‘deficiencies’ contributing to 6 month ‘neurological deficency’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Small numbers of mild and moderate TBI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Exposed group may include secondary transfers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(no adjustment for confounding)</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(unvalidated outcome measure, not reported if blinded outcome assessment)</w:t>
            </w: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Reilly 2004</w:t>
            </w:r>
            <w:r w:rsidRPr="00C806D0">
              <w:rPr>
                <w:noProof/>
                <w:sz w:val="16"/>
                <w:szCs w:val="16"/>
                <w:vertAlign w:val="superscript"/>
              </w:rPr>
              <w:t>[</w:t>
            </w:r>
            <w:r w:rsidR="006D4D62" w:rsidRPr="00C806D0">
              <w:rPr>
                <w:noProof/>
                <w:sz w:val="16"/>
                <w:szCs w:val="16"/>
                <w:vertAlign w:val="superscript"/>
              </w:rPr>
              <w:t>9</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1998-2000</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 (New York City)</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not specified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ICD-9 injury code</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417" w:type="dxa"/>
          </w:tcPr>
          <w:p w:rsidR="00EB5320" w:rsidRPr="00C806D0" w:rsidRDefault="00EB5320" w:rsidP="004442E4">
            <w:pPr>
              <w:pStyle w:val="NoSpacing"/>
              <w:rPr>
                <w:sz w:val="16"/>
                <w:szCs w:val="16"/>
              </w:rPr>
            </w:pPr>
            <w:r w:rsidRPr="00C806D0">
              <w:rPr>
                <w:sz w:val="16"/>
                <w:szCs w:val="16"/>
              </w:rPr>
              <w:t>Burns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Inter-hospital transfers</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non-designated trauma centres</w:t>
            </w:r>
          </w:p>
        </w:tc>
        <w:tc>
          <w:tcPr>
            <w:tcW w:w="2287" w:type="dxa"/>
          </w:tcPr>
          <w:p w:rsidR="00EB5320" w:rsidRPr="00C806D0" w:rsidRDefault="00EB5320" w:rsidP="004442E4">
            <w:pPr>
              <w:pStyle w:val="NoSpacing"/>
              <w:rPr>
                <w:sz w:val="16"/>
                <w:szCs w:val="16"/>
              </w:rPr>
            </w:pPr>
            <w:r w:rsidRPr="00C806D0">
              <w:rPr>
                <w:sz w:val="16"/>
                <w:szCs w:val="16"/>
              </w:rPr>
              <w:t>Patients bypassing NSAH, and patients directly admitted to level 1 trauma centres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 xml:space="preserve">In hospital mortality </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?Non-designated trauma centres in exposed group had neurosurgical facilities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did not include secondary transfer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may include bypassed patients</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Hannan</w:t>
            </w:r>
          </w:p>
          <w:p w:rsidR="00EB5320" w:rsidRPr="00C806D0" w:rsidRDefault="00EB5320" w:rsidP="004442E4">
            <w:pPr>
              <w:pStyle w:val="NoSpacing"/>
              <w:rPr>
                <w:sz w:val="16"/>
                <w:szCs w:val="16"/>
                <w:vertAlign w:val="superscript"/>
              </w:rPr>
            </w:pPr>
            <w:r w:rsidRPr="00C806D0">
              <w:rPr>
                <w:sz w:val="16"/>
                <w:szCs w:val="16"/>
              </w:rPr>
              <w:t>2004</w:t>
            </w:r>
            <w:r w:rsidRPr="00C806D0">
              <w:rPr>
                <w:noProof/>
                <w:sz w:val="16"/>
                <w:szCs w:val="16"/>
                <w:vertAlign w:val="superscript"/>
              </w:rPr>
              <w:t>[</w:t>
            </w:r>
            <w:r w:rsidR="006D4D62" w:rsidRPr="00C806D0">
              <w:rPr>
                <w:noProof/>
                <w:sz w:val="16"/>
                <w:szCs w:val="16"/>
                <w:vertAlign w:val="superscript"/>
              </w:rPr>
              <w:t>10</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1996-1998</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w:t>
            </w:r>
          </w:p>
          <w:p w:rsidR="00EB5320" w:rsidRPr="00C806D0" w:rsidRDefault="00EB5320" w:rsidP="004442E4">
            <w:pPr>
              <w:pStyle w:val="NoSpacing"/>
              <w:rPr>
                <w:sz w:val="16"/>
                <w:szCs w:val="16"/>
              </w:rPr>
            </w:pPr>
            <w:r w:rsidRPr="00C806D0">
              <w:rPr>
                <w:sz w:val="16"/>
                <w:szCs w:val="16"/>
              </w:rPr>
              <w:t>(New York state)</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&gt;13 years,</w:t>
            </w:r>
          </w:p>
          <w:p w:rsidR="00EB5320" w:rsidRPr="00C806D0" w:rsidRDefault="00EB5320" w:rsidP="004442E4">
            <w:pPr>
              <w:pStyle w:val="NoSpacing"/>
              <w:rPr>
                <w:sz w:val="16"/>
                <w:szCs w:val="16"/>
              </w:rPr>
            </w:pPr>
            <w:r w:rsidRPr="00C806D0">
              <w:rPr>
                <w:sz w:val="16"/>
                <w:szCs w:val="16"/>
              </w:rPr>
              <w:t>Single injury of AIS&gt;3</w:t>
            </w:r>
          </w:p>
          <w:p w:rsidR="00EB5320" w:rsidRPr="00C806D0" w:rsidRDefault="00EB5320" w:rsidP="004442E4">
            <w:pPr>
              <w:pStyle w:val="NoSpacing"/>
              <w:rPr>
                <w:sz w:val="16"/>
                <w:szCs w:val="16"/>
              </w:rPr>
            </w:pPr>
            <w:r w:rsidRPr="00C806D0">
              <w:rPr>
                <w:sz w:val="16"/>
                <w:szCs w:val="16"/>
              </w:rPr>
              <w:t>ISS&gt;9, and: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Any of:</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GCS&lt;14</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SBP &lt;90</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RR&lt;10,&gt;29</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PR&lt;50,&gt;120</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Subgroup analysis performed for patients with head injury and above inclusion criteria</w:t>
            </w:r>
          </w:p>
        </w:tc>
        <w:tc>
          <w:tcPr>
            <w:tcW w:w="1417" w:type="dxa"/>
          </w:tcPr>
          <w:p w:rsidR="00EB5320" w:rsidRPr="00C806D0" w:rsidRDefault="00EB5320" w:rsidP="004442E4">
            <w:pPr>
              <w:pStyle w:val="NoSpacing"/>
              <w:rPr>
                <w:sz w:val="16"/>
                <w:szCs w:val="16"/>
              </w:rPr>
            </w:pPr>
            <w:r w:rsidRPr="00C806D0">
              <w:rPr>
                <w:sz w:val="16"/>
                <w:szCs w:val="16"/>
              </w:rPr>
              <w:t>Injured in New York City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‘Flat vital signs’ on ED admission</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NSAH</w:t>
            </w:r>
          </w:p>
        </w:tc>
        <w:tc>
          <w:tcPr>
            <w:tcW w:w="2287" w:type="dxa"/>
          </w:tcPr>
          <w:p w:rsidR="00EB5320" w:rsidRPr="00C806D0" w:rsidRDefault="00EB5320" w:rsidP="004442E4">
            <w:pPr>
              <w:pStyle w:val="NoSpacing"/>
              <w:rPr>
                <w:sz w:val="16"/>
                <w:szCs w:val="16"/>
              </w:rPr>
            </w:pPr>
            <w:r w:rsidRPr="00C806D0">
              <w:rPr>
                <w:sz w:val="16"/>
                <w:szCs w:val="16"/>
              </w:rPr>
              <w:t>Patients bypassing NSAH, and patients directly admitted to SNC.</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 hospital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did not include secondary transfer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may include bypassed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lastRenderedPageBreak/>
              <w:t xml:space="preserve">Mackenzie </w:t>
            </w:r>
          </w:p>
          <w:p w:rsidR="00EB5320" w:rsidRPr="00C806D0" w:rsidRDefault="00EB5320" w:rsidP="004442E4">
            <w:pPr>
              <w:pStyle w:val="NoSpacing"/>
              <w:rPr>
                <w:sz w:val="16"/>
                <w:szCs w:val="16"/>
                <w:vertAlign w:val="superscript"/>
              </w:rPr>
            </w:pPr>
            <w:r w:rsidRPr="00C806D0">
              <w:rPr>
                <w:sz w:val="16"/>
                <w:szCs w:val="16"/>
              </w:rPr>
              <w:t>2006</w:t>
            </w:r>
            <w:r w:rsidRPr="00C806D0">
              <w:rPr>
                <w:noProof/>
                <w:sz w:val="16"/>
                <w:szCs w:val="16"/>
                <w:vertAlign w:val="superscript"/>
              </w:rPr>
              <w:t>[</w:t>
            </w:r>
            <w:r w:rsidR="006D4D62" w:rsidRPr="00C806D0">
              <w:rPr>
                <w:noProof/>
                <w:sz w:val="16"/>
                <w:szCs w:val="16"/>
                <w:vertAlign w:val="superscript"/>
              </w:rPr>
              <w:t>11</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color w:val="FF0000"/>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2001-2002</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18 – 84 years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Any AIS&gt;3 injury</w:t>
            </w:r>
          </w:p>
        </w:tc>
        <w:tc>
          <w:tcPr>
            <w:tcW w:w="1417" w:type="dxa"/>
          </w:tcPr>
          <w:p w:rsidR="00EB5320" w:rsidRPr="00C806D0" w:rsidRDefault="00EB5320" w:rsidP="004442E4">
            <w:pPr>
              <w:pStyle w:val="NoSpacing"/>
              <w:rPr>
                <w:sz w:val="16"/>
                <w:szCs w:val="16"/>
              </w:rPr>
            </w:pPr>
            <w:r w:rsidRPr="00C806D0">
              <w:rPr>
                <w:sz w:val="16"/>
                <w:szCs w:val="16"/>
              </w:rPr>
              <w:t>‘No vital signs’ on admission</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Died within 30 minutes of hospital arrival</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Presenting &gt;24 hours after injury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&gt;65 years with hip fractures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Burns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Non English or Spanish speaking</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Incarcerated or homeless.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non-trauma centre</w:t>
            </w:r>
          </w:p>
        </w:tc>
        <w:tc>
          <w:tcPr>
            <w:tcW w:w="2287" w:type="dxa"/>
          </w:tcPr>
          <w:p w:rsidR="00EB5320" w:rsidRPr="00C806D0" w:rsidRDefault="00EB5320" w:rsidP="004442E4">
            <w:pPr>
              <w:pStyle w:val="NoSpacing"/>
              <w:rPr>
                <w:sz w:val="16"/>
                <w:szCs w:val="16"/>
              </w:rPr>
            </w:pPr>
            <w:r w:rsidRPr="00C806D0">
              <w:rPr>
                <w:sz w:val="16"/>
                <w:szCs w:val="16"/>
              </w:rPr>
              <w:t>Treatment at a trauma centre (not defined if secondary transfer, direct admission, or bypass)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Inpatient mortality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Mortality at 30, 90, and 365 days.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No subgroup analysis of head injured patients </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not clearly defined and may include bypassed patients</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Tallon 2006</w:t>
            </w:r>
            <w:r w:rsidRPr="00C806D0">
              <w:rPr>
                <w:noProof/>
                <w:sz w:val="16"/>
                <w:szCs w:val="16"/>
                <w:vertAlign w:val="superscript"/>
              </w:rPr>
              <w:t>[</w:t>
            </w:r>
            <w:r w:rsidR="006D4D62" w:rsidRPr="00C806D0">
              <w:rPr>
                <w:noProof/>
                <w:sz w:val="16"/>
                <w:szCs w:val="16"/>
                <w:vertAlign w:val="superscript"/>
              </w:rPr>
              <w:t>12</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1993-1994, 1999-2000</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Canada (Nova Scotia)</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&gt;15 years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Motor vehicle accident and ICD-9 code for:</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Head Injury</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Chest Injury</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Femur/open tibia fracture</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Spleen/liver injury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417" w:type="dxa"/>
          </w:tcPr>
          <w:p w:rsidR="00EB5320" w:rsidRPr="00C806D0" w:rsidRDefault="00EB5320" w:rsidP="004442E4">
            <w:pPr>
              <w:pStyle w:val="NoSpacing"/>
              <w:rPr>
                <w:sz w:val="16"/>
                <w:szCs w:val="16"/>
              </w:rPr>
            </w:pPr>
            <w:r w:rsidRPr="00C806D0">
              <w:rPr>
                <w:sz w:val="16"/>
                <w:szCs w:val="16"/>
              </w:rPr>
              <w:t>Hospital LOS&lt;3 days</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not primarily admitted to tertiary trauma centre</w:t>
            </w:r>
          </w:p>
        </w:tc>
        <w:tc>
          <w:tcPr>
            <w:tcW w:w="2287" w:type="dxa"/>
          </w:tcPr>
          <w:p w:rsidR="00EB5320" w:rsidRPr="00C806D0" w:rsidRDefault="00EB5320" w:rsidP="004442E4">
            <w:pPr>
              <w:pStyle w:val="NoSpacing"/>
              <w:rPr>
                <w:sz w:val="16"/>
                <w:szCs w:val="16"/>
              </w:rPr>
            </w:pPr>
            <w:r w:rsidRPr="00C806D0">
              <w:rPr>
                <w:sz w:val="16"/>
                <w:szCs w:val="16"/>
              </w:rPr>
              <w:t>Primary admission to tertiary trauma centre (not defined if direct admission, or bypass)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 hospital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Severity of injuries not clearly defined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may include bypassed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does not include secondary transfer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Exposed group may include secondary transfer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Level of neurosurgical coverage in non tertiary trauma centres not reported</w:t>
            </w: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Visca 2006</w:t>
            </w:r>
            <w:r w:rsidRPr="00C806D0">
              <w:rPr>
                <w:noProof/>
                <w:sz w:val="16"/>
                <w:szCs w:val="16"/>
                <w:vertAlign w:val="superscript"/>
              </w:rPr>
              <w:t>[</w:t>
            </w:r>
            <w:r w:rsidR="006D4D62" w:rsidRPr="00C806D0">
              <w:rPr>
                <w:noProof/>
                <w:sz w:val="16"/>
                <w:szCs w:val="16"/>
                <w:vertAlign w:val="superscript"/>
              </w:rPr>
              <w:t>13</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1997-2002</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Italy (Piedmont)</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Head Injury with GCS 3-8</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Age not specified</w:t>
            </w:r>
          </w:p>
        </w:tc>
        <w:tc>
          <w:tcPr>
            <w:tcW w:w="1417" w:type="dxa"/>
          </w:tcPr>
          <w:p w:rsidR="00EB5320" w:rsidRPr="00C806D0" w:rsidRDefault="00EB5320" w:rsidP="004442E4">
            <w:pPr>
              <w:pStyle w:val="NoSpacing"/>
              <w:rPr>
                <w:sz w:val="16"/>
                <w:szCs w:val="16"/>
              </w:rPr>
            </w:pPr>
            <w:r w:rsidRPr="00C806D0">
              <w:rPr>
                <w:sz w:val="16"/>
                <w:szCs w:val="16"/>
              </w:rPr>
              <w:t>‘Severe hypotension’</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Brain death</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‘Surgically evacuated mass lesion’</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NSAH</w:t>
            </w:r>
          </w:p>
        </w:tc>
        <w:tc>
          <w:tcPr>
            <w:tcW w:w="2287" w:type="dxa"/>
          </w:tcPr>
          <w:p w:rsidR="00EB5320" w:rsidRPr="00C806D0" w:rsidRDefault="00C867F9" w:rsidP="004442E4">
            <w:pPr>
              <w:pStyle w:val="NoSpacing"/>
              <w:rPr>
                <w:sz w:val="16"/>
                <w:szCs w:val="16"/>
              </w:rPr>
            </w:pPr>
            <w:r w:rsidRPr="00C806D0">
              <w:rPr>
                <w:sz w:val="16"/>
                <w:szCs w:val="16"/>
              </w:rPr>
              <w:t>T</w:t>
            </w:r>
            <w:r w:rsidR="00EB5320" w:rsidRPr="00C806D0">
              <w:rPr>
                <w:sz w:val="16"/>
                <w:szCs w:val="16"/>
              </w:rPr>
              <w:t>reatment at SNC (not defined if secondary transfer, direct admission, or bypass)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Glasgow outcome scale recorded at 6 weeks to 6 months</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may include bypassed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Very high risk of bias (no adjustment for confounding)</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Ashkenazi 2007</w:t>
            </w:r>
            <w:r w:rsidRPr="00C806D0">
              <w:rPr>
                <w:noProof/>
                <w:sz w:val="16"/>
                <w:szCs w:val="16"/>
                <w:vertAlign w:val="superscript"/>
              </w:rPr>
              <w:t>[</w:t>
            </w:r>
            <w:r w:rsidR="006D4D62" w:rsidRPr="00C806D0">
              <w:rPr>
                <w:noProof/>
                <w:sz w:val="16"/>
                <w:szCs w:val="16"/>
                <w:vertAlign w:val="superscript"/>
              </w:rPr>
              <w:t>14</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2003-2005</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Israel (Hadera)</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NR</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Head Injury and ‘pathological CT head’</w:t>
            </w:r>
          </w:p>
        </w:tc>
        <w:tc>
          <w:tcPr>
            <w:tcW w:w="1417" w:type="dxa"/>
          </w:tcPr>
          <w:p w:rsidR="00EB5320" w:rsidRPr="00C806D0" w:rsidRDefault="00EB5320" w:rsidP="004442E4">
            <w:pPr>
              <w:pStyle w:val="NoSpacing"/>
              <w:rPr>
                <w:sz w:val="16"/>
                <w:szCs w:val="16"/>
              </w:rPr>
            </w:pPr>
            <w:r w:rsidRPr="00C806D0">
              <w:rPr>
                <w:sz w:val="16"/>
                <w:szCs w:val="16"/>
              </w:rPr>
              <w:t>Mild head 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Discharged from ED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Normal CT</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GCS 15</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NSAH</w:t>
            </w:r>
          </w:p>
        </w:tc>
        <w:tc>
          <w:tcPr>
            <w:tcW w:w="2287" w:type="dxa"/>
          </w:tcPr>
          <w:p w:rsidR="00EB5320" w:rsidRPr="00C806D0" w:rsidRDefault="00EB5320" w:rsidP="004442E4">
            <w:pPr>
              <w:pStyle w:val="NoSpacing"/>
              <w:rPr>
                <w:sz w:val="16"/>
                <w:szCs w:val="16"/>
              </w:rPr>
            </w:pPr>
            <w:r w:rsidRPr="00C806D0">
              <w:rPr>
                <w:sz w:val="16"/>
                <w:szCs w:val="16"/>
              </w:rPr>
              <w:t>Patients undergoing secondary transfer from NSAH to SNC</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 hospital mortality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‘Treatment failure’ – delayed secondary transfer required</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Large proportion of non-severe TBI</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Helling 2007</w:t>
            </w:r>
            <w:r w:rsidRPr="00C806D0">
              <w:rPr>
                <w:noProof/>
                <w:sz w:val="16"/>
                <w:szCs w:val="16"/>
                <w:vertAlign w:val="superscript"/>
              </w:rPr>
              <w:t>[</w:t>
            </w:r>
            <w:r w:rsidR="006D4D62" w:rsidRPr="00C806D0">
              <w:rPr>
                <w:noProof/>
                <w:sz w:val="16"/>
                <w:szCs w:val="16"/>
                <w:vertAlign w:val="superscript"/>
              </w:rPr>
              <w:t>15</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2002-2003</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 (Missouri)</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All ages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Trauma system activations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Admission &gt;24hours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Secondary transfer</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 hospital death</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ICU admission</w:t>
            </w:r>
          </w:p>
        </w:tc>
        <w:tc>
          <w:tcPr>
            <w:tcW w:w="1417" w:type="dxa"/>
          </w:tcPr>
          <w:p w:rsidR="00EB5320" w:rsidRPr="00C806D0" w:rsidRDefault="00EB5320" w:rsidP="004442E4">
            <w:pPr>
              <w:pStyle w:val="NoSpacing"/>
              <w:rPr>
                <w:sz w:val="16"/>
                <w:szCs w:val="16"/>
              </w:rPr>
            </w:pPr>
            <w:r w:rsidRPr="00C806D0">
              <w:rPr>
                <w:sz w:val="16"/>
                <w:szCs w:val="16"/>
              </w:rPr>
              <w:t>NR</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level 3 trauma centre</w:t>
            </w:r>
          </w:p>
        </w:tc>
        <w:tc>
          <w:tcPr>
            <w:tcW w:w="2287" w:type="dxa"/>
          </w:tcPr>
          <w:p w:rsidR="00EB5320" w:rsidRPr="00C806D0" w:rsidRDefault="00EB5320" w:rsidP="004442E4">
            <w:pPr>
              <w:pStyle w:val="NoSpacing"/>
              <w:rPr>
                <w:sz w:val="16"/>
                <w:szCs w:val="16"/>
              </w:rPr>
            </w:pPr>
            <w:r w:rsidRPr="00C806D0">
              <w:rPr>
                <w:sz w:val="16"/>
                <w:szCs w:val="16"/>
              </w:rPr>
              <w:t>Treatment at level 2/3 trauma centre (not defined further if direct admission, or bypass)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 hospital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No subgroup analysis of head injured patients </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Exposed group included secondary transfers from non-trauma centres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Very high risk of bias (no adjustment for confounding)</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Newgard 2007</w:t>
            </w:r>
            <w:r w:rsidRPr="00C806D0">
              <w:rPr>
                <w:noProof/>
                <w:sz w:val="16"/>
                <w:szCs w:val="16"/>
                <w:vertAlign w:val="superscript"/>
              </w:rPr>
              <w:t>[</w:t>
            </w:r>
            <w:r w:rsidR="006D4D62" w:rsidRPr="00C806D0">
              <w:rPr>
                <w:noProof/>
                <w:sz w:val="16"/>
                <w:szCs w:val="16"/>
                <w:vertAlign w:val="superscript"/>
              </w:rPr>
              <w:t>16</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1998-2003</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 (Oregon)</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Any age</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Presented to NSAH (level 3 or 4 hospital)</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Required hospital admission </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Interhospital transfer</w:t>
            </w:r>
          </w:p>
        </w:tc>
        <w:tc>
          <w:tcPr>
            <w:tcW w:w="1417" w:type="dxa"/>
          </w:tcPr>
          <w:p w:rsidR="00EB5320" w:rsidRPr="00C806D0" w:rsidRDefault="00EB5320" w:rsidP="004442E4">
            <w:pPr>
              <w:pStyle w:val="NoSpacing"/>
              <w:rPr>
                <w:sz w:val="16"/>
                <w:szCs w:val="16"/>
              </w:rPr>
            </w:pPr>
            <w:r w:rsidRPr="00C806D0">
              <w:rPr>
                <w:sz w:val="16"/>
                <w:szCs w:val="16"/>
              </w:rPr>
              <w:t>ED: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Deaths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Discharges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Missing ED disposition data</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NSAH, ‘late transfer’ to tertiary hospital.</w:t>
            </w:r>
          </w:p>
        </w:tc>
        <w:tc>
          <w:tcPr>
            <w:tcW w:w="2287" w:type="dxa"/>
          </w:tcPr>
          <w:p w:rsidR="00EB5320" w:rsidRPr="00C806D0" w:rsidRDefault="00EB5320" w:rsidP="004442E4">
            <w:pPr>
              <w:pStyle w:val="NoSpacing"/>
              <w:rPr>
                <w:sz w:val="16"/>
                <w:szCs w:val="16"/>
              </w:rPr>
            </w:pPr>
            <w:r w:rsidRPr="00C806D0">
              <w:rPr>
                <w:sz w:val="16"/>
                <w:szCs w:val="16"/>
              </w:rPr>
              <w:t>Patients undergoing ‘early’ secondary transfer from NSAH to tertiary trauma hospital (level 1 or 2)</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Inpatient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No subgroup analysis of head injured patients </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’Early’/’late’ secondary transfers not defined.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Exposed group included ‘late’ secondary transfers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may include bypassed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Pracht 2007</w:t>
            </w:r>
            <w:r w:rsidRPr="00C806D0">
              <w:rPr>
                <w:noProof/>
                <w:sz w:val="16"/>
                <w:szCs w:val="16"/>
                <w:vertAlign w:val="superscript"/>
              </w:rPr>
              <w:t>[</w:t>
            </w:r>
            <w:r w:rsidR="006D4D62" w:rsidRPr="00C806D0">
              <w:rPr>
                <w:noProof/>
                <w:sz w:val="16"/>
                <w:szCs w:val="16"/>
                <w:vertAlign w:val="superscript"/>
              </w:rPr>
              <w:t>17</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2001-2003</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 (Florida)</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ICD code for trauma and assessed as ‘emergency’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Lower age limit not defined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417" w:type="dxa"/>
          </w:tcPr>
          <w:p w:rsidR="00EB5320" w:rsidRPr="00C806D0" w:rsidRDefault="00EB5320" w:rsidP="004442E4">
            <w:pPr>
              <w:pStyle w:val="NoSpacing"/>
              <w:rPr>
                <w:sz w:val="16"/>
                <w:szCs w:val="16"/>
              </w:rPr>
            </w:pPr>
            <w:r w:rsidRPr="00C806D0">
              <w:rPr>
                <w:sz w:val="16"/>
                <w:szCs w:val="16"/>
              </w:rPr>
              <w:t>ICD codes with ‘zero risk of mortality’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Patient assessed as ‘elective’ or ‘urgent’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Age &gt;65</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Secondary transfers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‘non-trauma centres’</w:t>
            </w:r>
          </w:p>
        </w:tc>
        <w:tc>
          <w:tcPr>
            <w:tcW w:w="2287" w:type="dxa"/>
          </w:tcPr>
          <w:p w:rsidR="00EB5320" w:rsidRPr="00C806D0" w:rsidRDefault="00EB5320" w:rsidP="004442E4">
            <w:pPr>
              <w:pStyle w:val="NoSpacing"/>
              <w:rPr>
                <w:sz w:val="16"/>
                <w:szCs w:val="16"/>
              </w:rPr>
            </w:pPr>
            <w:r w:rsidRPr="00C806D0">
              <w:rPr>
                <w:sz w:val="16"/>
                <w:szCs w:val="16"/>
              </w:rPr>
              <w:t>Patients directly admitted to ‘designated trauma centres’ (level 1 or 2)</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 Inpatient mortality (unclear)</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No subgroup analysis of head injured patients </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Severity of injuries not clearly defined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may include bypassed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does not include secondary transfer patients</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Ratanalert 2007</w:t>
            </w:r>
            <w:r w:rsidRPr="00C806D0">
              <w:rPr>
                <w:noProof/>
                <w:sz w:val="16"/>
                <w:szCs w:val="16"/>
                <w:vertAlign w:val="superscript"/>
              </w:rPr>
              <w:t>[</w:t>
            </w:r>
            <w:r w:rsidR="006D4D62" w:rsidRPr="00C806D0">
              <w:rPr>
                <w:noProof/>
                <w:sz w:val="16"/>
                <w:szCs w:val="16"/>
                <w:vertAlign w:val="superscript"/>
              </w:rPr>
              <w:t>18</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PCS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2005-2006</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Thailand (Songkla)</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NR</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‘Acute head injury’</w:t>
            </w:r>
          </w:p>
        </w:tc>
        <w:tc>
          <w:tcPr>
            <w:tcW w:w="1417" w:type="dxa"/>
          </w:tcPr>
          <w:p w:rsidR="00EB5320" w:rsidRPr="00C806D0" w:rsidRDefault="00EB5320" w:rsidP="004442E4">
            <w:pPr>
              <w:pStyle w:val="NoSpacing"/>
              <w:rPr>
                <w:sz w:val="16"/>
                <w:szCs w:val="16"/>
              </w:rPr>
            </w:pPr>
            <w:r w:rsidRPr="00C806D0">
              <w:rPr>
                <w:sz w:val="16"/>
                <w:szCs w:val="16"/>
              </w:rPr>
              <w:t>NR</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‘community hospitals’. Unclear if includes patients transferred to tertiary hospital</w:t>
            </w:r>
          </w:p>
        </w:tc>
        <w:tc>
          <w:tcPr>
            <w:tcW w:w="2287" w:type="dxa"/>
          </w:tcPr>
          <w:p w:rsidR="00EB5320" w:rsidRPr="00C806D0" w:rsidRDefault="00EB5320" w:rsidP="004442E4">
            <w:pPr>
              <w:pStyle w:val="NoSpacing"/>
              <w:rPr>
                <w:sz w:val="16"/>
                <w:szCs w:val="16"/>
              </w:rPr>
            </w:pPr>
            <w:r w:rsidRPr="00C806D0">
              <w:rPr>
                <w:sz w:val="16"/>
                <w:szCs w:val="16"/>
              </w:rPr>
              <w:t>Treatment at tertiary hospital. Unclear if includes secondary transfers.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 month GOS</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Unclear if secondary transfers in exposed or unexposed groups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(no adjustment for confounding)</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lastRenderedPageBreak/>
              <w:t>Sethi 2007</w:t>
            </w:r>
            <w:r w:rsidRPr="00C806D0">
              <w:rPr>
                <w:noProof/>
                <w:sz w:val="16"/>
                <w:szCs w:val="16"/>
                <w:vertAlign w:val="superscript"/>
              </w:rPr>
              <w:t>[</w:t>
            </w:r>
            <w:r w:rsidR="006D4D62" w:rsidRPr="00C806D0">
              <w:rPr>
                <w:noProof/>
                <w:sz w:val="16"/>
                <w:szCs w:val="16"/>
                <w:vertAlign w:val="superscript"/>
              </w:rPr>
              <w:t>19</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PCS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Date NR</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Malaysia</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&gt;12 years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Admission &gt;72 hours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ICU admission</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Died in hospital</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417" w:type="dxa"/>
          </w:tcPr>
          <w:p w:rsidR="00EB5320" w:rsidRPr="00C806D0" w:rsidRDefault="00EB5320" w:rsidP="004442E4">
            <w:pPr>
              <w:pStyle w:val="NoSpacing"/>
              <w:rPr>
                <w:sz w:val="16"/>
                <w:szCs w:val="16"/>
              </w:rPr>
            </w:pPr>
            <w:r w:rsidRPr="00C806D0">
              <w:rPr>
                <w:sz w:val="16"/>
                <w:szCs w:val="16"/>
              </w:rPr>
              <w:t>Dead on ED presentation</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Patients undergoing secondary transfer</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 xml:space="preserve"> Patients receiving all treatment at ‘district general hospitals’</w:t>
            </w:r>
          </w:p>
        </w:tc>
        <w:tc>
          <w:tcPr>
            <w:tcW w:w="2287" w:type="dxa"/>
          </w:tcPr>
          <w:p w:rsidR="00EB5320" w:rsidRPr="00C806D0" w:rsidRDefault="00EB5320" w:rsidP="004442E4">
            <w:pPr>
              <w:pStyle w:val="NoSpacing"/>
              <w:rPr>
                <w:sz w:val="16"/>
                <w:szCs w:val="16"/>
              </w:rPr>
            </w:pPr>
            <w:r w:rsidRPr="00C806D0">
              <w:rPr>
                <w:sz w:val="16"/>
                <w:szCs w:val="16"/>
              </w:rPr>
              <w:t xml:space="preserve">Patients directly admitted to ‘tertiary hospitals’ </w:t>
            </w:r>
          </w:p>
          <w:p w:rsidR="00EB5320" w:rsidRPr="00C806D0" w:rsidRDefault="00EB5320" w:rsidP="004442E4">
            <w:pPr>
              <w:pStyle w:val="NoSpacing"/>
              <w:rPr>
                <w:sz w:val="16"/>
                <w:szCs w:val="16"/>
              </w:rPr>
            </w:pPr>
          </w:p>
          <w:p w:rsidR="00EB5320" w:rsidRPr="00C806D0" w:rsidRDefault="00EB5320" w:rsidP="004442E4">
            <w:pPr>
              <w:pStyle w:val="NoSpacing"/>
              <w:rPr>
                <w:color w:val="FF0000"/>
                <w:sz w:val="16"/>
                <w:szCs w:val="16"/>
              </w:rPr>
            </w:pP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Inpatient mortality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Discharge Barthel Index</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 xml:space="preserve">Discharge Musculoskeletal Functional Assessment Index </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No subgroup analysis of head injured patients </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Unexposed group does not include secondary transfer patients</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Zulu 2007</w:t>
            </w:r>
            <w:r w:rsidRPr="00C806D0">
              <w:rPr>
                <w:noProof/>
                <w:sz w:val="16"/>
                <w:szCs w:val="16"/>
                <w:vertAlign w:val="superscript"/>
              </w:rPr>
              <w:t>[</w:t>
            </w:r>
            <w:r w:rsidR="006D4D62" w:rsidRPr="00C806D0">
              <w:rPr>
                <w:noProof/>
                <w:sz w:val="16"/>
                <w:szCs w:val="16"/>
                <w:vertAlign w:val="superscript"/>
              </w:rPr>
              <w:t>20</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PCS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1997-2001</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South Africa (Kwa-Zulu Natal)</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not specified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Head 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LOC</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Neurological deficit</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GCS&lt;15</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417" w:type="dxa"/>
          </w:tcPr>
          <w:p w:rsidR="00EB5320" w:rsidRPr="00C806D0" w:rsidRDefault="00EB5320" w:rsidP="004442E4">
            <w:pPr>
              <w:pStyle w:val="NoSpacing"/>
              <w:rPr>
                <w:sz w:val="16"/>
                <w:szCs w:val="16"/>
              </w:rPr>
            </w:pPr>
            <w:r w:rsidRPr="00C806D0">
              <w:rPr>
                <w:sz w:val="16"/>
                <w:szCs w:val="16"/>
              </w:rPr>
              <w:t>NR</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 xml:space="preserve">Patients receiving all treatment at NSAH </w:t>
            </w:r>
          </w:p>
        </w:tc>
        <w:tc>
          <w:tcPr>
            <w:tcW w:w="2287" w:type="dxa"/>
          </w:tcPr>
          <w:p w:rsidR="00EB5320" w:rsidRPr="00C806D0" w:rsidRDefault="00EB5320" w:rsidP="004442E4">
            <w:pPr>
              <w:pStyle w:val="NoSpacing"/>
              <w:rPr>
                <w:sz w:val="16"/>
                <w:szCs w:val="16"/>
              </w:rPr>
            </w:pPr>
            <w:r w:rsidRPr="00C806D0">
              <w:rPr>
                <w:sz w:val="16"/>
                <w:szCs w:val="16"/>
              </w:rPr>
              <w:t>Patients undergoing secondary transfer from NSAH to SNC</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 hospital  mortality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Neurological disability at discharge</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Large proportion of non-severe TBI</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(no adjustment for confounding)</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Fabbri 2007</w:t>
            </w:r>
            <w:r w:rsidRPr="00C806D0">
              <w:rPr>
                <w:noProof/>
                <w:sz w:val="16"/>
                <w:szCs w:val="16"/>
                <w:vertAlign w:val="superscript"/>
              </w:rPr>
              <w:t>[</w:t>
            </w:r>
            <w:r w:rsidR="006D4D62" w:rsidRPr="00C806D0">
              <w:rPr>
                <w:noProof/>
                <w:sz w:val="16"/>
                <w:szCs w:val="16"/>
                <w:vertAlign w:val="superscript"/>
              </w:rPr>
              <w:t>21</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1996-2006</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Italy (Forli)</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&gt;10 years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‘Acute head injury within 24 hours of presentation’</w:t>
            </w:r>
          </w:p>
        </w:tc>
        <w:tc>
          <w:tcPr>
            <w:tcW w:w="1417" w:type="dxa"/>
          </w:tcPr>
          <w:p w:rsidR="00EB5320" w:rsidRPr="00C806D0" w:rsidRDefault="00EB5320" w:rsidP="004442E4">
            <w:pPr>
              <w:pStyle w:val="NoSpacing"/>
              <w:rPr>
                <w:sz w:val="16"/>
                <w:szCs w:val="16"/>
              </w:rPr>
            </w:pPr>
            <w:r w:rsidRPr="00C806D0">
              <w:rPr>
                <w:sz w:val="16"/>
                <w:szCs w:val="16"/>
              </w:rPr>
              <w:t>Requirement for immediate surgery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SBP&lt;90mmHg</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Penetrating head injury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Severe head Injury (GCS&lt;9)</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NSAH</w:t>
            </w:r>
          </w:p>
        </w:tc>
        <w:tc>
          <w:tcPr>
            <w:tcW w:w="2287" w:type="dxa"/>
          </w:tcPr>
          <w:p w:rsidR="00EB5320" w:rsidRPr="00C806D0" w:rsidRDefault="00EB5320" w:rsidP="004442E4">
            <w:pPr>
              <w:pStyle w:val="NoSpacing"/>
              <w:rPr>
                <w:sz w:val="16"/>
                <w:szCs w:val="16"/>
              </w:rPr>
            </w:pPr>
            <w:r w:rsidRPr="00C806D0">
              <w:rPr>
                <w:sz w:val="16"/>
                <w:szCs w:val="16"/>
              </w:rPr>
              <w:t>Patients undergoing secondary transfer from NSAH to SNC</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6 month GOS</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Severe TBI patients excluded</w:t>
            </w: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Haas 2009</w:t>
            </w:r>
            <w:r w:rsidRPr="00C806D0">
              <w:rPr>
                <w:noProof/>
                <w:sz w:val="16"/>
                <w:szCs w:val="16"/>
                <w:vertAlign w:val="superscript"/>
              </w:rPr>
              <w:t>[</w:t>
            </w:r>
            <w:r w:rsidR="006D4D62" w:rsidRPr="00C806D0">
              <w:rPr>
                <w:noProof/>
                <w:sz w:val="16"/>
                <w:szCs w:val="16"/>
                <w:vertAlign w:val="superscript"/>
              </w:rPr>
              <w:t>22</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color w:val="FF0000"/>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2001-2002</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18 -84 years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Any injury AIS&gt;2</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Traumatic brain injury with pupil abnormality or midline shift on CT</w:t>
            </w:r>
          </w:p>
        </w:tc>
        <w:tc>
          <w:tcPr>
            <w:tcW w:w="1417" w:type="dxa"/>
          </w:tcPr>
          <w:p w:rsidR="00EB5320" w:rsidRPr="00C806D0" w:rsidRDefault="00EB5320" w:rsidP="004442E4">
            <w:pPr>
              <w:pStyle w:val="NoSpacing"/>
              <w:rPr>
                <w:sz w:val="16"/>
                <w:szCs w:val="16"/>
              </w:rPr>
            </w:pPr>
            <w:r w:rsidRPr="00C806D0">
              <w:rPr>
                <w:sz w:val="16"/>
                <w:szCs w:val="16"/>
              </w:rPr>
              <w:t>‘No vital signs’ on admission</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Died within 30 minutes of hospital arrival</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Presenting &gt;24 hours after injury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&gt;65 years with hip fractures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Burns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Non English or Spanish speaking</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Incarcerated or homeless.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Isolated gunshot wound to head</w:t>
            </w:r>
          </w:p>
          <w:p w:rsidR="00EB5320" w:rsidRPr="00C806D0" w:rsidRDefault="00EB5320" w:rsidP="004442E4">
            <w:pPr>
              <w:pStyle w:val="NoSpacing"/>
              <w:rPr>
                <w:sz w:val="16"/>
                <w:szCs w:val="16"/>
              </w:rPr>
            </w:pP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treatment at non-designated trauma centres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Unclear if includes patients bypassing non-trauma centres, or patients undergoing secondary transfers from non-trauma centres, or trauma centres.</w:t>
            </w:r>
          </w:p>
        </w:tc>
        <w:tc>
          <w:tcPr>
            <w:tcW w:w="2287" w:type="dxa"/>
          </w:tcPr>
          <w:p w:rsidR="00EB5320" w:rsidRPr="00C806D0" w:rsidRDefault="00EB5320" w:rsidP="004442E4">
            <w:pPr>
              <w:pStyle w:val="NoSpacing"/>
              <w:rPr>
                <w:sz w:val="16"/>
                <w:szCs w:val="16"/>
              </w:rPr>
            </w:pPr>
            <w:r w:rsidRPr="00C806D0">
              <w:rPr>
                <w:sz w:val="16"/>
                <w:szCs w:val="16"/>
              </w:rPr>
              <w:t>Patients receiving treatment at designated trauma centres including patients undergoing secondary transfer from non-trauma centres to trauma centres, and those directly admitted to trauma centres.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Unclear if includes patients bypassing non-trauma centres, or patients undergoing secondary transfers from non-trauma centres, or trauma centres.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A significant proportion of non-designated trauma centres had neurosurgical coverage and neurosurgical ICUs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Unclear if exposed/unexposed groups include bypassed patients</w:t>
            </w: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Garwe 2010</w:t>
            </w:r>
            <w:r w:rsidRPr="00C806D0">
              <w:rPr>
                <w:noProof/>
                <w:sz w:val="16"/>
                <w:szCs w:val="16"/>
                <w:vertAlign w:val="superscript"/>
              </w:rPr>
              <w:t>[</w:t>
            </w:r>
            <w:r w:rsidR="006D4D62" w:rsidRPr="00C806D0">
              <w:rPr>
                <w:noProof/>
                <w:sz w:val="16"/>
                <w:szCs w:val="16"/>
                <w:vertAlign w:val="superscript"/>
              </w:rPr>
              <w:t>23</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color w:val="FF0000"/>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2006-2007</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USA (Oklahoma)</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unclear</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One of:</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ICD -9 Injury code</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AIS&gt;2</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ISS&gt;8</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Dead on arrival to hospital</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Inpatient death</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Admission &gt;48 hours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Admitted to ICU</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Transferred to higher level of care</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Trauma team alert</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Surgery</w:t>
            </w:r>
          </w:p>
        </w:tc>
        <w:tc>
          <w:tcPr>
            <w:tcW w:w="1417" w:type="dxa"/>
          </w:tcPr>
          <w:p w:rsidR="00EB5320" w:rsidRPr="00C806D0" w:rsidRDefault="00EB5320" w:rsidP="004442E4">
            <w:pPr>
              <w:pStyle w:val="NoSpacing"/>
              <w:rPr>
                <w:sz w:val="16"/>
                <w:szCs w:val="16"/>
              </w:rPr>
            </w:pPr>
            <w:r w:rsidRPr="00C806D0">
              <w:rPr>
                <w:sz w:val="16"/>
                <w:szCs w:val="16"/>
              </w:rPr>
              <w:t>Transferred from an out-of-state or non-licensed hospital</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ED deaths within 1 hour of arrival</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Died at scene</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Isolated orthopaedic injury secondary to same level fall</w:t>
            </w:r>
          </w:p>
          <w:p w:rsidR="00EB5320" w:rsidRPr="00C806D0" w:rsidRDefault="00EB5320" w:rsidP="004442E4">
            <w:pPr>
              <w:pStyle w:val="NoSpacing"/>
              <w:rPr>
                <w:sz w:val="16"/>
                <w:szCs w:val="16"/>
              </w:rPr>
            </w:pP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level 3/4 trauma centres</w:t>
            </w:r>
          </w:p>
        </w:tc>
        <w:tc>
          <w:tcPr>
            <w:tcW w:w="2287" w:type="dxa"/>
          </w:tcPr>
          <w:p w:rsidR="00EB5320" w:rsidRPr="00C806D0" w:rsidRDefault="00EB5320" w:rsidP="004442E4">
            <w:pPr>
              <w:pStyle w:val="NoSpacing"/>
              <w:rPr>
                <w:sz w:val="16"/>
                <w:szCs w:val="16"/>
              </w:rPr>
            </w:pPr>
            <w:r w:rsidRPr="00C806D0">
              <w:rPr>
                <w:sz w:val="16"/>
                <w:szCs w:val="16"/>
              </w:rPr>
              <w:t>Patients undergoing secondary transfer from level 3/4  to level 1/2 trauma centres</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30 day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No subgroup analysis of head injured patients </w:t>
            </w:r>
          </w:p>
          <w:p w:rsidR="00EB5320" w:rsidRPr="00C806D0" w:rsidRDefault="00EB5320" w:rsidP="004442E4">
            <w:pPr>
              <w:pStyle w:val="NoSpacing"/>
              <w:rPr>
                <w:color w:val="FF0000"/>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Meisler 2010</w:t>
            </w:r>
            <w:r w:rsidRPr="00C806D0">
              <w:rPr>
                <w:noProof/>
                <w:sz w:val="16"/>
                <w:szCs w:val="16"/>
                <w:vertAlign w:val="superscript"/>
              </w:rPr>
              <w:t>[</w:t>
            </w:r>
            <w:r w:rsidR="006D4D62" w:rsidRPr="00C806D0">
              <w:rPr>
                <w:noProof/>
                <w:sz w:val="16"/>
                <w:szCs w:val="16"/>
                <w:vertAlign w:val="superscript"/>
              </w:rPr>
              <w:t>24</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PCS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2006</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Denmark (Eastern)</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unclear</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Injury and hospital trauma team activation</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417" w:type="dxa"/>
          </w:tcPr>
          <w:p w:rsidR="00EB5320" w:rsidRPr="00C806D0" w:rsidRDefault="00EB5320" w:rsidP="004442E4">
            <w:pPr>
              <w:pStyle w:val="NoSpacing"/>
              <w:rPr>
                <w:sz w:val="16"/>
                <w:szCs w:val="16"/>
              </w:rPr>
            </w:pPr>
            <w:r w:rsidRPr="00C806D0">
              <w:rPr>
                <w:sz w:val="16"/>
                <w:szCs w:val="16"/>
              </w:rPr>
              <w:t>NR</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local hospitals</w:t>
            </w:r>
          </w:p>
        </w:tc>
        <w:tc>
          <w:tcPr>
            <w:tcW w:w="2287" w:type="dxa"/>
          </w:tcPr>
          <w:p w:rsidR="00EB5320" w:rsidRPr="00C806D0" w:rsidRDefault="00EB5320" w:rsidP="004442E4">
            <w:pPr>
              <w:pStyle w:val="NoSpacing"/>
              <w:rPr>
                <w:sz w:val="16"/>
                <w:szCs w:val="16"/>
              </w:rPr>
            </w:pPr>
            <w:r w:rsidRPr="00C806D0">
              <w:rPr>
                <w:sz w:val="16"/>
                <w:szCs w:val="16"/>
              </w:rPr>
              <w:t>Patients bypassing local hospitals, undergoing secondary transfer from local hospitals to level 1 trauma centre, and directly admitted to level 1 trauma centre.</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30 day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No subgroup analysis of head injured patients </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Non-exposed group included bypassed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Very high risk of bias (no adjustment for confounding)</w:t>
            </w: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t>Curtis 2011</w:t>
            </w:r>
            <w:r w:rsidRPr="00C806D0">
              <w:rPr>
                <w:noProof/>
                <w:sz w:val="16"/>
                <w:szCs w:val="16"/>
                <w:vertAlign w:val="superscript"/>
              </w:rPr>
              <w:t>[</w:t>
            </w:r>
            <w:r w:rsidR="006D4D62" w:rsidRPr="00C806D0">
              <w:rPr>
                <w:noProof/>
                <w:sz w:val="16"/>
                <w:szCs w:val="16"/>
                <w:vertAlign w:val="superscript"/>
              </w:rPr>
              <w:t>25</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2002-2007</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Australia (New South Wales)</w:t>
            </w: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Age &gt;15 years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ISS&gt;15</w:t>
            </w:r>
          </w:p>
        </w:tc>
        <w:tc>
          <w:tcPr>
            <w:tcW w:w="1417" w:type="dxa"/>
          </w:tcPr>
          <w:p w:rsidR="00EB5320" w:rsidRPr="00C806D0" w:rsidRDefault="00EB5320" w:rsidP="004442E4">
            <w:pPr>
              <w:pStyle w:val="NoSpacing"/>
              <w:rPr>
                <w:sz w:val="16"/>
                <w:szCs w:val="16"/>
              </w:rPr>
            </w:pPr>
            <w:r w:rsidRPr="00C806D0">
              <w:rPr>
                <w:sz w:val="16"/>
                <w:szCs w:val="16"/>
              </w:rPr>
              <w:t>Age&lt;=15</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Isolated spinal cord injury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Burns</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Patients receiving all treatment at a level 3 trauma centre</w:t>
            </w:r>
          </w:p>
        </w:tc>
        <w:tc>
          <w:tcPr>
            <w:tcW w:w="2287" w:type="dxa"/>
          </w:tcPr>
          <w:p w:rsidR="00EB5320" w:rsidRPr="00C806D0" w:rsidRDefault="00EB5320" w:rsidP="004442E4">
            <w:pPr>
              <w:pStyle w:val="NoSpacing"/>
              <w:rPr>
                <w:sz w:val="16"/>
                <w:szCs w:val="16"/>
              </w:rPr>
            </w:pPr>
            <w:r w:rsidRPr="00C806D0">
              <w:rPr>
                <w:sz w:val="16"/>
                <w:szCs w:val="16"/>
              </w:rPr>
              <w:t>Patients directly admitted to level 1 or 2 trauma centres, and a tiny number of patients undergoing secondary transfer from a level 3 trauma centre</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Inpatient mortality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Hospital LOS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ICU LOS</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No subgroup analysis of head injured patients</w:t>
            </w: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Gabbe 2011a</w:t>
            </w:r>
            <w:r w:rsidRPr="00C806D0">
              <w:rPr>
                <w:noProof/>
                <w:sz w:val="16"/>
                <w:szCs w:val="16"/>
                <w:vertAlign w:val="superscript"/>
              </w:rPr>
              <w:t>[</w:t>
            </w:r>
            <w:r w:rsidR="006D4D62" w:rsidRPr="00C806D0">
              <w:rPr>
                <w:noProof/>
                <w:sz w:val="16"/>
                <w:szCs w:val="16"/>
                <w:vertAlign w:val="superscript"/>
              </w:rPr>
              <w:t>26</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color w:val="FF0000"/>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2005-2006</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Australia (Victoria), United Kingdom</w:t>
            </w:r>
          </w:p>
          <w:p w:rsidR="00EB5320" w:rsidRPr="00C806D0" w:rsidRDefault="00EB5320" w:rsidP="004442E4">
            <w:pPr>
              <w:pStyle w:val="NoSpacing"/>
              <w:rPr>
                <w:sz w:val="16"/>
                <w:szCs w:val="16"/>
              </w:rPr>
            </w:pP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General:</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Age &gt;15 years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Head AIS&gt;3</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Australian patients: 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Death</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ISS&gt;15</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ICU &gt;24 hours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Urgent surgery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UK patients:</w:t>
            </w:r>
          </w:p>
          <w:p w:rsidR="00EB5320" w:rsidRPr="00C806D0" w:rsidRDefault="00EB5320" w:rsidP="004442E4">
            <w:pPr>
              <w:pStyle w:val="NoSpacing"/>
              <w:rPr>
                <w:sz w:val="16"/>
                <w:szCs w:val="16"/>
              </w:rPr>
            </w:pPr>
            <w:r w:rsidRPr="00C806D0">
              <w:rPr>
                <w:sz w:val="16"/>
                <w:szCs w:val="16"/>
              </w:rPr>
              <w:t>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Admission &gt;72 hours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Admission to specialist centre</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Admission to ICU</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Death &lt;30 days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417" w:type="dxa"/>
          </w:tcPr>
          <w:p w:rsidR="00EB5320" w:rsidRPr="00C806D0" w:rsidRDefault="00EB5320" w:rsidP="004442E4">
            <w:pPr>
              <w:pStyle w:val="NoSpacing"/>
              <w:rPr>
                <w:sz w:val="16"/>
                <w:szCs w:val="16"/>
              </w:rPr>
            </w:pPr>
            <w:r w:rsidRPr="00C806D0">
              <w:rPr>
                <w:sz w:val="16"/>
                <w:szCs w:val="16"/>
              </w:rPr>
              <w:t>Extracranial AIS&gt;1</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Transferred to non-participating hospital</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 xml:space="preserve">Patients receiving all treatment at NSAH </w:t>
            </w:r>
          </w:p>
        </w:tc>
        <w:tc>
          <w:tcPr>
            <w:tcW w:w="2287" w:type="dxa"/>
          </w:tcPr>
          <w:p w:rsidR="00EB5320" w:rsidRPr="00C806D0" w:rsidRDefault="00EB5320" w:rsidP="00C867F9">
            <w:pPr>
              <w:pStyle w:val="NoSpacing"/>
              <w:rPr>
                <w:sz w:val="16"/>
                <w:szCs w:val="16"/>
              </w:rPr>
            </w:pPr>
            <w:r w:rsidRPr="00C806D0">
              <w:rPr>
                <w:sz w:val="16"/>
                <w:szCs w:val="16"/>
              </w:rPr>
              <w:t>Patients bypassing NSAH, undergoing secondary transfer from NSAH to SNC, and directly admitted to SNC.</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 hospital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Large proportion of moderate TBI (GCS 9-12)</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Non-exposed group included bypassed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r>
      <w:tr w:rsidR="00EB5320" w:rsidRPr="00C806D0" w:rsidTr="004442E4">
        <w:trPr>
          <w:cantSplit/>
        </w:trPr>
        <w:tc>
          <w:tcPr>
            <w:tcW w:w="1510" w:type="dxa"/>
            <w:tcMar>
              <w:top w:w="28" w:type="dxa"/>
              <w:left w:w="57" w:type="dxa"/>
              <w:bottom w:w="28" w:type="dxa"/>
              <w:right w:w="57" w:type="dxa"/>
            </w:tcMar>
          </w:tcPr>
          <w:p w:rsidR="00EB5320" w:rsidRPr="00C806D0" w:rsidRDefault="00EB5320" w:rsidP="004442E4">
            <w:pPr>
              <w:pStyle w:val="NoSpacing"/>
              <w:rPr>
                <w:sz w:val="16"/>
                <w:szCs w:val="16"/>
                <w:vertAlign w:val="superscript"/>
              </w:rPr>
            </w:pPr>
            <w:r w:rsidRPr="00C806D0">
              <w:rPr>
                <w:sz w:val="16"/>
                <w:szCs w:val="16"/>
              </w:rPr>
              <w:lastRenderedPageBreak/>
              <w:t>Gabbe 2011b</w:t>
            </w:r>
            <w:r w:rsidRPr="00C806D0">
              <w:rPr>
                <w:noProof/>
                <w:sz w:val="16"/>
                <w:szCs w:val="16"/>
                <w:vertAlign w:val="superscript"/>
              </w:rPr>
              <w:t>[</w:t>
            </w:r>
            <w:r w:rsidR="006D4D62" w:rsidRPr="00C806D0">
              <w:rPr>
                <w:noProof/>
                <w:sz w:val="16"/>
                <w:szCs w:val="16"/>
                <w:vertAlign w:val="superscript"/>
              </w:rPr>
              <w:t>27</w:t>
            </w:r>
            <w:r w:rsidRPr="00C806D0">
              <w:rPr>
                <w:noProof/>
                <w:sz w:val="16"/>
                <w:szCs w:val="16"/>
                <w:vertAlign w:val="superscript"/>
              </w:rPr>
              <w:t>]</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831" w:type="dxa"/>
          </w:tcPr>
          <w:p w:rsidR="00EB5320" w:rsidRPr="00C806D0" w:rsidRDefault="00EB5320" w:rsidP="004442E4">
            <w:pPr>
              <w:pStyle w:val="NoSpacing"/>
              <w:rPr>
                <w:sz w:val="16"/>
                <w:szCs w:val="16"/>
              </w:rPr>
            </w:pPr>
            <w:r w:rsidRPr="00C806D0">
              <w:rPr>
                <w:sz w:val="16"/>
                <w:szCs w:val="16"/>
              </w:rPr>
              <w:t>RCS</w:t>
            </w:r>
          </w:p>
        </w:tc>
        <w:tc>
          <w:tcPr>
            <w:tcW w:w="124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2001-2006</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Australia (Victoria)</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United Kingdom</w:t>
            </w:r>
          </w:p>
          <w:p w:rsidR="00EB5320" w:rsidRPr="00C806D0" w:rsidRDefault="00EB5320" w:rsidP="004442E4">
            <w:pPr>
              <w:pStyle w:val="NoSpacing"/>
              <w:rPr>
                <w:sz w:val="16"/>
                <w:szCs w:val="16"/>
              </w:rPr>
            </w:pPr>
          </w:p>
        </w:tc>
        <w:tc>
          <w:tcPr>
            <w:tcW w:w="2004" w:type="dxa"/>
            <w:tcBorders>
              <w:left w:val="single" w:sz="12" w:space="0" w:color="auto"/>
            </w:tcBorders>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General:</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Age &gt;15 years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Head AIS&gt;2</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ISS&gt;15</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Australian patients, 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Death</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ISS&gt;15</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ICU &gt;24 hours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Urgent surgery</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t>UK patients, injury and:</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Admission &gt;72 hours</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Admission to specialist centre</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Admission to ICU</w:t>
            </w: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Death &lt;30 days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p>
        </w:tc>
        <w:tc>
          <w:tcPr>
            <w:tcW w:w="1417" w:type="dxa"/>
          </w:tcPr>
          <w:p w:rsidR="00EB5320" w:rsidRPr="00C806D0" w:rsidRDefault="00EB5320" w:rsidP="004442E4">
            <w:pPr>
              <w:pStyle w:val="NoSpacing"/>
              <w:rPr>
                <w:sz w:val="16"/>
                <w:szCs w:val="16"/>
              </w:rPr>
            </w:pPr>
            <w:r w:rsidRPr="00C806D0">
              <w:rPr>
                <w:sz w:val="16"/>
                <w:szCs w:val="16"/>
              </w:rPr>
              <w:t>Transferred to non-participating hospital</w:t>
            </w:r>
          </w:p>
        </w:tc>
        <w:tc>
          <w:tcPr>
            <w:tcW w:w="1701"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 xml:space="preserve">Patients receiving all treatment at NSAH </w:t>
            </w:r>
          </w:p>
        </w:tc>
        <w:tc>
          <w:tcPr>
            <w:tcW w:w="2287" w:type="dxa"/>
          </w:tcPr>
          <w:p w:rsidR="00EB5320" w:rsidRPr="00C806D0" w:rsidRDefault="00EB5320" w:rsidP="004442E4">
            <w:pPr>
              <w:pStyle w:val="NoSpacing"/>
              <w:rPr>
                <w:sz w:val="16"/>
                <w:szCs w:val="16"/>
              </w:rPr>
            </w:pPr>
            <w:r w:rsidRPr="00C806D0">
              <w:rPr>
                <w:sz w:val="16"/>
                <w:szCs w:val="16"/>
              </w:rPr>
              <w:t xml:space="preserve">Patients bypassing NSAH, undergoing secondary transfer from NSAH to SNC, and directly admitted to SNC. </w:t>
            </w:r>
          </w:p>
        </w:tc>
        <w:tc>
          <w:tcPr>
            <w:tcW w:w="1440" w:type="dxa"/>
            <w:tcMar>
              <w:top w:w="28" w:type="dxa"/>
              <w:left w:w="57" w:type="dxa"/>
              <w:bottom w:w="28" w:type="dxa"/>
              <w:right w:w="57" w:type="dxa"/>
            </w:tcMar>
          </w:tcPr>
          <w:p w:rsidR="00EB5320" w:rsidRPr="00C806D0" w:rsidRDefault="00EB5320" w:rsidP="004442E4">
            <w:pPr>
              <w:pStyle w:val="NoSpacing"/>
              <w:rPr>
                <w:sz w:val="16"/>
                <w:szCs w:val="16"/>
              </w:rPr>
            </w:pPr>
            <w:r w:rsidRPr="00C806D0">
              <w:rPr>
                <w:sz w:val="16"/>
                <w:szCs w:val="16"/>
              </w:rPr>
              <w:t>In hospital  mortality</w:t>
            </w:r>
          </w:p>
        </w:tc>
        <w:tc>
          <w:tcPr>
            <w:tcW w:w="1518" w:type="dxa"/>
          </w:tcPr>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Included paediatric patients</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 xml:space="preserve"> Surgical TBI patients included</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Large proportion of moderate TBI (GCS 9-12)</w:t>
            </w:r>
          </w:p>
          <w:p w:rsidR="00EB5320" w:rsidRPr="00C806D0" w:rsidRDefault="00EB5320" w:rsidP="004442E4">
            <w:pPr>
              <w:pStyle w:val="NoSpacing"/>
              <w:rPr>
                <w:sz w:val="16"/>
                <w:szCs w:val="16"/>
              </w:rPr>
            </w:pPr>
          </w:p>
          <w:p w:rsidR="00EB5320" w:rsidRPr="00C806D0" w:rsidRDefault="00EB5320" w:rsidP="004442E4">
            <w:pPr>
              <w:pStyle w:val="NoSpacing"/>
              <w:rPr>
                <w:sz w:val="16"/>
                <w:szCs w:val="16"/>
              </w:rPr>
            </w:pPr>
            <w:r w:rsidRPr="00C806D0">
              <w:rPr>
                <w:sz w:val="16"/>
                <w:szCs w:val="16"/>
              </w:rPr>
              <w:sym w:font="Wingdings" w:char="F09F"/>
            </w:r>
            <w:r w:rsidRPr="00C806D0">
              <w:rPr>
                <w:sz w:val="16"/>
                <w:szCs w:val="16"/>
              </w:rPr>
              <w:t>Non-exposed group included bypassed patients</w:t>
            </w:r>
          </w:p>
        </w:tc>
      </w:tr>
    </w:tbl>
    <w:p w:rsidR="006F2FC6" w:rsidRPr="00C806D0" w:rsidRDefault="006F2FC6" w:rsidP="00EB5320">
      <w:pPr>
        <w:pStyle w:val="Heading3"/>
        <w:spacing w:before="240"/>
        <w:ind w:left="862"/>
        <w:sectPr w:rsidR="006F2FC6" w:rsidRPr="00C806D0" w:rsidSect="006F2FC6">
          <w:pgSz w:w="16838" w:h="11906" w:orient="landscape"/>
          <w:pgMar w:top="2268" w:right="1134" w:bottom="1134" w:left="1134" w:header="709" w:footer="709" w:gutter="0"/>
          <w:cols w:space="708"/>
          <w:docGrid w:linePitch="360"/>
        </w:sectPr>
      </w:pPr>
    </w:p>
    <w:p w:rsidR="00EB5320" w:rsidRPr="00C806D0" w:rsidRDefault="00776188" w:rsidP="00EB5320">
      <w:pPr>
        <w:pStyle w:val="Heading3"/>
        <w:spacing w:before="240"/>
        <w:ind w:left="862"/>
      </w:pPr>
      <w:r w:rsidRPr="00C806D0">
        <w:lastRenderedPageBreak/>
        <w:t>D</w:t>
      </w:r>
      <w:r w:rsidR="00EB5320" w:rsidRPr="00C806D0">
        <w:t>etailed rationale for risk of bias assessment for included studies.</w:t>
      </w:r>
    </w:p>
    <w:p w:rsidR="00EB5320" w:rsidRPr="00C806D0" w:rsidRDefault="00EB5320" w:rsidP="00EB5320">
      <w:pPr>
        <w:rPr>
          <w:rFonts w:cs="Arial"/>
        </w:rPr>
      </w:pPr>
      <w:r w:rsidRPr="00C806D0">
        <w:t>The risk of bias in included studies was determined separately according to each outcome and assessed relative to the gold standard of an internally valid randomised controlled trial.</w:t>
      </w:r>
      <w:r w:rsidR="00C867F9" w:rsidRPr="00C806D0">
        <w:t xml:space="preserve"> </w:t>
      </w:r>
      <w:r w:rsidRPr="00C806D0">
        <w:rPr>
          <w:rFonts w:cs="Arial"/>
        </w:rPr>
        <w:t>There is no established, validated instrument for assessing risk of bias in non-randomised studies and a bespoke classification scheme was therefore developed for cohort studies in conjunction with expert epidemiologists. STROBE recommendations,</w:t>
      </w:r>
      <w:r w:rsidR="00D368BB" w:rsidRPr="00C806D0">
        <w:rPr>
          <w:rFonts w:cs="Arial"/>
          <w:noProof/>
          <w:vertAlign w:val="superscript"/>
        </w:rPr>
        <w:t>[</w:t>
      </w:r>
      <w:r w:rsidR="006D4D62" w:rsidRPr="00C806D0">
        <w:rPr>
          <w:rFonts w:cs="Arial"/>
          <w:noProof/>
          <w:vertAlign w:val="superscript"/>
        </w:rPr>
        <w:t>28</w:t>
      </w:r>
      <w:r w:rsidR="00D368BB" w:rsidRPr="00C806D0">
        <w:rPr>
          <w:rFonts w:cs="Arial"/>
          <w:noProof/>
          <w:vertAlign w:val="superscript"/>
        </w:rPr>
        <w:t>]</w:t>
      </w:r>
      <w:r w:rsidRPr="00C806D0">
        <w:rPr>
          <w:rFonts w:cs="Arial"/>
        </w:rPr>
        <w:t xml:space="preserve"> established critical appraisal tools,</w:t>
      </w:r>
      <w:r w:rsidR="00D368BB" w:rsidRPr="00C806D0">
        <w:rPr>
          <w:rFonts w:cs="Arial"/>
          <w:noProof/>
          <w:vertAlign w:val="superscript"/>
        </w:rPr>
        <w:t>[</w:t>
      </w:r>
      <w:r w:rsidR="006D4D62" w:rsidRPr="00C806D0">
        <w:rPr>
          <w:rFonts w:cs="Arial"/>
          <w:noProof/>
          <w:vertAlign w:val="superscript"/>
        </w:rPr>
        <w:t>29</w:t>
      </w:r>
      <w:r w:rsidR="00D368BB" w:rsidRPr="00C806D0">
        <w:rPr>
          <w:rFonts w:cs="Arial"/>
          <w:noProof/>
          <w:vertAlign w:val="superscript"/>
        </w:rPr>
        <w:t>]</w:t>
      </w:r>
      <w:r w:rsidRPr="00C806D0">
        <w:rPr>
          <w:rFonts w:cs="Arial"/>
        </w:rPr>
        <w:t xml:space="preserve"> theoretical considerations, and empirical evidence informed the tool’s development.</w:t>
      </w:r>
      <w:r w:rsidR="00D368BB" w:rsidRPr="00C806D0">
        <w:rPr>
          <w:rFonts w:cs="Arial"/>
          <w:noProof/>
          <w:vertAlign w:val="superscript"/>
        </w:rPr>
        <w:t>[</w:t>
      </w:r>
      <w:r w:rsidR="006D4D62" w:rsidRPr="00C806D0">
        <w:rPr>
          <w:rFonts w:cs="Arial"/>
          <w:noProof/>
          <w:vertAlign w:val="superscript"/>
        </w:rPr>
        <w:t>30-32</w:t>
      </w:r>
      <w:r w:rsidR="00D368BB" w:rsidRPr="00C806D0">
        <w:rPr>
          <w:rFonts w:cs="Arial"/>
          <w:noProof/>
          <w:vertAlign w:val="superscript"/>
        </w:rPr>
        <w:t>]</w:t>
      </w:r>
      <w:r w:rsidRPr="00C806D0">
        <w:rPr>
          <w:rFonts w:cs="Arial"/>
        </w:rPr>
        <w:t xml:space="preserve"> To maximise validity the tool subsequently underwent extensive independent peer review.</w:t>
      </w:r>
    </w:p>
    <w:p w:rsidR="00EB5320" w:rsidRPr="00C806D0" w:rsidRDefault="00EB5320" w:rsidP="00EB5320">
      <w:pPr>
        <w:rPr>
          <w:rFonts w:cs="Arial"/>
        </w:rPr>
      </w:pPr>
    </w:p>
    <w:p w:rsidR="00EB5320" w:rsidRPr="00C806D0" w:rsidRDefault="00EB5320" w:rsidP="00EB5320">
      <w:pPr>
        <w:rPr>
          <w:rFonts w:cs="FreeSansBold"/>
          <w:bCs/>
          <w:lang w:eastAsia="en-GB"/>
        </w:rPr>
      </w:pPr>
      <w:r w:rsidRPr="00C806D0">
        <w:rPr>
          <w:rFonts w:cs="FreeSansBold"/>
          <w:bCs/>
          <w:lang w:eastAsia="en-GB"/>
        </w:rPr>
        <w:t>A methodological component approach was taken, based on the</w:t>
      </w:r>
      <w:r w:rsidRPr="00C806D0">
        <w:rPr>
          <w:rFonts w:cs="AGaramond-Regular"/>
          <w:lang w:eastAsia="en-GB"/>
        </w:rPr>
        <w:t xml:space="preserve"> Cochrane </w:t>
      </w:r>
      <w:r w:rsidRPr="00C806D0">
        <w:rPr>
          <w:rFonts w:cs="FreeSansBold"/>
          <w:bCs/>
          <w:lang w:eastAsia="en-GB"/>
        </w:rPr>
        <w:t>Collaboration’s assessment tool for risk of bias in randomised trials,</w:t>
      </w:r>
      <w:r w:rsidR="00D368BB" w:rsidRPr="00C806D0">
        <w:rPr>
          <w:rFonts w:cs="FreeSansBold"/>
          <w:bCs/>
          <w:noProof/>
          <w:vertAlign w:val="superscript"/>
          <w:lang w:eastAsia="en-GB"/>
        </w:rPr>
        <w:t>[</w:t>
      </w:r>
      <w:r w:rsidR="006D4D62" w:rsidRPr="00C806D0">
        <w:rPr>
          <w:rFonts w:cs="FreeSansBold"/>
          <w:bCs/>
          <w:noProof/>
          <w:vertAlign w:val="superscript"/>
          <w:lang w:eastAsia="en-GB"/>
        </w:rPr>
        <w:t>33</w:t>
      </w:r>
      <w:r w:rsidR="00D368BB" w:rsidRPr="00C806D0">
        <w:rPr>
          <w:rFonts w:cs="FreeSansBold"/>
          <w:bCs/>
          <w:noProof/>
          <w:vertAlign w:val="superscript"/>
          <w:lang w:eastAsia="en-GB"/>
        </w:rPr>
        <w:t>]</w:t>
      </w:r>
      <w:r w:rsidRPr="00C806D0">
        <w:rPr>
          <w:rFonts w:cs="FreeSansBold"/>
          <w:bCs/>
          <w:lang w:eastAsia="en-GB"/>
        </w:rPr>
        <w:t xml:space="preserve"> comprising the domains of: selection bias, information bias, confounding, reporting bias, and other sources of bias. Risk of bias in each domain was classified as very low, low, moderate, high, or very high risk. </w:t>
      </w:r>
    </w:p>
    <w:p w:rsidR="00EB5320" w:rsidRPr="00C806D0" w:rsidRDefault="00EB5320" w:rsidP="00EB5320">
      <w:pPr>
        <w:rPr>
          <w:rFonts w:cs="FreeSansBold"/>
          <w:bCs/>
          <w:lang w:eastAsia="en-GB"/>
        </w:rPr>
      </w:pPr>
    </w:p>
    <w:p w:rsidR="00EB5320" w:rsidRPr="00C806D0" w:rsidRDefault="00EB5320" w:rsidP="00EB5320">
      <w:pPr>
        <w:rPr>
          <w:rFonts w:cs="FreeSansBold"/>
          <w:bCs/>
          <w:lang w:eastAsia="en-GB"/>
        </w:rPr>
      </w:pPr>
      <w:r w:rsidRPr="00C806D0">
        <w:rPr>
          <w:rFonts w:cs="FreeSansBold"/>
          <w:bCs/>
          <w:lang w:eastAsia="en-GB"/>
        </w:rPr>
        <w:t>Potential confounding variables were identified from a comprehensive literature review, including systematic reviews of prognostic TBI scores.</w:t>
      </w:r>
      <w:r w:rsidR="00D368BB" w:rsidRPr="00C806D0">
        <w:rPr>
          <w:rFonts w:cs="FreeSansBold"/>
          <w:bCs/>
          <w:noProof/>
          <w:vertAlign w:val="superscript"/>
          <w:lang w:eastAsia="en-GB"/>
        </w:rPr>
        <w:t>[</w:t>
      </w:r>
      <w:r w:rsidR="006D4D62" w:rsidRPr="00C806D0">
        <w:rPr>
          <w:rFonts w:cs="FreeSansBold"/>
          <w:bCs/>
          <w:noProof/>
          <w:vertAlign w:val="superscript"/>
          <w:lang w:eastAsia="en-GB"/>
        </w:rPr>
        <w:t>34-38</w:t>
      </w:r>
      <w:r w:rsidR="00D368BB" w:rsidRPr="00C806D0">
        <w:rPr>
          <w:rFonts w:cs="FreeSansBold"/>
          <w:bCs/>
          <w:noProof/>
          <w:vertAlign w:val="superscript"/>
          <w:lang w:eastAsia="en-GB"/>
        </w:rPr>
        <w:t>]</w:t>
      </w:r>
      <w:r w:rsidRPr="00C806D0">
        <w:rPr>
          <w:rFonts w:cs="FreeSansBold"/>
          <w:bCs/>
          <w:lang w:eastAsia="en-GB"/>
        </w:rPr>
        <w:t xml:space="preserve"> Causal diagrams were subsequently developed to produce a conceptual model and determine confounders requiring control in analyses. The identified confounders were: GCS, pupil status, </w:t>
      </w:r>
      <w:r w:rsidR="002A16B4" w:rsidRPr="00C806D0">
        <w:rPr>
          <w:rFonts w:cs="FreeSansBold"/>
          <w:bCs/>
          <w:lang w:eastAsia="en-GB"/>
        </w:rPr>
        <w:t>extracranial</w:t>
      </w:r>
      <w:r w:rsidRPr="00C806D0">
        <w:rPr>
          <w:rFonts w:cs="FreeSansBold"/>
          <w:bCs/>
          <w:lang w:eastAsia="en-GB"/>
        </w:rPr>
        <w:t xml:space="preserve"> injury, age, hypoxia, hypotension, coagulopathy, anaemia, hyperglycaemia, thrombocytopenia, and CT head findings. Other potentially relevant confounders, with a less established evidence base, include: socioeconomic status, ethnicity, medical comorbidities, neuro-worsening, performance status, pyrexia, and hypothermia. </w:t>
      </w:r>
    </w:p>
    <w:p w:rsidR="00EB5320" w:rsidRPr="00C806D0" w:rsidRDefault="00EB5320" w:rsidP="00EB5320">
      <w:pPr>
        <w:rPr>
          <w:rFonts w:cs="FreeSansBold"/>
          <w:bCs/>
          <w:lang w:eastAsia="en-GB"/>
        </w:rPr>
      </w:pPr>
    </w:p>
    <w:p w:rsidR="00EB5320" w:rsidRPr="00C806D0" w:rsidRDefault="00EB5320" w:rsidP="00EB5320">
      <w:r w:rsidRPr="00C806D0">
        <w:rPr>
          <w:rFonts w:cs="AdvOTa9103878"/>
        </w:rPr>
        <w:t xml:space="preserve">To assess the likelihood that outcomes had been measured but selectively not reported </w:t>
      </w:r>
      <w:r w:rsidRPr="00C806D0">
        <w:t>protocol deviations, structurally linked outcomes, knowledge of the clinical area, and discrepancies between methods and results sections of study reports</w:t>
      </w:r>
      <w:r w:rsidR="00644ABB" w:rsidRPr="00C806D0">
        <w:t xml:space="preserve"> </w:t>
      </w:r>
      <w:r w:rsidR="00644ABB" w:rsidRPr="00C806D0">
        <w:rPr>
          <w:rFonts w:cs="AdvOTa9103878"/>
        </w:rPr>
        <w:t>were considered</w:t>
      </w:r>
      <w:r w:rsidRPr="00C806D0">
        <w:t>. A review outcome matrix was subsequently completed with missing outcomes categorised according to the ORBIT classification.</w:t>
      </w:r>
      <w:r w:rsidR="00D368BB" w:rsidRPr="00C806D0">
        <w:rPr>
          <w:noProof/>
          <w:vertAlign w:val="superscript"/>
        </w:rPr>
        <w:t>[</w:t>
      </w:r>
      <w:r w:rsidR="006D4D62" w:rsidRPr="00C806D0">
        <w:rPr>
          <w:noProof/>
          <w:vertAlign w:val="superscript"/>
        </w:rPr>
        <w:t>39</w:t>
      </w:r>
      <w:r w:rsidR="00D368BB" w:rsidRPr="00C806D0">
        <w:rPr>
          <w:noProof/>
          <w:vertAlign w:val="superscript"/>
        </w:rPr>
        <w:t>]</w:t>
      </w:r>
    </w:p>
    <w:p w:rsidR="00EB5320" w:rsidRPr="00C806D0" w:rsidRDefault="00EB5320" w:rsidP="00EB5320">
      <w:pPr>
        <w:pStyle w:val="Heading4"/>
      </w:pPr>
      <w:r w:rsidRPr="00C806D0">
        <w:t>Selection bias: Participant enrolment</w:t>
      </w:r>
    </w:p>
    <w:p w:rsidR="00EB5320" w:rsidRPr="00C806D0" w:rsidRDefault="00EB5320" w:rsidP="00EB5320">
      <w:r w:rsidRPr="00C806D0">
        <w:t>Two studies (Patel 2005, Fuller 2011) included patients directly admitted to SNCs in the intervention group of their reported analyses examining isolated non-surgical severe head injuries.</w:t>
      </w:r>
      <w:r w:rsidR="00D368BB" w:rsidRPr="00C806D0">
        <w:rPr>
          <w:noProof/>
          <w:vertAlign w:val="superscript"/>
        </w:rPr>
        <w:t>[</w:t>
      </w:r>
      <w:r w:rsidR="006D4D62" w:rsidRPr="00C806D0">
        <w:rPr>
          <w:noProof/>
          <w:vertAlign w:val="superscript"/>
        </w:rPr>
        <w:t>40</w:t>
      </w:r>
      <w:r w:rsidR="00D368BB" w:rsidRPr="00C806D0">
        <w:rPr>
          <w:noProof/>
          <w:vertAlign w:val="superscript"/>
        </w:rPr>
        <w:t xml:space="preserve">, </w:t>
      </w:r>
      <w:r w:rsidR="006D4D62" w:rsidRPr="00C806D0">
        <w:rPr>
          <w:noProof/>
          <w:vertAlign w:val="superscript"/>
        </w:rPr>
        <w:t>41</w:t>
      </w:r>
      <w:r w:rsidR="00D368BB" w:rsidRPr="00C806D0">
        <w:rPr>
          <w:noProof/>
          <w:vertAlign w:val="superscript"/>
        </w:rPr>
        <w:t>]</w:t>
      </w:r>
      <w:r w:rsidRPr="00C806D0">
        <w:t xml:space="preserve"> These patients will automatically receive potentially beneficial specialist care and are therefore not relevant to the review question. Furthermore this patient group will not </w:t>
      </w:r>
      <w:r w:rsidRPr="00C806D0">
        <w:lastRenderedPageBreak/>
        <w:t>undergo the hazards of inter-hospital transfer, resulting in a lower risk of adverse outcome and potential overestimation of the benefit of routine secondary transfer. Harrison 2013 excluded direct admissions to SNCs, and will therefore be at relatively lower risk of selection bias.</w:t>
      </w:r>
      <w:r w:rsidR="00D368BB" w:rsidRPr="00C806D0">
        <w:rPr>
          <w:noProof/>
          <w:vertAlign w:val="superscript"/>
        </w:rPr>
        <w:t>[</w:t>
      </w:r>
      <w:r w:rsidR="006D4D62" w:rsidRPr="00C806D0">
        <w:rPr>
          <w:noProof/>
          <w:vertAlign w:val="superscript"/>
        </w:rPr>
        <w:t>42</w:t>
      </w:r>
      <w:r w:rsidR="00D368BB" w:rsidRPr="00C806D0">
        <w:rPr>
          <w:noProof/>
          <w:vertAlign w:val="superscript"/>
        </w:rPr>
        <w:t>]</w:t>
      </w:r>
      <w:r w:rsidRPr="00C806D0">
        <w:t xml:space="preserve"> Unpublished analyses excluding these patients were also available from Fuller 2011.</w:t>
      </w:r>
      <w:r w:rsidR="00D368BB" w:rsidRPr="00C806D0">
        <w:rPr>
          <w:noProof/>
          <w:vertAlign w:val="superscript"/>
        </w:rPr>
        <w:t>[</w:t>
      </w:r>
      <w:r w:rsidR="006D4D62" w:rsidRPr="00C806D0">
        <w:rPr>
          <w:noProof/>
          <w:vertAlign w:val="superscript"/>
        </w:rPr>
        <w:t>43</w:t>
      </w:r>
      <w:r w:rsidR="00D368BB" w:rsidRPr="00C806D0">
        <w:rPr>
          <w:noProof/>
          <w:vertAlign w:val="superscript"/>
        </w:rPr>
        <w:t>]</w:t>
      </w:r>
    </w:p>
    <w:p w:rsidR="00EB5320" w:rsidRPr="00C806D0" w:rsidRDefault="00EB5320" w:rsidP="00EB5320"/>
    <w:p w:rsidR="00EB5320" w:rsidRPr="00C806D0" w:rsidRDefault="00EB5320" w:rsidP="00EB5320">
      <w:pPr>
        <w:rPr>
          <w:rFonts w:cs="AdvTimes"/>
        </w:rPr>
      </w:pPr>
      <w:r w:rsidRPr="00C806D0">
        <w:t xml:space="preserve">Fuller 2011 and Patel 2005 included AIS&gt;2 and intubation/ventilation on ED arrival in their definition of severe head injury. These cohorts may therefore include patients with less severe head trauma who underwent intubation for associated injuries, potentially biasing the reported odds ratio away from the true effect estimate for severe TBI patients. However, Patel 2005 also reported an isolated TBI subgroup for which severe head injury is the only conceivable rationale for intubation. Additionally in the case of Fuller 2011, </w:t>
      </w:r>
      <w:r w:rsidRPr="00C806D0">
        <w:rPr>
          <w:rFonts w:cs="AdvTimes"/>
        </w:rPr>
        <w:t>using intubation in the definition allowed inclusion of significantly head-injured patients with missing GCS, and results were not significantly changed  in a reported sensitivity analysis when intubated patients with an admission GCS great</w:t>
      </w:r>
      <w:r w:rsidR="00644ABB" w:rsidRPr="00C806D0">
        <w:rPr>
          <w:rFonts w:cs="AdvTimes"/>
        </w:rPr>
        <w:t>er than nine</w:t>
      </w:r>
      <w:r w:rsidRPr="00C806D0">
        <w:rPr>
          <w:rFonts w:cs="AdvTimes"/>
        </w:rPr>
        <w:t xml:space="preserve"> were excluded.</w:t>
      </w:r>
    </w:p>
    <w:p w:rsidR="00EB5320" w:rsidRPr="00C806D0" w:rsidRDefault="00EB5320" w:rsidP="00EB5320">
      <w:pPr>
        <w:rPr>
          <w:rFonts w:cs="AdvTimes"/>
        </w:rPr>
      </w:pPr>
    </w:p>
    <w:p w:rsidR="00EB5320" w:rsidRPr="00C806D0" w:rsidRDefault="00EB5320" w:rsidP="00EB5320">
      <w:pPr>
        <w:rPr>
          <w:rFonts w:cs="AdvTimes"/>
        </w:rPr>
      </w:pPr>
      <w:r w:rsidRPr="00C806D0">
        <w:rPr>
          <w:rFonts w:cs="AdvTimes"/>
        </w:rPr>
        <w:t>It was unclear whether patients with head injuries requiring urgent neurosurgical treatment were included in Newgard 2004,</w:t>
      </w:r>
      <w:r w:rsidR="00D368BB" w:rsidRPr="00C806D0">
        <w:rPr>
          <w:rFonts w:cs="AdvTimes"/>
          <w:noProof/>
          <w:vertAlign w:val="superscript"/>
        </w:rPr>
        <w:t>[</w:t>
      </w:r>
      <w:r w:rsidR="006D4D62" w:rsidRPr="00C806D0">
        <w:rPr>
          <w:rFonts w:cs="AdvTimes"/>
          <w:noProof/>
          <w:vertAlign w:val="superscript"/>
        </w:rPr>
        <w:t>44</w:t>
      </w:r>
      <w:r w:rsidR="00D368BB" w:rsidRPr="00C806D0">
        <w:rPr>
          <w:rFonts w:cs="AdvTimes"/>
          <w:noProof/>
          <w:vertAlign w:val="superscript"/>
        </w:rPr>
        <w:t>]</w:t>
      </w:r>
      <w:r w:rsidRPr="00C806D0">
        <w:rPr>
          <w:rFonts w:cs="AdvTimes"/>
        </w:rPr>
        <w:t xml:space="preserve"> with additional information unavailable by the study authors. Patients with acute operative lesions will always be transferred for neurosurgery and are not relevant to the review question. They may also have better prognosis than non-focal TBI pathologies potentially biasing effect estimates.</w:t>
      </w:r>
      <w:r w:rsidR="00D368BB" w:rsidRPr="00C806D0">
        <w:rPr>
          <w:rFonts w:cs="AdvTimes"/>
          <w:noProof/>
          <w:vertAlign w:val="superscript"/>
        </w:rPr>
        <w:t>[</w:t>
      </w:r>
      <w:r w:rsidR="006D4D62" w:rsidRPr="00C806D0">
        <w:rPr>
          <w:rFonts w:cs="AdvTimes"/>
          <w:noProof/>
          <w:vertAlign w:val="superscript"/>
        </w:rPr>
        <w:t>45</w:t>
      </w:r>
      <w:r w:rsidR="00D368BB" w:rsidRPr="00C806D0">
        <w:rPr>
          <w:rFonts w:cs="AdvTimes"/>
          <w:noProof/>
          <w:vertAlign w:val="superscript"/>
        </w:rPr>
        <w:t>]</w:t>
      </w:r>
    </w:p>
    <w:p w:rsidR="00EB5320" w:rsidRPr="00C806D0" w:rsidRDefault="00EB5320" w:rsidP="00EB5320">
      <w:pPr>
        <w:rPr>
          <w:rFonts w:cs="AdvTimes"/>
        </w:rPr>
      </w:pPr>
    </w:p>
    <w:p w:rsidR="00EB5320" w:rsidRPr="00C806D0" w:rsidRDefault="00EB5320" w:rsidP="00EB5320">
      <w:pPr>
        <w:rPr>
          <w:rFonts w:cs="Arial"/>
          <w:lang w:eastAsia="en-GB"/>
        </w:rPr>
      </w:pPr>
      <w:r w:rsidRPr="00C806D0">
        <w:t xml:space="preserve">Incomplete enrolment of cases could also result in selection bias if selection probabilities into intervention/control groups are influenced by </w:t>
      </w:r>
      <w:r w:rsidRPr="00C806D0">
        <w:rPr>
          <w:rFonts w:cs="Arial"/>
          <w:lang w:eastAsia="en-GB"/>
        </w:rPr>
        <w:t xml:space="preserve">risk of outcome. </w:t>
      </w:r>
      <w:r w:rsidRPr="00C806D0">
        <w:t xml:space="preserve">In Harrison 2013, Fuller 2011 and Patel 2005 information was submitted by data collectors for both performance benchmarking of treatment and inclusion in study data sets. Selective recruitment of cases could consequently be motivated by the desire to manipulate performance metrics, or result from variations in administrative processes for different patient sub-groups. </w:t>
      </w:r>
      <w:r w:rsidRPr="00C806D0">
        <w:rPr>
          <w:rFonts w:cs="Arial"/>
          <w:lang w:eastAsia="en-GB"/>
        </w:rPr>
        <w:t>The direction and magnitude of any ensuing selection bias is dependent on the unknown factors determining selection, and is therefore difficult to quantify.</w:t>
      </w:r>
    </w:p>
    <w:p w:rsidR="00EB5320" w:rsidRPr="00C806D0" w:rsidRDefault="00EB5320" w:rsidP="00EB5320">
      <w:pPr>
        <w:rPr>
          <w:rFonts w:cs="Arial"/>
          <w:lang w:eastAsia="en-GB"/>
        </w:rPr>
      </w:pPr>
    </w:p>
    <w:p w:rsidR="00EB5320" w:rsidRPr="00C806D0" w:rsidRDefault="00EB5320" w:rsidP="00EB5320">
      <w:pPr>
        <w:rPr>
          <w:rFonts w:cs="Arial"/>
          <w:lang w:eastAsia="en-GB"/>
        </w:rPr>
      </w:pPr>
      <w:r w:rsidRPr="00C806D0">
        <w:rPr>
          <w:rFonts w:cs="Arial"/>
          <w:lang w:eastAsia="en-GB"/>
        </w:rPr>
        <w:t xml:space="preserve">One study (Fuller 2011) reported marked discrepancies between trauma registry cases and independent Hospital Episode Statistics cases suggesting incomplete enrolment. Patel 2005 used similar trauma registry data from an earlier time period, during which the discrepancy in enrolment was even greater (T Lawrence, Trauma Audit and Research Network, personal communication). The final study (Harrison 2013) reported an assessment for selective </w:t>
      </w:r>
      <w:r w:rsidRPr="00C806D0">
        <w:rPr>
          <w:rFonts w:cs="Arial"/>
          <w:lang w:eastAsia="en-GB"/>
        </w:rPr>
        <w:lastRenderedPageBreak/>
        <w:t>enrolment in the study protocol indicating that differential recruitment into study groups was unlikely.</w:t>
      </w:r>
    </w:p>
    <w:p w:rsidR="00EB5320" w:rsidRPr="00C806D0" w:rsidRDefault="00EB5320" w:rsidP="00EB5320">
      <w:pPr>
        <w:rPr>
          <w:rFonts w:cs="Arial"/>
          <w:lang w:eastAsia="en-GB"/>
        </w:rPr>
      </w:pPr>
    </w:p>
    <w:p w:rsidR="00EB5320" w:rsidRPr="00C806D0" w:rsidRDefault="00EB5320" w:rsidP="00EB5320">
      <w:pPr>
        <w:rPr>
          <w:rFonts w:cs="Arial"/>
          <w:lang w:eastAsia="en-GB"/>
        </w:rPr>
      </w:pPr>
      <w:r w:rsidRPr="00C806D0">
        <w:rPr>
          <w:rFonts w:cs="AdvTimes"/>
        </w:rPr>
        <w:t>Additional information was available on participant enrolment in Newgard 2004 from a referenced study describing the rural trauma registry on which analyses were performed.</w:t>
      </w:r>
      <w:r w:rsidR="00D368BB" w:rsidRPr="00C806D0">
        <w:rPr>
          <w:rFonts w:cs="AdvTimes"/>
          <w:noProof/>
          <w:vertAlign w:val="superscript"/>
        </w:rPr>
        <w:t>[</w:t>
      </w:r>
      <w:r w:rsidR="006D4D62" w:rsidRPr="00C806D0">
        <w:rPr>
          <w:rFonts w:cs="AdvTimes"/>
          <w:noProof/>
          <w:vertAlign w:val="superscript"/>
        </w:rPr>
        <w:t>46</w:t>
      </w:r>
      <w:r w:rsidR="00D368BB" w:rsidRPr="00C806D0">
        <w:rPr>
          <w:rFonts w:cs="AdvTimes"/>
          <w:noProof/>
          <w:vertAlign w:val="superscript"/>
        </w:rPr>
        <w:t>]</w:t>
      </w:r>
      <w:r w:rsidRPr="00C806D0">
        <w:rPr>
          <w:rFonts w:cs="AdvTimes"/>
        </w:rPr>
        <w:t xml:space="preserve"> Consecutive patients with severe head injury were identified by a detailed recruitment system consisting of screening of emergency department logs, transferred patients, discharge databases and hospital trauma registries. There is consequently a low risk of bias in this domain.</w:t>
      </w:r>
    </w:p>
    <w:p w:rsidR="00EB5320" w:rsidRPr="00C806D0" w:rsidRDefault="00EB5320" w:rsidP="00EB5320">
      <w:pPr>
        <w:pStyle w:val="Heading4"/>
      </w:pPr>
      <w:r w:rsidRPr="00C806D0">
        <w:t>Selection bias: Attrition bias</w:t>
      </w:r>
    </w:p>
    <w:p w:rsidR="00EB5320" w:rsidRPr="00C806D0" w:rsidRDefault="00EB5320" w:rsidP="00EB5320">
      <w:r w:rsidRPr="00C806D0">
        <w:t>Appreciable loss to follow up was evident across all studies, with incomplete outcome data ranging from 3% (mortality, Harrison 2013) to 16% (unfavourable outcome, Harrison 2013), through 13% (mortality, Fuller 2011), and 9% (mortality, Patel 2005). Systematic errors could be introduced by list wise deletion of cases with missing outcome data, if this data is not missing completely at random (MCAR), or is not missing at random (MAR) conditional on the included regression covariates.</w:t>
      </w:r>
    </w:p>
    <w:p w:rsidR="00EB5320" w:rsidRPr="00C806D0" w:rsidRDefault="00EB5320" w:rsidP="00EB5320"/>
    <w:p w:rsidR="00EB5320" w:rsidRPr="00C806D0" w:rsidRDefault="00EB5320" w:rsidP="00EB5320">
      <w:r w:rsidRPr="00C806D0">
        <w:t xml:space="preserve">In two studies (Patel 2005, Fuller 2011) the excluded patients had comparable demographic characteristics to included patients, but patient characteristics were not presented separately by exposure group. Fuller 2011 formally explored attrition bias and demonstrated that results were sensitive to conservatively imputed outcomes, suggesting a plausible risk of attrition bias. </w:t>
      </w:r>
    </w:p>
    <w:p w:rsidR="00EB5320" w:rsidRPr="00C806D0" w:rsidRDefault="00EB5320" w:rsidP="00EB5320"/>
    <w:p w:rsidR="00EB5320" w:rsidRPr="00C806D0" w:rsidRDefault="00EB5320" w:rsidP="00EB5320">
      <w:r w:rsidRPr="00C806D0">
        <w:t>Harrison 2013 did not report any features of excluded patients but used multiple imputation, under a ‘missing at random assumption’ to account for missing outcomes. Full details of the imputation model were not specified and the potential for systematic differences in attrition between study groups, and inaccurately imputed outcomes, is consequently uncertain.</w:t>
      </w:r>
    </w:p>
    <w:p w:rsidR="00EB5320" w:rsidRPr="00C806D0" w:rsidRDefault="00EB5320" w:rsidP="00EB5320"/>
    <w:p w:rsidR="00EB5320" w:rsidRPr="00C806D0" w:rsidRDefault="00EB5320" w:rsidP="00EB5320">
      <w:r w:rsidRPr="00C806D0">
        <w:t xml:space="preserve">Additionally available case analyses, excluding patients with missing data for explanatory variables, could also introduce selection bias if missingness is dependent on mortality. Harrison 2013 and Fuller 2011 used multiple imputation models including outcome. An ad hoc method of lesser validity utilising median ‘hot deck’ imputation was used by Patel 2005. No information on loss to follow up or missing covariate data was available on from Newgard 2004 and the risk of bias in this study is unclear for this domain. </w:t>
      </w:r>
    </w:p>
    <w:p w:rsidR="00EB5320" w:rsidRPr="00C806D0" w:rsidRDefault="00EB5320" w:rsidP="00EB5320">
      <w:pPr>
        <w:pStyle w:val="Heading4"/>
      </w:pPr>
      <w:r w:rsidRPr="00C806D0">
        <w:lastRenderedPageBreak/>
        <w:t>Information bias: Exposure measurement</w:t>
      </w:r>
    </w:p>
    <w:p w:rsidR="00EB5320" w:rsidRPr="00C806D0" w:rsidRDefault="00EB5320" w:rsidP="00EB5320">
      <w:r w:rsidRPr="00C806D0">
        <w:t xml:space="preserve">In all included studies information on exposure was determined from administrative records collated by trained data collectors. In two retrospective cohort studies (Patel 2005, Fuller 2011) data collectors were independent of the study and unaware of the study hypothesis. In the final study (Harrison 2013) data collectors were not blinded to the study hypothesis, but as routinely collected, objective, and validated </w:t>
      </w:r>
      <w:r w:rsidR="00335B1F" w:rsidRPr="00C806D0">
        <w:t>data were</w:t>
      </w:r>
      <w:r w:rsidRPr="00C806D0">
        <w:t xml:space="preserve"> used, this is unlikely to introduce information bias. It is unclear whether data collectors in Newgard 2004 were aware of the study hypothesis.</w:t>
      </w:r>
    </w:p>
    <w:p w:rsidR="00EB5320" w:rsidRPr="00C806D0" w:rsidRDefault="00EB5320" w:rsidP="00EB5320">
      <w:pPr>
        <w:pStyle w:val="Heading4"/>
      </w:pPr>
      <w:r w:rsidRPr="00C806D0">
        <w:t>Information bias: Outcome measurement</w:t>
      </w:r>
    </w:p>
    <w:p w:rsidR="00EB5320" w:rsidRPr="00C806D0" w:rsidRDefault="00EB5320" w:rsidP="00EB5320">
      <w:r w:rsidRPr="00C806D0">
        <w:t xml:space="preserve">Mortality was a primary outcome in three included studies. In Patel 2005 and Fuller 2011 this was assessed at hospital discharge or 30 days, whichever occurred first. This information is objective and was collected by independent trained data collectors. The remaining study (Harrison 2013) assessed mortality at </w:t>
      </w:r>
      <w:r w:rsidR="000E6D33" w:rsidRPr="00C806D0">
        <w:t>six</w:t>
      </w:r>
      <w:r w:rsidRPr="00C806D0">
        <w:t xml:space="preserve"> months using a combination of routine administrative data, contacting GPs, ICU follow up services, and family questionnaires. Again, this objective outcome measure is at low risk of information bias, despite un-blinded outcome assessors.</w:t>
      </w:r>
    </w:p>
    <w:p w:rsidR="00EB5320" w:rsidRPr="00C806D0" w:rsidRDefault="00EB5320" w:rsidP="00EB5320"/>
    <w:p w:rsidR="00EB5320" w:rsidRPr="00C806D0" w:rsidRDefault="00EB5320" w:rsidP="00EB5320">
      <w:r w:rsidRPr="00C806D0">
        <w:t>One study (Harrison 2013) also ex</w:t>
      </w:r>
      <w:r w:rsidR="000E6D33" w:rsidRPr="00C806D0">
        <w:t>amined unfavourable outcome at six</w:t>
      </w:r>
      <w:r w:rsidRPr="00C806D0">
        <w:t xml:space="preserve"> months as a primary outcome. This was assessed using the extended </w:t>
      </w:r>
      <w:r w:rsidR="000E6D33" w:rsidRPr="00C806D0">
        <w:t>GOS</w:t>
      </w:r>
      <w:r w:rsidRPr="00C806D0">
        <w:t>, predominantly measured by postal questionnaires completed by patients or carers. This method of assessment has been shown to be reliable and non-differential measurement errors, tending to bias effect estimates towards null, are unlikely.</w:t>
      </w:r>
      <w:r w:rsidR="00D368BB" w:rsidRPr="00C806D0">
        <w:rPr>
          <w:noProof/>
          <w:vertAlign w:val="superscript"/>
        </w:rPr>
        <w:t>[</w:t>
      </w:r>
      <w:r w:rsidR="006D4D62" w:rsidRPr="00C806D0">
        <w:rPr>
          <w:noProof/>
          <w:vertAlign w:val="superscript"/>
        </w:rPr>
        <w:t>47</w:t>
      </w:r>
      <w:r w:rsidR="00D368BB" w:rsidRPr="00C806D0">
        <w:rPr>
          <w:noProof/>
          <w:vertAlign w:val="superscript"/>
        </w:rPr>
        <w:t>]</w:t>
      </w:r>
      <w:r w:rsidRPr="00C806D0">
        <w:t xml:space="preserve"> Standardised telephone interviews and consultation with ICU follow up clinics were used to contact non-responders. The use of un-blinded outcome assessors to partially measure such a subjective outcome may have introduced information bias. An unusual composite endpoint comprising mortality, medical complications, and disability at discharge was used by Newgard 2004. No information was available on the assessment of this outcome and risk of bias is therefore unclear.</w:t>
      </w:r>
    </w:p>
    <w:p w:rsidR="00EB5320" w:rsidRPr="00C806D0" w:rsidRDefault="00EB5320" w:rsidP="00EB5320">
      <w:pPr>
        <w:pStyle w:val="Heading4"/>
      </w:pPr>
      <w:r w:rsidRPr="00C806D0">
        <w:t>Confounding</w:t>
      </w:r>
    </w:p>
    <w:p w:rsidR="00EB5320" w:rsidRPr="00C806D0" w:rsidRDefault="00EB5320" w:rsidP="00EB5320">
      <w:r w:rsidRPr="00C806D0">
        <w:t xml:space="preserve">Harrison 2013, Fuller 2011 and Patel 2005 reported significant baseline differences in confounding variables between exposed and unexposed groups. For example marked imbalances were observed for bilaterally dilated pupils in Harrison 2013 (22% exposed group v 10% unexposed group), abnormal respiratory rate in Fuller 2011 (23% exposed group v 16% unexposed group), and hypotension in Patel 2005 (19% exposed group v 8% unexposed group). The discernibly worse case mix in unexposed groups suggests a probable lack of </w:t>
      </w:r>
      <w:r w:rsidRPr="00C806D0">
        <w:lastRenderedPageBreak/>
        <w:t>overlap of confounder distributions and that control of confounding is unlikely to be fully achieved. No details were available on confounder balance from Newgard 2004.</w:t>
      </w:r>
    </w:p>
    <w:p w:rsidR="00EB5320" w:rsidRPr="00C806D0" w:rsidRDefault="00EB5320" w:rsidP="00EB5320"/>
    <w:p w:rsidR="00EB5320" w:rsidRPr="00C806D0" w:rsidRDefault="00EB5320" w:rsidP="00EB5320">
      <w:r w:rsidRPr="00C806D0">
        <w:t xml:space="preserve">Imperfect classification of explanatory variables could vitiate the control for known confounders. Patel 2005 and Fuller 2011 only partially considered CT head scan findings, accounted for through </w:t>
      </w:r>
      <w:r w:rsidR="00776188" w:rsidRPr="00C806D0">
        <w:t>ISS</w:t>
      </w:r>
      <w:r w:rsidRPr="00C806D0">
        <w:t xml:space="preserve"> which incorporate information on anatomical brain injuries; and approximated hypoxia using respiratory rate. CT head findings were categorised according to the Marshall scale in Harrison 2013, although this has prognostic value, individual CT characteristics may provide superior control for confounding. Newgard 2004 used the AVPU scale to measure level of consciousness rather than the more detailed Glasgow Coma Scale.</w:t>
      </w:r>
    </w:p>
    <w:p w:rsidR="00EB5320" w:rsidRPr="00C806D0" w:rsidRDefault="00EB5320" w:rsidP="00EB5320"/>
    <w:p w:rsidR="00EB5320" w:rsidRPr="00C806D0" w:rsidRDefault="00EB5320" w:rsidP="00EB5320">
      <w:r w:rsidRPr="00C806D0">
        <w:t>In all studies information on confounding variables was obtained from routine clinical data, often subjectively measured by doctors. Inaccurate assessment with resulting non-differential misclassification errors could have compromised subsequent statistical adjustments for confounding. For example, in Harrison 2013 only moderate agreement was observed between radiologists classifying CT head scans as normal or abnormal, with a reported kappa statistic of 0.59.</w:t>
      </w:r>
    </w:p>
    <w:p w:rsidR="00EB5320" w:rsidRPr="00C806D0" w:rsidRDefault="00EB5320" w:rsidP="00EB5320"/>
    <w:p w:rsidR="00EB5320" w:rsidRPr="00C806D0" w:rsidRDefault="00EB5320" w:rsidP="00EB5320">
      <w:r w:rsidRPr="00C806D0">
        <w:t>Two studies (Patel 2005, Fuller 2011) reported relatively high levels of missing confounder data, approaching 50% for certain variables. A valid technique of multiple imputation was used to account for missing data in the principle adjusted analysis of one of these studies (Fuller 2011), but an ad hoc method of lesser validity utilising median ‘hot deck’ imputation was used by Patel 2005. The final study (Harrison 2013) had much lower levels of missing data which, contingent on a valid missing at random assumption, were addressed robustly in the principle adjusted analyses using multiple imputation No information was available on missing confounder data in Newgard 2013.</w:t>
      </w:r>
    </w:p>
    <w:p w:rsidR="00EB5320" w:rsidRPr="00C806D0" w:rsidRDefault="00EB5320" w:rsidP="00EB5320"/>
    <w:p w:rsidR="00EB5320" w:rsidRPr="00C806D0" w:rsidRDefault="00EB5320" w:rsidP="00EB5320">
      <w:r w:rsidRPr="00C806D0">
        <w:t>Adjustment for confounding at the analysis stage was attempted using multivariable statistical modelling in all studies. Harrison 2013 used standard logistic regression, while three papers (Newgard 2004, Patel 2005, Fuller 2011) used propensity scores.  Fuller 2011 and Patel 2004 additionally restricted analyses to patients with isolated head injuries and aged &lt;65 years. The development of multivariate models was fully described and followed consensus recommendations in two studies (Newgard 2004, Fuller 2011). Less information was reported in the other studies to (Patel 2005, Harrison 2012) but analyses are unlikely to be invalid.</w:t>
      </w:r>
    </w:p>
    <w:p w:rsidR="00EB5320" w:rsidRPr="00C806D0" w:rsidRDefault="00EB5320" w:rsidP="00EB5320"/>
    <w:p w:rsidR="00EB5320" w:rsidRPr="00C806D0" w:rsidRDefault="00EB5320" w:rsidP="00EB5320">
      <w:r w:rsidRPr="00C806D0">
        <w:lastRenderedPageBreak/>
        <w:t>Sensitivity analyses assessing the impact of unmeasured or unknown confounders were reported for crude odds ratios in one study only (Fuller 2011). However, given the reported effect sizes it is likely that unmeasured or missing confounders would require relatively high prevalence and associations with exposure to lead to a non-significant result in each included study.</w:t>
      </w:r>
    </w:p>
    <w:p w:rsidR="00EB5320" w:rsidRPr="00C806D0" w:rsidRDefault="00EB5320" w:rsidP="00EB5320"/>
    <w:p w:rsidR="00EB5320" w:rsidRPr="00C806D0" w:rsidRDefault="00EB5320" w:rsidP="00EB5320">
      <w:r w:rsidRPr="00C806D0">
        <w:t xml:space="preserve">Finally, as the pathophysiology of TBI has not been fully elucidated it is not possible to construct definitive causal diagrams to fully account for confounding. Several variables with limited evidence for potential confounding were not specified as requiring control, but are probably associated with both transfer decisions and outcome. There are also highly likely to be further unknown confounders. Residual confounding is therefore highly probable. </w:t>
      </w:r>
    </w:p>
    <w:p w:rsidR="00EB5320" w:rsidRPr="00C806D0" w:rsidRDefault="00EB5320" w:rsidP="00EB5320"/>
    <w:p w:rsidR="00EB5320" w:rsidRPr="00C806D0" w:rsidRDefault="00EB5320" w:rsidP="00EB5320">
      <w:r w:rsidRPr="00C806D0">
        <w:t xml:space="preserve">Overall a high risk of confounding bias exists across the included studies. Not all important confounders were considered, missing data and measurement errors may have weakened the ability to control for confounding, and clear imbalances in case-mix suggest full adjustment is unlikely to have been achieved. </w:t>
      </w:r>
    </w:p>
    <w:p w:rsidR="00EB5320" w:rsidRPr="00C806D0" w:rsidRDefault="00EB5320" w:rsidP="00EB5320">
      <w:pPr>
        <w:pStyle w:val="Heading4"/>
      </w:pPr>
      <w:r w:rsidRPr="00C806D0">
        <w:t>Study level reporting bias</w:t>
      </w:r>
    </w:p>
    <w:p w:rsidR="00EB5320" w:rsidRPr="00C806D0" w:rsidRDefault="00EB5320" w:rsidP="00EB5320">
      <w:r w:rsidRPr="00C806D0">
        <w:t xml:space="preserve">One study (Harrison 2013) published a protocol, delineating measured outcomes but not pre-specifying sub-group analyses. This lack of detail prevents full assessment of the presence of reporting bias. </w:t>
      </w:r>
    </w:p>
    <w:p w:rsidR="00EB5320" w:rsidRPr="00C806D0" w:rsidRDefault="00EB5320" w:rsidP="00EB5320"/>
    <w:p w:rsidR="00EB5320" w:rsidRPr="00C806D0" w:rsidRDefault="00EB5320" w:rsidP="00EB5320">
      <w:r w:rsidRPr="00C806D0">
        <w:t xml:space="preserve">Patel 2005 and Fuller 2011 did not report a protocol or pre-specify an </w:t>
      </w:r>
      <w:r w:rsidRPr="00C806D0">
        <w:rPr>
          <w:i/>
        </w:rPr>
        <w:t xml:space="preserve">a priori </w:t>
      </w:r>
      <w:r w:rsidRPr="00C806D0">
        <w:t xml:space="preserve">analysis plan. Mortality was the only outcome reported, and the study authors confirmed that no other end-points were considered for the published articles. However, as the results of a single sub-group analysis examining isolated non-surgical head injury patients were presented, but the complementary analyses of non-isolated injuries were not reported, the potential for selective outcome reporting cannot be excluded. </w:t>
      </w:r>
    </w:p>
    <w:p w:rsidR="00EB5320" w:rsidRPr="00C806D0" w:rsidRDefault="00EB5320" w:rsidP="00EB5320">
      <w:pPr>
        <w:pStyle w:val="Heading4"/>
      </w:pPr>
      <w:r w:rsidRPr="00C806D0">
        <w:t>Other bias</w:t>
      </w:r>
    </w:p>
    <w:p w:rsidR="00EB5320" w:rsidRPr="00C806D0" w:rsidRDefault="00EB5320" w:rsidP="00EB5320">
      <w:r w:rsidRPr="00C806D0">
        <w:t>No other sources of bias were identified in the included studies.</w:t>
      </w:r>
    </w:p>
    <w:p w:rsidR="00EB5320" w:rsidRPr="00C806D0" w:rsidRDefault="00EB5320" w:rsidP="00EB5320">
      <w:pPr>
        <w:pStyle w:val="Heading4"/>
      </w:pPr>
      <w:r w:rsidRPr="00C806D0">
        <w:t>Overall risk of bias</w:t>
      </w:r>
    </w:p>
    <w:p w:rsidR="00EB5320" w:rsidRPr="00C806D0" w:rsidRDefault="00EB5320" w:rsidP="00EB5320">
      <w:r w:rsidRPr="00C806D0">
        <w:t xml:space="preserve">In accordance with GRADE recommendations, none of the observational studies were eligible for up- or down-grading on the basis of methodology, with all studies finally rating overall at high risk of bias. However, for mortality analyses, the Harrison 2013 study will be at slightly </w:t>
      </w:r>
      <w:r w:rsidRPr="00C806D0">
        <w:lastRenderedPageBreak/>
        <w:t xml:space="preserve">lower risk of bias, relative to the other included studies, due to prospective enrolment of participants, exclusion of patients directly admitted to SNCs, and better control of confounding. Conversely, Patel 2005 is relatively at slightly higher risk of bias due to greater susceptibility to selection bias, very high levels of missing confounder information and a less robust method of imputation of missing data. </w:t>
      </w:r>
    </w:p>
    <w:p w:rsidR="00776188" w:rsidRPr="00C806D0" w:rsidRDefault="00776188" w:rsidP="00776188">
      <w:pPr>
        <w:pStyle w:val="Heading2"/>
      </w:pPr>
      <w:r w:rsidRPr="00C806D0">
        <w:t>references</w:t>
      </w:r>
    </w:p>
    <w:p w:rsidR="006D4D62" w:rsidRPr="00C806D0" w:rsidRDefault="006D4D62" w:rsidP="006D4D62">
      <w:pPr>
        <w:spacing w:line="240" w:lineRule="auto"/>
        <w:ind w:left="720" w:hanging="720"/>
        <w:rPr>
          <w:rFonts w:ascii="Calibri" w:hAnsi="Calibri"/>
          <w:noProof/>
        </w:rPr>
      </w:pPr>
      <w:bookmarkStart w:id="6" w:name="_ENREF_2_1"/>
      <w:r w:rsidRPr="00C806D0">
        <w:rPr>
          <w:rFonts w:ascii="Calibri" w:hAnsi="Calibri"/>
          <w:noProof/>
        </w:rPr>
        <w:t>1.</w:t>
      </w:r>
      <w:r w:rsidRPr="00C806D0">
        <w:rPr>
          <w:rFonts w:ascii="Calibri" w:hAnsi="Calibri"/>
          <w:noProof/>
        </w:rPr>
        <w:tab/>
        <w:t xml:space="preserve">Krob MJ, Cram AE, Vargish T, Kassell NF, Davis JW, Airola S: </w:t>
      </w:r>
      <w:r w:rsidRPr="00C806D0">
        <w:rPr>
          <w:rFonts w:ascii="Calibri" w:hAnsi="Calibri"/>
          <w:b/>
          <w:noProof/>
        </w:rPr>
        <w:t>RURAL TRAUMA CARE - A STUDY OF TRAUMA CARE IN A RURAL EMERGENCY MEDICAL-SERVICES REGION</w:t>
      </w:r>
      <w:r w:rsidRPr="00C806D0">
        <w:rPr>
          <w:rFonts w:ascii="Calibri" w:hAnsi="Calibri"/>
          <w:noProof/>
        </w:rPr>
        <w:t xml:space="preserve">. </w:t>
      </w:r>
      <w:r w:rsidRPr="00C806D0">
        <w:rPr>
          <w:rFonts w:ascii="Calibri" w:hAnsi="Calibri"/>
          <w:i/>
          <w:noProof/>
        </w:rPr>
        <w:t xml:space="preserve">Annals of Emergency Medicine </w:t>
      </w:r>
      <w:r w:rsidRPr="00C806D0">
        <w:rPr>
          <w:rFonts w:ascii="Calibri" w:hAnsi="Calibri"/>
          <w:noProof/>
        </w:rPr>
        <w:t xml:space="preserve">1984, </w:t>
      </w:r>
      <w:r w:rsidRPr="00C806D0">
        <w:rPr>
          <w:rFonts w:ascii="Calibri" w:hAnsi="Calibri"/>
          <w:b/>
          <w:noProof/>
        </w:rPr>
        <w:t>13</w:t>
      </w:r>
      <w:r w:rsidRPr="00C806D0">
        <w:rPr>
          <w:rFonts w:ascii="Calibri" w:hAnsi="Calibri"/>
          <w:noProof/>
        </w:rPr>
        <w:t>(10):891-895.</w:t>
      </w:r>
      <w:bookmarkEnd w:id="6"/>
    </w:p>
    <w:p w:rsidR="006D4D62" w:rsidRPr="00C806D0" w:rsidRDefault="006D4D62" w:rsidP="006D4D62">
      <w:pPr>
        <w:spacing w:line="240" w:lineRule="auto"/>
        <w:ind w:left="720" w:hanging="720"/>
        <w:rPr>
          <w:rFonts w:ascii="Calibri" w:hAnsi="Calibri"/>
          <w:noProof/>
        </w:rPr>
      </w:pPr>
      <w:bookmarkStart w:id="7" w:name="_ENREF_2_2"/>
      <w:r w:rsidRPr="00C806D0">
        <w:rPr>
          <w:rFonts w:ascii="Calibri" w:hAnsi="Calibri"/>
          <w:noProof/>
        </w:rPr>
        <w:t>2.</w:t>
      </w:r>
      <w:r w:rsidRPr="00C806D0">
        <w:rPr>
          <w:rFonts w:ascii="Calibri" w:hAnsi="Calibri"/>
          <w:noProof/>
        </w:rPr>
        <w:tab/>
        <w:t xml:space="preserve">Cooke RS, McNicholl BP, Byrnes DP: </w:t>
      </w:r>
      <w:r w:rsidRPr="00C806D0">
        <w:rPr>
          <w:rFonts w:ascii="Calibri" w:hAnsi="Calibri"/>
          <w:b/>
          <w:noProof/>
        </w:rPr>
        <w:t>EARLY MANAGEMENT OF SEVERE HEAD-INJURY IN NORTHERN-IRELAND</w:t>
      </w:r>
      <w:r w:rsidRPr="00C806D0">
        <w:rPr>
          <w:rFonts w:ascii="Calibri" w:hAnsi="Calibri"/>
          <w:noProof/>
        </w:rPr>
        <w:t xml:space="preserve">. </w:t>
      </w:r>
      <w:r w:rsidRPr="00C806D0">
        <w:rPr>
          <w:rFonts w:ascii="Calibri" w:hAnsi="Calibri"/>
          <w:i/>
          <w:noProof/>
        </w:rPr>
        <w:t xml:space="preserve">Injury-International Journal of the Care of the Injured </w:t>
      </w:r>
      <w:r w:rsidRPr="00C806D0">
        <w:rPr>
          <w:rFonts w:ascii="Calibri" w:hAnsi="Calibri"/>
          <w:noProof/>
        </w:rPr>
        <w:t xml:space="preserve">1995, </w:t>
      </w:r>
      <w:r w:rsidRPr="00C806D0">
        <w:rPr>
          <w:rFonts w:ascii="Calibri" w:hAnsi="Calibri"/>
          <w:b/>
          <w:noProof/>
        </w:rPr>
        <w:t>26</w:t>
      </w:r>
      <w:r w:rsidRPr="00C806D0">
        <w:rPr>
          <w:rFonts w:ascii="Calibri" w:hAnsi="Calibri"/>
          <w:noProof/>
        </w:rPr>
        <w:t>(6):395-397.</w:t>
      </w:r>
      <w:bookmarkEnd w:id="7"/>
    </w:p>
    <w:p w:rsidR="006D4D62" w:rsidRPr="00C806D0" w:rsidRDefault="006D4D62" w:rsidP="006D4D62">
      <w:pPr>
        <w:spacing w:line="240" w:lineRule="auto"/>
        <w:ind w:left="720" w:hanging="720"/>
        <w:rPr>
          <w:rFonts w:ascii="Calibri" w:hAnsi="Calibri"/>
          <w:noProof/>
        </w:rPr>
      </w:pPr>
      <w:bookmarkStart w:id="8" w:name="_ENREF_2_3"/>
      <w:r w:rsidRPr="00C806D0">
        <w:rPr>
          <w:rFonts w:ascii="Calibri" w:hAnsi="Calibri"/>
          <w:noProof/>
        </w:rPr>
        <w:t>3.</w:t>
      </w:r>
      <w:r w:rsidRPr="00C806D0">
        <w:rPr>
          <w:rFonts w:ascii="Calibri" w:hAnsi="Calibri"/>
          <w:noProof/>
        </w:rPr>
        <w:tab/>
        <w:t>Danne P, Brazenor G, Cade R, Crossley P, Fitzgerald M, Gregory P, Kowal D, Lovell L, Morley P, Smith M</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The major trauma management study: An analysis of the efficacy of current trauma care</w:t>
      </w:r>
      <w:r w:rsidRPr="00C806D0">
        <w:rPr>
          <w:rFonts w:ascii="Calibri" w:hAnsi="Calibri"/>
          <w:noProof/>
        </w:rPr>
        <w:t xml:space="preserve">. </w:t>
      </w:r>
      <w:r w:rsidRPr="00C806D0">
        <w:rPr>
          <w:rFonts w:ascii="Calibri" w:hAnsi="Calibri"/>
          <w:i/>
          <w:noProof/>
        </w:rPr>
        <w:t xml:space="preserve">Australian and New Zealand Journal of Surgery </w:t>
      </w:r>
      <w:r w:rsidRPr="00C806D0">
        <w:rPr>
          <w:rFonts w:ascii="Calibri" w:hAnsi="Calibri"/>
          <w:noProof/>
        </w:rPr>
        <w:t xml:space="preserve">1998, </w:t>
      </w:r>
      <w:r w:rsidRPr="00C806D0">
        <w:rPr>
          <w:rFonts w:ascii="Calibri" w:hAnsi="Calibri"/>
          <w:b/>
          <w:noProof/>
        </w:rPr>
        <w:t>68</w:t>
      </w:r>
      <w:r w:rsidRPr="00C806D0">
        <w:rPr>
          <w:rFonts w:ascii="Calibri" w:hAnsi="Calibri"/>
          <w:noProof/>
        </w:rPr>
        <w:t>(1):50-57.</w:t>
      </w:r>
      <w:bookmarkEnd w:id="8"/>
    </w:p>
    <w:p w:rsidR="006D4D62" w:rsidRPr="00C806D0" w:rsidRDefault="006D4D62" w:rsidP="006D4D62">
      <w:pPr>
        <w:spacing w:line="240" w:lineRule="auto"/>
        <w:ind w:left="720" w:hanging="720"/>
        <w:rPr>
          <w:rFonts w:ascii="Calibri" w:hAnsi="Calibri"/>
          <w:noProof/>
        </w:rPr>
      </w:pPr>
      <w:bookmarkStart w:id="9" w:name="_ENREF_2_4"/>
      <w:r w:rsidRPr="00C806D0">
        <w:rPr>
          <w:rFonts w:ascii="Calibri" w:hAnsi="Calibri"/>
          <w:noProof/>
        </w:rPr>
        <w:t>4.</w:t>
      </w:r>
      <w:r w:rsidRPr="00C806D0">
        <w:rPr>
          <w:rFonts w:ascii="Calibri" w:hAnsi="Calibri"/>
          <w:noProof/>
        </w:rPr>
        <w:tab/>
        <w:t xml:space="preserve">Eguare E, Tierney S, Barry MC, Grace PA: </w:t>
      </w:r>
      <w:r w:rsidRPr="00C806D0">
        <w:rPr>
          <w:rFonts w:ascii="Calibri" w:hAnsi="Calibri"/>
          <w:b/>
          <w:noProof/>
        </w:rPr>
        <w:t>Management of head injury in a regional hospital</w:t>
      </w:r>
      <w:r w:rsidRPr="00C806D0">
        <w:rPr>
          <w:rFonts w:ascii="Calibri" w:hAnsi="Calibri"/>
          <w:noProof/>
        </w:rPr>
        <w:t xml:space="preserve">. </w:t>
      </w:r>
      <w:r w:rsidRPr="00C806D0">
        <w:rPr>
          <w:rFonts w:ascii="Calibri" w:hAnsi="Calibri"/>
          <w:i/>
          <w:noProof/>
        </w:rPr>
        <w:t xml:space="preserve">Irish Journal of Medical Science </w:t>
      </w:r>
      <w:r w:rsidRPr="00C806D0">
        <w:rPr>
          <w:rFonts w:ascii="Calibri" w:hAnsi="Calibri"/>
          <w:noProof/>
        </w:rPr>
        <w:t xml:space="preserve">2000, </w:t>
      </w:r>
      <w:r w:rsidRPr="00C806D0">
        <w:rPr>
          <w:rFonts w:ascii="Calibri" w:hAnsi="Calibri"/>
          <w:b/>
          <w:noProof/>
        </w:rPr>
        <w:t>169</w:t>
      </w:r>
      <w:r w:rsidRPr="00C806D0">
        <w:rPr>
          <w:rFonts w:ascii="Calibri" w:hAnsi="Calibri"/>
          <w:noProof/>
        </w:rPr>
        <w:t>(2):103-106.</w:t>
      </w:r>
      <w:bookmarkEnd w:id="9"/>
    </w:p>
    <w:p w:rsidR="006D4D62" w:rsidRPr="00C806D0" w:rsidRDefault="006D4D62" w:rsidP="006D4D62">
      <w:pPr>
        <w:spacing w:line="240" w:lineRule="auto"/>
        <w:ind w:left="720" w:hanging="720"/>
        <w:rPr>
          <w:rFonts w:ascii="Calibri" w:hAnsi="Calibri"/>
          <w:noProof/>
        </w:rPr>
      </w:pPr>
      <w:bookmarkStart w:id="10" w:name="_ENREF_2_5"/>
      <w:r w:rsidRPr="00C806D0">
        <w:rPr>
          <w:rFonts w:ascii="Calibri" w:hAnsi="Calibri"/>
          <w:noProof/>
        </w:rPr>
        <w:t>5.</w:t>
      </w:r>
      <w:r w:rsidRPr="00C806D0">
        <w:rPr>
          <w:rFonts w:ascii="Calibri" w:hAnsi="Calibri"/>
          <w:noProof/>
        </w:rPr>
        <w:tab/>
        <w:t xml:space="preserve">Mann NC, Mullins RJ, Hedges JR, Rowland D, Arthur M, Zechnich AD: </w:t>
      </w:r>
      <w:r w:rsidRPr="00C806D0">
        <w:rPr>
          <w:rFonts w:ascii="Calibri" w:hAnsi="Calibri"/>
          <w:b/>
          <w:noProof/>
        </w:rPr>
        <w:t>Mortality among seriously injured patients treated in remote rural trauma centers before and after implementation of a statewide trauma system</w:t>
      </w:r>
      <w:r w:rsidRPr="00C806D0">
        <w:rPr>
          <w:rFonts w:ascii="Calibri" w:hAnsi="Calibri"/>
          <w:noProof/>
        </w:rPr>
        <w:t xml:space="preserve">. </w:t>
      </w:r>
      <w:r w:rsidRPr="00C806D0">
        <w:rPr>
          <w:rFonts w:ascii="Calibri" w:hAnsi="Calibri"/>
          <w:i/>
          <w:noProof/>
        </w:rPr>
        <w:t xml:space="preserve">Medical Care </w:t>
      </w:r>
      <w:r w:rsidRPr="00C806D0">
        <w:rPr>
          <w:rFonts w:ascii="Calibri" w:hAnsi="Calibri"/>
          <w:noProof/>
        </w:rPr>
        <w:t xml:space="preserve">2001, </w:t>
      </w:r>
      <w:r w:rsidRPr="00C806D0">
        <w:rPr>
          <w:rFonts w:ascii="Calibri" w:hAnsi="Calibri"/>
          <w:b/>
          <w:noProof/>
        </w:rPr>
        <w:t>39</w:t>
      </w:r>
      <w:r w:rsidRPr="00C806D0">
        <w:rPr>
          <w:rFonts w:ascii="Calibri" w:hAnsi="Calibri"/>
          <w:noProof/>
        </w:rPr>
        <w:t>(7):643-653.</w:t>
      </w:r>
      <w:bookmarkEnd w:id="10"/>
    </w:p>
    <w:p w:rsidR="006D4D62" w:rsidRPr="00C806D0" w:rsidRDefault="006D4D62" w:rsidP="006D4D62">
      <w:pPr>
        <w:spacing w:line="240" w:lineRule="auto"/>
        <w:ind w:left="720" w:hanging="720"/>
        <w:rPr>
          <w:rFonts w:ascii="Calibri" w:hAnsi="Calibri"/>
          <w:noProof/>
        </w:rPr>
      </w:pPr>
      <w:bookmarkStart w:id="11" w:name="_ENREF_2_6"/>
      <w:r w:rsidRPr="00C806D0">
        <w:rPr>
          <w:rFonts w:ascii="Calibri" w:hAnsi="Calibri"/>
          <w:noProof/>
        </w:rPr>
        <w:t>6.</w:t>
      </w:r>
      <w:r w:rsidRPr="00C806D0">
        <w:rPr>
          <w:rFonts w:ascii="Calibri" w:hAnsi="Calibri"/>
          <w:noProof/>
        </w:rPr>
        <w:tab/>
        <w:t xml:space="preserve">Sethi D, Aljunid S, Saperi SB, Zwi AB, Hamid H, Mustafa ANB, Abdullah AHA: </w:t>
      </w:r>
      <w:r w:rsidRPr="00C806D0">
        <w:rPr>
          <w:rFonts w:ascii="Calibri" w:hAnsi="Calibri"/>
          <w:b/>
          <w:noProof/>
        </w:rPr>
        <w:t>Comparison of the effectiveness of major trauma services provided by tertiary and secondary hospitals in Malaysia</w:t>
      </w:r>
      <w:r w:rsidRPr="00C806D0">
        <w:rPr>
          <w:rFonts w:ascii="Calibri" w:hAnsi="Calibri"/>
          <w:noProof/>
        </w:rPr>
        <w:t xml:space="preserve">. </w:t>
      </w:r>
      <w:r w:rsidRPr="00C806D0">
        <w:rPr>
          <w:rFonts w:ascii="Calibri" w:hAnsi="Calibri"/>
          <w:i/>
          <w:noProof/>
        </w:rPr>
        <w:t xml:space="preserve">Journal of Trauma-Injury Infection and Critical Care </w:t>
      </w:r>
      <w:r w:rsidRPr="00C806D0">
        <w:rPr>
          <w:rFonts w:ascii="Calibri" w:hAnsi="Calibri"/>
          <w:noProof/>
        </w:rPr>
        <w:t xml:space="preserve">2002, </w:t>
      </w:r>
      <w:r w:rsidRPr="00C806D0">
        <w:rPr>
          <w:rFonts w:ascii="Calibri" w:hAnsi="Calibri"/>
          <w:b/>
          <w:noProof/>
        </w:rPr>
        <w:t>53</w:t>
      </w:r>
      <w:r w:rsidRPr="00C806D0">
        <w:rPr>
          <w:rFonts w:ascii="Calibri" w:hAnsi="Calibri"/>
          <w:noProof/>
        </w:rPr>
        <w:t>(3):508-516.</w:t>
      </w:r>
      <w:bookmarkEnd w:id="11"/>
    </w:p>
    <w:p w:rsidR="006D4D62" w:rsidRPr="00C806D0" w:rsidRDefault="006D4D62" w:rsidP="006D4D62">
      <w:pPr>
        <w:spacing w:line="240" w:lineRule="auto"/>
        <w:ind w:left="720" w:hanging="720"/>
        <w:rPr>
          <w:rFonts w:ascii="Calibri" w:hAnsi="Calibri"/>
          <w:noProof/>
        </w:rPr>
      </w:pPr>
      <w:bookmarkStart w:id="12" w:name="_ENREF_2_7"/>
      <w:r w:rsidRPr="00C806D0">
        <w:rPr>
          <w:rFonts w:ascii="Calibri" w:hAnsi="Calibri"/>
          <w:noProof/>
        </w:rPr>
        <w:t>7.</w:t>
      </w:r>
      <w:r w:rsidRPr="00C806D0">
        <w:rPr>
          <w:rFonts w:ascii="Calibri" w:hAnsi="Calibri"/>
          <w:noProof/>
        </w:rPr>
        <w:tab/>
        <w:t xml:space="preserve">Akca OH, K. ; Lenhardt, R. ; Doufas, A. G. ; Wilson, D. ; Liem, E. ; Vitaz, T. ; Heine, M. F.: </w:t>
      </w:r>
      <w:r w:rsidRPr="00C806D0">
        <w:rPr>
          <w:rFonts w:ascii="Calibri" w:hAnsi="Calibri"/>
          <w:b/>
          <w:noProof/>
        </w:rPr>
        <w:t xml:space="preserve">Does the Care Provided by a Specialized Neuroscience ICU Improve Outcomes of Severe Traumatic Brain Injury and Ruptured Cerebral Aneurysm Patients? </w:t>
      </w:r>
      <w:r w:rsidRPr="00C806D0">
        <w:rPr>
          <w:rFonts w:ascii="Calibri" w:hAnsi="Calibri"/>
          <w:noProof/>
        </w:rPr>
        <w:t xml:space="preserve">. </w:t>
      </w:r>
      <w:r w:rsidRPr="00C806D0">
        <w:rPr>
          <w:rFonts w:ascii="Calibri" w:hAnsi="Calibri"/>
          <w:i/>
          <w:noProof/>
        </w:rPr>
        <w:t xml:space="preserve">ANESTHESIOLOGY </w:t>
      </w:r>
      <w:r w:rsidRPr="00C806D0">
        <w:rPr>
          <w:rFonts w:ascii="Calibri" w:hAnsi="Calibri"/>
          <w:noProof/>
        </w:rPr>
        <w:t xml:space="preserve">2003, </w:t>
      </w:r>
      <w:r w:rsidRPr="00C806D0">
        <w:rPr>
          <w:rFonts w:ascii="Calibri" w:hAnsi="Calibri"/>
          <w:b/>
          <w:noProof/>
        </w:rPr>
        <w:t>99</w:t>
      </w:r>
      <w:r w:rsidRPr="00C806D0">
        <w:rPr>
          <w:rFonts w:ascii="Calibri" w:hAnsi="Calibri"/>
          <w:noProof/>
        </w:rPr>
        <w:t>:B16.</w:t>
      </w:r>
      <w:bookmarkEnd w:id="12"/>
    </w:p>
    <w:p w:rsidR="006D4D62" w:rsidRPr="00C806D0" w:rsidRDefault="006D4D62" w:rsidP="006D4D62">
      <w:pPr>
        <w:spacing w:line="240" w:lineRule="auto"/>
        <w:ind w:left="720" w:hanging="720"/>
        <w:rPr>
          <w:rFonts w:ascii="Calibri" w:hAnsi="Calibri"/>
          <w:noProof/>
        </w:rPr>
      </w:pPr>
      <w:bookmarkStart w:id="13" w:name="_ENREF_2_8"/>
      <w:r w:rsidRPr="00C806D0">
        <w:rPr>
          <w:rFonts w:ascii="Calibri" w:hAnsi="Calibri"/>
          <w:noProof/>
        </w:rPr>
        <w:t>8.</w:t>
      </w:r>
      <w:r w:rsidRPr="00C806D0">
        <w:rPr>
          <w:rFonts w:ascii="Calibri" w:hAnsi="Calibri"/>
          <w:noProof/>
        </w:rPr>
        <w:tab/>
        <w:t xml:space="preserve">McDermott FT, Rosenfeld JV, Laidlaw JD, Cordner SM, Tremayne AB, Consultative Comm Rd Traffic F: </w:t>
      </w:r>
      <w:r w:rsidRPr="00C806D0">
        <w:rPr>
          <w:rFonts w:ascii="Calibri" w:hAnsi="Calibri"/>
          <w:b/>
          <w:noProof/>
        </w:rPr>
        <w:t>Evaluation of management of road trauma survivors with brain injury and neurologic disability in Victoria</w:t>
      </w:r>
      <w:r w:rsidRPr="00C806D0">
        <w:rPr>
          <w:rFonts w:ascii="Calibri" w:hAnsi="Calibri"/>
          <w:noProof/>
        </w:rPr>
        <w:t xml:space="preserve">. </w:t>
      </w:r>
      <w:r w:rsidRPr="00C806D0">
        <w:rPr>
          <w:rFonts w:ascii="Calibri" w:hAnsi="Calibri"/>
          <w:i/>
          <w:noProof/>
        </w:rPr>
        <w:t xml:space="preserve">Journal of Trauma-Injury Infection and Critical Care </w:t>
      </w:r>
      <w:r w:rsidRPr="00C806D0">
        <w:rPr>
          <w:rFonts w:ascii="Calibri" w:hAnsi="Calibri"/>
          <w:noProof/>
        </w:rPr>
        <w:t xml:space="preserve">2004, </w:t>
      </w:r>
      <w:r w:rsidRPr="00C806D0">
        <w:rPr>
          <w:rFonts w:ascii="Calibri" w:hAnsi="Calibri"/>
          <w:b/>
          <w:noProof/>
        </w:rPr>
        <w:t>56</w:t>
      </w:r>
      <w:r w:rsidRPr="00C806D0">
        <w:rPr>
          <w:rFonts w:ascii="Calibri" w:hAnsi="Calibri"/>
          <w:noProof/>
        </w:rPr>
        <w:t>(1):137-149.</w:t>
      </w:r>
      <w:bookmarkEnd w:id="13"/>
    </w:p>
    <w:p w:rsidR="006D4D62" w:rsidRPr="00C806D0" w:rsidRDefault="006D4D62" w:rsidP="006D4D62">
      <w:pPr>
        <w:spacing w:line="240" w:lineRule="auto"/>
        <w:ind w:left="720" w:hanging="720"/>
        <w:rPr>
          <w:rFonts w:ascii="Calibri" w:hAnsi="Calibri"/>
          <w:noProof/>
        </w:rPr>
      </w:pPr>
      <w:bookmarkStart w:id="14" w:name="_ENREF_2_9"/>
      <w:r w:rsidRPr="00C806D0">
        <w:rPr>
          <w:rFonts w:ascii="Calibri" w:hAnsi="Calibri"/>
          <w:noProof/>
        </w:rPr>
        <w:t>9.</w:t>
      </w:r>
      <w:r w:rsidRPr="00C806D0">
        <w:rPr>
          <w:rFonts w:ascii="Calibri" w:hAnsi="Calibri"/>
          <w:noProof/>
        </w:rPr>
        <w:tab/>
        <w:t xml:space="preserve">Reilly JJ, Chin B, Berkowitz J, Weedon J, Avitable M: </w:t>
      </w:r>
      <w:r w:rsidRPr="00C806D0">
        <w:rPr>
          <w:rFonts w:ascii="Calibri" w:hAnsi="Calibri"/>
          <w:b/>
          <w:noProof/>
        </w:rPr>
        <w:t>Use of a state-wide administrative database in assessing a regional trauma system: The New York City experience</w:t>
      </w:r>
      <w:r w:rsidRPr="00C806D0">
        <w:rPr>
          <w:rFonts w:ascii="Calibri" w:hAnsi="Calibri"/>
          <w:noProof/>
        </w:rPr>
        <w:t xml:space="preserve">. </w:t>
      </w:r>
      <w:r w:rsidRPr="00C806D0">
        <w:rPr>
          <w:rFonts w:ascii="Calibri" w:hAnsi="Calibri"/>
          <w:i/>
          <w:noProof/>
        </w:rPr>
        <w:t xml:space="preserve">Journal of the American College of Surgeons </w:t>
      </w:r>
      <w:r w:rsidRPr="00C806D0">
        <w:rPr>
          <w:rFonts w:ascii="Calibri" w:hAnsi="Calibri"/>
          <w:noProof/>
        </w:rPr>
        <w:t xml:space="preserve">2004, </w:t>
      </w:r>
      <w:r w:rsidRPr="00C806D0">
        <w:rPr>
          <w:rFonts w:ascii="Calibri" w:hAnsi="Calibri"/>
          <w:b/>
          <w:noProof/>
        </w:rPr>
        <w:t>198</w:t>
      </w:r>
      <w:r w:rsidRPr="00C806D0">
        <w:rPr>
          <w:rFonts w:ascii="Calibri" w:hAnsi="Calibri"/>
          <w:noProof/>
        </w:rPr>
        <w:t>(4):509-518.</w:t>
      </w:r>
      <w:bookmarkEnd w:id="14"/>
    </w:p>
    <w:p w:rsidR="006D4D62" w:rsidRPr="00C806D0" w:rsidRDefault="006D4D62" w:rsidP="006D4D62">
      <w:pPr>
        <w:spacing w:line="240" w:lineRule="auto"/>
        <w:ind w:left="720" w:hanging="720"/>
        <w:rPr>
          <w:rFonts w:ascii="Calibri" w:hAnsi="Calibri"/>
          <w:noProof/>
        </w:rPr>
      </w:pPr>
      <w:bookmarkStart w:id="15" w:name="_ENREF_2_10"/>
      <w:r w:rsidRPr="00C806D0">
        <w:rPr>
          <w:rFonts w:ascii="Calibri" w:hAnsi="Calibri"/>
          <w:noProof/>
        </w:rPr>
        <w:t>10.</w:t>
      </w:r>
      <w:r w:rsidRPr="00C806D0">
        <w:rPr>
          <w:rFonts w:ascii="Calibri" w:hAnsi="Calibri"/>
          <w:noProof/>
        </w:rPr>
        <w:tab/>
        <w:t xml:space="preserve">Hannan EL, Farrell LS, Cooper A, Henry M, Simon B, Simon R: </w:t>
      </w:r>
      <w:r w:rsidRPr="00C806D0">
        <w:rPr>
          <w:rFonts w:ascii="Calibri" w:hAnsi="Calibri"/>
          <w:b/>
          <w:noProof/>
        </w:rPr>
        <w:t>Physiologic trauma triage criteria in adult trauma patients: Are they effective in saving lives by transporting patients to trauma centers?</w:t>
      </w:r>
      <w:r w:rsidRPr="00C806D0">
        <w:rPr>
          <w:rFonts w:ascii="Calibri" w:hAnsi="Calibri"/>
          <w:noProof/>
        </w:rPr>
        <w:t xml:space="preserve"> </w:t>
      </w:r>
      <w:r w:rsidRPr="00C806D0">
        <w:rPr>
          <w:rFonts w:ascii="Calibri" w:hAnsi="Calibri"/>
          <w:i/>
          <w:noProof/>
        </w:rPr>
        <w:t xml:space="preserve">Journal of the American College of Surgeons </w:t>
      </w:r>
      <w:r w:rsidRPr="00C806D0">
        <w:rPr>
          <w:rFonts w:ascii="Calibri" w:hAnsi="Calibri"/>
          <w:noProof/>
        </w:rPr>
        <w:t xml:space="preserve">2005, </w:t>
      </w:r>
      <w:r w:rsidRPr="00C806D0">
        <w:rPr>
          <w:rFonts w:ascii="Calibri" w:hAnsi="Calibri"/>
          <w:b/>
          <w:noProof/>
        </w:rPr>
        <w:t>200</w:t>
      </w:r>
      <w:r w:rsidRPr="00C806D0">
        <w:rPr>
          <w:rFonts w:ascii="Calibri" w:hAnsi="Calibri"/>
          <w:noProof/>
        </w:rPr>
        <w:t>(4):584-592.</w:t>
      </w:r>
      <w:bookmarkEnd w:id="15"/>
    </w:p>
    <w:p w:rsidR="006D4D62" w:rsidRPr="00C806D0" w:rsidRDefault="006D4D62" w:rsidP="006D4D62">
      <w:pPr>
        <w:spacing w:line="240" w:lineRule="auto"/>
        <w:ind w:left="720" w:hanging="720"/>
        <w:rPr>
          <w:rFonts w:ascii="Calibri" w:hAnsi="Calibri"/>
          <w:noProof/>
        </w:rPr>
      </w:pPr>
      <w:bookmarkStart w:id="16" w:name="_ENREF_2_11"/>
      <w:r w:rsidRPr="00C806D0">
        <w:rPr>
          <w:rFonts w:ascii="Calibri" w:hAnsi="Calibri"/>
          <w:noProof/>
        </w:rPr>
        <w:t>11.</w:t>
      </w:r>
      <w:r w:rsidRPr="00C806D0">
        <w:rPr>
          <w:rFonts w:ascii="Calibri" w:hAnsi="Calibri"/>
          <w:noProof/>
        </w:rPr>
        <w:tab/>
        <w:t xml:space="preserve">MacKenzie EJ, Rivara FP, Jurkovich GJ, Nathens AB, Frey KP, Egleston BL, Salkever DS, Scharfstein DO: </w:t>
      </w:r>
      <w:r w:rsidRPr="00C806D0">
        <w:rPr>
          <w:rFonts w:ascii="Calibri" w:hAnsi="Calibri"/>
          <w:b/>
          <w:noProof/>
        </w:rPr>
        <w:t>A national evaluation of the effect of trauma-center care on mortality</w:t>
      </w:r>
      <w:r w:rsidRPr="00C806D0">
        <w:rPr>
          <w:rFonts w:ascii="Calibri" w:hAnsi="Calibri"/>
          <w:noProof/>
        </w:rPr>
        <w:t xml:space="preserve">. </w:t>
      </w:r>
      <w:r w:rsidRPr="00C806D0">
        <w:rPr>
          <w:rFonts w:ascii="Calibri" w:hAnsi="Calibri"/>
          <w:i/>
          <w:noProof/>
        </w:rPr>
        <w:t xml:space="preserve">New England Journal of Medicine </w:t>
      </w:r>
      <w:r w:rsidRPr="00C806D0">
        <w:rPr>
          <w:rFonts w:ascii="Calibri" w:hAnsi="Calibri"/>
          <w:noProof/>
        </w:rPr>
        <w:t xml:space="preserve">2006, </w:t>
      </w:r>
      <w:r w:rsidRPr="00C806D0">
        <w:rPr>
          <w:rFonts w:ascii="Calibri" w:hAnsi="Calibri"/>
          <w:b/>
          <w:noProof/>
        </w:rPr>
        <w:t>354</w:t>
      </w:r>
      <w:r w:rsidRPr="00C806D0">
        <w:rPr>
          <w:rFonts w:ascii="Calibri" w:hAnsi="Calibri"/>
          <w:noProof/>
        </w:rPr>
        <w:t>(4):366-378.</w:t>
      </w:r>
      <w:bookmarkEnd w:id="16"/>
    </w:p>
    <w:p w:rsidR="006D4D62" w:rsidRPr="00C806D0" w:rsidRDefault="006D4D62" w:rsidP="006D4D62">
      <w:pPr>
        <w:spacing w:line="240" w:lineRule="auto"/>
        <w:ind w:left="720" w:hanging="720"/>
        <w:rPr>
          <w:rFonts w:ascii="Calibri" w:hAnsi="Calibri"/>
          <w:noProof/>
        </w:rPr>
      </w:pPr>
      <w:bookmarkStart w:id="17" w:name="_ENREF_2_12"/>
      <w:r w:rsidRPr="00C806D0">
        <w:rPr>
          <w:rFonts w:ascii="Calibri" w:hAnsi="Calibri"/>
          <w:noProof/>
        </w:rPr>
        <w:t>12.</w:t>
      </w:r>
      <w:r w:rsidRPr="00C806D0">
        <w:rPr>
          <w:rFonts w:ascii="Calibri" w:hAnsi="Calibri"/>
          <w:noProof/>
        </w:rPr>
        <w:tab/>
        <w:t xml:space="preserve">Tallon JM, Fell DB, Ackroyd-Stolarz S, Petrie D: </w:t>
      </w:r>
      <w:r w:rsidRPr="00C806D0">
        <w:rPr>
          <w:rFonts w:ascii="Calibri" w:hAnsi="Calibri"/>
          <w:b/>
          <w:noProof/>
        </w:rPr>
        <w:t>Influence of a new province-wide trauma system on motor vehicle trauma care and mortality</w:t>
      </w:r>
      <w:r w:rsidRPr="00C806D0">
        <w:rPr>
          <w:rFonts w:ascii="Calibri" w:hAnsi="Calibri"/>
          <w:noProof/>
        </w:rPr>
        <w:t xml:space="preserve">. </w:t>
      </w:r>
      <w:r w:rsidRPr="00C806D0">
        <w:rPr>
          <w:rFonts w:ascii="Calibri" w:hAnsi="Calibri"/>
          <w:i/>
          <w:noProof/>
        </w:rPr>
        <w:t xml:space="preserve">Journal of Trauma-Injury Infection and Critical Care </w:t>
      </w:r>
      <w:r w:rsidRPr="00C806D0">
        <w:rPr>
          <w:rFonts w:ascii="Calibri" w:hAnsi="Calibri"/>
          <w:noProof/>
        </w:rPr>
        <w:t xml:space="preserve">2006, </w:t>
      </w:r>
      <w:r w:rsidRPr="00C806D0">
        <w:rPr>
          <w:rFonts w:ascii="Calibri" w:hAnsi="Calibri"/>
          <w:b/>
          <w:noProof/>
        </w:rPr>
        <w:t>60</w:t>
      </w:r>
      <w:r w:rsidRPr="00C806D0">
        <w:rPr>
          <w:rFonts w:ascii="Calibri" w:hAnsi="Calibri"/>
          <w:noProof/>
        </w:rPr>
        <w:t>(3):548-552.</w:t>
      </w:r>
      <w:bookmarkEnd w:id="17"/>
    </w:p>
    <w:p w:rsidR="006D4D62" w:rsidRPr="00C806D0" w:rsidRDefault="006D4D62" w:rsidP="006D4D62">
      <w:pPr>
        <w:spacing w:line="240" w:lineRule="auto"/>
        <w:ind w:left="720" w:hanging="720"/>
        <w:rPr>
          <w:rFonts w:ascii="Calibri" w:hAnsi="Calibri"/>
          <w:noProof/>
        </w:rPr>
      </w:pPr>
      <w:bookmarkStart w:id="18" w:name="_ENREF_2_13"/>
      <w:r w:rsidRPr="00C806D0">
        <w:rPr>
          <w:rFonts w:ascii="Calibri" w:hAnsi="Calibri"/>
          <w:noProof/>
        </w:rPr>
        <w:t>13.</w:t>
      </w:r>
      <w:r w:rsidRPr="00C806D0">
        <w:rPr>
          <w:rFonts w:ascii="Calibri" w:hAnsi="Calibri"/>
          <w:noProof/>
        </w:rPr>
        <w:tab/>
        <w:t xml:space="preserve">Visca A, Faccani G, Massaro F, Bosio D, Ducati A, Cogoni M, Kraus J, Servadei F: </w:t>
      </w:r>
      <w:r w:rsidRPr="00C806D0">
        <w:rPr>
          <w:rFonts w:ascii="Calibri" w:hAnsi="Calibri"/>
          <w:b/>
          <w:noProof/>
        </w:rPr>
        <w:t xml:space="preserve">Clinical and neuroimaging features of severely brain-injured patients treated in a </w:t>
      </w:r>
      <w:r w:rsidRPr="00C806D0">
        <w:rPr>
          <w:rFonts w:ascii="Calibri" w:hAnsi="Calibri"/>
          <w:b/>
          <w:noProof/>
        </w:rPr>
        <w:lastRenderedPageBreak/>
        <w:t>neurosurgical unit compared with patients treated in peripheral non-neurosurgical hospitals</w:t>
      </w:r>
      <w:r w:rsidRPr="00C806D0">
        <w:rPr>
          <w:rFonts w:ascii="Calibri" w:hAnsi="Calibri"/>
          <w:noProof/>
        </w:rPr>
        <w:t xml:space="preserve">. </w:t>
      </w:r>
      <w:r w:rsidRPr="00C806D0">
        <w:rPr>
          <w:rFonts w:ascii="Calibri" w:hAnsi="Calibri"/>
          <w:i/>
          <w:noProof/>
        </w:rPr>
        <w:t xml:space="preserve">British Journal of Neurosurgery </w:t>
      </w:r>
      <w:r w:rsidRPr="00C806D0">
        <w:rPr>
          <w:rFonts w:ascii="Calibri" w:hAnsi="Calibri"/>
          <w:noProof/>
        </w:rPr>
        <w:t xml:space="preserve">2006, </w:t>
      </w:r>
      <w:r w:rsidRPr="00C806D0">
        <w:rPr>
          <w:rFonts w:ascii="Calibri" w:hAnsi="Calibri"/>
          <w:b/>
          <w:noProof/>
        </w:rPr>
        <w:t>20</w:t>
      </w:r>
      <w:r w:rsidRPr="00C806D0">
        <w:rPr>
          <w:rFonts w:ascii="Calibri" w:hAnsi="Calibri"/>
          <w:noProof/>
        </w:rPr>
        <w:t>(2):82-86.</w:t>
      </w:r>
      <w:bookmarkEnd w:id="18"/>
    </w:p>
    <w:p w:rsidR="006D4D62" w:rsidRPr="00C806D0" w:rsidRDefault="006D4D62" w:rsidP="006D4D62">
      <w:pPr>
        <w:spacing w:line="240" w:lineRule="auto"/>
        <w:ind w:left="720" w:hanging="720"/>
        <w:rPr>
          <w:rFonts w:ascii="Calibri" w:hAnsi="Calibri"/>
          <w:noProof/>
        </w:rPr>
      </w:pPr>
      <w:bookmarkStart w:id="19" w:name="_ENREF_2_14"/>
      <w:r w:rsidRPr="00C806D0">
        <w:rPr>
          <w:rFonts w:ascii="Calibri" w:hAnsi="Calibri"/>
          <w:noProof/>
        </w:rPr>
        <w:t>14.</w:t>
      </w:r>
      <w:r w:rsidRPr="00C806D0">
        <w:rPr>
          <w:rFonts w:ascii="Calibri" w:hAnsi="Calibri"/>
          <w:noProof/>
        </w:rPr>
        <w:tab/>
        <w:t xml:space="preserve">Ashkenazi I, Haspel J, Alfici R, Kessel B, Khashan T, Oren M: </w:t>
      </w:r>
      <w:r w:rsidRPr="00C806D0">
        <w:rPr>
          <w:rFonts w:ascii="Calibri" w:hAnsi="Calibri"/>
          <w:b/>
          <w:noProof/>
        </w:rPr>
        <w:t>Effect of teleradiology upon pattern of transfer of head injured patients from a rural general hospital to a neurosurgical referral centre</w:t>
      </w:r>
      <w:r w:rsidRPr="00C806D0">
        <w:rPr>
          <w:rFonts w:ascii="Calibri" w:hAnsi="Calibri"/>
          <w:noProof/>
        </w:rPr>
        <w:t xml:space="preserve">. </w:t>
      </w:r>
      <w:r w:rsidRPr="00C806D0">
        <w:rPr>
          <w:rFonts w:ascii="Calibri" w:hAnsi="Calibri"/>
          <w:i/>
          <w:noProof/>
        </w:rPr>
        <w:t xml:space="preserve">Emergency Medicine Journal </w:t>
      </w:r>
      <w:r w:rsidRPr="00C806D0">
        <w:rPr>
          <w:rFonts w:ascii="Calibri" w:hAnsi="Calibri"/>
          <w:noProof/>
        </w:rPr>
        <w:t xml:space="preserve">2007, </w:t>
      </w:r>
      <w:r w:rsidRPr="00C806D0">
        <w:rPr>
          <w:rFonts w:ascii="Calibri" w:hAnsi="Calibri"/>
          <w:b/>
          <w:noProof/>
        </w:rPr>
        <w:t>24</w:t>
      </w:r>
      <w:r w:rsidRPr="00C806D0">
        <w:rPr>
          <w:rFonts w:ascii="Calibri" w:hAnsi="Calibri"/>
          <w:noProof/>
        </w:rPr>
        <w:t>(8):550-552.</w:t>
      </w:r>
      <w:bookmarkEnd w:id="19"/>
    </w:p>
    <w:p w:rsidR="006D4D62" w:rsidRPr="00C806D0" w:rsidRDefault="006D4D62" w:rsidP="006D4D62">
      <w:pPr>
        <w:spacing w:line="240" w:lineRule="auto"/>
        <w:ind w:left="720" w:hanging="720"/>
        <w:rPr>
          <w:rFonts w:ascii="Calibri" w:hAnsi="Calibri"/>
          <w:noProof/>
        </w:rPr>
      </w:pPr>
      <w:bookmarkStart w:id="20" w:name="_ENREF_2_15"/>
      <w:r w:rsidRPr="00C806D0">
        <w:rPr>
          <w:rFonts w:ascii="Calibri" w:hAnsi="Calibri"/>
          <w:noProof/>
        </w:rPr>
        <w:t>15.</w:t>
      </w:r>
      <w:r w:rsidRPr="00C806D0">
        <w:rPr>
          <w:rFonts w:ascii="Calibri" w:hAnsi="Calibri"/>
          <w:noProof/>
        </w:rPr>
        <w:tab/>
        <w:t xml:space="preserve">Helling TS: </w:t>
      </w:r>
      <w:r w:rsidRPr="00C806D0">
        <w:rPr>
          <w:rFonts w:ascii="Calibri" w:hAnsi="Calibri"/>
          <w:b/>
          <w:noProof/>
        </w:rPr>
        <w:t>Trauma care at rural level III trauma centers in a state trauma system</w:t>
      </w:r>
      <w:r w:rsidRPr="00C806D0">
        <w:rPr>
          <w:rFonts w:ascii="Calibri" w:hAnsi="Calibri"/>
          <w:noProof/>
        </w:rPr>
        <w:t xml:space="preserve">. </w:t>
      </w:r>
      <w:r w:rsidRPr="00C806D0">
        <w:rPr>
          <w:rFonts w:ascii="Calibri" w:hAnsi="Calibri"/>
          <w:i/>
          <w:noProof/>
        </w:rPr>
        <w:t xml:space="preserve">Journal of Trauma-Injury Infection and Critical Care </w:t>
      </w:r>
      <w:r w:rsidRPr="00C806D0">
        <w:rPr>
          <w:rFonts w:ascii="Calibri" w:hAnsi="Calibri"/>
          <w:noProof/>
        </w:rPr>
        <w:t xml:space="preserve">2007, </w:t>
      </w:r>
      <w:r w:rsidRPr="00C806D0">
        <w:rPr>
          <w:rFonts w:ascii="Calibri" w:hAnsi="Calibri"/>
          <w:b/>
          <w:noProof/>
        </w:rPr>
        <w:t>62</w:t>
      </w:r>
      <w:r w:rsidRPr="00C806D0">
        <w:rPr>
          <w:rFonts w:ascii="Calibri" w:hAnsi="Calibri"/>
          <w:noProof/>
        </w:rPr>
        <w:t>(2):498-503.</w:t>
      </w:r>
      <w:bookmarkEnd w:id="20"/>
    </w:p>
    <w:p w:rsidR="006D4D62" w:rsidRPr="00C806D0" w:rsidRDefault="006D4D62" w:rsidP="006D4D62">
      <w:pPr>
        <w:spacing w:line="240" w:lineRule="auto"/>
        <w:ind w:left="720" w:hanging="720"/>
        <w:rPr>
          <w:rFonts w:ascii="Calibri" w:hAnsi="Calibri"/>
          <w:noProof/>
        </w:rPr>
      </w:pPr>
      <w:bookmarkStart w:id="21" w:name="_ENREF_2_16"/>
      <w:r w:rsidRPr="00C806D0">
        <w:rPr>
          <w:rFonts w:ascii="Calibri" w:hAnsi="Calibri"/>
          <w:noProof/>
        </w:rPr>
        <w:t>16.</w:t>
      </w:r>
      <w:r w:rsidRPr="00C806D0">
        <w:rPr>
          <w:rFonts w:ascii="Calibri" w:hAnsi="Calibri"/>
          <w:noProof/>
        </w:rPr>
        <w:tab/>
        <w:t xml:space="preserve">Newgard CD, McConnell KJ, Hedges JR, Mullins RJ: </w:t>
      </w:r>
      <w:r w:rsidRPr="00C806D0">
        <w:rPr>
          <w:rFonts w:ascii="Calibri" w:hAnsi="Calibri"/>
          <w:b/>
          <w:noProof/>
        </w:rPr>
        <w:t>The benefit of higher level of care transfer of injured patients from nontertiary hospital emergency departments</w:t>
      </w:r>
      <w:r w:rsidRPr="00C806D0">
        <w:rPr>
          <w:rFonts w:ascii="Calibri" w:hAnsi="Calibri"/>
          <w:noProof/>
        </w:rPr>
        <w:t xml:space="preserve">. </w:t>
      </w:r>
      <w:r w:rsidRPr="00C806D0">
        <w:rPr>
          <w:rFonts w:ascii="Calibri" w:hAnsi="Calibri"/>
          <w:i/>
          <w:noProof/>
        </w:rPr>
        <w:t xml:space="preserve">Journal of Trauma-Injury Infection and Critical Care </w:t>
      </w:r>
      <w:r w:rsidRPr="00C806D0">
        <w:rPr>
          <w:rFonts w:ascii="Calibri" w:hAnsi="Calibri"/>
          <w:noProof/>
        </w:rPr>
        <w:t xml:space="preserve">2007, </w:t>
      </w:r>
      <w:r w:rsidRPr="00C806D0">
        <w:rPr>
          <w:rFonts w:ascii="Calibri" w:hAnsi="Calibri"/>
          <w:b/>
          <w:noProof/>
        </w:rPr>
        <w:t>63</w:t>
      </w:r>
      <w:r w:rsidRPr="00C806D0">
        <w:rPr>
          <w:rFonts w:ascii="Calibri" w:hAnsi="Calibri"/>
          <w:noProof/>
        </w:rPr>
        <w:t>(5):965-971.</w:t>
      </w:r>
      <w:bookmarkEnd w:id="21"/>
    </w:p>
    <w:p w:rsidR="006D4D62" w:rsidRPr="00C806D0" w:rsidRDefault="006D4D62" w:rsidP="006D4D62">
      <w:pPr>
        <w:spacing w:line="240" w:lineRule="auto"/>
        <w:ind w:left="720" w:hanging="720"/>
        <w:rPr>
          <w:rFonts w:ascii="Calibri" w:hAnsi="Calibri"/>
          <w:noProof/>
        </w:rPr>
      </w:pPr>
      <w:bookmarkStart w:id="22" w:name="_ENREF_2_17"/>
      <w:r w:rsidRPr="00C806D0">
        <w:rPr>
          <w:rFonts w:ascii="Calibri" w:hAnsi="Calibri"/>
          <w:noProof/>
        </w:rPr>
        <w:t>17.</w:t>
      </w:r>
      <w:r w:rsidRPr="00C806D0">
        <w:rPr>
          <w:rFonts w:ascii="Calibri" w:hAnsi="Calibri"/>
          <w:noProof/>
        </w:rPr>
        <w:tab/>
        <w:t xml:space="preserve">Pracht EE, Tepas JJ, III, Celso BG, Langland-Orban B, Flint L: </w:t>
      </w:r>
      <w:r w:rsidRPr="00C806D0">
        <w:rPr>
          <w:rFonts w:ascii="Calibri" w:hAnsi="Calibri"/>
          <w:b/>
          <w:noProof/>
        </w:rPr>
        <w:t>Survival advantage associated with treatment of injury at designated trauma centers - A bivariate probit model with instrumental variables</w:t>
      </w:r>
      <w:r w:rsidRPr="00C806D0">
        <w:rPr>
          <w:rFonts w:ascii="Calibri" w:hAnsi="Calibri"/>
          <w:noProof/>
        </w:rPr>
        <w:t xml:space="preserve">. </w:t>
      </w:r>
      <w:r w:rsidRPr="00C806D0">
        <w:rPr>
          <w:rFonts w:ascii="Calibri" w:hAnsi="Calibri"/>
          <w:i/>
          <w:noProof/>
        </w:rPr>
        <w:t xml:space="preserve">Medical Care Research and Review </w:t>
      </w:r>
      <w:r w:rsidRPr="00C806D0">
        <w:rPr>
          <w:rFonts w:ascii="Calibri" w:hAnsi="Calibri"/>
          <w:noProof/>
        </w:rPr>
        <w:t xml:space="preserve">2007, </w:t>
      </w:r>
      <w:r w:rsidRPr="00C806D0">
        <w:rPr>
          <w:rFonts w:ascii="Calibri" w:hAnsi="Calibri"/>
          <w:b/>
          <w:noProof/>
        </w:rPr>
        <w:t>64</w:t>
      </w:r>
      <w:r w:rsidRPr="00C806D0">
        <w:rPr>
          <w:rFonts w:ascii="Calibri" w:hAnsi="Calibri"/>
          <w:noProof/>
        </w:rPr>
        <w:t>(1):83-97.</w:t>
      </w:r>
      <w:bookmarkEnd w:id="22"/>
    </w:p>
    <w:p w:rsidR="006D4D62" w:rsidRPr="00C806D0" w:rsidRDefault="006D4D62" w:rsidP="006D4D62">
      <w:pPr>
        <w:spacing w:line="240" w:lineRule="auto"/>
        <w:ind w:left="720" w:hanging="720"/>
        <w:rPr>
          <w:rFonts w:ascii="Calibri" w:hAnsi="Calibri"/>
          <w:noProof/>
        </w:rPr>
      </w:pPr>
      <w:bookmarkStart w:id="23" w:name="_ENREF_2_18"/>
      <w:r w:rsidRPr="00C806D0">
        <w:rPr>
          <w:rFonts w:ascii="Calibri" w:hAnsi="Calibri"/>
          <w:noProof/>
        </w:rPr>
        <w:t>18.</w:t>
      </w:r>
      <w:r w:rsidRPr="00C806D0">
        <w:rPr>
          <w:rFonts w:ascii="Calibri" w:hAnsi="Calibri"/>
          <w:noProof/>
        </w:rPr>
        <w:tab/>
        <w:t xml:space="preserve">Ratanalert S, Kornsilp T, Chintragoolpradub N, Kongchoochouy S: </w:t>
      </w:r>
      <w:r w:rsidRPr="00C806D0">
        <w:rPr>
          <w:rFonts w:ascii="Calibri" w:hAnsi="Calibri"/>
          <w:b/>
          <w:noProof/>
        </w:rPr>
        <w:t>The impacts and outcomes of implementing head injury guidelines: clinical experience in Thailand</w:t>
      </w:r>
      <w:r w:rsidRPr="00C806D0">
        <w:rPr>
          <w:rFonts w:ascii="Calibri" w:hAnsi="Calibri"/>
          <w:noProof/>
        </w:rPr>
        <w:t xml:space="preserve">. </w:t>
      </w:r>
      <w:r w:rsidRPr="00C806D0">
        <w:rPr>
          <w:rFonts w:ascii="Calibri" w:hAnsi="Calibri"/>
          <w:i/>
          <w:noProof/>
        </w:rPr>
        <w:t xml:space="preserve">Emergency Medicine Journal </w:t>
      </w:r>
      <w:r w:rsidRPr="00C806D0">
        <w:rPr>
          <w:rFonts w:ascii="Calibri" w:hAnsi="Calibri"/>
          <w:noProof/>
        </w:rPr>
        <w:t xml:space="preserve">2007, </w:t>
      </w:r>
      <w:r w:rsidRPr="00C806D0">
        <w:rPr>
          <w:rFonts w:ascii="Calibri" w:hAnsi="Calibri"/>
          <w:b/>
          <w:noProof/>
        </w:rPr>
        <w:t>24</w:t>
      </w:r>
      <w:r w:rsidRPr="00C806D0">
        <w:rPr>
          <w:rFonts w:ascii="Calibri" w:hAnsi="Calibri"/>
          <w:noProof/>
        </w:rPr>
        <w:t>(1):25-30.</w:t>
      </w:r>
      <w:bookmarkEnd w:id="23"/>
    </w:p>
    <w:p w:rsidR="006D4D62" w:rsidRPr="00C806D0" w:rsidRDefault="006D4D62" w:rsidP="006D4D62">
      <w:pPr>
        <w:spacing w:line="240" w:lineRule="auto"/>
        <w:ind w:left="720" w:hanging="720"/>
        <w:rPr>
          <w:rFonts w:ascii="Calibri" w:hAnsi="Calibri"/>
          <w:noProof/>
        </w:rPr>
      </w:pPr>
      <w:bookmarkStart w:id="24" w:name="_ENREF_2_19"/>
      <w:r w:rsidRPr="00C806D0">
        <w:rPr>
          <w:rFonts w:ascii="Calibri" w:hAnsi="Calibri"/>
          <w:noProof/>
        </w:rPr>
        <w:t>19.</w:t>
      </w:r>
      <w:r w:rsidRPr="00C806D0">
        <w:rPr>
          <w:rFonts w:ascii="Calibri" w:hAnsi="Calibri"/>
          <w:noProof/>
        </w:rPr>
        <w:tab/>
        <w:t xml:space="preserve">Sethi D, Aljunid S, Saperi SB, Clemens F, Hardy P, Elbourne D, Zwi AB, Res Steering C: </w:t>
      </w:r>
      <w:r w:rsidRPr="00C806D0">
        <w:rPr>
          <w:rFonts w:ascii="Calibri" w:hAnsi="Calibri"/>
          <w:b/>
          <w:noProof/>
        </w:rPr>
        <w:t>Comparison of the effectiveness of trauma services provided by secondary and tertiary hospitals in Malaysia</w:t>
      </w:r>
      <w:r w:rsidRPr="00C806D0">
        <w:rPr>
          <w:rFonts w:ascii="Calibri" w:hAnsi="Calibri"/>
          <w:noProof/>
        </w:rPr>
        <w:t xml:space="preserve">. </w:t>
      </w:r>
      <w:r w:rsidRPr="00C806D0">
        <w:rPr>
          <w:rFonts w:ascii="Calibri" w:hAnsi="Calibri"/>
          <w:i/>
          <w:noProof/>
        </w:rPr>
        <w:t xml:space="preserve">Annals of Emergency Medicine </w:t>
      </w:r>
      <w:r w:rsidRPr="00C806D0">
        <w:rPr>
          <w:rFonts w:ascii="Calibri" w:hAnsi="Calibri"/>
          <w:noProof/>
        </w:rPr>
        <w:t xml:space="preserve">2007, </w:t>
      </w:r>
      <w:r w:rsidRPr="00C806D0">
        <w:rPr>
          <w:rFonts w:ascii="Calibri" w:hAnsi="Calibri"/>
          <w:b/>
          <w:noProof/>
        </w:rPr>
        <w:t>49</w:t>
      </w:r>
      <w:r w:rsidRPr="00C806D0">
        <w:rPr>
          <w:rFonts w:ascii="Calibri" w:hAnsi="Calibri"/>
          <w:noProof/>
        </w:rPr>
        <w:t>(1):52-61.</w:t>
      </w:r>
      <w:bookmarkEnd w:id="24"/>
    </w:p>
    <w:p w:rsidR="006D4D62" w:rsidRPr="00C806D0" w:rsidRDefault="006D4D62" w:rsidP="006D4D62">
      <w:pPr>
        <w:spacing w:line="240" w:lineRule="auto"/>
        <w:ind w:left="720" w:hanging="720"/>
        <w:rPr>
          <w:rFonts w:ascii="Calibri" w:hAnsi="Calibri"/>
          <w:noProof/>
        </w:rPr>
      </w:pPr>
      <w:bookmarkStart w:id="25" w:name="_ENREF_2_20"/>
      <w:r w:rsidRPr="00C806D0">
        <w:rPr>
          <w:rFonts w:ascii="Calibri" w:hAnsi="Calibri"/>
          <w:noProof/>
        </w:rPr>
        <w:t>20.</w:t>
      </w:r>
      <w:r w:rsidRPr="00C806D0">
        <w:rPr>
          <w:rFonts w:ascii="Calibri" w:hAnsi="Calibri"/>
          <w:noProof/>
        </w:rPr>
        <w:tab/>
        <w:t xml:space="preserve">Zulu BMW, Mulaudzi TV, Madiba TE, Muckart DJJ: </w:t>
      </w:r>
      <w:r w:rsidRPr="00C806D0">
        <w:rPr>
          <w:rFonts w:ascii="Calibri" w:hAnsi="Calibri"/>
          <w:b/>
          <w:noProof/>
        </w:rPr>
        <w:t>Outcome of head injuries in general surgical units with an off-site neurosurgical service</w:t>
      </w:r>
      <w:r w:rsidRPr="00C806D0">
        <w:rPr>
          <w:rFonts w:ascii="Calibri" w:hAnsi="Calibri"/>
          <w:noProof/>
        </w:rPr>
        <w:t xml:space="preserve">. </w:t>
      </w:r>
      <w:r w:rsidRPr="00C806D0">
        <w:rPr>
          <w:rFonts w:ascii="Calibri" w:hAnsi="Calibri"/>
          <w:i/>
          <w:noProof/>
        </w:rPr>
        <w:t xml:space="preserve">Injury-International Journal of the Care of the Injured </w:t>
      </w:r>
      <w:r w:rsidRPr="00C806D0">
        <w:rPr>
          <w:rFonts w:ascii="Calibri" w:hAnsi="Calibri"/>
          <w:noProof/>
        </w:rPr>
        <w:t xml:space="preserve">2007, </w:t>
      </w:r>
      <w:r w:rsidRPr="00C806D0">
        <w:rPr>
          <w:rFonts w:ascii="Calibri" w:hAnsi="Calibri"/>
          <w:b/>
          <w:noProof/>
        </w:rPr>
        <w:t>38</w:t>
      </w:r>
      <w:r w:rsidRPr="00C806D0">
        <w:rPr>
          <w:rFonts w:ascii="Calibri" w:hAnsi="Calibri"/>
          <w:noProof/>
        </w:rPr>
        <w:t>(5):576-583.</w:t>
      </w:r>
      <w:bookmarkEnd w:id="25"/>
    </w:p>
    <w:p w:rsidR="006D4D62" w:rsidRPr="00C806D0" w:rsidRDefault="006D4D62" w:rsidP="006D4D62">
      <w:pPr>
        <w:spacing w:line="240" w:lineRule="auto"/>
        <w:ind w:left="720" w:hanging="720"/>
        <w:rPr>
          <w:rFonts w:ascii="Calibri" w:hAnsi="Calibri"/>
          <w:noProof/>
        </w:rPr>
      </w:pPr>
      <w:bookmarkStart w:id="26" w:name="_ENREF_2_21"/>
      <w:r w:rsidRPr="00C806D0">
        <w:rPr>
          <w:rFonts w:ascii="Calibri" w:hAnsi="Calibri"/>
          <w:noProof/>
        </w:rPr>
        <w:t>21.</w:t>
      </w:r>
      <w:r w:rsidRPr="00C806D0">
        <w:rPr>
          <w:rFonts w:ascii="Calibri" w:hAnsi="Calibri"/>
          <w:noProof/>
        </w:rPr>
        <w:tab/>
        <w:t xml:space="preserve">Fabbri A, Servadei F, Marchesini G, Stein SC, Vandelli A: </w:t>
      </w:r>
      <w:r w:rsidRPr="00C806D0">
        <w:rPr>
          <w:rFonts w:ascii="Calibri" w:hAnsi="Calibri"/>
          <w:b/>
          <w:noProof/>
        </w:rPr>
        <w:t>Observational approach to subjects with mild-to-moderate head injury and initial non-neurosurgical lesions</w:t>
      </w:r>
      <w:r w:rsidRPr="00C806D0">
        <w:rPr>
          <w:rFonts w:ascii="Calibri" w:hAnsi="Calibri"/>
          <w:noProof/>
        </w:rPr>
        <w:t xml:space="preserve">. </w:t>
      </w:r>
      <w:r w:rsidRPr="00C806D0">
        <w:rPr>
          <w:rFonts w:ascii="Calibri" w:hAnsi="Calibri"/>
          <w:i/>
          <w:noProof/>
        </w:rPr>
        <w:t xml:space="preserve">J Neurol Neurosurg Psychiatry </w:t>
      </w:r>
      <w:r w:rsidRPr="00C806D0">
        <w:rPr>
          <w:rFonts w:ascii="Calibri" w:hAnsi="Calibri"/>
          <w:noProof/>
        </w:rPr>
        <w:t xml:space="preserve">2008, </w:t>
      </w:r>
      <w:r w:rsidRPr="00C806D0">
        <w:rPr>
          <w:rFonts w:ascii="Calibri" w:hAnsi="Calibri"/>
          <w:b/>
          <w:noProof/>
        </w:rPr>
        <w:t>79</w:t>
      </w:r>
      <w:r w:rsidRPr="00C806D0">
        <w:rPr>
          <w:rFonts w:ascii="Calibri" w:hAnsi="Calibri"/>
          <w:noProof/>
        </w:rPr>
        <w:t>(10):1180-1185.</w:t>
      </w:r>
      <w:bookmarkEnd w:id="26"/>
    </w:p>
    <w:p w:rsidR="006D4D62" w:rsidRPr="00C806D0" w:rsidRDefault="006D4D62" w:rsidP="006D4D62">
      <w:pPr>
        <w:spacing w:line="240" w:lineRule="auto"/>
        <w:ind w:left="720" w:hanging="720"/>
        <w:rPr>
          <w:rFonts w:ascii="Calibri" w:hAnsi="Calibri"/>
          <w:noProof/>
        </w:rPr>
      </w:pPr>
      <w:bookmarkStart w:id="27" w:name="_ENREF_2_22"/>
      <w:r w:rsidRPr="00C806D0">
        <w:rPr>
          <w:rFonts w:ascii="Calibri" w:hAnsi="Calibri"/>
          <w:noProof/>
        </w:rPr>
        <w:t>22.</w:t>
      </w:r>
      <w:r w:rsidRPr="00C806D0">
        <w:rPr>
          <w:rFonts w:ascii="Calibri" w:hAnsi="Calibri"/>
          <w:noProof/>
        </w:rPr>
        <w:tab/>
        <w:t xml:space="preserve">Haas B, Jurkovich GJ, Wang J, Rivara FP, MacKenzie EJ, Nathens AB: </w:t>
      </w:r>
      <w:r w:rsidRPr="00C806D0">
        <w:rPr>
          <w:rFonts w:ascii="Calibri" w:hAnsi="Calibri"/>
          <w:b/>
          <w:noProof/>
        </w:rPr>
        <w:t>Survival Advantage in Trauma Centers: Expeditious Intervention or Experience?</w:t>
      </w:r>
      <w:r w:rsidRPr="00C806D0">
        <w:rPr>
          <w:rFonts w:ascii="Calibri" w:hAnsi="Calibri"/>
          <w:noProof/>
        </w:rPr>
        <w:t xml:space="preserve"> </w:t>
      </w:r>
      <w:r w:rsidRPr="00C806D0">
        <w:rPr>
          <w:rFonts w:ascii="Calibri" w:hAnsi="Calibri"/>
          <w:i/>
          <w:noProof/>
        </w:rPr>
        <w:t xml:space="preserve">Journal of the American College of Surgeons </w:t>
      </w:r>
      <w:r w:rsidRPr="00C806D0">
        <w:rPr>
          <w:rFonts w:ascii="Calibri" w:hAnsi="Calibri"/>
          <w:noProof/>
        </w:rPr>
        <w:t xml:space="preserve">2009, </w:t>
      </w:r>
      <w:r w:rsidRPr="00C806D0">
        <w:rPr>
          <w:rFonts w:ascii="Calibri" w:hAnsi="Calibri"/>
          <w:b/>
          <w:noProof/>
        </w:rPr>
        <w:t>208</w:t>
      </w:r>
      <w:r w:rsidRPr="00C806D0">
        <w:rPr>
          <w:rFonts w:ascii="Calibri" w:hAnsi="Calibri"/>
          <w:noProof/>
        </w:rPr>
        <w:t>(1):28-36.</w:t>
      </w:r>
      <w:bookmarkEnd w:id="27"/>
    </w:p>
    <w:p w:rsidR="006D4D62" w:rsidRPr="00C806D0" w:rsidRDefault="006D4D62" w:rsidP="006D4D62">
      <w:pPr>
        <w:spacing w:line="240" w:lineRule="auto"/>
        <w:ind w:left="720" w:hanging="720"/>
        <w:rPr>
          <w:rFonts w:ascii="Calibri" w:hAnsi="Calibri"/>
          <w:noProof/>
        </w:rPr>
      </w:pPr>
      <w:bookmarkStart w:id="28" w:name="_ENREF_2_23"/>
      <w:r w:rsidRPr="00C806D0">
        <w:rPr>
          <w:rFonts w:ascii="Calibri" w:hAnsi="Calibri"/>
          <w:noProof/>
        </w:rPr>
        <w:t>23.</w:t>
      </w:r>
      <w:r w:rsidRPr="00C806D0">
        <w:rPr>
          <w:rFonts w:ascii="Calibri" w:hAnsi="Calibri"/>
          <w:noProof/>
        </w:rPr>
        <w:tab/>
        <w:t xml:space="preserve">Garwe T, Cowan LD, Neas B, Cathey T, Danford BC, Greenawalt P: </w:t>
      </w:r>
      <w:r w:rsidRPr="00C806D0">
        <w:rPr>
          <w:rFonts w:ascii="Calibri" w:hAnsi="Calibri"/>
          <w:b/>
          <w:noProof/>
        </w:rPr>
        <w:t>Survival Benefit of Transfer to Tertiary Trauma Centers for Major Trauma Patients Initially Presenting to Nontertiary Trauma Centers</w:t>
      </w:r>
      <w:r w:rsidRPr="00C806D0">
        <w:rPr>
          <w:rFonts w:ascii="Calibri" w:hAnsi="Calibri"/>
          <w:noProof/>
        </w:rPr>
        <w:t xml:space="preserve">. </w:t>
      </w:r>
      <w:r w:rsidRPr="00C806D0">
        <w:rPr>
          <w:rFonts w:ascii="Calibri" w:hAnsi="Calibri"/>
          <w:i/>
          <w:noProof/>
        </w:rPr>
        <w:t xml:space="preserve">Academic Emergency Medicine </w:t>
      </w:r>
      <w:r w:rsidRPr="00C806D0">
        <w:rPr>
          <w:rFonts w:ascii="Calibri" w:hAnsi="Calibri"/>
          <w:noProof/>
        </w:rPr>
        <w:t xml:space="preserve">2010, </w:t>
      </w:r>
      <w:r w:rsidRPr="00C806D0">
        <w:rPr>
          <w:rFonts w:ascii="Calibri" w:hAnsi="Calibri"/>
          <w:b/>
          <w:noProof/>
        </w:rPr>
        <w:t>17</w:t>
      </w:r>
      <w:r w:rsidRPr="00C806D0">
        <w:rPr>
          <w:rFonts w:ascii="Calibri" w:hAnsi="Calibri"/>
          <w:noProof/>
        </w:rPr>
        <w:t>(11):1223-1232.</w:t>
      </w:r>
      <w:bookmarkEnd w:id="28"/>
    </w:p>
    <w:p w:rsidR="006D4D62" w:rsidRPr="00C806D0" w:rsidRDefault="006D4D62" w:rsidP="006D4D62">
      <w:pPr>
        <w:spacing w:line="240" w:lineRule="auto"/>
        <w:ind w:left="720" w:hanging="720"/>
        <w:rPr>
          <w:rFonts w:ascii="Calibri" w:hAnsi="Calibri"/>
          <w:noProof/>
        </w:rPr>
      </w:pPr>
      <w:bookmarkStart w:id="29" w:name="_ENREF_2_24"/>
      <w:r w:rsidRPr="00C806D0">
        <w:rPr>
          <w:rFonts w:ascii="Calibri" w:hAnsi="Calibri"/>
          <w:noProof/>
        </w:rPr>
        <w:t>24.</w:t>
      </w:r>
      <w:r w:rsidRPr="00C806D0">
        <w:rPr>
          <w:rFonts w:ascii="Calibri" w:hAnsi="Calibri"/>
          <w:noProof/>
        </w:rPr>
        <w:tab/>
        <w:t xml:space="preserve">Meisler R, Thomsen AB, Abildstrom H, Guldstad N, Borge P, Rasmussen SW, Rasmussen LS: </w:t>
      </w:r>
      <w:r w:rsidRPr="00C806D0">
        <w:rPr>
          <w:rFonts w:ascii="Calibri" w:hAnsi="Calibri"/>
          <w:b/>
          <w:noProof/>
        </w:rPr>
        <w:t>Triage and mortality in 2875 consecutive trauma patients</w:t>
      </w:r>
      <w:r w:rsidRPr="00C806D0">
        <w:rPr>
          <w:rFonts w:ascii="Calibri" w:hAnsi="Calibri"/>
          <w:noProof/>
        </w:rPr>
        <w:t xml:space="preserve">. </w:t>
      </w:r>
      <w:r w:rsidRPr="00C806D0">
        <w:rPr>
          <w:rFonts w:ascii="Calibri" w:hAnsi="Calibri"/>
          <w:i/>
          <w:noProof/>
        </w:rPr>
        <w:t xml:space="preserve">Acta Anaesthesiologica Scandinavica </w:t>
      </w:r>
      <w:r w:rsidRPr="00C806D0">
        <w:rPr>
          <w:rFonts w:ascii="Calibri" w:hAnsi="Calibri"/>
          <w:noProof/>
        </w:rPr>
        <w:t xml:space="preserve">2010, </w:t>
      </w:r>
      <w:r w:rsidRPr="00C806D0">
        <w:rPr>
          <w:rFonts w:ascii="Calibri" w:hAnsi="Calibri"/>
          <w:b/>
          <w:noProof/>
        </w:rPr>
        <w:t>54</w:t>
      </w:r>
      <w:r w:rsidRPr="00C806D0">
        <w:rPr>
          <w:rFonts w:ascii="Calibri" w:hAnsi="Calibri"/>
          <w:noProof/>
        </w:rPr>
        <w:t>(2):218-223.</w:t>
      </w:r>
      <w:bookmarkEnd w:id="29"/>
    </w:p>
    <w:p w:rsidR="006D4D62" w:rsidRPr="00C806D0" w:rsidRDefault="006D4D62" w:rsidP="006D4D62">
      <w:pPr>
        <w:spacing w:line="240" w:lineRule="auto"/>
        <w:ind w:left="720" w:hanging="720"/>
        <w:rPr>
          <w:rFonts w:ascii="Calibri" w:hAnsi="Calibri"/>
          <w:noProof/>
        </w:rPr>
      </w:pPr>
      <w:bookmarkStart w:id="30" w:name="_ENREF_2_25"/>
      <w:r w:rsidRPr="00C806D0">
        <w:rPr>
          <w:rFonts w:ascii="Calibri" w:hAnsi="Calibri"/>
          <w:noProof/>
        </w:rPr>
        <w:t>25.</w:t>
      </w:r>
      <w:r w:rsidRPr="00C806D0">
        <w:rPr>
          <w:rFonts w:ascii="Calibri" w:hAnsi="Calibri"/>
          <w:noProof/>
        </w:rPr>
        <w:tab/>
        <w:t xml:space="preserve">Curtis K, Chong S, Mitchell R, Newcombe M, Black D, Langcake M: </w:t>
      </w:r>
      <w:r w:rsidRPr="00C806D0">
        <w:rPr>
          <w:rFonts w:ascii="Calibri" w:hAnsi="Calibri"/>
          <w:b/>
          <w:noProof/>
        </w:rPr>
        <w:t>Outcomes of Severely Injured Adult Trauma Patients in an Australian Health Service: Does Trauma Center Level Make a Difference?</w:t>
      </w:r>
      <w:r w:rsidRPr="00C806D0">
        <w:rPr>
          <w:rFonts w:ascii="Calibri" w:hAnsi="Calibri"/>
          <w:noProof/>
        </w:rPr>
        <w:t xml:space="preserve"> </w:t>
      </w:r>
      <w:r w:rsidRPr="00C806D0">
        <w:rPr>
          <w:rFonts w:ascii="Calibri" w:hAnsi="Calibri"/>
          <w:i/>
          <w:noProof/>
        </w:rPr>
        <w:t xml:space="preserve">World Journal of Surgery </w:t>
      </w:r>
      <w:r w:rsidRPr="00C806D0">
        <w:rPr>
          <w:rFonts w:ascii="Calibri" w:hAnsi="Calibri"/>
          <w:noProof/>
        </w:rPr>
        <w:t xml:space="preserve">2011, </w:t>
      </w:r>
      <w:r w:rsidRPr="00C806D0">
        <w:rPr>
          <w:rFonts w:ascii="Calibri" w:hAnsi="Calibri"/>
          <w:b/>
          <w:noProof/>
        </w:rPr>
        <w:t>35</w:t>
      </w:r>
      <w:r w:rsidRPr="00C806D0">
        <w:rPr>
          <w:rFonts w:ascii="Calibri" w:hAnsi="Calibri"/>
          <w:noProof/>
        </w:rPr>
        <w:t>(10):2332-2340.</w:t>
      </w:r>
      <w:bookmarkEnd w:id="30"/>
    </w:p>
    <w:p w:rsidR="006D4D62" w:rsidRPr="00C806D0" w:rsidRDefault="006D4D62" w:rsidP="006D4D62">
      <w:pPr>
        <w:spacing w:line="240" w:lineRule="auto"/>
        <w:ind w:left="720" w:hanging="720"/>
        <w:rPr>
          <w:rFonts w:ascii="Calibri" w:hAnsi="Calibri"/>
          <w:noProof/>
        </w:rPr>
      </w:pPr>
      <w:bookmarkStart w:id="31" w:name="_ENREF_2_26"/>
      <w:r w:rsidRPr="00C806D0">
        <w:rPr>
          <w:rFonts w:ascii="Calibri" w:hAnsi="Calibri"/>
          <w:noProof/>
        </w:rPr>
        <w:t>26.</w:t>
      </w:r>
      <w:r w:rsidRPr="00C806D0">
        <w:rPr>
          <w:rFonts w:ascii="Calibri" w:hAnsi="Calibri"/>
          <w:noProof/>
        </w:rPr>
        <w:tab/>
        <w:t xml:space="preserve">Gabbe BJ, Lyons RA, Lecky FE, Bouamra O, Woodford M, Coats TJ, Cameron PA: </w:t>
      </w:r>
      <w:r w:rsidRPr="00C806D0">
        <w:rPr>
          <w:rFonts w:ascii="Calibri" w:hAnsi="Calibri"/>
          <w:b/>
          <w:noProof/>
        </w:rPr>
        <w:t>Comparison of Mortality Following Hospitalisation for Isolated Head Injury in England and Wales, and Victoria, Australia</w:t>
      </w:r>
      <w:r w:rsidRPr="00C806D0">
        <w:rPr>
          <w:rFonts w:ascii="Calibri" w:hAnsi="Calibri"/>
          <w:noProof/>
        </w:rPr>
        <w:t xml:space="preserve">. </w:t>
      </w:r>
      <w:r w:rsidRPr="00C806D0">
        <w:rPr>
          <w:rFonts w:ascii="Calibri" w:hAnsi="Calibri"/>
          <w:i/>
          <w:noProof/>
        </w:rPr>
        <w:t xml:space="preserve">Plos One </w:t>
      </w:r>
      <w:r w:rsidRPr="00C806D0">
        <w:rPr>
          <w:rFonts w:ascii="Calibri" w:hAnsi="Calibri"/>
          <w:noProof/>
        </w:rPr>
        <w:t xml:space="preserve">2011, </w:t>
      </w:r>
      <w:r w:rsidRPr="00C806D0">
        <w:rPr>
          <w:rFonts w:ascii="Calibri" w:hAnsi="Calibri"/>
          <w:b/>
          <w:noProof/>
        </w:rPr>
        <w:t>6</w:t>
      </w:r>
      <w:r w:rsidRPr="00C806D0">
        <w:rPr>
          <w:rFonts w:ascii="Calibri" w:hAnsi="Calibri"/>
          <w:noProof/>
        </w:rPr>
        <w:t>(5).</w:t>
      </w:r>
      <w:bookmarkEnd w:id="31"/>
    </w:p>
    <w:p w:rsidR="006D4D62" w:rsidRPr="00C806D0" w:rsidRDefault="006D4D62" w:rsidP="006D4D62">
      <w:pPr>
        <w:spacing w:line="240" w:lineRule="auto"/>
        <w:ind w:left="720" w:hanging="720"/>
        <w:rPr>
          <w:rFonts w:ascii="Calibri" w:hAnsi="Calibri"/>
          <w:noProof/>
        </w:rPr>
      </w:pPr>
      <w:bookmarkStart w:id="32" w:name="_ENREF_2_27"/>
      <w:r w:rsidRPr="00C806D0">
        <w:rPr>
          <w:rFonts w:ascii="Calibri" w:hAnsi="Calibri"/>
          <w:noProof/>
        </w:rPr>
        <w:t>27.</w:t>
      </w:r>
      <w:r w:rsidRPr="00C806D0">
        <w:rPr>
          <w:rFonts w:ascii="Calibri" w:hAnsi="Calibri"/>
          <w:noProof/>
        </w:rPr>
        <w:tab/>
        <w:t xml:space="preserve">Gabbe BJ, Lecky FE, Bouamra O, Woodford M, Jenks T, Coats TJ, Cameron PA: </w:t>
      </w:r>
      <w:r w:rsidRPr="00C806D0">
        <w:rPr>
          <w:rFonts w:ascii="Calibri" w:hAnsi="Calibri"/>
          <w:b/>
          <w:noProof/>
        </w:rPr>
        <w:t>The Effect of an Organized Trauma System on Mortality in Major Trauma Involving Serious Head Injury A Comparison of the United Kingdom and Victoria, Australia</w:t>
      </w:r>
      <w:r w:rsidRPr="00C806D0">
        <w:rPr>
          <w:rFonts w:ascii="Calibri" w:hAnsi="Calibri"/>
          <w:noProof/>
        </w:rPr>
        <w:t xml:space="preserve">. </w:t>
      </w:r>
      <w:r w:rsidRPr="00C806D0">
        <w:rPr>
          <w:rFonts w:ascii="Calibri" w:hAnsi="Calibri"/>
          <w:i/>
          <w:noProof/>
        </w:rPr>
        <w:t xml:space="preserve">Annals of Surgery </w:t>
      </w:r>
      <w:r w:rsidRPr="00C806D0">
        <w:rPr>
          <w:rFonts w:ascii="Calibri" w:hAnsi="Calibri"/>
          <w:noProof/>
        </w:rPr>
        <w:t xml:space="preserve">2011, </w:t>
      </w:r>
      <w:r w:rsidRPr="00C806D0">
        <w:rPr>
          <w:rFonts w:ascii="Calibri" w:hAnsi="Calibri"/>
          <w:b/>
          <w:noProof/>
        </w:rPr>
        <w:t>253</w:t>
      </w:r>
      <w:r w:rsidRPr="00C806D0">
        <w:rPr>
          <w:rFonts w:ascii="Calibri" w:hAnsi="Calibri"/>
          <w:noProof/>
        </w:rPr>
        <w:t>(1):138-143.</w:t>
      </w:r>
      <w:bookmarkEnd w:id="32"/>
    </w:p>
    <w:p w:rsidR="006D4D62" w:rsidRPr="00C806D0" w:rsidRDefault="006D4D62" w:rsidP="006D4D62">
      <w:pPr>
        <w:spacing w:line="240" w:lineRule="auto"/>
        <w:ind w:left="720" w:hanging="720"/>
        <w:rPr>
          <w:rFonts w:ascii="Calibri" w:hAnsi="Calibri"/>
          <w:noProof/>
        </w:rPr>
      </w:pPr>
      <w:bookmarkStart w:id="33" w:name="_ENREF_2_28"/>
      <w:r w:rsidRPr="00C806D0">
        <w:rPr>
          <w:rFonts w:ascii="Calibri" w:hAnsi="Calibri"/>
          <w:noProof/>
        </w:rPr>
        <w:t>28.</w:t>
      </w:r>
      <w:r w:rsidRPr="00C806D0">
        <w:rPr>
          <w:rFonts w:ascii="Calibri" w:hAnsi="Calibri"/>
          <w:noProof/>
        </w:rPr>
        <w:tab/>
        <w:t xml:space="preserve">von Elm E, Altman DG, Egger M, Pocock SJ, Gotzsche PC, Vandenbroucke JP: </w:t>
      </w:r>
      <w:r w:rsidRPr="00C806D0">
        <w:rPr>
          <w:rFonts w:ascii="Calibri" w:hAnsi="Calibri"/>
          <w:b/>
          <w:noProof/>
        </w:rPr>
        <w:t>The Strengthening the Reporting of Observational Studies in Epidemiology (STROBE) statement: guidelines for reporting observational studies</w:t>
      </w:r>
      <w:r w:rsidRPr="00C806D0">
        <w:rPr>
          <w:rFonts w:ascii="Calibri" w:hAnsi="Calibri"/>
          <w:noProof/>
        </w:rPr>
        <w:t xml:space="preserve">. </w:t>
      </w:r>
      <w:r w:rsidRPr="00C806D0">
        <w:rPr>
          <w:rFonts w:ascii="Calibri" w:hAnsi="Calibri"/>
          <w:i/>
          <w:noProof/>
        </w:rPr>
        <w:t xml:space="preserve">Journal of clinical epidemiology </w:t>
      </w:r>
      <w:r w:rsidRPr="00C806D0">
        <w:rPr>
          <w:rFonts w:ascii="Calibri" w:hAnsi="Calibri"/>
          <w:noProof/>
        </w:rPr>
        <w:t xml:space="preserve">2008, </w:t>
      </w:r>
      <w:r w:rsidRPr="00C806D0">
        <w:rPr>
          <w:rFonts w:ascii="Calibri" w:hAnsi="Calibri"/>
          <w:b/>
          <w:noProof/>
        </w:rPr>
        <w:t>61</w:t>
      </w:r>
      <w:r w:rsidRPr="00C806D0">
        <w:rPr>
          <w:rFonts w:ascii="Calibri" w:hAnsi="Calibri"/>
          <w:noProof/>
        </w:rPr>
        <w:t>(4):344-349.</w:t>
      </w:r>
      <w:bookmarkEnd w:id="33"/>
    </w:p>
    <w:p w:rsidR="006D4D62" w:rsidRPr="00C806D0" w:rsidRDefault="006D4D62" w:rsidP="006D4D62">
      <w:pPr>
        <w:spacing w:line="240" w:lineRule="auto"/>
        <w:ind w:left="720" w:hanging="720"/>
        <w:rPr>
          <w:rFonts w:ascii="Calibri" w:hAnsi="Calibri"/>
          <w:noProof/>
        </w:rPr>
      </w:pPr>
      <w:bookmarkStart w:id="34" w:name="_ENREF_2_29"/>
      <w:r w:rsidRPr="00C806D0">
        <w:rPr>
          <w:rFonts w:ascii="Calibri" w:hAnsi="Calibri"/>
          <w:noProof/>
        </w:rPr>
        <w:t>29.</w:t>
      </w:r>
      <w:r w:rsidRPr="00C806D0">
        <w:rPr>
          <w:rFonts w:ascii="Calibri" w:hAnsi="Calibri"/>
          <w:noProof/>
        </w:rPr>
        <w:tab/>
      </w:r>
      <w:r w:rsidRPr="00C806D0">
        <w:rPr>
          <w:rFonts w:ascii="Calibri" w:hAnsi="Calibri"/>
          <w:b/>
          <w:noProof/>
        </w:rPr>
        <w:t xml:space="preserve">Critical Appraisal Skills Programme </w:t>
      </w:r>
      <w:r w:rsidRPr="00C806D0">
        <w:rPr>
          <w:rFonts w:ascii="Calibri" w:hAnsi="Calibri"/>
          <w:noProof/>
        </w:rPr>
        <w:t>[http://www.casp-uk.net/]</w:t>
      </w:r>
      <w:bookmarkEnd w:id="34"/>
    </w:p>
    <w:p w:rsidR="006D4D62" w:rsidRPr="00C806D0" w:rsidRDefault="006D4D62" w:rsidP="006D4D62">
      <w:pPr>
        <w:spacing w:line="240" w:lineRule="auto"/>
        <w:ind w:left="720" w:hanging="720"/>
        <w:rPr>
          <w:rFonts w:ascii="Calibri" w:hAnsi="Calibri"/>
          <w:noProof/>
        </w:rPr>
      </w:pPr>
      <w:bookmarkStart w:id="35" w:name="_ENREF_2_30"/>
      <w:r w:rsidRPr="00C806D0">
        <w:rPr>
          <w:rFonts w:ascii="Calibri" w:hAnsi="Calibri"/>
          <w:noProof/>
        </w:rPr>
        <w:t>30.</w:t>
      </w:r>
      <w:r w:rsidRPr="00C806D0">
        <w:rPr>
          <w:rFonts w:ascii="Calibri" w:hAnsi="Calibri"/>
          <w:noProof/>
        </w:rPr>
        <w:tab/>
        <w:t xml:space="preserve">Rothman KJ: </w:t>
      </w:r>
      <w:r w:rsidRPr="00C806D0">
        <w:rPr>
          <w:rFonts w:ascii="Calibri" w:hAnsi="Calibri"/>
          <w:b/>
          <w:noProof/>
        </w:rPr>
        <w:t>Epidemiology : an introduction</w:t>
      </w:r>
      <w:r w:rsidRPr="00C806D0">
        <w:rPr>
          <w:rFonts w:ascii="Calibri" w:hAnsi="Calibri"/>
          <w:noProof/>
        </w:rPr>
        <w:t>, 2nd ed. edn. Oxford: Oxford University Press; 2012.</w:t>
      </w:r>
      <w:bookmarkEnd w:id="35"/>
    </w:p>
    <w:p w:rsidR="006D4D62" w:rsidRPr="00C806D0" w:rsidRDefault="006D4D62" w:rsidP="006D4D62">
      <w:pPr>
        <w:spacing w:line="240" w:lineRule="auto"/>
        <w:ind w:left="720" w:hanging="720"/>
        <w:rPr>
          <w:rFonts w:ascii="Calibri" w:hAnsi="Calibri"/>
          <w:noProof/>
        </w:rPr>
      </w:pPr>
      <w:bookmarkStart w:id="36" w:name="_ENREF_2_31"/>
      <w:r w:rsidRPr="00C806D0">
        <w:rPr>
          <w:rFonts w:ascii="Calibri" w:hAnsi="Calibri"/>
          <w:noProof/>
        </w:rPr>
        <w:lastRenderedPageBreak/>
        <w:t>31.</w:t>
      </w:r>
      <w:r w:rsidRPr="00C806D0">
        <w:rPr>
          <w:rFonts w:ascii="Calibri" w:hAnsi="Calibri"/>
          <w:noProof/>
        </w:rPr>
        <w:tab/>
        <w:t xml:space="preserve">Rothman KJ, Greenland S, Lash TL: </w:t>
      </w:r>
      <w:r w:rsidRPr="00C806D0">
        <w:rPr>
          <w:rFonts w:ascii="Calibri" w:hAnsi="Calibri"/>
          <w:b/>
          <w:noProof/>
        </w:rPr>
        <w:t>Modern epidemiology</w:t>
      </w:r>
      <w:r w:rsidRPr="00C806D0">
        <w:rPr>
          <w:rFonts w:ascii="Calibri" w:hAnsi="Calibri"/>
          <w:noProof/>
        </w:rPr>
        <w:t>, 3rd ed. edn. Philadelphia, Pa. ; London: Lippincott Williams &amp; Wilkins; 2008.</w:t>
      </w:r>
      <w:bookmarkEnd w:id="36"/>
    </w:p>
    <w:p w:rsidR="006D4D62" w:rsidRPr="00C806D0" w:rsidRDefault="006D4D62" w:rsidP="006D4D62">
      <w:pPr>
        <w:spacing w:line="240" w:lineRule="auto"/>
        <w:ind w:left="720" w:hanging="720"/>
        <w:rPr>
          <w:rFonts w:ascii="Calibri" w:hAnsi="Calibri"/>
          <w:noProof/>
        </w:rPr>
      </w:pPr>
      <w:bookmarkStart w:id="37" w:name="_ENREF_2_32"/>
      <w:r w:rsidRPr="00C806D0">
        <w:rPr>
          <w:rFonts w:ascii="Calibri" w:hAnsi="Calibri"/>
          <w:noProof/>
        </w:rPr>
        <w:t>32.</w:t>
      </w:r>
      <w:r w:rsidRPr="00C806D0">
        <w:rPr>
          <w:rFonts w:ascii="Calibri" w:hAnsi="Calibri"/>
          <w:noProof/>
        </w:rPr>
        <w:tab/>
        <w:t xml:space="preserve">Szklo M, Nieto FJ: </w:t>
      </w:r>
      <w:r w:rsidRPr="00C806D0">
        <w:rPr>
          <w:rFonts w:ascii="Calibri" w:hAnsi="Calibri"/>
          <w:b/>
          <w:noProof/>
        </w:rPr>
        <w:t>Epidemiology : beyond the basics</w:t>
      </w:r>
      <w:r w:rsidRPr="00C806D0">
        <w:rPr>
          <w:rFonts w:ascii="Calibri" w:hAnsi="Calibri"/>
          <w:noProof/>
        </w:rPr>
        <w:t>, 2nd ed. edn. Sudbury, Mass.: Jones and Bartlett Publishers; 2007.</w:t>
      </w:r>
      <w:bookmarkEnd w:id="37"/>
    </w:p>
    <w:p w:rsidR="006D4D62" w:rsidRPr="00C806D0" w:rsidRDefault="006D4D62" w:rsidP="006D4D62">
      <w:pPr>
        <w:spacing w:line="240" w:lineRule="auto"/>
        <w:ind w:left="720" w:hanging="720"/>
        <w:rPr>
          <w:rFonts w:ascii="Calibri" w:hAnsi="Calibri"/>
          <w:noProof/>
        </w:rPr>
      </w:pPr>
      <w:bookmarkStart w:id="38" w:name="_ENREF_2_33"/>
      <w:r w:rsidRPr="00C806D0">
        <w:rPr>
          <w:rFonts w:ascii="Calibri" w:hAnsi="Calibri"/>
          <w:noProof/>
        </w:rPr>
        <w:t>33.</w:t>
      </w:r>
      <w:r w:rsidRPr="00C806D0">
        <w:rPr>
          <w:rFonts w:ascii="Calibri" w:hAnsi="Calibri"/>
          <w:noProof/>
        </w:rPr>
        <w:tab/>
        <w:t>Higgins JPT, Altman DG, Gotzsche PC, Jueni P, Moher D, Oxman AD, Savovic J, Schulz KF, Weeks L, Sterne JAC</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The Cochrane Collaboration's tool for assessing risk of bias in randomised trials</w:t>
      </w:r>
      <w:r w:rsidRPr="00C806D0">
        <w:rPr>
          <w:rFonts w:ascii="Calibri" w:hAnsi="Calibri"/>
          <w:noProof/>
        </w:rPr>
        <w:t xml:space="preserve">. </w:t>
      </w:r>
      <w:r w:rsidRPr="00C806D0">
        <w:rPr>
          <w:rFonts w:ascii="Calibri" w:hAnsi="Calibri"/>
          <w:i/>
          <w:noProof/>
        </w:rPr>
        <w:t xml:space="preserve">Br Med J </w:t>
      </w:r>
      <w:r w:rsidRPr="00C806D0">
        <w:rPr>
          <w:rFonts w:ascii="Calibri" w:hAnsi="Calibri"/>
          <w:noProof/>
        </w:rPr>
        <w:t xml:space="preserve">2011, </w:t>
      </w:r>
      <w:r w:rsidRPr="00C806D0">
        <w:rPr>
          <w:rFonts w:ascii="Calibri" w:hAnsi="Calibri"/>
          <w:b/>
          <w:noProof/>
        </w:rPr>
        <w:t>343</w:t>
      </w:r>
      <w:r w:rsidRPr="00C806D0">
        <w:rPr>
          <w:rFonts w:ascii="Calibri" w:hAnsi="Calibri"/>
          <w:noProof/>
        </w:rPr>
        <w:t>.</w:t>
      </w:r>
      <w:bookmarkEnd w:id="38"/>
    </w:p>
    <w:p w:rsidR="006D4D62" w:rsidRPr="00C806D0" w:rsidRDefault="006D4D62" w:rsidP="006D4D62">
      <w:pPr>
        <w:spacing w:line="240" w:lineRule="auto"/>
        <w:ind w:left="720" w:hanging="720"/>
        <w:rPr>
          <w:rFonts w:ascii="Calibri" w:hAnsi="Calibri"/>
          <w:noProof/>
        </w:rPr>
      </w:pPr>
      <w:bookmarkStart w:id="39" w:name="_ENREF_2_34"/>
      <w:r w:rsidRPr="00C806D0">
        <w:rPr>
          <w:rFonts w:ascii="Calibri" w:hAnsi="Calibri"/>
          <w:noProof/>
        </w:rPr>
        <w:t>34.</w:t>
      </w:r>
      <w:r w:rsidRPr="00C806D0">
        <w:rPr>
          <w:rFonts w:ascii="Calibri" w:hAnsi="Calibri"/>
          <w:noProof/>
        </w:rPr>
        <w:tab/>
        <w:t xml:space="preserve">Algattas H, Huang JH: </w:t>
      </w:r>
      <w:r w:rsidRPr="00C806D0">
        <w:rPr>
          <w:rFonts w:ascii="Calibri" w:hAnsi="Calibri"/>
          <w:b/>
          <w:noProof/>
        </w:rPr>
        <w:t>Traumatic Brain Injury pathophysiology and treatments: early, intermediate, and late phases post-injury</w:t>
      </w:r>
      <w:r w:rsidRPr="00C806D0">
        <w:rPr>
          <w:rFonts w:ascii="Calibri" w:hAnsi="Calibri"/>
          <w:noProof/>
        </w:rPr>
        <w:t xml:space="preserve">. </w:t>
      </w:r>
      <w:r w:rsidRPr="00C806D0">
        <w:rPr>
          <w:rFonts w:ascii="Calibri" w:hAnsi="Calibri"/>
          <w:i/>
          <w:noProof/>
        </w:rPr>
        <w:t xml:space="preserve">International journal of molecular sciences </w:t>
      </w:r>
      <w:r w:rsidRPr="00C806D0">
        <w:rPr>
          <w:rFonts w:ascii="Calibri" w:hAnsi="Calibri"/>
          <w:noProof/>
        </w:rPr>
        <w:t xml:space="preserve">2014, </w:t>
      </w:r>
      <w:r w:rsidRPr="00C806D0">
        <w:rPr>
          <w:rFonts w:ascii="Calibri" w:hAnsi="Calibri"/>
          <w:b/>
          <w:noProof/>
        </w:rPr>
        <w:t>15</w:t>
      </w:r>
      <w:r w:rsidRPr="00C806D0">
        <w:rPr>
          <w:rFonts w:ascii="Calibri" w:hAnsi="Calibri"/>
          <w:noProof/>
        </w:rPr>
        <w:t>(1):309-341.</w:t>
      </w:r>
      <w:bookmarkEnd w:id="39"/>
    </w:p>
    <w:p w:rsidR="006D4D62" w:rsidRPr="00C806D0" w:rsidRDefault="006D4D62" w:rsidP="006D4D62">
      <w:pPr>
        <w:spacing w:line="240" w:lineRule="auto"/>
        <w:ind w:left="720" w:hanging="720"/>
        <w:rPr>
          <w:rFonts w:ascii="Calibri" w:hAnsi="Calibri"/>
          <w:noProof/>
        </w:rPr>
      </w:pPr>
      <w:bookmarkStart w:id="40" w:name="_ENREF_2_35"/>
      <w:r w:rsidRPr="00C806D0">
        <w:rPr>
          <w:rFonts w:ascii="Calibri" w:hAnsi="Calibri"/>
          <w:noProof/>
        </w:rPr>
        <w:t>35.</w:t>
      </w:r>
      <w:r w:rsidRPr="00C806D0">
        <w:rPr>
          <w:rFonts w:ascii="Calibri" w:hAnsi="Calibri"/>
          <w:noProof/>
        </w:rPr>
        <w:tab/>
        <w:t xml:space="preserve">Werner C, Engelhard K: </w:t>
      </w:r>
      <w:r w:rsidRPr="00C806D0">
        <w:rPr>
          <w:rFonts w:ascii="Calibri" w:hAnsi="Calibri"/>
          <w:b/>
          <w:noProof/>
        </w:rPr>
        <w:t>Pathophysiology of traumatic brain injury</w:t>
      </w:r>
      <w:r w:rsidRPr="00C806D0">
        <w:rPr>
          <w:rFonts w:ascii="Calibri" w:hAnsi="Calibri"/>
          <w:noProof/>
        </w:rPr>
        <w:t xml:space="preserve">. </w:t>
      </w:r>
      <w:r w:rsidRPr="00C806D0">
        <w:rPr>
          <w:rFonts w:ascii="Calibri" w:hAnsi="Calibri"/>
          <w:i/>
          <w:noProof/>
        </w:rPr>
        <w:t xml:space="preserve">British journal of anaesthesia </w:t>
      </w:r>
      <w:r w:rsidRPr="00C806D0">
        <w:rPr>
          <w:rFonts w:ascii="Calibri" w:hAnsi="Calibri"/>
          <w:noProof/>
        </w:rPr>
        <w:t xml:space="preserve">2007, </w:t>
      </w:r>
      <w:r w:rsidRPr="00C806D0">
        <w:rPr>
          <w:rFonts w:ascii="Calibri" w:hAnsi="Calibri"/>
          <w:b/>
          <w:noProof/>
        </w:rPr>
        <w:t>99</w:t>
      </w:r>
      <w:r w:rsidRPr="00C806D0">
        <w:rPr>
          <w:rFonts w:ascii="Calibri" w:hAnsi="Calibri"/>
          <w:noProof/>
        </w:rPr>
        <w:t>(1):4-9.</w:t>
      </w:r>
      <w:bookmarkEnd w:id="40"/>
    </w:p>
    <w:p w:rsidR="006D4D62" w:rsidRPr="00C806D0" w:rsidRDefault="006D4D62" w:rsidP="006D4D62">
      <w:pPr>
        <w:spacing w:line="240" w:lineRule="auto"/>
        <w:ind w:left="720" w:hanging="720"/>
        <w:rPr>
          <w:rFonts w:ascii="Calibri" w:hAnsi="Calibri"/>
          <w:noProof/>
        </w:rPr>
      </w:pPr>
      <w:bookmarkStart w:id="41" w:name="_ENREF_2_36"/>
      <w:r w:rsidRPr="00C806D0">
        <w:rPr>
          <w:rFonts w:ascii="Calibri" w:hAnsi="Calibri"/>
          <w:noProof/>
        </w:rPr>
        <w:t>36.</w:t>
      </w:r>
      <w:r w:rsidRPr="00C806D0">
        <w:rPr>
          <w:rFonts w:ascii="Calibri" w:hAnsi="Calibri"/>
          <w:noProof/>
        </w:rPr>
        <w:tab/>
        <w:t xml:space="preserve">Maas AIR, Stocchetti N, Bullock R: </w:t>
      </w:r>
      <w:r w:rsidRPr="00C806D0">
        <w:rPr>
          <w:rFonts w:ascii="Calibri" w:hAnsi="Calibri"/>
          <w:b/>
          <w:noProof/>
        </w:rPr>
        <w:t>Moderate and severe traumatic brain injury in adults</w:t>
      </w:r>
      <w:r w:rsidRPr="00C806D0">
        <w:rPr>
          <w:rFonts w:ascii="Calibri" w:hAnsi="Calibri"/>
          <w:noProof/>
        </w:rPr>
        <w:t xml:space="preserve">. </w:t>
      </w:r>
      <w:r w:rsidRPr="00C806D0">
        <w:rPr>
          <w:rFonts w:ascii="Calibri" w:hAnsi="Calibri"/>
          <w:i/>
          <w:noProof/>
        </w:rPr>
        <w:t xml:space="preserve">Lancet Neurology </w:t>
      </w:r>
      <w:r w:rsidRPr="00C806D0">
        <w:rPr>
          <w:rFonts w:ascii="Calibri" w:hAnsi="Calibri"/>
          <w:noProof/>
        </w:rPr>
        <w:t xml:space="preserve">2008, </w:t>
      </w:r>
      <w:r w:rsidRPr="00C806D0">
        <w:rPr>
          <w:rFonts w:ascii="Calibri" w:hAnsi="Calibri"/>
          <w:b/>
          <w:noProof/>
        </w:rPr>
        <w:t>7</w:t>
      </w:r>
      <w:r w:rsidRPr="00C806D0">
        <w:rPr>
          <w:rFonts w:ascii="Calibri" w:hAnsi="Calibri"/>
          <w:noProof/>
        </w:rPr>
        <w:t>(8):728-741.</w:t>
      </w:r>
      <w:bookmarkEnd w:id="41"/>
    </w:p>
    <w:p w:rsidR="006D4D62" w:rsidRPr="00C806D0" w:rsidRDefault="006D4D62" w:rsidP="006D4D62">
      <w:pPr>
        <w:spacing w:line="240" w:lineRule="auto"/>
        <w:ind w:left="720" w:hanging="720"/>
        <w:rPr>
          <w:rFonts w:ascii="Calibri" w:hAnsi="Calibri"/>
          <w:noProof/>
        </w:rPr>
      </w:pPr>
      <w:bookmarkStart w:id="42" w:name="_ENREF_2_37"/>
      <w:r w:rsidRPr="00C806D0">
        <w:rPr>
          <w:rFonts w:ascii="Calibri" w:hAnsi="Calibri"/>
          <w:noProof/>
        </w:rPr>
        <w:t>37.</w:t>
      </w:r>
      <w:r w:rsidRPr="00C806D0">
        <w:rPr>
          <w:rFonts w:ascii="Calibri" w:hAnsi="Calibri"/>
          <w:noProof/>
        </w:rPr>
        <w:tab/>
        <w:t xml:space="preserve">Moppett IK: </w:t>
      </w:r>
      <w:r w:rsidRPr="00C806D0">
        <w:rPr>
          <w:rFonts w:ascii="Calibri" w:hAnsi="Calibri"/>
          <w:b/>
          <w:noProof/>
        </w:rPr>
        <w:t>Traumatic brain injury: assessment, resuscitation and early management</w:t>
      </w:r>
      <w:r w:rsidRPr="00C806D0">
        <w:rPr>
          <w:rFonts w:ascii="Calibri" w:hAnsi="Calibri"/>
          <w:noProof/>
        </w:rPr>
        <w:t xml:space="preserve">. </w:t>
      </w:r>
      <w:r w:rsidRPr="00C806D0">
        <w:rPr>
          <w:rFonts w:ascii="Calibri" w:hAnsi="Calibri"/>
          <w:i/>
          <w:noProof/>
        </w:rPr>
        <w:t xml:space="preserve">British journal of anaesthesia </w:t>
      </w:r>
      <w:r w:rsidRPr="00C806D0">
        <w:rPr>
          <w:rFonts w:ascii="Calibri" w:hAnsi="Calibri"/>
          <w:noProof/>
        </w:rPr>
        <w:t xml:space="preserve">2007, </w:t>
      </w:r>
      <w:r w:rsidRPr="00C806D0">
        <w:rPr>
          <w:rFonts w:ascii="Calibri" w:hAnsi="Calibri"/>
          <w:b/>
          <w:noProof/>
        </w:rPr>
        <w:t>99</w:t>
      </w:r>
      <w:r w:rsidRPr="00C806D0">
        <w:rPr>
          <w:rFonts w:ascii="Calibri" w:hAnsi="Calibri"/>
          <w:noProof/>
        </w:rPr>
        <w:t>(1):18-31.</w:t>
      </w:r>
      <w:bookmarkEnd w:id="42"/>
    </w:p>
    <w:p w:rsidR="006D4D62" w:rsidRPr="00C806D0" w:rsidRDefault="006D4D62" w:rsidP="006D4D62">
      <w:pPr>
        <w:spacing w:line="240" w:lineRule="auto"/>
        <w:ind w:left="720" w:hanging="720"/>
        <w:rPr>
          <w:rFonts w:ascii="Calibri" w:hAnsi="Calibri"/>
          <w:noProof/>
        </w:rPr>
      </w:pPr>
      <w:bookmarkStart w:id="43" w:name="_ENREF_2_38"/>
      <w:r w:rsidRPr="00C806D0">
        <w:rPr>
          <w:rFonts w:ascii="Calibri" w:hAnsi="Calibri"/>
          <w:noProof/>
        </w:rPr>
        <w:t>38.</w:t>
      </w:r>
      <w:r w:rsidRPr="00C806D0">
        <w:rPr>
          <w:rFonts w:ascii="Calibri" w:hAnsi="Calibri"/>
          <w:noProof/>
        </w:rPr>
        <w:tab/>
        <w:t xml:space="preserve">Perel P, Edwards P, Wentz R, Roberts I: </w:t>
      </w:r>
      <w:r w:rsidRPr="00C806D0">
        <w:rPr>
          <w:rFonts w:ascii="Calibri" w:hAnsi="Calibri"/>
          <w:b/>
          <w:noProof/>
        </w:rPr>
        <w:t>Systematic review of prognostic models in traumatic brain injury</w:t>
      </w:r>
      <w:r w:rsidRPr="00C806D0">
        <w:rPr>
          <w:rFonts w:ascii="Calibri" w:hAnsi="Calibri"/>
          <w:noProof/>
        </w:rPr>
        <w:t xml:space="preserve">. </w:t>
      </w:r>
      <w:r w:rsidRPr="00C806D0">
        <w:rPr>
          <w:rFonts w:ascii="Calibri" w:hAnsi="Calibri"/>
          <w:i/>
          <w:noProof/>
        </w:rPr>
        <w:t xml:space="preserve">BMC Med Inform Decis Mak </w:t>
      </w:r>
      <w:r w:rsidRPr="00C806D0">
        <w:rPr>
          <w:rFonts w:ascii="Calibri" w:hAnsi="Calibri"/>
          <w:noProof/>
        </w:rPr>
        <w:t xml:space="preserve">2006, </w:t>
      </w:r>
      <w:r w:rsidRPr="00C806D0">
        <w:rPr>
          <w:rFonts w:ascii="Calibri" w:hAnsi="Calibri"/>
          <w:b/>
          <w:noProof/>
        </w:rPr>
        <w:t>6</w:t>
      </w:r>
      <w:r w:rsidRPr="00C806D0">
        <w:rPr>
          <w:rFonts w:ascii="Calibri" w:hAnsi="Calibri"/>
          <w:noProof/>
        </w:rPr>
        <w:t>:38.</w:t>
      </w:r>
      <w:bookmarkEnd w:id="43"/>
    </w:p>
    <w:p w:rsidR="006D4D62" w:rsidRPr="00C806D0" w:rsidRDefault="006D4D62" w:rsidP="006D4D62">
      <w:pPr>
        <w:spacing w:line="240" w:lineRule="auto"/>
        <w:ind w:left="720" w:hanging="720"/>
        <w:rPr>
          <w:rFonts w:ascii="Calibri" w:hAnsi="Calibri"/>
          <w:noProof/>
        </w:rPr>
      </w:pPr>
      <w:bookmarkStart w:id="44" w:name="_ENREF_2_39"/>
      <w:r w:rsidRPr="00C806D0">
        <w:rPr>
          <w:rFonts w:ascii="Calibri" w:hAnsi="Calibri"/>
          <w:noProof/>
        </w:rPr>
        <w:t>39.</w:t>
      </w:r>
      <w:r w:rsidRPr="00C806D0">
        <w:rPr>
          <w:rFonts w:ascii="Calibri" w:hAnsi="Calibri"/>
          <w:noProof/>
        </w:rPr>
        <w:tab/>
        <w:t xml:space="preserve">Kirkham JJ, Dwan KM, Altman DG, Gamble C, Dodd S, Smyth R, Williamson PR: </w:t>
      </w:r>
      <w:r w:rsidRPr="00C806D0">
        <w:rPr>
          <w:rFonts w:ascii="Calibri" w:hAnsi="Calibri"/>
          <w:b/>
          <w:noProof/>
        </w:rPr>
        <w:t>The impact of outcome reporting bias in randomised controlled trials on a cohort of systematic reviews</w:t>
      </w:r>
      <w:r w:rsidRPr="00C806D0">
        <w:rPr>
          <w:rFonts w:ascii="Calibri" w:hAnsi="Calibri"/>
          <w:noProof/>
        </w:rPr>
        <w:t xml:space="preserve">. </w:t>
      </w:r>
      <w:r w:rsidRPr="00C806D0">
        <w:rPr>
          <w:rFonts w:ascii="Calibri" w:hAnsi="Calibri"/>
          <w:i/>
          <w:noProof/>
        </w:rPr>
        <w:t xml:space="preserve">BMJ (Clinical research ed) </w:t>
      </w:r>
      <w:r w:rsidRPr="00C806D0">
        <w:rPr>
          <w:rFonts w:ascii="Calibri" w:hAnsi="Calibri"/>
          <w:noProof/>
        </w:rPr>
        <w:t xml:space="preserve">2010, </w:t>
      </w:r>
      <w:r w:rsidRPr="00C806D0">
        <w:rPr>
          <w:rFonts w:ascii="Calibri" w:hAnsi="Calibri"/>
          <w:b/>
          <w:noProof/>
        </w:rPr>
        <w:t>340</w:t>
      </w:r>
      <w:r w:rsidRPr="00C806D0">
        <w:rPr>
          <w:rFonts w:ascii="Calibri" w:hAnsi="Calibri"/>
          <w:noProof/>
        </w:rPr>
        <w:t>:c365.</w:t>
      </w:r>
      <w:bookmarkEnd w:id="44"/>
    </w:p>
    <w:p w:rsidR="006D4D62" w:rsidRPr="00C806D0" w:rsidRDefault="006D4D62" w:rsidP="006D4D62">
      <w:pPr>
        <w:spacing w:line="240" w:lineRule="auto"/>
        <w:ind w:left="720" w:hanging="720"/>
        <w:rPr>
          <w:rFonts w:ascii="Calibri" w:hAnsi="Calibri"/>
          <w:noProof/>
        </w:rPr>
      </w:pPr>
      <w:bookmarkStart w:id="45" w:name="_ENREF_2_40"/>
      <w:r w:rsidRPr="00C806D0">
        <w:rPr>
          <w:rFonts w:ascii="Calibri" w:hAnsi="Calibri"/>
          <w:noProof/>
        </w:rPr>
        <w:t>40.</w:t>
      </w:r>
      <w:r w:rsidRPr="00C806D0">
        <w:rPr>
          <w:rFonts w:ascii="Calibri" w:hAnsi="Calibri"/>
          <w:noProof/>
        </w:rPr>
        <w:tab/>
        <w:t>Fuller G, Bouamra O, Woodford M, Jenks T, Patel H, Coats TJ, Oakley P, Mendelow AD, Pigott T, Hutchinson PJ</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The Effect of Specialist Neurosciences Care on Outcome in Adult Severe Head Injury: A Cohort Study</w:t>
      </w:r>
      <w:r w:rsidRPr="00C806D0">
        <w:rPr>
          <w:rFonts w:ascii="Calibri" w:hAnsi="Calibri"/>
          <w:noProof/>
        </w:rPr>
        <w:t xml:space="preserve">. </w:t>
      </w:r>
      <w:r w:rsidRPr="00C806D0">
        <w:rPr>
          <w:rFonts w:ascii="Calibri" w:hAnsi="Calibri"/>
          <w:i/>
          <w:noProof/>
        </w:rPr>
        <w:t xml:space="preserve">Journal of Neurosurgical Anesthesiology </w:t>
      </w:r>
      <w:r w:rsidRPr="00C806D0">
        <w:rPr>
          <w:rFonts w:ascii="Calibri" w:hAnsi="Calibri"/>
          <w:noProof/>
        </w:rPr>
        <w:t xml:space="preserve">2011, </w:t>
      </w:r>
      <w:r w:rsidRPr="00C806D0">
        <w:rPr>
          <w:rFonts w:ascii="Calibri" w:hAnsi="Calibri"/>
          <w:b/>
          <w:noProof/>
        </w:rPr>
        <w:t>23</w:t>
      </w:r>
      <w:r w:rsidRPr="00C806D0">
        <w:rPr>
          <w:rFonts w:ascii="Calibri" w:hAnsi="Calibri"/>
          <w:noProof/>
        </w:rPr>
        <w:t>(3):198-205.</w:t>
      </w:r>
      <w:bookmarkEnd w:id="45"/>
    </w:p>
    <w:p w:rsidR="006D4D62" w:rsidRPr="00C806D0" w:rsidRDefault="006D4D62" w:rsidP="006D4D62">
      <w:pPr>
        <w:spacing w:line="240" w:lineRule="auto"/>
        <w:ind w:left="720" w:hanging="720"/>
        <w:rPr>
          <w:rFonts w:ascii="Calibri" w:hAnsi="Calibri"/>
          <w:noProof/>
        </w:rPr>
      </w:pPr>
      <w:bookmarkStart w:id="46" w:name="_ENREF_2_41"/>
      <w:r w:rsidRPr="00C806D0">
        <w:rPr>
          <w:rFonts w:ascii="Calibri" w:hAnsi="Calibri"/>
          <w:noProof/>
        </w:rPr>
        <w:t>41.</w:t>
      </w:r>
      <w:r w:rsidRPr="00C806D0">
        <w:rPr>
          <w:rFonts w:ascii="Calibri" w:hAnsi="Calibri"/>
          <w:noProof/>
        </w:rPr>
        <w:tab/>
        <w:t xml:space="preserve">Patel HC, Bouamra O, Woodford M, King AT, Yates DW, Lecky FE, Trauma Audit Res N: </w:t>
      </w:r>
      <w:r w:rsidRPr="00C806D0">
        <w:rPr>
          <w:rFonts w:ascii="Calibri" w:hAnsi="Calibri"/>
          <w:b/>
          <w:noProof/>
        </w:rPr>
        <w:t>Trends in head injury outcome from 1989 to 2003 and the effect of neurosurgical care: an observational study</w:t>
      </w:r>
      <w:r w:rsidRPr="00C806D0">
        <w:rPr>
          <w:rFonts w:ascii="Calibri" w:hAnsi="Calibri"/>
          <w:noProof/>
        </w:rPr>
        <w:t xml:space="preserve">. </w:t>
      </w:r>
      <w:r w:rsidRPr="00C806D0">
        <w:rPr>
          <w:rFonts w:ascii="Calibri" w:hAnsi="Calibri"/>
          <w:i/>
          <w:noProof/>
        </w:rPr>
        <w:t xml:space="preserve">Lancet </w:t>
      </w:r>
      <w:r w:rsidRPr="00C806D0">
        <w:rPr>
          <w:rFonts w:ascii="Calibri" w:hAnsi="Calibri"/>
          <w:noProof/>
        </w:rPr>
        <w:t xml:space="preserve">2005, </w:t>
      </w:r>
      <w:r w:rsidRPr="00C806D0">
        <w:rPr>
          <w:rFonts w:ascii="Calibri" w:hAnsi="Calibri"/>
          <w:b/>
          <w:noProof/>
        </w:rPr>
        <w:t>366</w:t>
      </w:r>
      <w:r w:rsidRPr="00C806D0">
        <w:rPr>
          <w:rFonts w:ascii="Calibri" w:hAnsi="Calibri"/>
          <w:noProof/>
        </w:rPr>
        <w:t>(9496):1538-1544.</w:t>
      </w:r>
      <w:bookmarkEnd w:id="46"/>
    </w:p>
    <w:p w:rsidR="006D4D62" w:rsidRPr="00C806D0" w:rsidRDefault="006D4D62" w:rsidP="006D4D62">
      <w:pPr>
        <w:spacing w:line="240" w:lineRule="auto"/>
        <w:ind w:left="720" w:hanging="720"/>
        <w:rPr>
          <w:rFonts w:ascii="Calibri" w:hAnsi="Calibri"/>
          <w:noProof/>
        </w:rPr>
      </w:pPr>
      <w:bookmarkStart w:id="47" w:name="_ENREF_2_42"/>
      <w:r w:rsidRPr="00C806D0">
        <w:rPr>
          <w:rFonts w:ascii="Calibri" w:hAnsi="Calibri"/>
          <w:noProof/>
        </w:rPr>
        <w:t>42.</w:t>
      </w:r>
      <w:r w:rsidRPr="00C806D0">
        <w:rPr>
          <w:rFonts w:ascii="Calibri" w:hAnsi="Calibri"/>
          <w:noProof/>
        </w:rPr>
        <w:tab/>
        <w:t>Harrison DA, Prabhu G, Grieve R, Harvey SE, Sadique MZ, Gomes M, Griggs KA, Walmsley E, Smith M, Yeoman P</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Risk Adjustment In Neurocritical care (RAIN)--prospective validation of risk prediction models for adult patients with acute traumatic brain injury to use to evaluate the optimum location and comparative costs of neurocritical care: a cohort study</w:t>
      </w:r>
      <w:r w:rsidRPr="00C806D0">
        <w:rPr>
          <w:rFonts w:ascii="Calibri" w:hAnsi="Calibri"/>
          <w:noProof/>
        </w:rPr>
        <w:t xml:space="preserve">. </w:t>
      </w:r>
      <w:r w:rsidRPr="00C806D0">
        <w:rPr>
          <w:rFonts w:ascii="Calibri" w:hAnsi="Calibri"/>
          <w:i/>
          <w:noProof/>
        </w:rPr>
        <w:t xml:space="preserve">Health technology assessment (Winchester, England) </w:t>
      </w:r>
      <w:r w:rsidRPr="00C806D0">
        <w:rPr>
          <w:rFonts w:ascii="Calibri" w:hAnsi="Calibri"/>
          <w:noProof/>
        </w:rPr>
        <w:t xml:space="preserve">2013, </w:t>
      </w:r>
      <w:r w:rsidRPr="00C806D0">
        <w:rPr>
          <w:rFonts w:ascii="Calibri" w:hAnsi="Calibri"/>
          <w:b/>
          <w:noProof/>
        </w:rPr>
        <w:t>17</w:t>
      </w:r>
      <w:r w:rsidRPr="00C806D0">
        <w:rPr>
          <w:rFonts w:ascii="Calibri" w:hAnsi="Calibri"/>
          <w:noProof/>
        </w:rPr>
        <w:t>(23):vii-viii, 1-350.</w:t>
      </w:r>
      <w:bookmarkEnd w:id="47"/>
    </w:p>
    <w:p w:rsidR="006D4D62" w:rsidRPr="00C806D0" w:rsidRDefault="006D4D62" w:rsidP="006D4D62">
      <w:pPr>
        <w:spacing w:line="240" w:lineRule="auto"/>
        <w:ind w:left="720" w:hanging="720"/>
        <w:rPr>
          <w:rFonts w:ascii="Calibri" w:hAnsi="Calibri"/>
          <w:noProof/>
        </w:rPr>
      </w:pPr>
      <w:bookmarkStart w:id="48" w:name="_ENREF_2_43"/>
      <w:r w:rsidRPr="00C806D0">
        <w:rPr>
          <w:rFonts w:ascii="Calibri" w:hAnsi="Calibri"/>
          <w:noProof/>
        </w:rPr>
        <w:t>43.</w:t>
      </w:r>
      <w:r w:rsidRPr="00C806D0">
        <w:rPr>
          <w:rFonts w:ascii="Calibri" w:hAnsi="Calibri"/>
          <w:noProof/>
        </w:rPr>
        <w:tab/>
        <w:t xml:space="preserve">G. F: </w:t>
      </w:r>
      <w:r w:rsidRPr="00C806D0">
        <w:rPr>
          <w:rFonts w:ascii="Calibri" w:hAnsi="Calibri"/>
          <w:b/>
          <w:noProof/>
        </w:rPr>
        <w:t>Temporal trends in head injury outcomes from 2003 to 2009 in England and Wales, and the effect of specialist neuroscience care: a cohort study</w:t>
      </w:r>
      <w:r w:rsidRPr="00C806D0">
        <w:rPr>
          <w:rFonts w:ascii="Calibri" w:hAnsi="Calibri"/>
          <w:noProof/>
        </w:rPr>
        <w:t>. Manchester: University of Manchester; 2012.</w:t>
      </w:r>
      <w:bookmarkEnd w:id="48"/>
    </w:p>
    <w:p w:rsidR="006D4D62" w:rsidRPr="00C806D0" w:rsidRDefault="006D4D62" w:rsidP="006D4D62">
      <w:pPr>
        <w:spacing w:line="240" w:lineRule="auto"/>
        <w:ind w:left="720" w:hanging="720"/>
        <w:rPr>
          <w:rFonts w:ascii="Calibri" w:hAnsi="Calibri"/>
          <w:noProof/>
        </w:rPr>
      </w:pPr>
      <w:bookmarkStart w:id="49" w:name="_ENREF_2_44"/>
      <w:r w:rsidRPr="00C806D0">
        <w:rPr>
          <w:rFonts w:ascii="Calibri" w:hAnsi="Calibri"/>
          <w:noProof/>
        </w:rPr>
        <w:t>44.</w:t>
      </w:r>
      <w:r w:rsidRPr="00C806D0">
        <w:rPr>
          <w:rFonts w:ascii="Calibri" w:hAnsi="Calibri"/>
          <w:noProof/>
        </w:rPr>
        <w:tab/>
        <w:t xml:space="preserve">Newgard CD, Hedges JR, Arthur M, Mullins RJ: </w:t>
      </w:r>
      <w:r w:rsidRPr="00C806D0">
        <w:rPr>
          <w:rFonts w:ascii="Calibri" w:hAnsi="Calibri"/>
          <w:b/>
          <w:noProof/>
        </w:rPr>
        <w:t>Advanced statistics: the propensity score--a method for estimating treatment effect in observational research</w:t>
      </w:r>
      <w:r w:rsidRPr="00C806D0">
        <w:rPr>
          <w:rFonts w:ascii="Calibri" w:hAnsi="Calibri"/>
          <w:noProof/>
        </w:rPr>
        <w:t xml:space="preserve">. </w:t>
      </w:r>
      <w:r w:rsidRPr="00C806D0">
        <w:rPr>
          <w:rFonts w:ascii="Calibri" w:hAnsi="Calibri"/>
          <w:i/>
          <w:noProof/>
        </w:rPr>
        <w:t xml:space="preserve">Academic emergency medicine : official journal of the Society for Academic Emergency Medicine </w:t>
      </w:r>
      <w:r w:rsidRPr="00C806D0">
        <w:rPr>
          <w:rFonts w:ascii="Calibri" w:hAnsi="Calibri"/>
          <w:noProof/>
        </w:rPr>
        <w:t xml:space="preserve">2004, </w:t>
      </w:r>
      <w:r w:rsidRPr="00C806D0">
        <w:rPr>
          <w:rFonts w:ascii="Calibri" w:hAnsi="Calibri"/>
          <w:b/>
          <w:noProof/>
        </w:rPr>
        <w:t>11</w:t>
      </w:r>
      <w:r w:rsidRPr="00C806D0">
        <w:rPr>
          <w:rFonts w:ascii="Calibri" w:hAnsi="Calibri"/>
          <w:noProof/>
        </w:rPr>
        <w:t>(9):953-961.</w:t>
      </w:r>
      <w:bookmarkEnd w:id="49"/>
    </w:p>
    <w:p w:rsidR="006D4D62" w:rsidRPr="00C806D0" w:rsidRDefault="006D4D62" w:rsidP="006D4D62">
      <w:pPr>
        <w:spacing w:line="240" w:lineRule="auto"/>
        <w:ind w:left="720" w:hanging="720"/>
        <w:rPr>
          <w:rFonts w:ascii="Calibri" w:hAnsi="Calibri"/>
          <w:noProof/>
        </w:rPr>
      </w:pPr>
      <w:bookmarkStart w:id="50" w:name="_ENREF_2_45"/>
      <w:r w:rsidRPr="00C806D0">
        <w:rPr>
          <w:rFonts w:ascii="Calibri" w:hAnsi="Calibri"/>
          <w:noProof/>
        </w:rPr>
        <w:t>45.</w:t>
      </w:r>
      <w:r w:rsidRPr="00C806D0">
        <w:rPr>
          <w:rFonts w:ascii="Calibri" w:hAnsi="Calibri"/>
          <w:noProof/>
        </w:rPr>
        <w:tab/>
        <w:t>Steyerberg EW, Mushkudiani N, Perel P, Butcher I, Lu J, McHugh GS, Murray GD, Marmarou A, Roberts I, Habbema JDF</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Predicting Outcome after Traumatic Brain Injury: Development and International Validation of Prognostic Scores Based on Admission Characteristics</w:t>
      </w:r>
      <w:r w:rsidRPr="00C806D0">
        <w:rPr>
          <w:rFonts w:ascii="Calibri" w:hAnsi="Calibri"/>
          <w:noProof/>
        </w:rPr>
        <w:t xml:space="preserve">. </w:t>
      </w:r>
      <w:r w:rsidRPr="00C806D0">
        <w:rPr>
          <w:rFonts w:ascii="Calibri" w:hAnsi="Calibri"/>
          <w:i/>
          <w:noProof/>
        </w:rPr>
        <w:t xml:space="preserve">PLoS Med </w:t>
      </w:r>
      <w:r w:rsidRPr="00C806D0">
        <w:rPr>
          <w:rFonts w:ascii="Calibri" w:hAnsi="Calibri"/>
          <w:noProof/>
        </w:rPr>
        <w:t xml:space="preserve">2008, </w:t>
      </w:r>
      <w:r w:rsidRPr="00C806D0">
        <w:rPr>
          <w:rFonts w:ascii="Calibri" w:hAnsi="Calibri"/>
          <w:b/>
          <w:noProof/>
        </w:rPr>
        <w:t>5</w:t>
      </w:r>
      <w:r w:rsidRPr="00C806D0">
        <w:rPr>
          <w:rFonts w:ascii="Calibri" w:hAnsi="Calibri"/>
          <w:noProof/>
        </w:rPr>
        <w:t>(8):e165.</w:t>
      </w:r>
      <w:bookmarkEnd w:id="50"/>
    </w:p>
    <w:p w:rsidR="006D4D62" w:rsidRPr="00C806D0" w:rsidRDefault="006D4D62" w:rsidP="006D4D62">
      <w:pPr>
        <w:spacing w:line="240" w:lineRule="auto"/>
        <w:ind w:left="720" w:hanging="720"/>
        <w:rPr>
          <w:rFonts w:ascii="Calibri" w:hAnsi="Calibri"/>
          <w:noProof/>
        </w:rPr>
      </w:pPr>
      <w:bookmarkStart w:id="51" w:name="_ENREF_2_46"/>
      <w:r w:rsidRPr="00C806D0">
        <w:rPr>
          <w:rFonts w:ascii="Calibri" w:hAnsi="Calibri"/>
          <w:noProof/>
        </w:rPr>
        <w:t>46.</w:t>
      </w:r>
      <w:r w:rsidRPr="00C806D0">
        <w:rPr>
          <w:rFonts w:ascii="Calibri" w:hAnsi="Calibri"/>
          <w:noProof/>
        </w:rPr>
        <w:tab/>
        <w:t xml:space="preserve">Mullins RJ, Hedges JR, Rowland DJ, Arthur M, Mann NC, Price DD, Olson CJ, Jurkovich GJ: </w:t>
      </w:r>
      <w:r w:rsidRPr="00C806D0">
        <w:rPr>
          <w:rFonts w:ascii="Calibri" w:hAnsi="Calibri"/>
          <w:b/>
          <w:noProof/>
        </w:rPr>
        <w:t>Survival of seriously injured patients first treated in rural hospitals</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2002, </w:t>
      </w:r>
      <w:r w:rsidRPr="00C806D0">
        <w:rPr>
          <w:rFonts w:ascii="Calibri" w:hAnsi="Calibri"/>
          <w:b/>
          <w:noProof/>
        </w:rPr>
        <w:t>52</w:t>
      </w:r>
      <w:r w:rsidRPr="00C806D0">
        <w:rPr>
          <w:rFonts w:ascii="Calibri" w:hAnsi="Calibri"/>
          <w:noProof/>
        </w:rPr>
        <w:t>(6):1019-1029.</w:t>
      </w:r>
      <w:bookmarkEnd w:id="51"/>
    </w:p>
    <w:p w:rsidR="006D4D62" w:rsidRPr="00C806D0" w:rsidRDefault="006D4D62" w:rsidP="006D4D62">
      <w:pPr>
        <w:spacing w:line="240" w:lineRule="auto"/>
        <w:ind w:left="720" w:hanging="720"/>
        <w:rPr>
          <w:rFonts w:ascii="Calibri" w:hAnsi="Calibri"/>
          <w:noProof/>
        </w:rPr>
      </w:pPr>
      <w:bookmarkStart w:id="52" w:name="_ENREF_2_47"/>
      <w:r w:rsidRPr="00C806D0">
        <w:rPr>
          <w:rFonts w:ascii="Calibri" w:hAnsi="Calibri"/>
          <w:noProof/>
        </w:rPr>
        <w:t>47.</w:t>
      </w:r>
      <w:r w:rsidRPr="00C806D0">
        <w:rPr>
          <w:rFonts w:ascii="Calibri" w:hAnsi="Calibri"/>
          <w:noProof/>
        </w:rPr>
        <w:tab/>
        <w:t xml:space="preserve">Teasdale GM, Pettigrew LE, Wilson JT, Murray G, Jennett B: </w:t>
      </w:r>
      <w:r w:rsidRPr="00C806D0">
        <w:rPr>
          <w:rFonts w:ascii="Calibri" w:hAnsi="Calibri"/>
          <w:b/>
          <w:noProof/>
        </w:rPr>
        <w:t>Analyzing outcome of treatment of severe head injury: a review and update on advancing the use of the Glasgow Outcome Scale</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1998, </w:t>
      </w:r>
      <w:r w:rsidRPr="00C806D0">
        <w:rPr>
          <w:rFonts w:ascii="Calibri" w:hAnsi="Calibri"/>
          <w:b/>
          <w:noProof/>
        </w:rPr>
        <w:t>15</w:t>
      </w:r>
      <w:r w:rsidRPr="00C806D0">
        <w:rPr>
          <w:rFonts w:ascii="Calibri" w:hAnsi="Calibri"/>
          <w:noProof/>
        </w:rPr>
        <w:t>(8):587-597.</w:t>
      </w:r>
      <w:bookmarkEnd w:id="52"/>
    </w:p>
    <w:p w:rsidR="006D4D62" w:rsidRPr="00C806D0" w:rsidRDefault="006D4D62" w:rsidP="006D4D62">
      <w:pPr>
        <w:spacing w:line="240" w:lineRule="auto"/>
        <w:rPr>
          <w:rFonts w:ascii="Calibri" w:hAnsi="Calibri"/>
          <w:noProof/>
        </w:rPr>
      </w:pPr>
    </w:p>
    <w:p w:rsidR="00EB5320" w:rsidRPr="00C806D0" w:rsidRDefault="00EB5320" w:rsidP="00EB5320"/>
    <w:p w:rsidR="00EB5320" w:rsidRPr="00C806D0" w:rsidRDefault="00EB5320" w:rsidP="00EB5320">
      <w:pPr>
        <w:sectPr w:rsidR="00EB5320" w:rsidRPr="00C806D0" w:rsidSect="00E31429">
          <w:pgSz w:w="11906" w:h="16838"/>
          <w:pgMar w:top="1134" w:right="1134" w:bottom="1134" w:left="2268" w:header="709" w:footer="709" w:gutter="0"/>
          <w:cols w:space="708"/>
          <w:docGrid w:linePitch="360"/>
        </w:sectPr>
      </w:pPr>
    </w:p>
    <w:p w:rsidR="00EB5320" w:rsidRPr="00C806D0" w:rsidRDefault="00EB5320" w:rsidP="00EB5320">
      <w:pPr>
        <w:pStyle w:val="Heading1"/>
      </w:pPr>
      <w:r w:rsidRPr="00C806D0">
        <w:lastRenderedPageBreak/>
        <w:t>Appendix C: the performance of TRIAGE RULES FOR the prehospital IDENTIFICATION OF SIGNIFICANT TRAUMATIC BRAIN INJURY</w:t>
      </w:r>
    </w:p>
    <w:p w:rsidR="00EB5320" w:rsidRPr="00C806D0" w:rsidRDefault="00EB5320" w:rsidP="00EB5320">
      <w:pPr>
        <w:pStyle w:val="Heading2"/>
      </w:pPr>
      <w:bookmarkStart w:id="53" w:name="_Toc398135165"/>
      <w:r w:rsidRPr="00C806D0">
        <w:t>cohort study investigating the Diagnostic accuracy of prehospital triage rules</w:t>
      </w:r>
      <w:bookmarkEnd w:id="53"/>
      <w:r w:rsidRPr="00C806D0">
        <w:t xml:space="preserve"> using Tarn data</w:t>
      </w:r>
    </w:p>
    <w:p w:rsidR="00EB5320" w:rsidRPr="00C806D0" w:rsidRDefault="00EB5320" w:rsidP="00EB5320">
      <w:pPr>
        <w:pStyle w:val="Heading3"/>
      </w:pPr>
      <w:r w:rsidRPr="00C806D0">
        <w:t>Supplementary methodological information</w:t>
      </w:r>
    </w:p>
    <w:p w:rsidR="00EB5320" w:rsidRPr="00C806D0" w:rsidRDefault="00EB5320" w:rsidP="00EB5320">
      <w:pPr>
        <w:pStyle w:val="Heading4"/>
      </w:pPr>
      <w:r w:rsidRPr="00C806D0">
        <w:t>Secondary analyses</w:t>
      </w:r>
    </w:p>
    <w:p w:rsidR="00EB5320" w:rsidRPr="00C806D0" w:rsidRDefault="00EB5320" w:rsidP="00EB5320">
      <w:r w:rsidRPr="00C806D0">
        <w:t>A series of additional analyses were conducted to investigate the sensitivity of results to alternative specifications of the index tests and reference standard in further complete case analyses. The robustness of results to selection bias arising from missing data was also explored in simulations using multiple imputation.</w:t>
      </w:r>
      <w:r w:rsidRPr="00C806D0">
        <w:rPr>
          <w:noProof/>
          <w:vertAlign w:val="superscript"/>
        </w:rPr>
        <w:t>[</w:t>
      </w:r>
      <w:r w:rsidR="006D4D62" w:rsidRPr="00C806D0">
        <w:rPr>
          <w:noProof/>
          <w:vertAlign w:val="superscript"/>
        </w:rPr>
        <w:t>1</w:t>
      </w:r>
      <w:r w:rsidRPr="00C806D0">
        <w:rPr>
          <w:noProof/>
          <w:vertAlign w:val="superscript"/>
        </w:rPr>
        <w:t>]</w:t>
      </w:r>
    </w:p>
    <w:p w:rsidR="00EB5320" w:rsidRPr="00C806D0" w:rsidRDefault="00EB5320" w:rsidP="00EB5320"/>
    <w:p w:rsidR="00EB5320" w:rsidRPr="00C806D0" w:rsidRDefault="00EB5320" w:rsidP="00EB5320">
      <w:r w:rsidRPr="00C806D0">
        <w:t xml:space="preserve">The two variants of the HITSNS triage tool differ according to the threshold level of prehospital GCS and respiratory rate used. Results were therefore re-calculated for the alternative NWAS version of the triage rule in which a GCS cut point of ≤12, and a lower respiratory rate threshold of &lt;10 breaths per minute, is used. Prehospital hypoxia (oxygen saturations ≤93%) was also added as an explicit criterion for ABC compromise in a repeat analysis of the NEAS triage rule. Additionally the effect of adding mechanistic and demographic components of LAS triage rule where TARN </w:t>
      </w:r>
      <w:r w:rsidR="00335B1F" w:rsidRPr="00C806D0">
        <w:t>data were</w:t>
      </w:r>
      <w:r w:rsidRPr="00C806D0">
        <w:t xml:space="preserve"> available, (entrapment, age&gt;55 and bleeding disorder), was also assessed.</w:t>
      </w:r>
    </w:p>
    <w:p w:rsidR="00EB5320" w:rsidRPr="00C806D0" w:rsidRDefault="00EB5320" w:rsidP="00EB5320"/>
    <w:p w:rsidR="00EB5320" w:rsidRPr="00C806D0" w:rsidRDefault="00EB5320" w:rsidP="00EB5320">
      <w:r w:rsidRPr="00C806D0">
        <w:t>The primary reference standard could include relatively unimportant AIS=3 brain injuries, and exclude cases with multiple low severity brain lesions which could combine to represent significant injury overall. A further sensitivity analysis was therefore conducted using a modified reference standard of any brain AIS≥4, or ISS≥16 from only the recorded brain injuries, or any neurosurgical procedure (including ICP monitoring). Furthermore, patients without significant TBI may have sustained other non-head major trauma which could benefit from bypass with early specialist care. In a further analysis the results were therefore recalculated using the original triage rules and a modified reference standard including ISS≥16 or intensive care admission; in addition to brain AIS≥3 and any neurosurgical procedure. This ISS threshold is consistent with accepted classifications of major trauma,</w:t>
      </w:r>
      <w:r w:rsidRPr="00C806D0">
        <w:rPr>
          <w:noProof/>
          <w:vertAlign w:val="superscript"/>
        </w:rPr>
        <w:t>[</w:t>
      </w:r>
      <w:r w:rsidR="006D4D62" w:rsidRPr="00C806D0">
        <w:rPr>
          <w:noProof/>
          <w:vertAlign w:val="superscript"/>
        </w:rPr>
        <w:t>2</w:t>
      </w:r>
      <w:r w:rsidRPr="00C806D0">
        <w:rPr>
          <w:noProof/>
          <w:vertAlign w:val="superscript"/>
        </w:rPr>
        <w:t>]</w:t>
      </w:r>
      <w:r w:rsidRPr="00C806D0">
        <w:t xml:space="preserve"> including the definition used by English trauma systems,</w:t>
      </w:r>
      <w:r w:rsidRPr="00C806D0">
        <w:rPr>
          <w:noProof/>
          <w:vertAlign w:val="superscript"/>
        </w:rPr>
        <w:t>[</w:t>
      </w:r>
      <w:r w:rsidR="006D4D62" w:rsidRPr="00C806D0">
        <w:rPr>
          <w:noProof/>
          <w:vertAlign w:val="superscript"/>
        </w:rPr>
        <w:t>3</w:t>
      </w:r>
      <w:r w:rsidRPr="00C806D0">
        <w:rPr>
          <w:noProof/>
          <w:vertAlign w:val="superscript"/>
        </w:rPr>
        <w:t>]</w:t>
      </w:r>
      <w:r w:rsidRPr="00C806D0">
        <w:t xml:space="preserve"> and is compatible with similar studies in this field. </w:t>
      </w:r>
    </w:p>
    <w:p w:rsidR="00EB5320" w:rsidRPr="00C806D0" w:rsidRDefault="00EB5320" w:rsidP="00EB5320"/>
    <w:p w:rsidR="00EB5320" w:rsidRPr="00C806D0" w:rsidRDefault="00EB5320" w:rsidP="00EB5320">
      <w:r w:rsidRPr="00C806D0">
        <w:lastRenderedPageBreak/>
        <w:t>Finally, multiple imputation was performed to account for missing data, assuming a missing at random mechanism, with primary analyses repeated.</w:t>
      </w:r>
      <w:r w:rsidRPr="00C806D0">
        <w:rPr>
          <w:noProof/>
          <w:vertAlign w:val="superscript"/>
        </w:rPr>
        <w:t>[</w:t>
      </w:r>
      <w:r w:rsidR="006D4D62" w:rsidRPr="00C806D0">
        <w:rPr>
          <w:noProof/>
          <w:vertAlign w:val="superscript"/>
        </w:rPr>
        <w:t>1</w:t>
      </w:r>
      <w:r w:rsidRPr="00C806D0">
        <w:rPr>
          <w:noProof/>
          <w:vertAlign w:val="superscript"/>
        </w:rPr>
        <w:t>]</w:t>
      </w:r>
      <w:r w:rsidRPr="00C806D0">
        <w:t xml:space="preserve">  Missing data mechanisms and full technical details of the multiple imputation technique are now described in detail.</w:t>
      </w:r>
    </w:p>
    <w:p w:rsidR="00EB5320" w:rsidRPr="00C806D0" w:rsidRDefault="00EB5320" w:rsidP="00EB5320">
      <w:pPr>
        <w:pStyle w:val="Heading4"/>
      </w:pPr>
      <w:r w:rsidRPr="00C806D0">
        <w:t>Missing Data and multiple imputation</w:t>
      </w:r>
    </w:p>
    <w:p w:rsidR="00EB5320" w:rsidRPr="00C806D0" w:rsidRDefault="00EB5320" w:rsidP="00EB5320">
      <w:r w:rsidRPr="00C806D0">
        <w:t>Missing data is conventionally classified according to the framework developed by Little and Rubin.</w:t>
      </w:r>
      <w:r w:rsidRPr="00C806D0">
        <w:rPr>
          <w:noProof/>
          <w:vertAlign w:val="superscript"/>
        </w:rPr>
        <w:t>[</w:t>
      </w:r>
      <w:r w:rsidR="006D4D62" w:rsidRPr="00C806D0">
        <w:rPr>
          <w:noProof/>
          <w:vertAlign w:val="superscript"/>
        </w:rPr>
        <w:t>1</w:t>
      </w:r>
      <w:r w:rsidRPr="00C806D0">
        <w:rPr>
          <w:noProof/>
          <w:vertAlign w:val="superscript"/>
        </w:rPr>
        <w:t>]</w:t>
      </w:r>
      <w:r w:rsidRPr="00C806D0">
        <w:t xml:space="preserve"> This approach defines the mechanism for data missingness according to the relationship between the probability that data is missing for a variable and the values of other observed data:</w:t>
      </w:r>
    </w:p>
    <w:p w:rsidR="00EB5320" w:rsidRPr="00C806D0" w:rsidRDefault="00EB5320" w:rsidP="00EB5320"/>
    <w:p w:rsidR="00EB5320" w:rsidRPr="00C806D0" w:rsidRDefault="00EB5320" w:rsidP="00550C9C">
      <w:pPr>
        <w:pStyle w:val="ListParagraph"/>
        <w:numPr>
          <w:ilvl w:val="0"/>
          <w:numId w:val="14"/>
        </w:numPr>
      </w:pPr>
      <w:r w:rsidRPr="00C806D0">
        <w:t>In data that is ‘missing completely at random’ the probability that data is missing is independent of the value of any observed or unobserved variable, including the level of the variable in question. Consequently there are no systematic differences between cases with observed and missing data, and complete cases are a random subset of all study participants. As the probability that data is missing for a given variable will often be influenced by other demographic, clinical or treatment characteristics this mechanism is unlikely in clinical settings.</w:t>
      </w:r>
    </w:p>
    <w:p w:rsidR="00EB5320" w:rsidRPr="00C806D0" w:rsidRDefault="00EB5320" w:rsidP="00EB5320">
      <w:pPr>
        <w:pStyle w:val="ListParagraph"/>
        <w:ind w:left="757"/>
      </w:pPr>
    </w:p>
    <w:p w:rsidR="00EB5320" w:rsidRPr="00C806D0" w:rsidRDefault="00EB5320" w:rsidP="00550C9C">
      <w:pPr>
        <w:pStyle w:val="ListParagraph"/>
        <w:numPr>
          <w:ilvl w:val="0"/>
          <w:numId w:val="14"/>
        </w:numPr>
      </w:pPr>
      <w:r w:rsidRPr="00C806D0">
        <w:t xml:space="preserve"> ‘Missing at random’ is formally defined as ‘the probability that data is missing is </w:t>
      </w:r>
      <w:r w:rsidRPr="00C806D0">
        <w:rPr>
          <w:i/>
        </w:rPr>
        <w:t xml:space="preserve">not </w:t>
      </w:r>
      <w:r w:rsidRPr="00C806D0">
        <w:t>dependent on unobserved data, conditional on the observed data’.</w:t>
      </w:r>
      <w:r w:rsidRPr="00C806D0">
        <w:rPr>
          <w:noProof/>
          <w:vertAlign w:val="superscript"/>
        </w:rPr>
        <w:t>[</w:t>
      </w:r>
      <w:r w:rsidR="006D4D62" w:rsidRPr="00C806D0">
        <w:rPr>
          <w:noProof/>
          <w:vertAlign w:val="superscript"/>
        </w:rPr>
        <w:t>1</w:t>
      </w:r>
      <w:r w:rsidRPr="00C806D0">
        <w:rPr>
          <w:noProof/>
          <w:vertAlign w:val="superscript"/>
        </w:rPr>
        <w:t>]</w:t>
      </w:r>
      <w:r w:rsidRPr="00C806D0">
        <w:t xml:space="preserve"> Systematic differences in the true value of a given variable between cases with missing and complete data can therefore be explained by differences in the level of other observed variables. For example missing prehospital values for systolic blood pressure could plausibly arise from a ‘scoop and run’ approach by paramedics, with little time to record measurements in severely injured patients. Cases with low blood pressure values would therefore tend to have a higher probability of missing values as ISS increased. However, within each level of injury severity missingness in systolic blood pressure is completely random and there will be no systematic differences in the true measurements between such cases with or without recorded values.</w:t>
      </w:r>
    </w:p>
    <w:p w:rsidR="00EB5320" w:rsidRPr="00C806D0" w:rsidRDefault="00EB5320" w:rsidP="00EB5320">
      <w:pPr>
        <w:pStyle w:val="ListParagraph"/>
      </w:pPr>
    </w:p>
    <w:p w:rsidR="00EB5320" w:rsidRPr="00C806D0" w:rsidRDefault="00EB5320" w:rsidP="00550C9C">
      <w:pPr>
        <w:pStyle w:val="ListParagraph"/>
        <w:numPr>
          <w:ilvl w:val="0"/>
          <w:numId w:val="14"/>
        </w:numPr>
      </w:pPr>
      <w:r w:rsidRPr="00C806D0">
        <w:t xml:space="preserve">‘Missing not at random’ occurs where ‘the probability of data being missing </w:t>
      </w:r>
      <w:r w:rsidRPr="00C806D0">
        <w:rPr>
          <w:i/>
        </w:rPr>
        <w:t xml:space="preserve">does </w:t>
      </w:r>
      <w:r w:rsidRPr="00C806D0">
        <w:t>depend on unobserved data, conditional on the observed data’.</w:t>
      </w:r>
      <w:r w:rsidRPr="00C806D0">
        <w:rPr>
          <w:noProof/>
          <w:vertAlign w:val="superscript"/>
        </w:rPr>
        <w:t>[</w:t>
      </w:r>
      <w:r w:rsidR="006D4D62" w:rsidRPr="00C806D0">
        <w:rPr>
          <w:noProof/>
          <w:vertAlign w:val="superscript"/>
        </w:rPr>
        <w:t>1</w:t>
      </w:r>
      <w:r w:rsidRPr="00C806D0">
        <w:rPr>
          <w:noProof/>
          <w:vertAlign w:val="superscript"/>
        </w:rPr>
        <w:t>]</w:t>
      </w:r>
      <w:r w:rsidRPr="00C806D0">
        <w:t xml:space="preserve"> Consequently, even after controlling for the levels of other known data fields there are systematic differences in the true value of a given variable between cases with and without missing values. Extending the previous example, there may be other unmeasured or </w:t>
      </w:r>
      <w:r w:rsidRPr="00C806D0">
        <w:lastRenderedPageBreak/>
        <w:t>unknown factors which influence the probability of prehospital blood pressure values being missing. It is possible that sphygmomanometers don’t work as well at low blood pressures and the probability of missingness in this variable will therefore depend on the unknowable missing value of the blood pressure itself, or factors associated with lower blood pressure readings (e.g. antihypertensives, heart failure or other comorbidities) which may not be recorded in the dataset.</w:t>
      </w:r>
    </w:p>
    <w:p w:rsidR="00EB5320" w:rsidRPr="00C806D0" w:rsidRDefault="00EB5320" w:rsidP="00EB5320">
      <w:r w:rsidRPr="00C806D0">
        <w:t>If there are differences apparent in the characteristics of cases with and without missing data then a missing completely at random mechanism can be ruled out. However, as the true values of incomplete variables are unknowable it is not possible to distinguish between missing at random and missing not at random mechanisms by examination of the observed data alone. List-wise deletion of cases with data missing at random, or missing not at random, will result in a complete case sample that is not representative of the true complete sample, introducing a serious risk of selection bias with consequent type I or II errors. Additionally the exclusion of cases will result in loss of statistical power.</w:t>
      </w:r>
      <w:r w:rsidRPr="00C806D0">
        <w:rPr>
          <w:noProof/>
          <w:vertAlign w:val="superscript"/>
        </w:rPr>
        <w:t>[</w:t>
      </w:r>
      <w:r w:rsidR="006D4D62" w:rsidRPr="00C806D0">
        <w:rPr>
          <w:noProof/>
          <w:vertAlign w:val="superscript"/>
        </w:rPr>
        <w:t>1</w:t>
      </w:r>
      <w:r w:rsidRPr="00C806D0">
        <w:rPr>
          <w:noProof/>
          <w:vertAlign w:val="superscript"/>
        </w:rPr>
        <w:t>]</w:t>
      </w:r>
    </w:p>
    <w:p w:rsidR="00EB5320" w:rsidRPr="00C806D0" w:rsidRDefault="00EB5320" w:rsidP="00EB5320"/>
    <w:p w:rsidR="00EB5320" w:rsidRPr="00C806D0" w:rsidRDefault="00EB5320" w:rsidP="00EB5320">
      <w:r w:rsidRPr="00C806D0">
        <w:t>Multiple imputation is a statistical technique which can be used to account for missing data, assuming incomplete data is missing at random.</w:t>
      </w:r>
      <w:r w:rsidRPr="00C806D0">
        <w:rPr>
          <w:noProof/>
          <w:vertAlign w:val="superscript"/>
        </w:rPr>
        <w:t>[</w:t>
      </w:r>
      <w:r w:rsidR="006D4D62" w:rsidRPr="00C806D0">
        <w:rPr>
          <w:noProof/>
          <w:vertAlign w:val="superscript"/>
        </w:rPr>
        <w:t>4</w:t>
      </w:r>
      <w:r w:rsidRPr="00C806D0">
        <w:rPr>
          <w:noProof/>
          <w:vertAlign w:val="superscript"/>
        </w:rPr>
        <w:t>]</w:t>
      </w:r>
      <w:r w:rsidRPr="00C806D0">
        <w:t xml:space="preserve"> This approach simulates multiple complete datasets which contain plausible values for the missing data, predicted using statistical imputation models including other observed variables. A random element is incorporated to reflect the uncertainty of these conjectural estimates. Results are calculated separately for each imputed dataset by standard methods and are then combined using ‘Rubin’s’ rules that compute a final point estimates for parameters of interest with an appropriate variance.</w:t>
      </w:r>
      <w:r w:rsidRPr="00C806D0">
        <w:rPr>
          <w:noProof/>
          <w:vertAlign w:val="superscript"/>
        </w:rPr>
        <w:t>[</w:t>
      </w:r>
      <w:r w:rsidR="006D4D62" w:rsidRPr="00C806D0">
        <w:rPr>
          <w:noProof/>
          <w:vertAlign w:val="superscript"/>
        </w:rPr>
        <w:t>5</w:t>
      </w:r>
      <w:r w:rsidRPr="00C806D0">
        <w:rPr>
          <w:noProof/>
          <w:vertAlign w:val="superscript"/>
        </w:rPr>
        <w:t>]</w:t>
      </w:r>
      <w:r w:rsidRPr="00C806D0">
        <w:t xml:space="preserve"> This combination of results accounts for the uncertainty in the missing data within and between the imputed datasets. If </w:t>
      </w:r>
      <w:r w:rsidR="00335B1F" w:rsidRPr="00C806D0">
        <w:t>data were</w:t>
      </w:r>
      <w:r w:rsidRPr="00C806D0">
        <w:t xml:space="preserve"> missing completely at random conditional on variables included in the imputation model (i.e. a ‘missing at random’ mechanism), the selection bias that would have arisen from complete case analyses will be removed in the simulated datasets and valid results will be obtained. </w:t>
      </w:r>
    </w:p>
    <w:p w:rsidR="00EB5320" w:rsidRPr="00C806D0" w:rsidRDefault="00EB5320" w:rsidP="00EB5320"/>
    <w:p w:rsidR="00EB5320" w:rsidRPr="00C806D0" w:rsidRDefault="00EB5320" w:rsidP="00EB5320">
      <w:r w:rsidRPr="00C806D0">
        <w:t>Multiple imputation is grounded in Bayesian theory, with imputed values randomly sampled from the posterior predictive distribution of the missing data, conditional on the observed data.</w:t>
      </w:r>
      <w:r w:rsidRPr="00C806D0">
        <w:rPr>
          <w:noProof/>
          <w:vertAlign w:val="superscript"/>
        </w:rPr>
        <w:t>[</w:t>
      </w:r>
      <w:r w:rsidR="006D4D62" w:rsidRPr="00C806D0">
        <w:rPr>
          <w:noProof/>
          <w:vertAlign w:val="superscript"/>
        </w:rPr>
        <w:t>5</w:t>
      </w:r>
      <w:r w:rsidRPr="00C806D0">
        <w:rPr>
          <w:noProof/>
          <w:vertAlign w:val="superscript"/>
        </w:rPr>
        <w:t>]</w:t>
      </w:r>
      <w:r w:rsidRPr="00C806D0">
        <w:t xml:space="preserve"> This is achieved by developing an imputation model that regresses incomplete variables on a set of variables with complete data. Alternatively, the </w:t>
      </w:r>
      <w:r w:rsidRPr="00C806D0">
        <w:rPr>
          <w:i/>
        </w:rPr>
        <w:t>ad hoc</w:t>
      </w:r>
      <w:r w:rsidRPr="00C806D0">
        <w:t xml:space="preserve"> method of predictive mean matching can be used, where missing values are conditionally sampled only from observed values of the incomplete variable.</w:t>
      </w:r>
      <w:r w:rsidRPr="00C806D0">
        <w:rPr>
          <w:noProof/>
          <w:vertAlign w:val="superscript"/>
        </w:rPr>
        <w:t>[</w:t>
      </w:r>
      <w:r w:rsidR="006D4D62" w:rsidRPr="00C806D0">
        <w:rPr>
          <w:noProof/>
          <w:vertAlign w:val="superscript"/>
        </w:rPr>
        <w:t>6</w:t>
      </w:r>
      <w:r w:rsidRPr="00C806D0">
        <w:rPr>
          <w:noProof/>
          <w:vertAlign w:val="superscript"/>
        </w:rPr>
        <w:t>]</w:t>
      </w:r>
    </w:p>
    <w:p w:rsidR="00EB5320" w:rsidRPr="00C806D0" w:rsidRDefault="00EB5320" w:rsidP="00EB5320"/>
    <w:p w:rsidR="00EB5320" w:rsidRPr="00C806D0" w:rsidRDefault="00EB5320" w:rsidP="00EB5320">
      <w:r w:rsidRPr="00C806D0">
        <w:t xml:space="preserve"> In large datasets there is commonly missing data in a range of variables and multiple imputation with chained equation (also known as fully conditional specification or sequential regression multivariate imputation) is a method for generating imputed datasets in the presence of manifold incomplete data fields.</w:t>
      </w:r>
      <w:r w:rsidRPr="00C806D0">
        <w:rPr>
          <w:noProof/>
          <w:vertAlign w:val="superscript"/>
        </w:rPr>
        <w:t>[</w:t>
      </w:r>
      <w:r w:rsidR="006D4D62" w:rsidRPr="00C806D0">
        <w:rPr>
          <w:noProof/>
          <w:vertAlign w:val="superscript"/>
        </w:rPr>
        <w:t>7</w:t>
      </w:r>
      <w:r w:rsidRPr="00C806D0">
        <w:rPr>
          <w:noProof/>
          <w:vertAlign w:val="superscript"/>
        </w:rPr>
        <w:t>]</w:t>
      </w:r>
      <w:r w:rsidRPr="00C806D0">
        <w:t xml:space="preserve"> Firstly imputation models are specified for each data field with missing data, including variables which could predict the value of the missing data, or predict the probability that the data is missing. Secondly, missing values for each incomplete variable are replaced by random draws, with replacement, from its observed values. Thirdly, an initial variable with missing data is regressed on the other variables included in its imputation model. This regression is restricted to cases with complete data in the dependent variable but includes simulated and observed data for the explanatory variables as necessary. Fourthly, missing values in the initial variable are replaced by random ‘monte carlo’ draws from the predictive posterior distribution computed by the imputation regression model. Fifthly, steps three and four are repeated for the next variable with missing data, but including the imputed values of the initial variable if included in the imputation model. Sixthly, this process is repeated for all the variables with missing data to complete a single cycle of chained equations. To ensure stable results are achieved multiple cycles are repeated in the seventh step, to achieve a final single imputed dataset.</w:t>
      </w:r>
      <w:r w:rsidRPr="00C806D0">
        <w:rPr>
          <w:noProof/>
          <w:vertAlign w:val="superscript"/>
        </w:rPr>
        <w:t>[</w:t>
      </w:r>
      <w:r w:rsidR="006D4D62" w:rsidRPr="00C806D0">
        <w:rPr>
          <w:noProof/>
          <w:vertAlign w:val="superscript"/>
        </w:rPr>
        <w:t>6</w:t>
      </w:r>
      <w:r w:rsidRPr="00C806D0">
        <w:rPr>
          <w:noProof/>
          <w:vertAlign w:val="superscript"/>
        </w:rPr>
        <w:t>]</w:t>
      </w:r>
      <w:r w:rsidRPr="00C806D0">
        <w:t xml:space="preserve"> Lastly the whole process is repeated as many times as required to achieve the requisite number of imputed datasets. Five imputed data sets are customarily recommended to provide valid results, based on theoretical grounds and simulation experiments.</w:t>
      </w:r>
      <w:r w:rsidRPr="00C806D0">
        <w:rPr>
          <w:noProof/>
          <w:vertAlign w:val="superscript"/>
        </w:rPr>
        <w:t>[</w:t>
      </w:r>
      <w:r w:rsidR="006D4D62" w:rsidRPr="00C806D0">
        <w:rPr>
          <w:noProof/>
          <w:vertAlign w:val="superscript"/>
        </w:rPr>
        <w:t>1</w:t>
      </w:r>
      <w:r w:rsidRPr="00C806D0">
        <w:rPr>
          <w:noProof/>
          <w:vertAlign w:val="superscript"/>
        </w:rPr>
        <w:t xml:space="preserve">, </w:t>
      </w:r>
      <w:r w:rsidR="006D4D62" w:rsidRPr="00C806D0">
        <w:rPr>
          <w:noProof/>
          <w:vertAlign w:val="superscript"/>
        </w:rPr>
        <w:t>7</w:t>
      </w:r>
      <w:r w:rsidRPr="00C806D0">
        <w:rPr>
          <w:noProof/>
          <w:vertAlign w:val="superscript"/>
        </w:rPr>
        <w:t xml:space="preserve">, </w:t>
      </w:r>
      <w:r w:rsidR="006D4D62" w:rsidRPr="00C806D0">
        <w:rPr>
          <w:noProof/>
          <w:vertAlign w:val="superscript"/>
        </w:rPr>
        <w:t>8</w:t>
      </w:r>
      <w:r w:rsidRPr="00C806D0">
        <w:rPr>
          <w:noProof/>
          <w:vertAlign w:val="superscript"/>
        </w:rPr>
        <w:t>]</w:t>
      </w:r>
    </w:p>
    <w:p w:rsidR="00EB5320" w:rsidRPr="00C806D0" w:rsidRDefault="00EB5320" w:rsidP="00EB5320"/>
    <w:p w:rsidR="00EB5320" w:rsidRPr="00C806D0" w:rsidRDefault="00EB5320" w:rsidP="00EB5320">
      <w:r w:rsidRPr="00C806D0">
        <w:t xml:space="preserve">Multiple imputation was performed using chained equations using the </w:t>
      </w:r>
      <w:r w:rsidRPr="00C806D0">
        <w:rPr>
          <w:i/>
        </w:rPr>
        <w:t xml:space="preserve">ice </w:t>
      </w:r>
      <w:r w:rsidRPr="00C806D0">
        <w:t xml:space="preserve">procedure in Stata version 12.1 (StataCorp, College Station, USA). An inclusive and comprehensive strategy was adopted to develop imputation models for each incomplete variable in order to increase the plausibility of the missing at random assumption. The reference standard, all triage variables, and any possible auxiliary data fields from the TARN dataset that might predict missingness in studied variables or the value of the incomplete variable were included. The following categories of auxiliary variables were considered: demographic characteristics, EMS interval, emergency department vital signs, incident features e.g. vehicular entrapment, inter-hospital transfer status, and clinical interventions. </w:t>
      </w:r>
    </w:p>
    <w:p w:rsidR="00EB5320" w:rsidRPr="00C806D0" w:rsidRDefault="00EB5320" w:rsidP="00EB5320"/>
    <w:p w:rsidR="00EB5320" w:rsidRPr="00C806D0" w:rsidRDefault="00EB5320" w:rsidP="00EB5320">
      <w:r w:rsidRPr="00C806D0">
        <w:t xml:space="preserve">The distribution of continuous variables was checked visually using histograms. Linear regression was used for normally distributed continuous variables and predictive mean matching used in the event of non-normality. Interval limits were used to prevent clinically </w:t>
      </w:r>
      <w:r w:rsidRPr="00C806D0">
        <w:lastRenderedPageBreak/>
        <w:t>implausible outlying imputations. Logistic and proportional odds regressions were used for the imputation models of binary and ordinal variables respectively. Categorical explanatory variables were included using a set of dummy variables. Marginal estimates were of interest in the analyses and interactions were therefore not considered in imputation models.</w:t>
      </w:r>
    </w:p>
    <w:p w:rsidR="00EB5320" w:rsidRPr="00C806D0" w:rsidRDefault="00EB5320" w:rsidP="00EB5320"/>
    <w:p w:rsidR="00EB5320" w:rsidRPr="00C806D0" w:rsidRDefault="00EB5320" w:rsidP="00EB5320">
      <w:r w:rsidRPr="00C806D0">
        <w:t xml:space="preserve">The extent of missing data was initially examined descriptively on a case-wise and variable-wise basis. The characteristics of included cases was also </w:t>
      </w:r>
      <w:r w:rsidR="00335B1F" w:rsidRPr="00C806D0">
        <w:t>compared with</w:t>
      </w:r>
      <w:r w:rsidRPr="00C806D0">
        <w:t xml:space="preserve"> cases excluded using summary statistics and hypothesis testing, according to the principles described previously. Five sets of imputed data were generated and imputations were checked for consistency and plausibility by visually comparing distributions of complete and imputed data, and examining summary statistics. The Stata </w:t>
      </w:r>
      <w:r w:rsidRPr="00C806D0">
        <w:rPr>
          <w:i/>
        </w:rPr>
        <w:t xml:space="preserve">mim </w:t>
      </w:r>
      <w:r w:rsidRPr="00C806D0">
        <w:t>command was subsequently used to calculate triage rule sensitivity and specificity, combining results from imputed data sets according to Rubin’s rules.</w:t>
      </w:r>
      <w:r w:rsidRPr="00C806D0">
        <w:rPr>
          <w:noProof/>
          <w:vertAlign w:val="superscript"/>
        </w:rPr>
        <w:t>[</w:t>
      </w:r>
      <w:r w:rsidR="006D4D62" w:rsidRPr="00C806D0">
        <w:rPr>
          <w:noProof/>
          <w:vertAlign w:val="superscript"/>
        </w:rPr>
        <w:t>1</w:t>
      </w:r>
      <w:r w:rsidRPr="00C806D0">
        <w:rPr>
          <w:noProof/>
          <w:vertAlign w:val="superscript"/>
        </w:rPr>
        <w:t>]</w:t>
      </w:r>
    </w:p>
    <w:p w:rsidR="00EB5320" w:rsidRPr="00C806D0" w:rsidRDefault="00EB5320" w:rsidP="00EB5320">
      <w:pPr>
        <w:pStyle w:val="Heading3"/>
      </w:pPr>
      <w:r w:rsidRPr="00C806D0">
        <w:t>Additional results</w:t>
      </w:r>
    </w:p>
    <w:p w:rsidR="00EB5320" w:rsidRPr="00C806D0" w:rsidRDefault="00EB5320" w:rsidP="00EB5320">
      <w:pPr>
        <w:pStyle w:val="Heading4"/>
      </w:pPr>
      <w:r w:rsidRPr="00C806D0">
        <w:t>Missing data and multiple imputation</w:t>
      </w:r>
    </w:p>
    <w:p w:rsidR="00EB5320" w:rsidRPr="00C806D0" w:rsidRDefault="00EB5320" w:rsidP="00EB5320">
      <w:r w:rsidRPr="00C806D0">
        <w:t xml:space="preserve">Data for demographic and injury variables included in the core TARN data set, were complete. However, there were marked levels of missing data for physiological and clinical variables recorded in the core or extended TARN data set. The extent of missing data for these variables varied from 49.9% for </w:t>
      </w:r>
      <w:r w:rsidR="002A16B4" w:rsidRPr="00C806D0">
        <w:t>prehospital</w:t>
      </w:r>
      <w:r w:rsidRPr="00C806D0">
        <w:t xml:space="preserve"> airway status to 22.9% for prehospital GCS score. Table C1 summarises data completeness for important variables. Case-wise missingness is summarised in Table C2, and varied from 63.2% of cases having no missing data on any variable to 20.3% of cases missing data on five or more clinical or physiological variables necessary for calculation of diagnostic accuracy metrics. Missing data demonstrated a non-monotone pattern. </w:t>
      </w:r>
    </w:p>
    <w:p w:rsidR="00EB5320" w:rsidRPr="00C806D0" w:rsidRDefault="00EB5320" w:rsidP="00EB5320"/>
    <w:p w:rsidR="00EB5320" w:rsidRPr="00C806D0" w:rsidRDefault="00EB5320" w:rsidP="00EB5320">
      <w:r w:rsidRPr="00C806D0">
        <w:t>Patients excluded due to missing triage rule parameters had similar characteristics to included patients, but several variables showed statistically significant differences, demonstrating that data were not missing completely at random. Notably, patients with missing data were younger (51.7 v 55.1 years, p&lt;0.01), less severely injured (ISS 17 v 20, p&lt;0.01), and had lower mortality (17.0 v 20.3, p&lt;0.01). Other variables did not differ to a clinically significant extent. Patient characteristics between included and excluded patients are summarised in Table C3. Patients excluded due to unknown mode of transport were slightly less severely injured (median ISS 17 v 20) and had lower mortality (13% v 20%), p&lt;0.01. There were no other clinically or statistically significant differences observed, as shown in Table C4.</w:t>
      </w:r>
    </w:p>
    <w:p w:rsidR="00EB5320" w:rsidRPr="00C806D0" w:rsidRDefault="00EB5320" w:rsidP="00EB5320">
      <w:pPr>
        <w:rPr>
          <w:b/>
        </w:rPr>
      </w:pPr>
    </w:p>
    <w:p w:rsidR="00EB5320" w:rsidRPr="00C806D0" w:rsidRDefault="00EB5320" w:rsidP="00EB5320">
      <w:pPr>
        <w:rPr>
          <w:b/>
        </w:rPr>
      </w:pPr>
      <w:r w:rsidRPr="00C806D0">
        <w:rPr>
          <w:b/>
        </w:rPr>
        <w:lastRenderedPageBreak/>
        <w:t>Table C1. Data completeness for important variables in patients directly admitted by land ambulance to TARN hospitals.</w:t>
      </w:r>
    </w:p>
    <w:tbl>
      <w:tblPr>
        <w:tblW w:w="3322" w:type="pct"/>
        <w:jc w:val="center"/>
        <w:tblCellMar>
          <w:left w:w="0" w:type="dxa"/>
          <w:right w:w="0" w:type="dxa"/>
        </w:tblCellMar>
        <w:tblLook w:val="00A0" w:firstRow="1" w:lastRow="0" w:firstColumn="1" w:lastColumn="0" w:noHBand="0" w:noVBand="0"/>
      </w:tblPr>
      <w:tblGrid>
        <w:gridCol w:w="3163"/>
        <w:gridCol w:w="2583"/>
      </w:tblGrid>
      <w:tr w:rsidR="00EB5320" w:rsidRPr="00C806D0" w:rsidTr="004442E4">
        <w:trPr>
          <w:trHeight w:val="398"/>
          <w:jc w:val="center"/>
        </w:trPr>
        <w:tc>
          <w:tcPr>
            <w:tcW w:w="2752" w:type="pct"/>
            <w:tcBorders>
              <w:top w:val="single" w:sz="4" w:space="0" w:color="auto"/>
              <w:bottom w:val="single" w:sz="8" w:space="0" w:color="000000"/>
            </w:tcBorders>
            <w:tcMar>
              <w:top w:w="72" w:type="dxa"/>
              <w:left w:w="144" w:type="dxa"/>
              <w:bottom w:w="72" w:type="dxa"/>
              <w:right w:w="144" w:type="dxa"/>
            </w:tcMar>
          </w:tcPr>
          <w:p w:rsidR="00EB5320" w:rsidRPr="00C806D0" w:rsidRDefault="00EB5320" w:rsidP="004442E4">
            <w:pPr>
              <w:spacing w:line="240" w:lineRule="auto"/>
              <w:rPr>
                <w:b/>
              </w:rPr>
            </w:pPr>
            <w:r w:rsidRPr="00C806D0">
              <w:rPr>
                <w:b/>
              </w:rPr>
              <w:t>Patient characteristic</w:t>
            </w:r>
          </w:p>
        </w:tc>
        <w:tc>
          <w:tcPr>
            <w:tcW w:w="2248" w:type="pct"/>
            <w:tcBorders>
              <w:top w:val="single" w:sz="4" w:space="0" w:color="auto"/>
              <w:left w:val="nil"/>
              <w:bottom w:val="single" w:sz="8" w:space="0" w:color="000000"/>
            </w:tcBorders>
          </w:tcPr>
          <w:p w:rsidR="00EB5320" w:rsidRPr="00C806D0" w:rsidRDefault="00EB5320" w:rsidP="004442E4">
            <w:pPr>
              <w:spacing w:line="240" w:lineRule="auto"/>
              <w:rPr>
                <w:b/>
              </w:rPr>
            </w:pPr>
            <w:r w:rsidRPr="00C806D0">
              <w:rPr>
                <w:b/>
              </w:rPr>
              <w:t>Data completeness</w:t>
            </w:r>
          </w:p>
          <w:p w:rsidR="00EB5320" w:rsidRPr="00C806D0" w:rsidRDefault="00EB5320" w:rsidP="004442E4">
            <w:pPr>
              <w:spacing w:line="240" w:lineRule="auto"/>
              <w:rPr>
                <w:b/>
              </w:rPr>
            </w:pPr>
            <w:r w:rsidRPr="00C806D0">
              <w:rPr>
                <w:b/>
              </w:rPr>
              <w:t>(n, %)</w:t>
            </w:r>
          </w:p>
        </w:tc>
      </w:tr>
      <w:tr w:rsidR="00EB5320" w:rsidRPr="00C806D0" w:rsidTr="004442E4">
        <w:trPr>
          <w:trHeight w:val="236"/>
          <w:jc w:val="center"/>
        </w:trPr>
        <w:tc>
          <w:tcPr>
            <w:tcW w:w="2752" w:type="pct"/>
            <w:tcMar>
              <w:top w:w="72" w:type="dxa"/>
              <w:left w:w="144" w:type="dxa"/>
              <w:bottom w:w="72" w:type="dxa"/>
              <w:right w:w="144" w:type="dxa"/>
            </w:tcMar>
          </w:tcPr>
          <w:p w:rsidR="00EB5320" w:rsidRPr="00C806D0" w:rsidRDefault="00EB5320" w:rsidP="004442E4">
            <w:pPr>
              <w:spacing w:line="240" w:lineRule="auto"/>
            </w:pPr>
            <w:r w:rsidRPr="00C806D0">
              <w:t xml:space="preserve">Age </w:t>
            </w:r>
          </w:p>
        </w:tc>
        <w:tc>
          <w:tcPr>
            <w:tcW w:w="2248" w:type="pct"/>
            <w:tcBorders>
              <w:left w:val="nil"/>
            </w:tcBorders>
          </w:tcPr>
          <w:p w:rsidR="00EB5320" w:rsidRPr="00C806D0" w:rsidRDefault="00EB5320" w:rsidP="004442E4">
            <w:pPr>
              <w:spacing w:line="240" w:lineRule="auto"/>
            </w:pPr>
            <w:r w:rsidRPr="00C806D0">
              <w:t>14,293 (100%)</w:t>
            </w:r>
          </w:p>
        </w:tc>
      </w:tr>
      <w:tr w:rsidR="00EB5320" w:rsidRPr="00C806D0" w:rsidTr="004442E4">
        <w:trPr>
          <w:trHeight w:val="286"/>
          <w:jc w:val="center"/>
        </w:trPr>
        <w:tc>
          <w:tcPr>
            <w:tcW w:w="2752" w:type="pct"/>
            <w:tcMar>
              <w:top w:w="72" w:type="dxa"/>
              <w:left w:w="144" w:type="dxa"/>
              <w:bottom w:w="72" w:type="dxa"/>
              <w:right w:w="144" w:type="dxa"/>
            </w:tcMar>
          </w:tcPr>
          <w:p w:rsidR="00EB5320" w:rsidRPr="00C806D0" w:rsidRDefault="00EB5320" w:rsidP="004442E4">
            <w:pPr>
              <w:spacing w:line="240" w:lineRule="auto"/>
            </w:pPr>
            <w:r w:rsidRPr="00C806D0">
              <w:t>Gender</w:t>
            </w:r>
          </w:p>
        </w:tc>
        <w:tc>
          <w:tcPr>
            <w:tcW w:w="2248" w:type="pct"/>
            <w:tcBorders>
              <w:left w:val="nil"/>
            </w:tcBorders>
          </w:tcPr>
          <w:p w:rsidR="00EB5320" w:rsidRPr="00C806D0" w:rsidRDefault="00EB5320" w:rsidP="004442E4">
            <w:pPr>
              <w:spacing w:line="240" w:lineRule="auto"/>
            </w:pPr>
            <w:r w:rsidRPr="00C806D0">
              <w:t>14,293 (100%)</w:t>
            </w:r>
          </w:p>
        </w:tc>
      </w:tr>
      <w:tr w:rsidR="00EB5320" w:rsidRPr="00C806D0" w:rsidTr="004442E4">
        <w:trPr>
          <w:trHeight w:val="233"/>
          <w:jc w:val="center"/>
        </w:trPr>
        <w:tc>
          <w:tcPr>
            <w:tcW w:w="2752" w:type="pct"/>
            <w:tcMar>
              <w:top w:w="72" w:type="dxa"/>
              <w:left w:w="144" w:type="dxa"/>
              <w:bottom w:w="72" w:type="dxa"/>
              <w:right w:w="144" w:type="dxa"/>
            </w:tcMar>
          </w:tcPr>
          <w:p w:rsidR="00EB5320" w:rsidRPr="00C806D0" w:rsidRDefault="00EB5320" w:rsidP="004442E4">
            <w:pPr>
              <w:spacing w:line="240" w:lineRule="auto"/>
            </w:pPr>
            <w:r w:rsidRPr="00C806D0">
              <w:t>Prehospital airway status</w:t>
            </w:r>
          </w:p>
        </w:tc>
        <w:tc>
          <w:tcPr>
            <w:tcW w:w="2248" w:type="pct"/>
            <w:tcBorders>
              <w:left w:val="nil"/>
            </w:tcBorders>
            <w:vAlign w:val="bottom"/>
          </w:tcPr>
          <w:p w:rsidR="00EB5320" w:rsidRPr="00C806D0" w:rsidRDefault="00EB5320" w:rsidP="004442E4">
            <w:pPr>
              <w:spacing w:line="240" w:lineRule="auto"/>
              <w:rPr>
                <w:color w:val="000000"/>
              </w:rPr>
            </w:pPr>
            <w:r w:rsidRPr="00C806D0">
              <w:rPr>
                <w:color w:val="000000"/>
              </w:rPr>
              <w:t>7,153 (50.1%)</w:t>
            </w:r>
          </w:p>
        </w:tc>
      </w:tr>
      <w:tr w:rsidR="00EB5320" w:rsidRPr="00C806D0" w:rsidTr="004442E4">
        <w:trPr>
          <w:trHeight w:val="233"/>
          <w:jc w:val="center"/>
        </w:trPr>
        <w:tc>
          <w:tcPr>
            <w:tcW w:w="2752" w:type="pct"/>
            <w:tcMar>
              <w:top w:w="72" w:type="dxa"/>
              <w:left w:w="144" w:type="dxa"/>
              <w:bottom w:w="72" w:type="dxa"/>
              <w:right w:w="144" w:type="dxa"/>
            </w:tcMar>
          </w:tcPr>
          <w:p w:rsidR="00EB5320" w:rsidRPr="00C806D0" w:rsidRDefault="00EB5320" w:rsidP="004442E4">
            <w:pPr>
              <w:spacing w:line="240" w:lineRule="auto"/>
            </w:pPr>
            <w:r w:rsidRPr="00C806D0">
              <w:t xml:space="preserve">Prehospital GCS </w:t>
            </w:r>
          </w:p>
        </w:tc>
        <w:tc>
          <w:tcPr>
            <w:tcW w:w="2248" w:type="pct"/>
            <w:tcBorders>
              <w:left w:val="nil"/>
            </w:tcBorders>
            <w:vAlign w:val="bottom"/>
          </w:tcPr>
          <w:p w:rsidR="00EB5320" w:rsidRPr="00C806D0" w:rsidRDefault="00EB5320" w:rsidP="004442E4">
            <w:pPr>
              <w:spacing w:line="240" w:lineRule="auto"/>
              <w:rPr>
                <w:color w:val="000000"/>
              </w:rPr>
            </w:pPr>
            <w:r w:rsidRPr="00C806D0">
              <w:rPr>
                <w:color w:val="000000"/>
              </w:rPr>
              <w:t>11,021 (77.1%)</w:t>
            </w:r>
          </w:p>
        </w:tc>
      </w:tr>
      <w:tr w:rsidR="00EB5320" w:rsidRPr="00C806D0" w:rsidTr="004442E4">
        <w:trPr>
          <w:trHeight w:val="288"/>
          <w:jc w:val="center"/>
        </w:trPr>
        <w:tc>
          <w:tcPr>
            <w:tcW w:w="2752" w:type="pct"/>
            <w:tcMar>
              <w:top w:w="72" w:type="dxa"/>
              <w:left w:w="144" w:type="dxa"/>
              <w:bottom w:w="72" w:type="dxa"/>
              <w:right w:w="144" w:type="dxa"/>
            </w:tcMar>
          </w:tcPr>
          <w:p w:rsidR="00EB5320" w:rsidRPr="00C806D0" w:rsidRDefault="00EB5320" w:rsidP="004442E4">
            <w:pPr>
              <w:spacing w:line="240" w:lineRule="auto"/>
            </w:pPr>
            <w:r w:rsidRPr="00C806D0">
              <w:t xml:space="preserve">Prehospital SBP </w:t>
            </w:r>
          </w:p>
        </w:tc>
        <w:tc>
          <w:tcPr>
            <w:tcW w:w="2248" w:type="pct"/>
            <w:tcBorders>
              <w:left w:val="nil"/>
            </w:tcBorders>
            <w:vAlign w:val="bottom"/>
          </w:tcPr>
          <w:p w:rsidR="00EB5320" w:rsidRPr="00C806D0" w:rsidRDefault="00EB5320" w:rsidP="004442E4">
            <w:pPr>
              <w:spacing w:line="240" w:lineRule="auto"/>
              <w:rPr>
                <w:color w:val="000000"/>
              </w:rPr>
            </w:pPr>
            <w:r w:rsidRPr="00C806D0">
              <w:rPr>
                <w:color w:val="000000"/>
              </w:rPr>
              <w:t>9,862 (69.0%)</w:t>
            </w:r>
          </w:p>
        </w:tc>
      </w:tr>
      <w:tr w:rsidR="00EB5320" w:rsidRPr="00C806D0" w:rsidTr="004442E4">
        <w:trPr>
          <w:trHeight w:val="259"/>
          <w:jc w:val="center"/>
        </w:trPr>
        <w:tc>
          <w:tcPr>
            <w:tcW w:w="2752" w:type="pct"/>
            <w:tcMar>
              <w:top w:w="72" w:type="dxa"/>
              <w:left w:w="144" w:type="dxa"/>
              <w:bottom w:w="72" w:type="dxa"/>
              <w:right w:w="144" w:type="dxa"/>
            </w:tcMar>
          </w:tcPr>
          <w:p w:rsidR="00EB5320" w:rsidRPr="00C806D0" w:rsidRDefault="00EB5320" w:rsidP="004442E4">
            <w:pPr>
              <w:spacing w:line="240" w:lineRule="auto"/>
            </w:pPr>
            <w:r w:rsidRPr="00C806D0">
              <w:t>Prehospital respiratory rate</w:t>
            </w:r>
          </w:p>
        </w:tc>
        <w:tc>
          <w:tcPr>
            <w:tcW w:w="2248" w:type="pct"/>
            <w:tcBorders>
              <w:left w:val="nil"/>
            </w:tcBorders>
            <w:vAlign w:val="bottom"/>
          </w:tcPr>
          <w:p w:rsidR="00EB5320" w:rsidRPr="00C806D0" w:rsidRDefault="00EB5320" w:rsidP="004442E4">
            <w:pPr>
              <w:spacing w:line="240" w:lineRule="auto"/>
              <w:rPr>
                <w:color w:val="000000"/>
              </w:rPr>
            </w:pPr>
            <w:r w:rsidRPr="00C806D0">
              <w:rPr>
                <w:color w:val="000000"/>
              </w:rPr>
              <w:t>10,099 (70.6%)</w:t>
            </w:r>
          </w:p>
        </w:tc>
      </w:tr>
      <w:tr w:rsidR="00EB5320" w:rsidRPr="00C806D0" w:rsidTr="004442E4">
        <w:trPr>
          <w:trHeight w:val="259"/>
          <w:jc w:val="center"/>
        </w:trPr>
        <w:tc>
          <w:tcPr>
            <w:tcW w:w="2752" w:type="pct"/>
            <w:tcMar>
              <w:top w:w="72" w:type="dxa"/>
              <w:left w:w="144" w:type="dxa"/>
              <w:bottom w:w="72" w:type="dxa"/>
              <w:right w:w="144" w:type="dxa"/>
            </w:tcMar>
          </w:tcPr>
          <w:p w:rsidR="00EB5320" w:rsidRPr="00C806D0" w:rsidRDefault="00EB5320" w:rsidP="004442E4">
            <w:pPr>
              <w:spacing w:line="240" w:lineRule="auto"/>
            </w:pPr>
            <w:r w:rsidRPr="00C806D0">
              <w:t>Prehospital hypoxia</w:t>
            </w:r>
          </w:p>
        </w:tc>
        <w:tc>
          <w:tcPr>
            <w:tcW w:w="2248" w:type="pct"/>
            <w:tcBorders>
              <w:left w:val="nil"/>
            </w:tcBorders>
            <w:vAlign w:val="bottom"/>
          </w:tcPr>
          <w:p w:rsidR="00EB5320" w:rsidRPr="00C806D0" w:rsidRDefault="00EB5320" w:rsidP="004442E4">
            <w:pPr>
              <w:spacing w:line="240" w:lineRule="auto"/>
              <w:rPr>
                <w:color w:val="000000"/>
              </w:rPr>
            </w:pPr>
            <w:r w:rsidRPr="00C806D0">
              <w:rPr>
                <w:color w:val="000000"/>
              </w:rPr>
              <w:t>9,025 (63.1%)</w:t>
            </w:r>
          </w:p>
        </w:tc>
      </w:tr>
      <w:tr w:rsidR="00EB5320" w:rsidRPr="00C806D0" w:rsidTr="004442E4">
        <w:trPr>
          <w:trHeight w:val="293"/>
          <w:jc w:val="center"/>
        </w:trPr>
        <w:tc>
          <w:tcPr>
            <w:tcW w:w="2752" w:type="pct"/>
            <w:tcMar>
              <w:top w:w="72" w:type="dxa"/>
              <w:left w:w="144" w:type="dxa"/>
              <w:bottom w:w="72" w:type="dxa"/>
              <w:right w:w="144" w:type="dxa"/>
            </w:tcMar>
          </w:tcPr>
          <w:p w:rsidR="00EB5320" w:rsidRPr="00C806D0" w:rsidRDefault="00EB5320" w:rsidP="004442E4">
            <w:pPr>
              <w:spacing w:line="240" w:lineRule="auto"/>
            </w:pPr>
            <w:r w:rsidRPr="00C806D0">
              <w:t>Anatomical injuries</w:t>
            </w:r>
          </w:p>
        </w:tc>
        <w:tc>
          <w:tcPr>
            <w:tcW w:w="2248" w:type="pct"/>
            <w:tcBorders>
              <w:left w:val="nil"/>
            </w:tcBorders>
          </w:tcPr>
          <w:p w:rsidR="00EB5320" w:rsidRPr="00C806D0" w:rsidRDefault="00EB5320" w:rsidP="004442E4">
            <w:pPr>
              <w:spacing w:line="240" w:lineRule="auto"/>
            </w:pPr>
            <w:r w:rsidRPr="00C806D0">
              <w:t>14,293 (100%)</w:t>
            </w:r>
          </w:p>
        </w:tc>
      </w:tr>
      <w:tr w:rsidR="00EB5320" w:rsidRPr="00C806D0" w:rsidTr="004442E4">
        <w:trPr>
          <w:trHeight w:val="285"/>
          <w:jc w:val="center"/>
        </w:trPr>
        <w:tc>
          <w:tcPr>
            <w:tcW w:w="2752" w:type="pct"/>
            <w:tcMar>
              <w:top w:w="72" w:type="dxa"/>
              <w:left w:w="144" w:type="dxa"/>
              <w:bottom w:w="72" w:type="dxa"/>
              <w:right w:w="144" w:type="dxa"/>
            </w:tcMar>
          </w:tcPr>
          <w:p w:rsidR="00EB5320" w:rsidRPr="00C806D0" w:rsidRDefault="00EB5320" w:rsidP="004442E4">
            <w:pPr>
              <w:spacing w:line="240" w:lineRule="auto"/>
            </w:pPr>
            <w:r w:rsidRPr="00C806D0">
              <w:t>Head region AIS score</w:t>
            </w:r>
          </w:p>
        </w:tc>
        <w:tc>
          <w:tcPr>
            <w:tcW w:w="2248" w:type="pct"/>
            <w:tcBorders>
              <w:left w:val="nil"/>
            </w:tcBorders>
          </w:tcPr>
          <w:p w:rsidR="00EB5320" w:rsidRPr="00C806D0" w:rsidRDefault="00EB5320" w:rsidP="004442E4">
            <w:pPr>
              <w:spacing w:line="240" w:lineRule="auto"/>
            </w:pPr>
            <w:r w:rsidRPr="00C806D0">
              <w:t>14,293 (100%)</w:t>
            </w:r>
          </w:p>
        </w:tc>
      </w:tr>
      <w:tr w:rsidR="00EB5320" w:rsidRPr="00C806D0" w:rsidTr="004442E4">
        <w:trPr>
          <w:trHeight w:val="404"/>
          <w:jc w:val="center"/>
        </w:trPr>
        <w:tc>
          <w:tcPr>
            <w:tcW w:w="2752" w:type="pct"/>
            <w:tcBorders>
              <w:bottom w:val="single" w:sz="4" w:space="0" w:color="auto"/>
            </w:tcBorders>
            <w:tcMar>
              <w:top w:w="72" w:type="dxa"/>
              <w:left w:w="144" w:type="dxa"/>
              <w:bottom w:w="72" w:type="dxa"/>
              <w:right w:w="144" w:type="dxa"/>
            </w:tcMar>
          </w:tcPr>
          <w:p w:rsidR="00EB5320" w:rsidRPr="00C806D0" w:rsidRDefault="00EB5320" w:rsidP="004442E4">
            <w:pPr>
              <w:spacing w:line="240" w:lineRule="auto"/>
            </w:pPr>
            <w:r w:rsidRPr="00C806D0">
              <w:t>Neurosurgery</w:t>
            </w:r>
          </w:p>
        </w:tc>
        <w:tc>
          <w:tcPr>
            <w:tcW w:w="2248" w:type="pct"/>
            <w:tcBorders>
              <w:left w:val="nil"/>
              <w:bottom w:val="single" w:sz="4" w:space="0" w:color="auto"/>
            </w:tcBorders>
          </w:tcPr>
          <w:p w:rsidR="00EB5320" w:rsidRPr="00C806D0" w:rsidRDefault="00EB5320" w:rsidP="004442E4">
            <w:pPr>
              <w:spacing w:line="240" w:lineRule="auto"/>
            </w:pPr>
            <w:r w:rsidRPr="00C806D0">
              <w:t>14,293 (100%)</w:t>
            </w:r>
          </w:p>
        </w:tc>
      </w:tr>
    </w:tbl>
    <w:p w:rsidR="00EB5320" w:rsidRPr="00C806D0" w:rsidRDefault="00EB5320" w:rsidP="00EB5320">
      <w:pPr>
        <w:rPr>
          <w:b/>
        </w:rPr>
      </w:pPr>
    </w:p>
    <w:p w:rsidR="00EB5320" w:rsidRPr="00C806D0" w:rsidRDefault="00EB5320" w:rsidP="00EB5320">
      <w:pPr>
        <w:rPr>
          <w:b/>
        </w:rPr>
      </w:pPr>
    </w:p>
    <w:p w:rsidR="00EB5320" w:rsidRPr="00C806D0" w:rsidRDefault="00EB5320" w:rsidP="00EB5320">
      <w:pPr>
        <w:rPr>
          <w:b/>
        </w:rPr>
      </w:pPr>
      <w:r w:rsidRPr="00C806D0">
        <w:rPr>
          <w:b/>
        </w:rPr>
        <w:t xml:space="preserve">Table C2. Case-wise data completeness for variables necessary to determine triage status. </w:t>
      </w:r>
    </w:p>
    <w:tbl>
      <w:tblPr>
        <w:tblW w:w="4767" w:type="pct"/>
        <w:tblCellMar>
          <w:left w:w="0" w:type="dxa"/>
          <w:right w:w="0" w:type="dxa"/>
        </w:tblCellMar>
        <w:tblLook w:val="00A0" w:firstRow="1" w:lastRow="0" w:firstColumn="1" w:lastColumn="0" w:noHBand="0" w:noVBand="0"/>
      </w:tblPr>
      <w:tblGrid>
        <w:gridCol w:w="3249"/>
        <w:gridCol w:w="2498"/>
        <w:gridCol w:w="2498"/>
      </w:tblGrid>
      <w:tr w:rsidR="00EB5320" w:rsidRPr="00C806D0" w:rsidTr="004442E4">
        <w:trPr>
          <w:trHeight w:val="398"/>
        </w:trPr>
        <w:tc>
          <w:tcPr>
            <w:tcW w:w="1970" w:type="pct"/>
            <w:tcBorders>
              <w:top w:val="single" w:sz="4" w:space="0" w:color="auto"/>
              <w:bottom w:val="single" w:sz="8" w:space="0" w:color="000000"/>
            </w:tcBorders>
            <w:tcMar>
              <w:top w:w="72" w:type="dxa"/>
              <w:left w:w="144" w:type="dxa"/>
              <w:bottom w:w="72" w:type="dxa"/>
              <w:right w:w="144" w:type="dxa"/>
            </w:tcMar>
          </w:tcPr>
          <w:p w:rsidR="00EB5320" w:rsidRPr="00C806D0" w:rsidRDefault="00EB5320" w:rsidP="004442E4">
            <w:pPr>
              <w:pStyle w:val="NoSpacing"/>
              <w:rPr>
                <w:b/>
              </w:rPr>
            </w:pPr>
            <w:r w:rsidRPr="00C806D0">
              <w:rPr>
                <w:b/>
              </w:rPr>
              <w:t>Number of variables missing</w:t>
            </w:r>
          </w:p>
        </w:tc>
        <w:tc>
          <w:tcPr>
            <w:tcW w:w="1515" w:type="pct"/>
            <w:tcBorders>
              <w:top w:val="single" w:sz="4" w:space="0" w:color="auto"/>
              <w:left w:val="nil"/>
              <w:bottom w:val="single" w:sz="8" w:space="0" w:color="000000"/>
            </w:tcBorders>
          </w:tcPr>
          <w:p w:rsidR="00EB5320" w:rsidRPr="00C806D0" w:rsidRDefault="00EB5320" w:rsidP="004442E4">
            <w:pPr>
              <w:pStyle w:val="NoSpacing"/>
              <w:rPr>
                <w:b/>
              </w:rPr>
            </w:pPr>
            <w:r w:rsidRPr="00C806D0">
              <w:rPr>
                <w:b/>
              </w:rPr>
              <w:t>Data completeness</w:t>
            </w:r>
          </w:p>
          <w:p w:rsidR="00EB5320" w:rsidRPr="00C806D0" w:rsidRDefault="00EB5320" w:rsidP="004442E4">
            <w:pPr>
              <w:pStyle w:val="NoSpacing"/>
              <w:rPr>
                <w:b/>
              </w:rPr>
            </w:pPr>
            <w:r w:rsidRPr="00C806D0">
              <w:rPr>
                <w:b/>
              </w:rPr>
              <w:t xml:space="preserve"> (n)</w:t>
            </w:r>
          </w:p>
        </w:tc>
        <w:tc>
          <w:tcPr>
            <w:tcW w:w="1515" w:type="pct"/>
            <w:tcBorders>
              <w:top w:val="single" w:sz="4" w:space="0" w:color="auto"/>
              <w:left w:val="nil"/>
              <w:bottom w:val="single" w:sz="8" w:space="0" w:color="000000"/>
            </w:tcBorders>
          </w:tcPr>
          <w:p w:rsidR="00EB5320" w:rsidRPr="00C806D0" w:rsidRDefault="00EB5320" w:rsidP="004442E4">
            <w:pPr>
              <w:pStyle w:val="NoSpacing"/>
              <w:rPr>
                <w:b/>
              </w:rPr>
            </w:pPr>
          </w:p>
          <w:p w:rsidR="00EB5320" w:rsidRPr="00C806D0" w:rsidRDefault="00EB5320" w:rsidP="004442E4">
            <w:pPr>
              <w:pStyle w:val="NoSpacing"/>
              <w:rPr>
                <w:b/>
              </w:rPr>
            </w:pPr>
            <w:r w:rsidRPr="00C806D0">
              <w:rPr>
                <w:b/>
              </w:rPr>
              <w:t>(%)</w:t>
            </w:r>
          </w:p>
        </w:tc>
      </w:tr>
      <w:tr w:rsidR="00EB5320" w:rsidRPr="00C806D0" w:rsidTr="004442E4">
        <w:trPr>
          <w:trHeight w:val="236"/>
        </w:trPr>
        <w:tc>
          <w:tcPr>
            <w:tcW w:w="1970" w:type="pct"/>
            <w:tcMar>
              <w:top w:w="72" w:type="dxa"/>
              <w:left w:w="144" w:type="dxa"/>
              <w:bottom w:w="72" w:type="dxa"/>
              <w:right w:w="144" w:type="dxa"/>
            </w:tcMar>
          </w:tcPr>
          <w:p w:rsidR="00EB5320" w:rsidRPr="00C806D0" w:rsidRDefault="00EB5320" w:rsidP="004442E4">
            <w:pPr>
              <w:pStyle w:val="NoSpacing"/>
            </w:pPr>
            <w:r w:rsidRPr="00C806D0">
              <w:t>0</w:t>
            </w:r>
          </w:p>
        </w:tc>
        <w:tc>
          <w:tcPr>
            <w:tcW w:w="1515" w:type="pct"/>
            <w:tcBorders>
              <w:left w:val="nil"/>
            </w:tcBorders>
            <w:vAlign w:val="bottom"/>
          </w:tcPr>
          <w:p w:rsidR="00EB5320" w:rsidRPr="00C806D0" w:rsidRDefault="00EB5320" w:rsidP="004442E4">
            <w:pPr>
              <w:spacing w:line="240" w:lineRule="auto"/>
              <w:rPr>
                <w:color w:val="000000"/>
              </w:rPr>
            </w:pPr>
            <w:r w:rsidRPr="00C806D0">
              <w:rPr>
                <w:color w:val="000000"/>
              </w:rPr>
              <w:t>5,376*</w:t>
            </w:r>
          </w:p>
        </w:tc>
        <w:tc>
          <w:tcPr>
            <w:tcW w:w="1515" w:type="pct"/>
            <w:tcBorders>
              <w:left w:val="nil"/>
            </w:tcBorders>
            <w:vAlign w:val="bottom"/>
          </w:tcPr>
          <w:p w:rsidR="00EB5320" w:rsidRPr="00C806D0" w:rsidRDefault="00EB5320" w:rsidP="004442E4">
            <w:pPr>
              <w:spacing w:line="240" w:lineRule="auto"/>
              <w:rPr>
                <w:color w:val="000000"/>
              </w:rPr>
            </w:pPr>
            <w:r w:rsidRPr="00C806D0">
              <w:rPr>
                <w:color w:val="000000"/>
              </w:rPr>
              <w:t>37.61</w:t>
            </w:r>
          </w:p>
        </w:tc>
      </w:tr>
      <w:tr w:rsidR="00EB5320" w:rsidRPr="00C806D0" w:rsidTr="004442E4">
        <w:trPr>
          <w:trHeight w:val="286"/>
        </w:trPr>
        <w:tc>
          <w:tcPr>
            <w:tcW w:w="1970" w:type="pct"/>
            <w:tcMar>
              <w:top w:w="72" w:type="dxa"/>
              <w:left w:w="144" w:type="dxa"/>
              <w:bottom w:w="72" w:type="dxa"/>
              <w:right w:w="144" w:type="dxa"/>
            </w:tcMar>
          </w:tcPr>
          <w:p w:rsidR="00EB5320" w:rsidRPr="00C806D0" w:rsidRDefault="00EB5320" w:rsidP="004442E4">
            <w:pPr>
              <w:pStyle w:val="NoSpacing"/>
            </w:pPr>
            <w:r w:rsidRPr="00C806D0">
              <w:t>1</w:t>
            </w:r>
          </w:p>
        </w:tc>
        <w:tc>
          <w:tcPr>
            <w:tcW w:w="1515" w:type="pct"/>
            <w:tcBorders>
              <w:left w:val="nil"/>
            </w:tcBorders>
            <w:vAlign w:val="bottom"/>
          </w:tcPr>
          <w:p w:rsidR="00EB5320" w:rsidRPr="00C806D0" w:rsidRDefault="00EB5320" w:rsidP="004442E4">
            <w:pPr>
              <w:spacing w:line="240" w:lineRule="auto"/>
              <w:rPr>
                <w:color w:val="000000"/>
              </w:rPr>
            </w:pPr>
            <w:r w:rsidRPr="00C806D0">
              <w:rPr>
                <w:color w:val="000000"/>
              </w:rPr>
              <w:t>3,778</w:t>
            </w:r>
          </w:p>
        </w:tc>
        <w:tc>
          <w:tcPr>
            <w:tcW w:w="1515" w:type="pct"/>
            <w:tcBorders>
              <w:left w:val="nil"/>
            </w:tcBorders>
            <w:vAlign w:val="bottom"/>
          </w:tcPr>
          <w:p w:rsidR="00EB5320" w:rsidRPr="00C806D0" w:rsidRDefault="00EB5320" w:rsidP="004442E4">
            <w:pPr>
              <w:spacing w:line="240" w:lineRule="auto"/>
              <w:rPr>
                <w:color w:val="000000"/>
              </w:rPr>
            </w:pPr>
            <w:r w:rsidRPr="00C806D0">
              <w:rPr>
                <w:color w:val="000000"/>
              </w:rPr>
              <w:t>26.43</w:t>
            </w:r>
          </w:p>
        </w:tc>
      </w:tr>
      <w:tr w:rsidR="00EB5320" w:rsidRPr="00C806D0" w:rsidTr="004442E4">
        <w:trPr>
          <w:trHeight w:val="233"/>
        </w:trPr>
        <w:tc>
          <w:tcPr>
            <w:tcW w:w="1970" w:type="pct"/>
            <w:tcMar>
              <w:top w:w="72" w:type="dxa"/>
              <w:left w:w="144" w:type="dxa"/>
              <w:bottom w:w="72" w:type="dxa"/>
              <w:right w:w="144" w:type="dxa"/>
            </w:tcMar>
          </w:tcPr>
          <w:p w:rsidR="00EB5320" w:rsidRPr="00C806D0" w:rsidRDefault="00EB5320" w:rsidP="004442E4">
            <w:pPr>
              <w:pStyle w:val="NoSpacing"/>
            </w:pPr>
            <w:r w:rsidRPr="00C806D0">
              <w:t>2</w:t>
            </w:r>
          </w:p>
        </w:tc>
        <w:tc>
          <w:tcPr>
            <w:tcW w:w="1515" w:type="pct"/>
            <w:tcBorders>
              <w:left w:val="nil"/>
            </w:tcBorders>
            <w:vAlign w:val="bottom"/>
          </w:tcPr>
          <w:p w:rsidR="00EB5320" w:rsidRPr="00C806D0" w:rsidRDefault="00EB5320" w:rsidP="004442E4">
            <w:pPr>
              <w:spacing w:line="240" w:lineRule="auto"/>
              <w:rPr>
                <w:color w:val="000000"/>
              </w:rPr>
            </w:pPr>
            <w:r w:rsidRPr="00C806D0">
              <w:rPr>
                <w:color w:val="000000"/>
              </w:rPr>
              <w:t>1,376</w:t>
            </w:r>
          </w:p>
        </w:tc>
        <w:tc>
          <w:tcPr>
            <w:tcW w:w="1515" w:type="pct"/>
            <w:tcBorders>
              <w:left w:val="nil"/>
            </w:tcBorders>
            <w:vAlign w:val="bottom"/>
          </w:tcPr>
          <w:p w:rsidR="00EB5320" w:rsidRPr="00C806D0" w:rsidRDefault="00EB5320" w:rsidP="004442E4">
            <w:pPr>
              <w:spacing w:line="240" w:lineRule="auto"/>
              <w:rPr>
                <w:color w:val="000000"/>
              </w:rPr>
            </w:pPr>
            <w:r w:rsidRPr="00C806D0">
              <w:rPr>
                <w:color w:val="000000"/>
              </w:rPr>
              <w:t>9.63</w:t>
            </w:r>
          </w:p>
        </w:tc>
      </w:tr>
      <w:tr w:rsidR="00EB5320" w:rsidRPr="00C806D0" w:rsidTr="004442E4">
        <w:trPr>
          <w:trHeight w:val="192"/>
        </w:trPr>
        <w:tc>
          <w:tcPr>
            <w:tcW w:w="1970" w:type="pct"/>
            <w:tcMar>
              <w:top w:w="72" w:type="dxa"/>
              <w:left w:w="144" w:type="dxa"/>
              <w:bottom w:w="72" w:type="dxa"/>
              <w:right w:w="144" w:type="dxa"/>
            </w:tcMar>
          </w:tcPr>
          <w:p w:rsidR="00EB5320" w:rsidRPr="00C806D0" w:rsidRDefault="00EB5320" w:rsidP="004442E4">
            <w:pPr>
              <w:pStyle w:val="NoSpacing"/>
            </w:pPr>
            <w:r w:rsidRPr="00C806D0">
              <w:t>3</w:t>
            </w:r>
          </w:p>
        </w:tc>
        <w:tc>
          <w:tcPr>
            <w:tcW w:w="1515" w:type="pct"/>
            <w:tcBorders>
              <w:left w:val="nil"/>
            </w:tcBorders>
            <w:vAlign w:val="bottom"/>
          </w:tcPr>
          <w:p w:rsidR="00EB5320" w:rsidRPr="00C806D0" w:rsidRDefault="00EB5320" w:rsidP="004442E4">
            <w:pPr>
              <w:spacing w:line="240" w:lineRule="auto"/>
              <w:rPr>
                <w:color w:val="000000"/>
              </w:rPr>
            </w:pPr>
            <w:r w:rsidRPr="00C806D0">
              <w:rPr>
                <w:color w:val="000000"/>
              </w:rPr>
              <w:t>481</w:t>
            </w:r>
          </w:p>
        </w:tc>
        <w:tc>
          <w:tcPr>
            <w:tcW w:w="1515" w:type="pct"/>
            <w:tcBorders>
              <w:left w:val="nil"/>
            </w:tcBorders>
            <w:vAlign w:val="bottom"/>
          </w:tcPr>
          <w:p w:rsidR="00EB5320" w:rsidRPr="00C806D0" w:rsidRDefault="00EB5320" w:rsidP="004442E4">
            <w:pPr>
              <w:spacing w:line="240" w:lineRule="auto"/>
              <w:rPr>
                <w:color w:val="000000"/>
              </w:rPr>
            </w:pPr>
            <w:r w:rsidRPr="00C806D0">
              <w:rPr>
                <w:color w:val="000000"/>
              </w:rPr>
              <w:t>3.37</w:t>
            </w:r>
          </w:p>
        </w:tc>
      </w:tr>
      <w:tr w:rsidR="00EB5320" w:rsidRPr="00C806D0" w:rsidTr="004442E4">
        <w:trPr>
          <w:trHeight w:val="288"/>
        </w:trPr>
        <w:tc>
          <w:tcPr>
            <w:tcW w:w="1970" w:type="pct"/>
            <w:tcMar>
              <w:top w:w="72" w:type="dxa"/>
              <w:left w:w="144" w:type="dxa"/>
              <w:bottom w:w="72" w:type="dxa"/>
              <w:right w:w="144" w:type="dxa"/>
            </w:tcMar>
          </w:tcPr>
          <w:p w:rsidR="00EB5320" w:rsidRPr="00C806D0" w:rsidRDefault="00EB5320" w:rsidP="004442E4">
            <w:pPr>
              <w:pStyle w:val="NoSpacing"/>
            </w:pPr>
            <w:r w:rsidRPr="00C806D0">
              <w:t>4</w:t>
            </w:r>
          </w:p>
        </w:tc>
        <w:tc>
          <w:tcPr>
            <w:tcW w:w="1515" w:type="pct"/>
            <w:tcBorders>
              <w:left w:val="nil"/>
            </w:tcBorders>
            <w:vAlign w:val="bottom"/>
          </w:tcPr>
          <w:p w:rsidR="00EB5320" w:rsidRPr="00C806D0" w:rsidRDefault="00EB5320" w:rsidP="004442E4">
            <w:pPr>
              <w:spacing w:line="240" w:lineRule="auto"/>
              <w:rPr>
                <w:color w:val="000000"/>
              </w:rPr>
            </w:pPr>
            <w:r w:rsidRPr="00C806D0">
              <w:rPr>
                <w:color w:val="000000"/>
              </w:rPr>
              <w:t>378</w:t>
            </w:r>
          </w:p>
        </w:tc>
        <w:tc>
          <w:tcPr>
            <w:tcW w:w="1515" w:type="pct"/>
            <w:tcBorders>
              <w:left w:val="nil"/>
            </w:tcBorders>
            <w:vAlign w:val="bottom"/>
          </w:tcPr>
          <w:p w:rsidR="00EB5320" w:rsidRPr="00C806D0" w:rsidRDefault="00EB5320" w:rsidP="004442E4">
            <w:pPr>
              <w:spacing w:line="240" w:lineRule="auto"/>
              <w:rPr>
                <w:color w:val="000000"/>
              </w:rPr>
            </w:pPr>
            <w:r w:rsidRPr="00C806D0">
              <w:rPr>
                <w:color w:val="000000"/>
              </w:rPr>
              <w:t>2.64</w:t>
            </w:r>
          </w:p>
        </w:tc>
      </w:tr>
      <w:tr w:rsidR="00EB5320" w:rsidRPr="00C806D0" w:rsidTr="004442E4">
        <w:trPr>
          <w:trHeight w:val="288"/>
        </w:trPr>
        <w:tc>
          <w:tcPr>
            <w:tcW w:w="1970" w:type="pct"/>
            <w:tcBorders>
              <w:bottom w:val="single" w:sz="4" w:space="0" w:color="auto"/>
            </w:tcBorders>
            <w:tcMar>
              <w:top w:w="72" w:type="dxa"/>
              <w:left w:w="144" w:type="dxa"/>
              <w:bottom w:w="72" w:type="dxa"/>
              <w:right w:w="144" w:type="dxa"/>
            </w:tcMar>
          </w:tcPr>
          <w:p w:rsidR="00EB5320" w:rsidRPr="00C806D0" w:rsidRDefault="00EB5320" w:rsidP="004442E4">
            <w:pPr>
              <w:pStyle w:val="NoSpacing"/>
            </w:pPr>
            <w:r w:rsidRPr="00C806D0">
              <w:t>5+</w:t>
            </w:r>
          </w:p>
        </w:tc>
        <w:tc>
          <w:tcPr>
            <w:tcW w:w="1515" w:type="pct"/>
            <w:tcBorders>
              <w:left w:val="nil"/>
              <w:bottom w:val="single" w:sz="4" w:space="0" w:color="auto"/>
            </w:tcBorders>
            <w:vAlign w:val="bottom"/>
          </w:tcPr>
          <w:p w:rsidR="00EB5320" w:rsidRPr="00C806D0" w:rsidRDefault="00EB5320" w:rsidP="004442E4">
            <w:pPr>
              <w:spacing w:line="240" w:lineRule="auto"/>
              <w:rPr>
                <w:color w:val="000000"/>
              </w:rPr>
            </w:pPr>
            <w:r w:rsidRPr="00C806D0">
              <w:rPr>
                <w:color w:val="000000"/>
              </w:rPr>
              <w:t>2,904</w:t>
            </w:r>
          </w:p>
        </w:tc>
        <w:tc>
          <w:tcPr>
            <w:tcW w:w="1515" w:type="pct"/>
            <w:tcBorders>
              <w:left w:val="nil"/>
              <w:bottom w:val="single" w:sz="4" w:space="0" w:color="auto"/>
            </w:tcBorders>
            <w:vAlign w:val="bottom"/>
          </w:tcPr>
          <w:p w:rsidR="00EB5320" w:rsidRPr="00C806D0" w:rsidRDefault="00EB5320" w:rsidP="004442E4">
            <w:pPr>
              <w:spacing w:line="240" w:lineRule="auto"/>
              <w:rPr>
                <w:color w:val="000000"/>
              </w:rPr>
            </w:pPr>
            <w:r w:rsidRPr="00C806D0">
              <w:rPr>
                <w:color w:val="000000"/>
              </w:rPr>
              <w:t>20.3</w:t>
            </w:r>
          </w:p>
        </w:tc>
      </w:tr>
    </w:tbl>
    <w:p w:rsidR="00EB5320" w:rsidRPr="00C806D0" w:rsidRDefault="00EB5320" w:rsidP="00EB5320">
      <w:pPr>
        <w:jc w:val="both"/>
      </w:pPr>
      <w:r w:rsidRPr="00C806D0">
        <w:rPr>
          <w:b/>
        </w:rPr>
        <w:t>*</w:t>
      </w:r>
      <w:r w:rsidRPr="00C806D0">
        <w:t>Patients could be included in initial complete case analyses without full data on all variables if triage status could be definitely assigned.</w:t>
      </w:r>
    </w:p>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r w:rsidRPr="00C806D0">
        <w:rPr>
          <w:b/>
        </w:rPr>
        <w:lastRenderedPageBreak/>
        <w:t xml:space="preserve">Table C3. Comparison of patient characteristics between included patients and cases excluded for missing outcome or covariate data.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547"/>
        <w:gridCol w:w="1645"/>
        <w:gridCol w:w="2683"/>
        <w:gridCol w:w="773"/>
      </w:tblGrid>
      <w:tr w:rsidR="00EB5320" w:rsidRPr="00C806D0" w:rsidTr="004442E4">
        <w:trPr>
          <w:trHeight w:val="398"/>
          <w:jc w:val="center"/>
        </w:trPr>
        <w:tc>
          <w:tcPr>
            <w:tcW w:w="2051" w:type="pct"/>
            <w:tcBorders>
              <w:top w:val="single" w:sz="4" w:space="0" w:color="auto"/>
              <w:left w:val="nil"/>
              <w:bottom w:val="single" w:sz="4" w:space="0" w:color="auto"/>
              <w:right w:val="nil"/>
            </w:tcBorders>
            <w:tcMar>
              <w:top w:w="72" w:type="dxa"/>
              <w:left w:w="144" w:type="dxa"/>
              <w:bottom w:w="72" w:type="dxa"/>
              <w:right w:w="144" w:type="dxa"/>
            </w:tcMar>
          </w:tcPr>
          <w:p w:rsidR="00EB5320" w:rsidRPr="00C806D0" w:rsidRDefault="00EB5320" w:rsidP="004442E4">
            <w:pPr>
              <w:pStyle w:val="NoSpacing"/>
              <w:rPr>
                <w:sz w:val="20"/>
                <w:szCs w:val="20"/>
              </w:rPr>
            </w:pPr>
          </w:p>
        </w:tc>
        <w:tc>
          <w:tcPr>
            <w:tcW w:w="951" w:type="pct"/>
            <w:tcBorders>
              <w:top w:val="single" w:sz="4" w:space="0" w:color="auto"/>
              <w:left w:val="nil"/>
              <w:bottom w:val="single" w:sz="4" w:space="0" w:color="auto"/>
              <w:right w:val="nil"/>
            </w:tcBorders>
          </w:tcPr>
          <w:p w:rsidR="00EB5320" w:rsidRPr="00C806D0" w:rsidRDefault="00EB5320" w:rsidP="004442E4">
            <w:pPr>
              <w:pStyle w:val="NoSpacing"/>
              <w:jc w:val="center"/>
              <w:rPr>
                <w:b/>
                <w:sz w:val="20"/>
                <w:szCs w:val="20"/>
              </w:rPr>
            </w:pPr>
            <w:r w:rsidRPr="00C806D0">
              <w:rPr>
                <w:b/>
                <w:sz w:val="20"/>
                <w:szCs w:val="20"/>
              </w:rPr>
              <w:t xml:space="preserve">Study participants       </w:t>
            </w:r>
          </w:p>
        </w:tc>
        <w:tc>
          <w:tcPr>
            <w:tcW w:w="1551" w:type="pct"/>
            <w:tcBorders>
              <w:top w:val="single" w:sz="4" w:space="0" w:color="auto"/>
              <w:left w:val="nil"/>
              <w:bottom w:val="single" w:sz="4" w:space="0" w:color="auto"/>
              <w:right w:val="nil"/>
            </w:tcBorders>
          </w:tcPr>
          <w:p w:rsidR="00EB5320" w:rsidRPr="00C806D0" w:rsidRDefault="00EB5320" w:rsidP="004442E4">
            <w:pPr>
              <w:pStyle w:val="NoSpacing"/>
              <w:jc w:val="center"/>
              <w:rPr>
                <w:b/>
                <w:sz w:val="20"/>
                <w:szCs w:val="20"/>
              </w:rPr>
            </w:pPr>
            <w:r w:rsidRPr="00C806D0">
              <w:rPr>
                <w:b/>
                <w:sz w:val="20"/>
                <w:szCs w:val="20"/>
              </w:rPr>
              <w:t xml:space="preserve"> Otherwise eligible patients</w:t>
            </w:r>
          </w:p>
          <w:p w:rsidR="00EB5320" w:rsidRPr="00C806D0" w:rsidRDefault="00EB5320" w:rsidP="004442E4">
            <w:pPr>
              <w:pStyle w:val="NoSpacing"/>
              <w:jc w:val="center"/>
              <w:rPr>
                <w:b/>
                <w:sz w:val="20"/>
                <w:szCs w:val="20"/>
              </w:rPr>
            </w:pPr>
            <w:r w:rsidRPr="00C806D0">
              <w:rPr>
                <w:b/>
                <w:sz w:val="20"/>
                <w:szCs w:val="20"/>
              </w:rPr>
              <w:t xml:space="preserve"> excluded due to missing data</w:t>
            </w:r>
          </w:p>
        </w:tc>
        <w:tc>
          <w:tcPr>
            <w:tcW w:w="447" w:type="pct"/>
            <w:tcBorders>
              <w:top w:val="single" w:sz="4" w:space="0" w:color="auto"/>
              <w:left w:val="nil"/>
              <w:bottom w:val="single" w:sz="4" w:space="0" w:color="auto"/>
              <w:right w:val="nil"/>
            </w:tcBorders>
          </w:tcPr>
          <w:p w:rsidR="00EB5320" w:rsidRPr="00C806D0" w:rsidRDefault="00EB5320" w:rsidP="004442E4">
            <w:pPr>
              <w:pStyle w:val="NoSpacing"/>
              <w:jc w:val="center"/>
              <w:rPr>
                <w:b/>
                <w:sz w:val="20"/>
                <w:szCs w:val="20"/>
              </w:rPr>
            </w:pPr>
            <w:r w:rsidRPr="00C806D0">
              <w:rPr>
                <w:b/>
                <w:sz w:val="20"/>
                <w:szCs w:val="20"/>
              </w:rPr>
              <w:t xml:space="preserve">  p-value</w:t>
            </w:r>
          </w:p>
        </w:tc>
      </w:tr>
      <w:tr w:rsidR="00EB5320" w:rsidRPr="00C806D0" w:rsidTr="004442E4">
        <w:trPr>
          <w:trHeight w:val="454"/>
          <w:jc w:val="center"/>
        </w:trPr>
        <w:tc>
          <w:tcPr>
            <w:tcW w:w="2051" w:type="pct"/>
            <w:tcBorders>
              <w:top w:val="single" w:sz="4" w:space="0" w:color="auto"/>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Number of Patients</w:t>
            </w:r>
          </w:p>
        </w:tc>
        <w:tc>
          <w:tcPr>
            <w:tcW w:w="951" w:type="pct"/>
            <w:tcBorders>
              <w:top w:val="single" w:sz="4" w:space="0" w:color="auto"/>
              <w:left w:val="nil"/>
              <w:bottom w:val="nil"/>
              <w:right w:val="nil"/>
            </w:tcBorders>
          </w:tcPr>
          <w:p w:rsidR="00EB5320" w:rsidRPr="00C806D0" w:rsidRDefault="00EB5320" w:rsidP="004442E4">
            <w:pPr>
              <w:pStyle w:val="NoSpacing"/>
              <w:jc w:val="center"/>
              <w:rPr>
                <w:sz w:val="20"/>
                <w:szCs w:val="20"/>
              </w:rPr>
            </w:pPr>
            <w:r w:rsidRPr="00C806D0">
              <w:rPr>
                <w:sz w:val="20"/>
                <w:szCs w:val="20"/>
              </w:rPr>
              <w:t>6,559*</w:t>
            </w:r>
          </w:p>
        </w:tc>
        <w:tc>
          <w:tcPr>
            <w:tcW w:w="1551" w:type="pct"/>
            <w:tcBorders>
              <w:top w:val="single" w:sz="4" w:space="0" w:color="auto"/>
              <w:left w:val="nil"/>
              <w:bottom w:val="nil"/>
              <w:right w:val="nil"/>
            </w:tcBorders>
          </w:tcPr>
          <w:p w:rsidR="00EB5320" w:rsidRPr="00C806D0" w:rsidRDefault="00EB5320" w:rsidP="004442E4">
            <w:pPr>
              <w:pStyle w:val="NoSpacing"/>
              <w:jc w:val="center"/>
              <w:rPr>
                <w:sz w:val="20"/>
                <w:szCs w:val="20"/>
              </w:rPr>
            </w:pPr>
            <w:r w:rsidRPr="00C806D0">
              <w:rPr>
                <w:sz w:val="20"/>
                <w:szCs w:val="20"/>
              </w:rPr>
              <w:t>7,734*</w:t>
            </w:r>
          </w:p>
        </w:tc>
        <w:tc>
          <w:tcPr>
            <w:tcW w:w="447" w:type="pct"/>
            <w:tcBorders>
              <w:top w:val="single" w:sz="4" w:space="0" w:color="auto"/>
              <w:left w:val="nil"/>
              <w:bottom w:val="nil"/>
              <w:right w:val="nil"/>
            </w:tcBorders>
          </w:tcPr>
          <w:p w:rsidR="00EB5320" w:rsidRPr="00C806D0" w:rsidRDefault="00EB5320" w:rsidP="004442E4">
            <w:pPr>
              <w:pStyle w:val="NoSpacing"/>
              <w:jc w:val="center"/>
              <w:rPr>
                <w:sz w:val="20"/>
                <w:szCs w:val="20"/>
              </w:rPr>
            </w:pPr>
          </w:p>
        </w:tc>
      </w:tr>
      <w:tr w:rsidR="00EB5320" w:rsidRPr="00C806D0" w:rsidTr="004442E4">
        <w:trPr>
          <w:trHeight w:val="470"/>
          <w:jc w:val="center"/>
        </w:trPr>
        <w:tc>
          <w:tcPr>
            <w:tcW w:w="2051" w:type="pct"/>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Age (years, median, IQR)</w:t>
            </w:r>
          </w:p>
        </w:tc>
        <w:tc>
          <w:tcPr>
            <w:tcW w:w="9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55.1 (33.3-78.4)</w:t>
            </w:r>
          </w:p>
        </w:tc>
        <w:tc>
          <w:tcPr>
            <w:tcW w:w="15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51.7 (31.1-75.5)</w:t>
            </w:r>
          </w:p>
        </w:tc>
        <w:tc>
          <w:tcPr>
            <w:tcW w:w="447"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&lt;0.01</w:t>
            </w:r>
          </w:p>
        </w:tc>
      </w:tr>
      <w:tr w:rsidR="00EB5320" w:rsidRPr="00C806D0" w:rsidTr="004442E4">
        <w:trPr>
          <w:trHeight w:val="453"/>
          <w:jc w:val="center"/>
        </w:trPr>
        <w:tc>
          <w:tcPr>
            <w:tcW w:w="2051" w:type="pct"/>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Gender (male, %, 95% CI)</w:t>
            </w:r>
          </w:p>
        </w:tc>
        <w:tc>
          <w:tcPr>
            <w:tcW w:w="9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67.5 (66.3-68.6)</w:t>
            </w:r>
          </w:p>
        </w:tc>
        <w:tc>
          <w:tcPr>
            <w:tcW w:w="15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70.1 (69.1-71.1)</w:t>
            </w:r>
          </w:p>
        </w:tc>
        <w:tc>
          <w:tcPr>
            <w:tcW w:w="447"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&lt;0.01</w:t>
            </w:r>
          </w:p>
        </w:tc>
      </w:tr>
      <w:tr w:rsidR="00EB5320" w:rsidRPr="00C806D0" w:rsidTr="004442E4">
        <w:trPr>
          <w:trHeight w:val="506"/>
          <w:jc w:val="center"/>
        </w:trPr>
        <w:tc>
          <w:tcPr>
            <w:tcW w:w="2051" w:type="pct"/>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ISS (median, IQR)</w:t>
            </w:r>
          </w:p>
        </w:tc>
        <w:tc>
          <w:tcPr>
            <w:tcW w:w="9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20 (16-26)</w:t>
            </w:r>
          </w:p>
        </w:tc>
        <w:tc>
          <w:tcPr>
            <w:tcW w:w="15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17 (14-25)</w:t>
            </w:r>
          </w:p>
        </w:tc>
        <w:tc>
          <w:tcPr>
            <w:tcW w:w="447"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&lt;0.01</w:t>
            </w:r>
          </w:p>
        </w:tc>
      </w:tr>
      <w:tr w:rsidR="00EB5320" w:rsidRPr="00C806D0" w:rsidTr="004442E4">
        <w:trPr>
          <w:trHeight w:val="583"/>
          <w:jc w:val="center"/>
        </w:trPr>
        <w:tc>
          <w:tcPr>
            <w:tcW w:w="2051" w:type="pct"/>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AIS head≥3 (%,95% CI)</w:t>
            </w:r>
          </w:p>
        </w:tc>
        <w:tc>
          <w:tcPr>
            <w:tcW w:w="9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84.0 (83.0-85.1)</w:t>
            </w:r>
          </w:p>
        </w:tc>
        <w:tc>
          <w:tcPr>
            <w:tcW w:w="15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81.1 (80.2-82.0)</w:t>
            </w:r>
          </w:p>
        </w:tc>
        <w:tc>
          <w:tcPr>
            <w:tcW w:w="447"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&lt;0.01</w:t>
            </w:r>
          </w:p>
        </w:tc>
      </w:tr>
      <w:tr w:rsidR="00EB5320" w:rsidRPr="00C806D0" w:rsidTr="004442E4">
        <w:trPr>
          <w:trHeight w:val="438"/>
          <w:jc w:val="center"/>
        </w:trPr>
        <w:tc>
          <w:tcPr>
            <w:tcW w:w="2051" w:type="pct"/>
            <w:tcBorders>
              <w:top w:val="nil"/>
              <w:left w:val="nil"/>
              <w:bottom w:val="nil"/>
              <w:right w:val="nil"/>
            </w:tcBorders>
            <w:tcMar>
              <w:top w:w="72" w:type="dxa"/>
              <w:left w:w="144" w:type="dxa"/>
              <w:bottom w:w="72" w:type="dxa"/>
              <w:right w:w="144" w:type="dxa"/>
            </w:tcMar>
          </w:tcPr>
          <w:p w:rsidR="00EB5320" w:rsidRPr="00C806D0" w:rsidRDefault="002A16B4" w:rsidP="004442E4">
            <w:pPr>
              <w:pStyle w:val="NoSpacing"/>
              <w:rPr>
                <w:sz w:val="20"/>
                <w:szCs w:val="20"/>
              </w:rPr>
            </w:pPr>
            <w:r w:rsidRPr="00C806D0">
              <w:rPr>
                <w:sz w:val="20"/>
                <w:szCs w:val="20"/>
              </w:rPr>
              <w:t>Extracranial</w:t>
            </w:r>
            <w:r w:rsidR="00EB5320" w:rsidRPr="00C806D0">
              <w:rPr>
                <w:sz w:val="20"/>
                <w:szCs w:val="20"/>
              </w:rPr>
              <w:t xml:space="preserve"> injury AIS≥3 (%,95% CI)</w:t>
            </w:r>
          </w:p>
        </w:tc>
        <w:tc>
          <w:tcPr>
            <w:tcW w:w="9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32.6 (31.4-33.7)</w:t>
            </w:r>
          </w:p>
        </w:tc>
        <w:tc>
          <w:tcPr>
            <w:tcW w:w="15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30.3 (29.2-31.3)</w:t>
            </w:r>
          </w:p>
        </w:tc>
        <w:tc>
          <w:tcPr>
            <w:tcW w:w="447"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&lt;0.01</w:t>
            </w:r>
          </w:p>
        </w:tc>
      </w:tr>
      <w:tr w:rsidR="00EB5320" w:rsidRPr="00C806D0" w:rsidTr="004442E4">
        <w:trPr>
          <w:trHeight w:val="437"/>
          <w:jc w:val="center"/>
        </w:trPr>
        <w:tc>
          <w:tcPr>
            <w:tcW w:w="2051" w:type="pct"/>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Neurosurgical procedure (%, 95% CI)</w:t>
            </w:r>
          </w:p>
        </w:tc>
        <w:tc>
          <w:tcPr>
            <w:tcW w:w="9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8.5 (7.8-9.1)</w:t>
            </w:r>
          </w:p>
        </w:tc>
        <w:tc>
          <w:tcPr>
            <w:tcW w:w="15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7.4 (6.8-8.0)</w:t>
            </w:r>
          </w:p>
        </w:tc>
        <w:tc>
          <w:tcPr>
            <w:tcW w:w="447"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0.02</w:t>
            </w:r>
          </w:p>
        </w:tc>
      </w:tr>
      <w:tr w:rsidR="00EB5320" w:rsidRPr="00C806D0" w:rsidTr="004442E4">
        <w:trPr>
          <w:trHeight w:val="437"/>
          <w:jc w:val="center"/>
        </w:trPr>
        <w:tc>
          <w:tcPr>
            <w:tcW w:w="2051" w:type="pct"/>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PH SBP (mmHg, mean, SD)</w:t>
            </w:r>
          </w:p>
        </w:tc>
        <w:tc>
          <w:tcPr>
            <w:tcW w:w="9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139 (33.8)</w:t>
            </w:r>
          </w:p>
          <w:p w:rsidR="00EB5320" w:rsidRPr="00C806D0" w:rsidRDefault="00EB5320" w:rsidP="004442E4">
            <w:pPr>
              <w:pStyle w:val="NoSpacing"/>
              <w:jc w:val="center"/>
              <w:rPr>
                <w:sz w:val="20"/>
                <w:szCs w:val="20"/>
              </w:rPr>
            </w:pPr>
            <w:r w:rsidRPr="00C806D0">
              <w:rPr>
                <w:sz w:val="20"/>
                <w:szCs w:val="20"/>
              </w:rPr>
              <w:t>[n=6,303]</w:t>
            </w:r>
          </w:p>
        </w:tc>
        <w:tc>
          <w:tcPr>
            <w:tcW w:w="15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141 (29.6)</w:t>
            </w:r>
          </w:p>
          <w:p w:rsidR="00EB5320" w:rsidRPr="00C806D0" w:rsidRDefault="00EB5320" w:rsidP="004442E4">
            <w:pPr>
              <w:pStyle w:val="NoSpacing"/>
              <w:jc w:val="center"/>
              <w:rPr>
                <w:sz w:val="20"/>
                <w:szCs w:val="20"/>
              </w:rPr>
            </w:pPr>
            <w:r w:rsidRPr="00C806D0">
              <w:rPr>
                <w:sz w:val="20"/>
                <w:szCs w:val="20"/>
              </w:rPr>
              <w:t>[n=3,559]</w:t>
            </w:r>
          </w:p>
        </w:tc>
        <w:tc>
          <w:tcPr>
            <w:tcW w:w="447"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&lt;0.01</w:t>
            </w:r>
          </w:p>
        </w:tc>
      </w:tr>
      <w:tr w:rsidR="00EB5320" w:rsidRPr="00C806D0" w:rsidTr="004442E4">
        <w:trPr>
          <w:trHeight w:val="437"/>
          <w:jc w:val="center"/>
        </w:trPr>
        <w:tc>
          <w:tcPr>
            <w:tcW w:w="2051" w:type="pct"/>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PH RR  (b/m, median, IQR)</w:t>
            </w:r>
          </w:p>
        </w:tc>
        <w:tc>
          <w:tcPr>
            <w:tcW w:w="9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18 (16-20)</w:t>
            </w:r>
          </w:p>
          <w:p w:rsidR="00EB5320" w:rsidRPr="00C806D0" w:rsidRDefault="00EB5320" w:rsidP="004442E4">
            <w:pPr>
              <w:pStyle w:val="NoSpacing"/>
              <w:jc w:val="center"/>
              <w:rPr>
                <w:sz w:val="20"/>
                <w:szCs w:val="20"/>
              </w:rPr>
            </w:pPr>
            <w:r w:rsidRPr="00C806D0">
              <w:rPr>
                <w:sz w:val="20"/>
                <w:szCs w:val="20"/>
              </w:rPr>
              <w:t xml:space="preserve"> [n=6,452]</w:t>
            </w:r>
          </w:p>
        </w:tc>
        <w:tc>
          <w:tcPr>
            <w:tcW w:w="15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18 (16-20)</w:t>
            </w:r>
          </w:p>
          <w:p w:rsidR="00EB5320" w:rsidRPr="00C806D0" w:rsidRDefault="00EB5320" w:rsidP="004442E4">
            <w:pPr>
              <w:pStyle w:val="NoSpacing"/>
              <w:jc w:val="center"/>
              <w:rPr>
                <w:sz w:val="20"/>
                <w:szCs w:val="20"/>
              </w:rPr>
            </w:pPr>
            <w:r w:rsidRPr="00C806D0">
              <w:rPr>
                <w:sz w:val="20"/>
                <w:szCs w:val="20"/>
              </w:rPr>
              <w:t>[n=3,647]</w:t>
            </w:r>
          </w:p>
        </w:tc>
        <w:tc>
          <w:tcPr>
            <w:tcW w:w="447"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0.64</w:t>
            </w:r>
          </w:p>
        </w:tc>
      </w:tr>
      <w:tr w:rsidR="00EB5320" w:rsidRPr="00C806D0" w:rsidTr="004442E4">
        <w:trPr>
          <w:trHeight w:val="437"/>
          <w:jc w:val="center"/>
        </w:trPr>
        <w:tc>
          <w:tcPr>
            <w:tcW w:w="2051" w:type="pct"/>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PH oxygen saturations (%, median IQR)</w:t>
            </w:r>
          </w:p>
        </w:tc>
        <w:tc>
          <w:tcPr>
            <w:tcW w:w="9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97 (95-99)</w:t>
            </w:r>
          </w:p>
          <w:p w:rsidR="00EB5320" w:rsidRPr="00C806D0" w:rsidRDefault="00EB5320" w:rsidP="004442E4">
            <w:pPr>
              <w:pStyle w:val="NoSpacing"/>
              <w:jc w:val="center"/>
              <w:rPr>
                <w:sz w:val="20"/>
                <w:szCs w:val="20"/>
              </w:rPr>
            </w:pPr>
            <w:r w:rsidRPr="00C806D0">
              <w:rPr>
                <w:sz w:val="20"/>
                <w:szCs w:val="20"/>
              </w:rPr>
              <w:t>[n=5,643]</w:t>
            </w:r>
          </w:p>
        </w:tc>
        <w:tc>
          <w:tcPr>
            <w:tcW w:w="15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97 (95-99)</w:t>
            </w:r>
          </w:p>
          <w:p w:rsidR="00EB5320" w:rsidRPr="00C806D0" w:rsidRDefault="00EB5320" w:rsidP="004442E4">
            <w:pPr>
              <w:pStyle w:val="NoSpacing"/>
              <w:jc w:val="center"/>
              <w:rPr>
                <w:sz w:val="20"/>
                <w:szCs w:val="20"/>
              </w:rPr>
            </w:pPr>
            <w:r w:rsidRPr="00C806D0">
              <w:rPr>
                <w:sz w:val="20"/>
                <w:szCs w:val="20"/>
              </w:rPr>
              <w:t>[n=3,382]</w:t>
            </w:r>
          </w:p>
        </w:tc>
        <w:tc>
          <w:tcPr>
            <w:tcW w:w="447"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0.31</w:t>
            </w:r>
          </w:p>
        </w:tc>
      </w:tr>
      <w:tr w:rsidR="00EB5320" w:rsidRPr="00C806D0" w:rsidTr="004442E4">
        <w:trPr>
          <w:trHeight w:val="437"/>
          <w:jc w:val="center"/>
        </w:trPr>
        <w:tc>
          <w:tcPr>
            <w:tcW w:w="2051" w:type="pct"/>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PH GCS  (median, IQR)</w:t>
            </w:r>
          </w:p>
        </w:tc>
        <w:tc>
          <w:tcPr>
            <w:tcW w:w="9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14 (9-15)</w:t>
            </w:r>
          </w:p>
        </w:tc>
        <w:tc>
          <w:tcPr>
            <w:tcW w:w="1551"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14 (9-15)</w:t>
            </w:r>
          </w:p>
          <w:p w:rsidR="00EB5320" w:rsidRPr="00C806D0" w:rsidRDefault="00EB5320" w:rsidP="004442E4">
            <w:pPr>
              <w:pStyle w:val="NoSpacing"/>
              <w:jc w:val="center"/>
              <w:rPr>
                <w:sz w:val="20"/>
                <w:szCs w:val="20"/>
              </w:rPr>
            </w:pPr>
            <w:r w:rsidRPr="00C806D0">
              <w:rPr>
                <w:sz w:val="20"/>
                <w:szCs w:val="20"/>
              </w:rPr>
              <w:t xml:space="preserve"> [n=4,467]</w:t>
            </w:r>
          </w:p>
        </w:tc>
        <w:tc>
          <w:tcPr>
            <w:tcW w:w="447" w:type="pct"/>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0.01</w:t>
            </w:r>
          </w:p>
        </w:tc>
      </w:tr>
      <w:tr w:rsidR="00EB5320" w:rsidRPr="00C806D0" w:rsidTr="004442E4">
        <w:trPr>
          <w:trHeight w:val="688"/>
          <w:jc w:val="center"/>
        </w:trPr>
        <w:tc>
          <w:tcPr>
            <w:tcW w:w="2051" w:type="pct"/>
            <w:tcBorders>
              <w:top w:val="nil"/>
              <w:left w:val="nil"/>
              <w:bottom w:val="single" w:sz="4" w:space="0" w:color="auto"/>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 xml:space="preserve">Mortality (%, 95% CI)* </w:t>
            </w:r>
          </w:p>
          <w:p w:rsidR="00EB5320" w:rsidRPr="00C806D0" w:rsidRDefault="00EB5320" w:rsidP="004442E4">
            <w:pPr>
              <w:pStyle w:val="NoSpacing"/>
              <w:rPr>
                <w:sz w:val="20"/>
                <w:szCs w:val="20"/>
              </w:rPr>
            </w:pPr>
          </w:p>
          <w:p w:rsidR="00EB5320" w:rsidRPr="00C806D0" w:rsidRDefault="00EB5320" w:rsidP="004442E4">
            <w:pPr>
              <w:pStyle w:val="NoSpacing"/>
              <w:rPr>
                <w:sz w:val="20"/>
                <w:szCs w:val="20"/>
              </w:rPr>
            </w:pPr>
          </w:p>
        </w:tc>
        <w:tc>
          <w:tcPr>
            <w:tcW w:w="951" w:type="pct"/>
            <w:tcBorders>
              <w:top w:val="nil"/>
              <w:left w:val="nil"/>
              <w:bottom w:val="single" w:sz="4" w:space="0" w:color="auto"/>
              <w:right w:val="nil"/>
            </w:tcBorders>
          </w:tcPr>
          <w:p w:rsidR="00EB5320" w:rsidRPr="00C806D0" w:rsidRDefault="00EB5320" w:rsidP="004442E4">
            <w:pPr>
              <w:pStyle w:val="NoSpacing"/>
              <w:jc w:val="center"/>
              <w:rPr>
                <w:sz w:val="20"/>
                <w:szCs w:val="20"/>
              </w:rPr>
            </w:pPr>
            <w:r w:rsidRPr="00C806D0">
              <w:rPr>
                <w:sz w:val="20"/>
                <w:szCs w:val="20"/>
              </w:rPr>
              <w:t>20.3 (19.3-21.3)</w:t>
            </w:r>
          </w:p>
          <w:p w:rsidR="00EB5320" w:rsidRPr="00C806D0" w:rsidRDefault="00EB5320" w:rsidP="004442E4">
            <w:pPr>
              <w:pStyle w:val="NoSpacing"/>
              <w:jc w:val="center"/>
              <w:rPr>
                <w:sz w:val="20"/>
                <w:szCs w:val="20"/>
              </w:rPr>
            </w:pPr>
            <w:r w:rsidRPr="00C806D0">
              <w:rPr>
                <w:sz w:val="20"/>
                <w:szCs w:val="20"/>
              </w:rPr>
              <w:t xml:space="preserve"> [n=5,867]</w:t>
            </w:r>
          </w:p>
          <w:p w:rsidR="00EB5320" w:rsidRPr="00C806D0" w:rsidRDefault="00EB5320" w:rsidP="004442E4">
            <w:pPr>
              <w:pStyle w:val="NoSpacing"/>
              <w:rPr>
                <w:sz w:val="20"/>
                <w:szCs w:val="20"/>
              </w:rPr>
            </w:pPr>
          </w:p>
        </w:tc>
        <w:tc>
          <w:tcPr>
            <w:tcW w:w="1551" w:type="pct"/>
            <w:tcBorders>
              <w:top w:val="nil"/>
              <w:left w:val="nil"/>
              <w:bottom w:val="single" w:sz="4" w:space="0" w:color="auto"/>
              <w:right w:val="nil"/>
            </w:tcBorders>
          </w:tcPr>
          <w:p w:rsidR="00EB5320" w:rsidRPr="00C806D0" w:rsidRDefault="00EB5320" w:rsidP="004442E4">
            <w:pPr>
              <w:pStyle w:val="NoSpacing"/>
              <w:jc w:val="center"/>
              <w:rPr>
                <w:sz w:val="20"/>
                <w:szCs w:val="20"/>
              </w:rPr>
            </w:pPr>
            <w:r w:rsidRPr="00C806D0">
              <w:rPr>
                <w:sz w:val="20"/>
                <w:szCs w:val="20"/>
              </w:rPr>
              <w:t>17.0 (16.1-17.9)</w:t>
            </w:r>
          </w:p>
          <w:p w:rsidR="00EB5320" w:rsidRPr="00C806D0" w:rsidRDefault="00EB5320" w:rsidP="004442E4">
            <w:pPr>
              <w:pStyle w:val="NoSpacing"/>
              <w:jc w:val="center"/>
              <w:rPr>
                <w:sz w:val="20"/>
                <w:szCs w:val="20"/>
              </w:rPr>
            </w:pPr>
            <w:r w:rsidRPr="00C806D0">
              <w:rPr>
                <w:sz w:val="20"/>
                <w:szCs w:val="20"/>
              </w:rPr>
              <w:t xml:space="preserve"> [n=6803]</w:t>
            </w:r>
          </w:p>
        </w:tc>
        <w:tc>
          <w:tcPr>
            <w:tcW w:w="447" w:type="pct"/>
            <w:tcBorders>
              <w:top w:val="nil"/>
              <w:left w:val="nil"/>
              <w:bottom w:val="single" w:sz="4" w:space="0" w:color="auto"/>
              <w:right w:val="nil"/>
            </w:tcBorders>
          </w:tcPr>
          <w:p w:rsidR="00EB5320" w:rsidRPr="00C806D0" w:rsidRDefault="00EB5320" w:rsidP="004442E4">
            <w:pPr>
              <w:pStyle w:val="NoSpacing"/>
              <w:jc w:val="center"/>
              <w:rPr>
                <w:sz w:val="20"/>
                <w:szCs w:val="20"/>
              </w:rPr>
            </w:pPr>
            <w:r w:rsidRPr="00C806D0">
              <w:rPr>
                <w:sz w:val="20"/>
                <w:szCs w:val="20"/>
              </w:rPr>
              <w:t>&lt;0.01</w:t>
            </w:r>
          </w:p>
        </w:tc>
      </w:tr>
    </w:tbl>
    <w:p w:rsidR="00EB5320" w:rsidRPr="00C806D0" w:rsidRDefault="00EB5320" w:rsidP="00EB5320">
      <w:pPr>
        <w:rPr>
          <w:sz w:val="20"/>
          <w:szCs w:val="20"/>
        </w:rPr>
      </w:pPr>
      <w:r w:rsidRPr="00C806D0">
        <w:rPr>
          <w:sz w:val="20"/>
          <w:szCs w:val="20"/>
        </w:rPr>
        <w:t>*complete case analysis unless sample size otherwise stated.</w:t>
      </w:r>
    </w:p>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652CF9" w:rsidRPr="00C806D0" w:rsidRDefault="00652CF9" w:rsidP="00EB5320"/>
    <w:p w:rsidR="00EB5320" w:rsidRPr="00C806D0" w:rsidRDefault="00EB5320" w:rsidP="00EB5320"/>
    <w:p w:rsidR="00EB5320" w:rsidRPr="00C806D0" w:rsidRDefault="00EB5320" w:rsidP="00EB5320">
      <w:r w:rsidRPr="00C806D0">
        <w:rPr>
          <w:b/>
        </w:rPr>
        <w:lastRenderedPageBreak/>
        <w:t>Table C4. Comparison of patient characteristics between included patients and cases excluded for unknown mode of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915"/>
        <w:gridCol w:w="1414"/>
        <w:gridCol w:w="3656"/>
        <w:gridCol w:w="663"/>
      </w:tblGrid>
      <w:tr w:rsidR="00EB5320" w:rsidRPr="00C806D0" w:rsidTr="004442E4">
        <w:trPr>
          <w:trHeight w:val="398"/>
          <w:jc w:val="center"/>
        </w:trPr>
        <w:tc>
          <w:tcPr>
            <w:tcW w:w="0" w:type="auto"/>
            <w:tcBorders>
              <w:top w:val="single" w:sz="4" w:space="0" w:color="auto"/>
              <w:left w:val="nil"/>
              <w:bottom w:val="single" w:sz="4" w:space="0" w:color="auto"/>
              <w:right w:val="nil"/>
            </w:tcBorders>
            <w:tcMar>
              <w:top w:w="72" w:type="dxa"/>
              <w:left w:w="144" w:type="dxa"/>
              <w:bottom w:w="72" w:type="dxa"/>
              <w:right w:w="144" w:type="dxa"/>
            </w:tcMar>
          </w:tcPr>
          <w:p w:rsidR="00EB5320" w:rsidRPr="00C806D0" w:rsidRDefault="00EB5320" w:rsidP="004442E4">
            <w:pPr>
              <w:pStyle w:val="NoSpacing"/>
              <w:rPr>
                <w:sz w:val="20"/>
                <w:szCs w:val="20"/>
              </w:rPr>
            </w:pPr>
          </w:p>
        </w:tc>
        <w:tc>
          <w:tcPr>
            <w:tcW w:w="0" w:type="auto"/>
            <w:tcBorders>
              <w:top w:val="single" w:sz="4" w:space="0" w:color="auto"/>
              <w:left w:val="nil"/>
              <w:bottom w:val="single" w:sz="4" w:space="0" w:color="auto"/>
              <w:right w:val="nil"/>
            </w:tcBorders>
          </w:tcPr>
          <w:p w:rsidR="00EB5320" w:rsidRPr="00C806D0" w:rsidRDefault="00EB5320" w:rsidP="004442E4">
            <w:pPr>
              <w:pStyle w:val="NoSpacing"/>
              <w:jc w:val="center"/>
              <w:rPr>
                <w:b/>
                <w:sz w:val="20"/>
                <w:szCs w:val="20"/>
              </w:rPr>
            </w:pPr>
            <w:r w:rsidRPr="00C806D0">
              <w:rPr>
                <w:b/>
                <w:sz w:val="20"/>
                <w:szCs w:val="20"/>
              </w:rPr>
              <w:t xml:space="preserve">Study participants       </w:t>
            </w:r>
          </w:p>
        </w:tc>
        <w:tc>
          <w:tcPr>
            <w:tcW w:w="0" w:type="auto"/>
            <w:tcBorders>
              <w:top w:val="single" w:sz="4" w:space="0" w:color="auto"/>
              <w:left w:val="nil"/>
              <w:bottom w:val="single" w:sz="4" w:space="0" w:color="auto"/>
              <w:right w:val="nil"/>
            </w:tcBorders>
          </w:tcPr>
          <w:p w:rsidR="00EB5320" w:rsidRPr="00C806D0" w:rsidRDefault="00EB5320" w:rsidP="004442E4">
            <w:pPr>
              <w:pStyle w:val="NoSpacing"/>
              <w:jc w:val="center"/>
              <w:rPr>
                <w:b/>
                <w:sz w:val="20"/>
                <w:szCs w:val="20"/>
              </w:rPr>
            </w:pPr>
            <w:r w:rsidRPr="00C806D0">
              <w:rPr>
                <w:b/>
                <w:sz w:val="20"/>
                <w:szCs w:val="20"/>
              </w:rPr>
              <w:t xml:space="preserve">Direct admissions with unknown mode of transport </w:t>
            </w:r>
          </w:p>
        </w:tc>
        <w:tc>
          <w:tcPr>
            <w:tcW w:w="0" w:type="auto"/>
            <w:tcBorders>
              <w:top w:val="single" w:sz="4" w:space="0" w:color="auto"/>
              <w:left w:val="nil"/>
              <w:bottom w:val="single" w:sz="4" w:space="0" w:color="auto"/>
              <w:right w:val="nil"/>
            </w:tcBorders>
          </w:tcPr>
          <w:p w:rsidR="00EB5320" w:rsidRPr="00C806D0" w:rsidRDefault="00EB5320" w:rsidP="004442E4">
            <w:pPr>
              <w:pStyle w:val="NoSpacing"/>
              <w:jc w:val="center"/>
              <w:rPr>
                <w:b/>
                <w:sz w:val="20"/>
                <w:szCs w:val="20"/>
              </w:rPr>
            </w:pPr>
            <w:r w:rsidRPr="00C806D0">
              <w:rPr>
                <w:b/>
                <w:sz w:val="20"/>
                <w:szCs w:val="20"/>
              </w:rPr>
              <w:t xml:space="preserve">  p-value</w:t>
            </w:r>
          </w:p>
        </w:tc>
      </w:tr>
      <w:tr w:rsidR="00EB5320" w:rsidRPr="00C806D0" w:rsidTr="004442E4">
        <w:trPr>
          <w:trHeight w:val="454"/>
          <w:jc w:val="center"/>
        </w:trPr>
        <w:tc>
          <w:tcPr>
            <w:tcW w:w="0" w:type="auto"/>
            <w:tcBorders>
              <w:top w:val="single" w:sz="4" w:space="0" w:color="auto"/>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Number of Patients</w:t>
            </w:r>
          </w:p>
        </w:tc>
        <w:tc>
          <w:tcPr>
            <w:tcW w:w="0" w:type="auto"/>
            <w:tcBorders>
              <w:top w:val="single" w:sz="4" w:space="0" w:color="auto"/>
              <w:left w:val="nil"/>
              <w:bottom w:val="nil"/>
              <w:right w:val="nil"/>
            </w:tcBorders>
          </w:tcPr>
          <w:p w:rsidR="00EB5320" w:rsidRPr="00C806D0" w:rsidRDefault="00EB5320" w:rsidP="004442E4">
            <w:pPr>
              <w:pStyle w:val="NoSpacing"/>
              <w:jc w:val="center"/>
              <w:rPr>
                <w:sz w:val="20"/>
                <w:szCs w:val="20"/>
              </w:rPr>
            </w:pPr>
            <w:r w:rsidRPr="00C806D0">
              <w:rPr>
                <w:sz w:val="20"/>
                <w:szCs w:val="20"/>
              </w:rPr>
              <w:t>6,559*</w:t>
            </w:r>
          </w:p>
        </w:tc>
        <w:tc>
          <w:tcPr>
            <w:tcW w:w="0" w:type="auto"/>
            <w:tcBorders>
              <w:top w:val="single" w:sz="4" w:space="0" w:color="auto"/>
              <w:left w:val="nil"/>
              <w:bottom w:val="nil"/>
              <w:right w:val="nil"/>
            </w:tcBorders>
          </w:tcPr>
          <w:p w:rsidR="00EB5320" w:rsidRPr="00C806D0" w:rsidRDefault="00EB5320" w:rsidP="004442E4">
            <w:pPr>
              <w:pStyle w:val="NoSpacing"/>
              <w:jc w:val="center"/>
              <w:rPr>
                <w:sz w:val="20"/>
                <w:szCs w:val="20"/>
              </w:rPr>
            </w:pPr>
            <w:r w:rsidRPr="00C806D0">
              <w:rPr>
                <w:sz w:val="20"/>
                <w:szCs w:val="20"/>
              </w:rPr>
              <w:t>2,502*</w:t>
            </w:r>
          </w:p>
        </w:tc>
        <w:tc>
          <w:tcPr>
            <w:tcW w:w="0" w:type="auto"/>
            <w:tcBorders>
              <w:top w:val="single" w:sz="4" w:space="0" w:color="auto"/>
              <w:left w:val="nil"/>
              <w:bottom w:val="nil"/>
              <w:right w:val="nil"/>
            </w:tcBorders>
          </w:tcPr>
          <w:p w:rsidR="00EB5320" w:rsidRPr="00C806D0" w:rsidRDefault="00EB5320" w:rsidP="004442E4">
            <w:pPr>
              <w:pStyle w:val="NoSpacing"/>
              <w:jc w:val="center"/>
              <w:rPr>
                <w:sz w:val="20"/>
                <w:szCs w:val="20"/>
              </w:rPr>
            </w:pPr>
          </w:p>
        </w:tc>
      </w:tr>
      <w:tr w:rsidR="00EB5320" w:rsidRPr="00C806D0" w:rsidTr="004442E4">
        <w:trPr>
          <w:trHeight w:val="470"/>
          <w:jc w:val="center"/>
        </w:trPr>
        <w:tc>
          <w:tcPr>
            <w:tcW w:w="0" w:type="auto"/>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Age (years, median, IQR)</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55.1 (33.3-78.4)</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56.7 (35.1-78.8)</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0.08</w:t>
            </w:r>
          </w:p>
        </w:tc>
      </w:tr>
      <w:tr w:rsidR="00EB5320" w:rsidRPr="00C806D0" w:rsidTr="004442E4">
        <w:trPr>
          <w:trHeight w:val="435"/>
          <w:jc w:val="center"/>
        </w:trPr>
        <w:tc>
          <w:tcPr>
            <w:tcW w:w="0" w:type="auto"/>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Gender (male, %, 95% CI)</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67.5 (66.3-68.6)</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68.3 (66.5-70.1)</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0.45</w:t>
            </w:r>
          </w:p>
        </w:tc>
      </w:tr>
      <w:tr w:rsidR="00EB5320" w:rsidRPr="00C806D0" w:rsidTr="004442E4">
        <w:trPr>
          <w:trHeight w:val="506"/>
          <w:jc w:val="center"/>
        </w:trPr>
        <w:tc>
          <w:tcPr>
            <w:tcW w:w="0" w:type="auto"/>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ISS (median, IQR)</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20 (16-26)</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17 (16-25)</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&lt;0.01</w:t>
            </w:r>
          </w:p>
        </w:tc>
      </w:tr>
      <w:tr w:rsidR="00EB5320" w:rsidRPr="00C806D0" w:rsidTr="004442E4">
        <w:trPr>
          <w:trHeight w:val="583"/>
          <w:jc w:val="center"/>
        </w:trPr>
        <w:tc>
          <w:tcPr>
            <w:tcW w:w="0" w:type="auto"/>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AIS head≥3 (%,95% CI)</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84.0 (83.0-85.1)</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88.4 (87.2-89.7)</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&lt;0.01</w:t>
            </w:r>
          </w:p>
        </w:tc>
      </w:tr>
      <w:tr w:rsidR="00EB5320" w:rsidRPr="00C806D0" w:rsidTr="004442E4">
        <w:trPr>
          <w:trHeight w:val="438"/>
          <w:jc w:val="center"/>
        </w:trPr>
        <w:tc>
          <w:tcPr>
            <w:tcW w:w="0" w:type="auto"/>
            <w:tcBorders>
              <w:top w:val="nil"/>
              <w:left w:val="nil"/>
              <w:bottom w:val="nil"/>
              <w:right w:val="nil"/>
            </w:tcBorders>
            <w:tcMar>
              <w:top w:w="72" w:type="dxa"/>
              <w:left w:w="144" w:type="dxa"/>
              <w:bottom w:w="72" w:type="dxa"/>
              <w:right w:w="144" w:type="dxa"/>
            </w:tcMar>
          </w:tcPr>
          <w:p w:rsidR="00EB5320" w:rsidRPr="00C806D0" w:rsidRDefault="002A16B4" w:rsidP="004442E4">
            <w:pPr>
              <w:pStyle w:val="NoSpacing"/>
              <w:rPr>
                <w:sz w:val="20"/>
                <w:szCs w:val="20"/>
              </w:rPr>
            </w:pPr>
            <w:r w:rsidRPr="00C806D0">
              <w:rPr>
                <w:sz w:val="20"/>
                <w:szCs w:val="20"/>
              </w:rPr>
              <w:t>Extracranial</w:t>
            </w:r>
            <w:r w:rsidR="00EB5320" w:rsidRPr="00C806D0">
              <w:rPr>
                <w:sz w:val="20"/>
                <w:szCs w:val="20"/>
              </w:rPr>
              <w:t xml:space="preserve"> injury AIS≥3 (%,95% CI)</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32.6 (31.4-33.7)</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20.9 (19.3-22.5)</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&lt;0.01</w:t>
            </w:r>
          </w:p>
        </w:tc>
      </w:tr>
      <w:tr w:rsidR="00EB5320" w:rsidRPr="00C806D0" w:rsidTr="004442E4">
        <w:trPr>
          <w:trHeight w:val="437"/>
          <w:jc w:val="center"/>
        </w:trPr>
        <w:tc>
          <w:tcPr>
            <w:tcW w:w="0" w:type="auto"/>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Neurosurgical procedure (%, 95% CI)</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8.5 (7.8-9.1)</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9.7 (8.6-10.9)</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0.06</w:t>
            </w:r>
          </w:p>
        </w:tc>
      </w:tr>
      <w:tr w:rsidR="00EB5320" w:rsidRPr="00C806D0" w:rsidTr="004442E4">
        <w:trPr>
          <w:trHeight w:val="437"/>
          <w:jc w:val="center"/>
        </w:trPr>
        <w:tc>
          <w:tcPr>
            <w:tcW w:w="0" w:type="auto"/>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PH SBP (mmHg, mean, SD)</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139 (33.8)</w:t>
            </w:r>
          </w:p>
          <w:p w:rsidR="00EB5320" w:rsidRPr="00C806D0" w:rsidRDefault="00EB5320" w:rsidP="004442E4">
            <w:pPr>
              <w:pStyle w:val="NoSpacing"/>
              <w:jc w:val="center"/>
              <w:rPr>
                <w:sz w:val="20"/>
                <w:szCs w:val="20"/>
              </w:rPr>
            </w:pPr>
            <w:r w:rsidRPr="00C806D0">
              <w:rPr>
                <w:sz w:val="20"/>
                <w:szCs w:val="20"/>
              </w:rPr>
              <w:t>[n=6,303]</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137 (29.5)</w:t>
            </w:r>
          </w:p>
          <w:p w:rsidR="00EB5320" w:rsidRPr="00C806D0" w:rsidRDefault="00EB5320" w:rsidP="004442E4">
            <w:pPr>
              <w:pStyle w:val="NoSpacing"/>
              <w:jc w:val="center"/>
              <w:rPr>
                <w:sz w:val="20"/>
                <w:szCs w:val="20"/>
              </w:rPr>
            </w:pPr>
            <w:r w:rsidRPr="00C806D0">
              <w:rPr>
                <w:sz w:val="20"/>
                <w:szCs w:val="20"/>
              </w:rPr>
              <w:t>[n=150]</w:t>
            </w:r>
          </w:p>
          <w:p w:rsidR="00EB5320" w:rsidRPr="00C806D0" w:rsidRDefault="00EB5320" w:rsidP="004442E4">
            <w:pPr>
              <w:pStyle w:val="NoSpacing"/>
              <w:jc w:val="center"/>
              <w:rPr>
                <w:sz w:val="20"/>
                <w:szCs w:val="20"/>
              </w:rPr>
            </w:pP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=0.57</w:t>
            </w:r>
          </w:p>
        </w:tc>
      </w:tr>
      <w:tr w:rsidR="00EB5320" w:rsidRPr="00C806D0" w:rsidTr="004442E4">
        <w:trPr>
          <w:trHeight w:val="437"/>
          <w:jc w:val="center"/>
        </w:trPr>
        <w:tc>
          <w:tcPr>
            <w:tcW w:w="0" w:type="auto"/>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PH RR  (b/m, median, IQR)</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18 (16-20)</w:t>
            </w:r>
          </w:p>
          <w:p w:rsidR="00EB5320" w:rsidRPr="00C806D0" w:rsidRDefault="00EB5320" w:rsidP="004442E4">
            <w:pPr>
              <w:pStyle w:val="NoSpacing"/>
              <w:jc w:val="center"/>
              <w:rPr>
                <w:sz w:val="20"/>
                <w:szCs w:val="20"/>
              </w:rPr>
            </w:pPr>
            <w:r w:rsidRPr="00C806D0">
              <w:rPr>
                <w:sz w:val="20"/>
                <w:szCs w:val="20"/>
              </w:rPr>
              <w:t xml:space="preserve"> [n=6,452]</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18 (16-20)</w:t>
            </w:r>
          </w:p>
          <w:p w:rsidR="00EB5320" w:rsidRPr="00C806D0" w:rsidRDefault="00EB5320" w:rsidP="004442E4">
            <w:pPr>
              <w:pStyle w:val="NoSpacing"/>
              <w:jc w:val="center"/>
              <w:rPr>
                <w:sz w:val="20"/>
                <w:szCs w:val="20"/>
              </w:rPr>
            </w:pPr>
            <w:r w:rsidRPr="00C806D0">
              <w:rPr>
                <w:sz w:val="20"/>
                <w:szCs w:val="20"/>
              </w:rPr>
              <w:t>[n=137]</w:t>
            </w:r>
          </w:p>
          <w:p w:rsidR="00EB5320" w:rsidRPr="00C806D0" w:rsidRDefault="00EB5320" w:rsidP="004442E4">
            <w:pPr>
              <w:pStyle w:val="NoSpacing"/>
              <w:jc w:val="center"/>
              <w:rPr>
                <w:sz w:val="20"/>
                <w:szCs w:val="20"/>
              </w:rPr>
            </w:pP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0.45</w:t>
            </w:r>
          </w:p>
        </w:tc>
      </w:tr>
      <w:tr w:rsidR="00EB5320" w:rsidRPr="00C806D0" w:rsidTr="004442E4">
        <w:trPr>
          <w:trHeight w:val="437"/>
          <w:jc w:val="center"/>
        </w:trPr>
        <w:tc>
          <w:tcPr>
            <w:tcW w:w="0" w:type="auto"/>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PH oxygen saturations (%,95% CI)</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97 (95-99)</w:t>
            </w:r>
          </w:p>
          <w:p w:rsidR="00EB5320" w:rsidRPr="00C806D0" w:rsidRDefault="00EB5320" w:rsidP="004442E4">
            <w:pPr>
              <w:pStyle w:val="NoSpacing"/>
              <w:jc w:val="center"/>
              <w:rPr>
                <w:sz w:val="20"/>
                <w:szCs w:val="20"/>
              </w:rPr>
            </w:pPr>
            <w:r w:rsidRPr="00C806D0">
              <w:rPr>
                <w:sz w:val="20"/>
                <w:szCs w:val="20"/>
              </w:rPr>
              <w:t>[n=5,643]</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97 (95-99)</w:t>
            </w:r>
          </w:p>
          <w:p w:rsidR="00EB5320" w:rsidRPr="00C806D0" w:rsidRDefault="00EB5320" w:rsidP="004442E4">
            <w:pPr>
              <w:pStyle w:val="NoSpacing"/>
              <w:jc w:val="center"/>
              <w:rPr>
                <w:sz w:val="20"/>
                <w:szCs w:val="20"/>
              </w:rPr>
            </w:pPr>
            <w:r w:rsidRPr="00C806D0">
              <w:rPr>
                <w:sz w:val="20"/>
                <w:szCs w:val="20"/>
              </w:rPr>
              <w:t>[n=141]</w:t>
            </w:r>
          </w:p>
          <w:p w:rsidR="00EB5320" w:rsidRPr="00C806D0" w:rsidRDefault="00EB5320" w:rsidP="004442E4">
            <w:pPr>
              <w:pStyle w:val="NoSpacing"/>
              <w:jc w:val="center"/>
              <w:rPr>
                <w:sz w:val="20"/>
                <w:szCs w:val="20"/>
              </w:rPr>
            </w:pP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0.69</w:t>
            </w:r>
          </w:p>
        </w:tc>
      </w:tr>
      <w:tr w:rsidR="00EB5320" w:rsidRPr="00C806D0" w:rsidTr="004442E4">
        <w:trPr>
          <w:trHeight w:val="717"/>
          <w:jc w:val="center"/>
        </w:trPr>
        <w:tc>
          <w:tcPr>
            <w:tcW w:w="0" w:type="auto"/>
            <w:tcBorders>
              <w:top w:val="nil"/>
              <w:left w:val="nil"/>
              <w:bottom w:val="nil"/>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PH GCS  (median, IQR)</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14 (9-15)</w:t>
            </w: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14 (7-15)</w:t>
            </w:r>
          </w:p>
          <w:p w:rsidR="00EB5320" w:rsidRPr="00C806D0" w:rsidRDefault="00EB5320" w:rsidP="004442E4">
            <w:pPr>
              <w:pStyle w:val="NoSpacing"/>
              <w:jc w:val="center"/>
              <w:rPr>
                <w:sz w:val="20"/>
                <w:szCs w:val="20"/>
              </w:rPr>
            </w:pPr>
            <w:r w:rsidRPr="00C806D0">
              <w:rPr>
                <w:sz w:val="20"/>
                <w:szCs w:val="20"/>
              </w:rPr>
              <w:t>[n=188]</w:t>
            </w:r>
          </w:p>
          <w:p w:rsidR="00EB5320" w:rsidRPr="00C806D0" w:rsidRDefault="00EB5320" w:rsidP="004442E4">
            <w:pPr>
              <w:pStyle w:val="NoSpacing"/>
              <w:jc w:val="center"/>
              <w:rPr>
                <w:sz w:val="20"/>
                <w:szCs w:val="20"/>
              </w:rPr>
            </w:pPr>
          </w:p>
        </w:tc>
        <w:tc>
          <w:tcPr>
            <w:tcW w:w="0" w:type="auto"/>
            <w:tcBorders>
              <w:top w:val="nil"/>
              <w:left w:val="nil"/>
              <w:bottom w:val="nil"/>
              <w:right w:val="nil"/>
            </w:tcBorders>
          </w:tcPr>
          <w:p w:rsidR="00EB5320" w:rsidRPr="00C806D0" w:rsidRDefault="00EB5320" w:rsidP="004442E4">
            <w:pPr>
              <w:pStyle w:val="NoSpacing"/>
              <w:jc w:val="center"/>
              <w:rPr>
                <w:sz w:val="20"/>
                <w:szCs w:val="20"/>
              </w:rPr>
            </w:pPr>
            <w:r w:rsidRPr="00C806D0">
              <w:rPr>
                <w:sz w:val="20"/>
                <w:szCs w:val="20"/>
              </w:rPr>
              <w:t>0.32</w:t>
            </w:r>
          </w:p>
        </w:tc>
      </w:tr>
      <w:tr w:rsidR="00EB5320" w:rsidRPr="00C806D0" w:rsidTr="004442E4">
        <w:trPr>
          <w:trHeight w:val="688"/>
          <w:jc w:val="center"/>
        </w:trPr>
        <w:tc>
          <w:tcPr>
            <w:tcW w:w="0" w:type="auto"/>
            <w:tcBorders>
              <w:top w:val="nil"/>
              <w:left w:val="nil"/>
              <w:bottom w:val="single" w:sz="4" w:space="0" w:color="auto"/>
              <w:right w:val="nil"/>
            </w:tcBorders>
            <w:tcMar>
              <w:top w:w="72" w:type="dxa"/>
              <w:left w:w="144" w:type="dxa"/>
              <w:bottom w:w="72" w:type="dxa"/>
              <w:right w:w="144" w:type="dxa"/>
            </w:tcMar>
          </w:tcPr>
          <w:p w:rsidR="00EB5320" w:rsidRPr="00C806D0" w:rsidRDefault="00EB5320" w:rsidP="004442E4">
            <w:pPr>
              <w:pStyle w:val="NoSpacing"/>
              <w:rPr>
                <w:sz w:val="20"/>
                <w:szCs w:val="20"/>
              </w:rPr>
            </w:pPr>
            <w:r w:rsidRPr="00C806D0">
              <w:rPr>
                <w:sz w:val="20"/>
                <w:szCs w:val="20"/>
              </w:rPr>
              <w:t xml:space="preserve">Mortality (%, 95% CI)* </w:t>
            </w:r>
          </w:p>
          <w:p w:rsidR="00EB5320" w:rsidRPr="00C806D0" w:rsidRDefault="00EB5320" w:rsidP="004442E4">
            <w:pPr>
              <w:pStyle w:val="NoSpacing"/>
              <w:rPr>
                <w:sz w:val="20"/>
                <w:szCs w:val="20"/>
              </w:rPr>
            </w:pPr>
          </w:p>
          <w:p w:rsidR="00EB5320" w:rsidRPr="00C806D0" w:rsidRDefault="00EB5320" w:rsidP="004442E4">
            <w:pPr>
              <w:pStyle w:val="NoSpacing"/>
              <w:rPr>
                <w:sz w:val="20"/>
                <w:szCs w:val="20"/>
              </w:rPr>
            </w:pPr>
          </w:p>
        </w:tc>
        <w:tc>
          <w:tcPr>
            <w:tcW w:w="0" w:type="auto"/>
            <w:tcBorders>
              <w:top w:val="nil"/>
              <w:left w:val="nil"/>
              <w:bottom w:val="single" w:sz="4" w:space="0" w:color="auto"/>
              <w:right w:val="nil"/>
            </w:tcBorders>
          </w:tcPr>
          <w:p w:rsidR="00EB5320" w:rsidRPr="00C806D0" w:rsidRDefault="00EB5320" w:rsidP="004442E4">
            <w:pPr>
              <w:pStyle w:val="NoSpacing"/>
              <w:jc w:val="center"/>
              <w:rPr>
                <w:sz w:val="20"/>
                <w:szCs w:val="20"/>
              </w:rPr>
            </w:pPr>
            <w:r w:rsidRPr="00C806D0">
              <w:rPr>
                <w:sz w:val="20"/>
                <w:szCs w:val="20"/>
              </w:rPr>
              <w:t>20.3 (19.3-21.3)</w:t>
            </w:r>
          </w:p>
          <w:p w:rsidR="00EB5320" w:rsidRPr="00C806D0" w:rsidRDefault="00EB5320" w:rsidP="004442E4">
            <w:pPr>
              <w:pStyle w:val="NoSpacing"/>
              <w:jc w:val="center"/>
              <w:rPr>
                <w:sz w:val="20"/>
                <w:szCs w:val="20"/>
              </w:rPr>
            </w:pPr>
            <w:r w:rsidRPr="00C806D0">
              <w:rPr>
                <w:sz w:val="20"/>
                <w:szCs w:val="20"/>
              </w:rPr>
              <w:t xml:space="preserve"> [n=5,867]</w:t>
            </w:r>
          </w:p>
          <w:p w:rsidR="00EB5320" w:rsidRPr="00C806D0" w:rsidRDefault="00EB5320" w:rsidP="004442E4">
            <w:pPr>
              <w:pStyle w:val="NoSpacing"/>
              <w:rPr>
                <w:sz w:val="20"/>
                <w:szCs w:val="20"/>
              </w:rPr>
            </w:pPr>
          </w:p>
        </w:tc>
        <w:tc>
          <w:tcPr>
            <w:tcW w:w="0" w:type="auto"/>
            <w:tcBorders>
              <w:top w:val="nil"/>
              <w:left w:val="nil"/>
              <w:bottom w:val="single" w:sz="4" w:space="0" w:color="auto"/>
              <w:right w:val="nil"/>
            </w:tcBorders>
          </w:tcPr>
          <w:p w:rsidR="00EB5320" w:rsidRPr="00C806D0" w:rsidRDefault="00EB5320" w:rsidP="004442E4">
            <w:pPr>
              <w:pStyle w:val="NoSpacing"/>
              <w:jc w:val="center"/>
              <w:rPr>
                <w:sz w:val="20"/>
                <w:szCs w:val="20"/>
              </w:rPr>
            </w:pPr>
            <w:r w:rsidRPr="00C806D0">
              <w:rPr>
                <w:sz w:val="20"/>
                <w:szCs w:val="20"/>
              </w:rPr>
              <w:t>13.0 (11.6-14.5)</w:t>
            </w:r>
          </w:p>
          <w:p w:rsidR="00EB5320" w:rsidRPr="00C806D0" w:rsidRDefault="00EB5320" w:rsidP="004442E4">
            <w:pPr>
              <w:pStyle w:val="NoSpacing"/>
              <w:jc w:val="center"/>
              <w:rPr>
                <w:sz w:val="20"/>
                <w:szCs w:val="20"/>
              </w:rPr>
            </w:pPr>
            <w:r w:rsidRPr="00C806D0">
              <w:rPr>
                <w:sz w:val="20"/>
                <w:szCs w:val="20"/>
              </w:rPr>
              <w:t>[n=2,200]</w:t>
            </w:r>
          </w:p>
        </w:tc>
        <w:tc>
          <w:tcPr>
            <w:tcW w:w="0" w:type="auto"/>
            <w:tcBorders>
              <w:top w:val="nil"/>
              <w:left w:val="nil"/>
              <w:bottom w:val="single" w:sz="4" w:space="0" w:color="auto"/>
              <w:right w:val="nil"/>
            </w:tcBorders>
          </w:tcPr>
          <w:p w:rsidR="00EB5320" w:rsidRPr="00C806D0" w:rsidRDefault="00EB5320" w:rsidP="004442E4">
            <w:pPr>
              <w:pStyle w:val="NoSpacing"/>
              <w:jc w:val="center"/>
              <w:rPr>
                <w:sz w:val="20"/>
                <w:szCs w:val="20"/>
              </w:rPr>
            </w:pPr>
            <w:r w:rsidRPr="00C806D0">
              <w:rPr>
                <w:sz w:val="20"/>
                <w:szCs w:val="20"/>
              </w:rPr>
              <w:t>&lt;0.01</w:t>
            </w:r>
          </w:p>
        </w:tc>
      </w:tr>
    </w:tbl>
    <w:p w:rsidR="00EB5320" w:rsidRPr="00C806D0" w:rsidRDefault="00EB5320" w:rsidP="00EB5320">
      <w:r w:rsidRPr="00C806D0">
        <w:t>*complete case analysis unless sample size otherwise stated.</w:t>
      </w:r>
    </w:p>
    <w:p w:rsidR="00EB5320" w:rsidRPr="00C806D0" w:rsidRDefault="00EB5320" w:rsidP="00EB5320"/>
    <w:p w:rsidR="00EB5320" w:rsidRPr="00C806D0" w:rsidRDefault="00EB5320" w:rsidP="00EB5320">
      <w:r w:rsidRPr="00C806D0">
        <w:t>Simulated datasets demonstrated credible distributions for imputed incomplete variables, with plausible ranges and no obvious anomalies (data not shown). Sensitivity and specificity estimates for the identification of significant TBI using the HITSNS and LAS triage rules were not materially changed following multiple imputation of missing data under a missing at random assumption. The HITSNS triage instrument demonstrated a revised sensitivity of 33.7 (32.7-34.7) and a specificity of 88.6 (87.2-90.0), n=14,293. The LAS trauma triage tool’s sensitivity was 43.9 (42.8-45.0), with a specificity of 68.1 (66.0-70.2), n=14,293.</w:t>
      </w:r>
    </w:p>
    <w:p w:rsidR="00EB5320" w:rsidRPr="00C806D0" w:rsidRDefault="00EB5320" w:rsidP="00EB5320"/>
    <w:p w:rsidR="00EB5320" w:rsidRPr="00C806D0" w:rsidRDefault="00EB5320" w:rsidP="00EB5320">
      <w:pPr>
        <w:pStyle w:val="Heading4"/>
      </w:pPr>
      <w:r w:rsidRPr="00C806D0">
        <w:lastRenderedPageBreak/>
        <w:t>Alternative specifications of triage rules.</w:t>
      </w:r>
    </w:p>
    <w:p w:rsidR="00EB5320" w:rsidRPr="00C806D0" w:rsidRDefault="00EB5320" w:rsidP="00EB5320">
      <w:r w:rsidRPr="00C806D0">
        <w:t>Adding hypoxia as an explicit criteria for ABC compromise reduced the sensitivity of the NEAS HITSNS triage rule to 25.9% (95%CI 24.7-27.2%, specificity 91.6%, 95%CI 89.7-93.3%). The sensitivity and specificity of the NWAS variation of the HITSNS triage rule with a GCS≤12 threshold, and lower respiratory rate level of 10, were 26.8% (95%CI 25.3-28.4) and 97.3% (95%CI 97.0-97.6) respectively.</w:t>
      </w:r>
    </w:p>
    <w:p w:rsidR="00EB5320" w:rsidRPr="00C806D0" w:rsidRDefault="00EB5320" w:rsidP="00EB5320"/>
    <w:p w:rsidR="00EB5320" w:rsidRPr="00C806D0" w:rsidRDefault="00EB5320" w:rsidP="00EB5320">
      <w:r w:rsidRPr="00C806D0">
        <w:t xml:space="preserve">Adding bleeding disorders (including prescribed anti-coagulants), vehicle entrapment and age≥55 as mandatory criteria to the LAS triage rule manifestly increased sensitivity for detection of significant TBI to 74.1% (95%CI 73.0-75.3) at the expense of decreased specificity (30.3%, 95%CI 27.5-33.2). </w:t>
      </w:r>
    </w:p>
    <w:p w:rsidR="00EB5320" w:rsidRPr="00C806D0" w:rsidRDefault="00EB5320" w:rsidP="00EB5320">
      <w:pPr>
        <w:pStyle w:val="Heading4"/>
      </w:pPr>
      <w:r w:rsidRPr="00C806D0">
        <w:t>Alternative specifications of the reference standard.</w:t>
      </w:r>
    </w:p>
    <w:p w:rsidR="00EB5320" w:rsidRPr="00C806D0" w:rsidRDefault="00EB5320" w:rsidP="00EB5320">
      <w:r w:rsidRPr="00C806D0">
        <w:t>To examine the influence of alternative specifications of the reference standard diagnostic accuracy metrics were recalculated using the original triage rule criteria and a modified reference standard for significant TBI of: brain AIS≥4, ISS≥16 from brain injuries alone, or undergoing a neurosurgical procedure. The sensitivity of the NEAS rule using this reference standard was marginally higher at 35.0% (95%CI 33.6-36.5%), with slightly lower specificity of 81.6% (79.9-83.1%). Results for the LAS triage rule changed similarly with a slight improvement in sensitivity to 46.1% (95%CI 44.6-47.6%) and small decrease in specificity to 64.4% (95%CI 62.4-66.4%).</w:t>
      </w:r>
    </w:p>
    <w:p w:rsidR="00EB5320" w:rsidRPr="00C806D0" w:rsidRDefault="00EB5320" w:rsidP="00EB5320"/>
    <w:p w:rsidR="00EB5320" w:rsidRPr="00C806D0" w:rsidRDefault="00EB5320" w:rsidP="00EB5320">
      <w:r w:rsidRPr="00C806D0">
        <w:t xml:space="preserve">The reference standard was modified in a further sensitivity analysis to include non-TBI major trauma cases of ISS≥16 or requiring critical care, in addition to the original diagnostic criteria for significant TBI. Sensitivity for significant TBI using the NEAS triage rule under these conditions was similar to the primary analysis at 31.4% (95%CI 30.2-32.6%), but specificity was much higher at 93% (95%CI 90.6-94.9). A comparable pattern was evident with the LAS triage instrument with an almost identical sensitivity of 44.6% (95% 43.4-45.9%) and notably improved specificity of 79.9% (76.5-83.0%). </w:t>
      </w:r>
    </w:p>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 w:rsidR="00EB5320" w:rsidRPr="00C806D0" w:rsidRDefault="00EB5320" w:rsidP="00EB5320">
      <w:pPr>
        <w:pStyle w:val="Heading2"/>
      </w:pPr>
      <w:r w:rsidRPr="00C806D0">
        <w:lastRenderedPageBreak/>
        <w:t>investigation of compliance with HITSNS triage rule decisions</w:t>
      </w:r>
    </w:p>
    <w:p w:rsidR="00EB5320" w:rsidRPr="00C806D0" w:rsidRDefault="00EB5320" w:rsidP="00EB5320">
      <w:pPr>
        <w:pStyle w:val="Heading3"/>
      </w:pPr>
      <w:r w:rsidRPr="00C806D0">
        <w:t>Supplementary methodological information</w:t>
      </w:r>
    </w:p>
    <w:p w:rsidR="00EB5320" w:rsidRPr="00C806D0" w:rsidRDefault="00EB5320" w:rsidP="00EB5320">
      <w:pPr>
        <w:pStyle w:val="Heading4"/>
      </w:pPr>
      <w:r w:rsidRPr="00C806D0">
        <w:t xml:space="preserve">Flow chart of </w:t>
      </w:r>
      <w:r w:rsidR="009A5E26" w:rsidRPr="00C806D0">
        <w:t xml:space="preserve">HITSNS </w:t>
      </w:r>
      <w:r w:rsidRPr="00C806D0">
        <w:t>study participants</w:t>
      </w:r>
    </w:p>
    <w:p w:rsidR="00EB5320" w:rsidRPr="00C806D0" w:rsidRDefault="00EB5320" w:rsidP="00EB5320"/>
    <w:p w:rsidR="00EB5320" w:rsidRPr="00C806D0" w:rsidRDefault="00EB5320" w:rsidP="00EB5320">
      <w:r w:rsidRPr="00C806D0">
        <w:rPr>
          <w:noProof/>
          <w:lang w:val="en-US"/>
        </w:rPr>
        <w:drawing>
          <wp:inline distT="0" distB="0" distL="0" distR="0">
            <wp:extent cx="5400040" cy="6141720"/>
            <wp:effectExtent l="19050" t="0" r="0" b="0"/>
            <wp:docPr id="5" name="Picture 4" descr="HITSNS_flow_chart_for_complianc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SNS_flow_chart_for_compliance_2.1.JPG"/>
                    <pic:cNvPicPr/>
                  </pic:nvPicPr>
                  <pic:blipFill>
                    <a:blip r:embed="rId11" cstate="print"/>
                    <a:stretch>
                      <a:fillRect/>
                    </a:stretch>
                  </pic:blipFill>
                  <pic:spPr>
                    <a:xfrm>
                      <a:off x="0" y="0"/>
                      <a:ext cx="5400040" cy="6141720"/>
                    </a:xfrm>
                    <a:prstGeom prst="rect">
                      <a:avLst/>
                    </a:prstGeom>
                  </pic:spPr>
                </pic:pic>
              </a:graphicData>
            </a:graphic>
          </wp:inline>
        </w:drawing>
      </w:r>
    </w:p>
    <w:p w:rsidR="00EB5320" w:rsidRPr="00C806D0" w:rsidRDefault="00EB5320" w:rsidP="00EB5320">
      <w:pPr>
        <w:rPr>
          <w:b/>
          <w:shd w:val="clear" w:color="auto" w:fill="FFFFFF"/>
        </w:rPr>
      </w:pPr>
      <w:r w:rsidRPr="00C806D0">
        <w:rPr>
          <w:b/>
          <w:shd w:val="clear" w:color="auto" w:fill="FFFFFF"/>
        </w:rPr>
        <w:t xml:space="preserve">Figure C1. Derivation of study participants for the HITSNS sub-study examining compliance with bypass. </w:t>
      </w:r>
    </w:p>
    <w:p w:rsidR="00EB5320" w:rsidRPr="00C806D0" w:rsidRDefault="00EB5320" w:rsidP="00EB5320"/>
    <w:p w:rsidR="00EB5320" w:rsidRPr="00C806D0" w:rsidRDefault="00EB5320" w:rsidP="00EB5320">
      <w:pPr>
        <w:pStyle w:val="Heading2"/>
      </w:pPr>
      <w:r w:rsidRPr="00C806D0">
        <w:lastRenderedPageBreak/>
        <w:t>references</w:t>
      </w:r>
    </w:p>
    <w:p w:rsidR="006D4D62" w:rsidRPr="00C806D0" w:rsidRDefault="006D4D62" w:rsidP="006D4D62">
      <w:pPr>
        <w:spacing w:line="240" w:lineRule="auto"/>
        <w:ind w:left="720" w:hanging="720"/>
        <w:rPr>
          <w:rFonts w:ascii="Calibri" w:hAnsi="Calibri"/>
          <w:noProof/>
        </w:rPr>
      </w:pPr>
      <w:bookmarkStart w:id="54" w:name="_ENREF_3_1"/>
      <w:r w:rsidRPr="00C806D0">
        <w:rPr>
          <w:rFonts w:ascii="Calibri" w:hAnsi="Calibri"/>
          <w:noProof/>
        </w:rPr>
        <w:t>1.</w:t>
      </w:r>
      <w:r w:rsidRPr="00C806D0">
        <w:rPr>
          <w:rFonts w:ascii="Calibri" w:hAnsi="Calibri"/>
          <w:noProof/>
        </w:rPr>
        <w:tab/>
        <w:t xml:space="preserve">Little RJA, Rubin DB: </w:t>
      </w:r>
      <w:r w:rsidRPr="00C806D0">
        <w:rPr>
          <w:rFonts w:ascii="Calibri" w:hAnsi="Calibri"/>
          <w:b/>
          <w:noProof/>
        </w:rPr>
        <w:t>Statistical analysis with missing data</w:t>
      </w:r>
      <w:r w:rsidRPr="00C806D0">
        <w:rPr>
          <w:rFonts w:ascii="Calibri" w:hAnsi="Calibri"/>
          <w:noProof/>
        </w:rPr>
        <w:t>, 2nd ed. edn. Hoboken, N.J. ; [Chichester]: Wiley; 2002.</w:t>
      </w:r>
      <w:bookmarkEnd w:id="54"/>
    </w:p>
    <w:p w:rsidR="006D4D62" w:rsidRPr="00C806D0" w:rsidRDefault="006D4D62" w:rsidP="006D4D62">
      <w:pPr>
        <w:spacing w:line="240" w:lineRule="auto"/>
        <w:ind w:left="720" w:hanging="720"/>
        <w:rPr>
          <w:rFonts w:ascii="Calibri" w:hAnsi="Calibri"/>
          <w:noProof/>
        </w:rPr>
      </w:pPr>
      <w:bookmarkStart w:id="55" w:name="_ENREF_3_2"/>
      <w:r w:rsidRPr="00C806D0">
        <w:rPr>
          <w:rFonts w:ascii="Calibri" w:hAnsi="Calibri"/>
          <w:noProof/>
        </w:rPr>
        <w:t>2.</w:t>
      </w:r>
      <w:r w:rsidRPr="00C806D0">
        <w:rPr>
          <w:rFonts w:ascii="Calibri" w:hAnsi="Calibri"/>
          <w:noProof/>
        </w:rPr>
        <w:tab/>
        <w:t xml:space="preserve">Palmer C: </w:t>
      </w:r>
      <w:r w:rsidRPr="00C806D0">
        <w:rPr>
          <w:rFonts w:ascii="Calibri" w:hAnsi="Calibri"/>
          <w:b/>
          <w:noProof/>
        </w:rPr>
        <w:t>Major trauma and the injury severity score--where should we set the bar?</w:t>
      </w:r>
      <w:r w:rsidRPr="00C806D0">
        <w:rPr>
          <w:rFonts w:ascii="Calibri" w:hAnsi="Calibri"/>
          <w:noProof/>
        </w:rPr>
        <w:t xml:space="preserve"> </w:t>
      </w:r>
      <w:r w:rsidRPr="00C806D0">
        <w:rPr>
          <w:rFonts w:ascii="Calibri" w:hAnsi="Calibri"/>
          <w:i/>
          <w:noProof/>
        </w:rPr>
        <w:t xml:space="preserve">Annual proceedings / Association for the Advancement of Automotive Medicine Association for the Advancement of Automotive Medicine </w:t>
      </w:r>
      <w:r w:rsidRPr="00C806D0">
        <w:rPr>
          <w:rFonts w:ascii="Calibri" w:hAnsi="Calibri"/>
          <w:noProof/>
        </w:rPr>
        <w:t xml:space="preserve">2007, </w:t>
      </w:r>
      <w:r w:rsidRPr="00C806D0">
        <w:rPr>
          <w:rFonts w:ascii="Calibri" w:hAnsi="Calibri"/>
          <w:b/>
          <w:noProof/>
        </w:rPr>
        <w:t>51</w:t>
      </w:r>
      <w:r w:rsidRPr="00C806D0">
        <w:rPr>
          <w:rFonts w:ascii="Calibri" w:hAnsi="Calibri"/>
          <w:noProof/>
        </w:rPr>
        <w:t>:13-29.</w:t>
      </w:r>
      <w:bookmarkEnd w:id="55"/>
    </w:p>
    <w:p w:rsidR="006D4D62" w:rsidRPr="00C806D0" w:rsidRDefault="006D4D62" w:rsidP="006D4D62">
      <w:pPr>
        <w:spacing w:line="240" w:lineRule="auto"/>
        <w:ind w:left="720" w:hanging="720"/>
        <w:rPr>
          <w:rFonts w:ascii="Calibri" w:hAnsi="Calibri"/>
          <w:noProof/>
        </w:rPr>
      </w:pPr>
      <w:bookmarkStart w:id="56" w:name="_ENREF_3_3"/>
      <w:r w:rsidRPr="00C806D0">
        <w:rPr>
          <w:rFonts w:ascii="Calibri" w:hAnsi="Calibri"/>
          <w:noProof/>
        </w:rPr>
        <w:t>3.</w:t>
      </w:r>
      <w:r w:rsidRPr="00C806D0">
        <w:rPr>
          <w:rFonts w:ascii="Calibri" w:hAnsi="Calibri"/>
          <w:noProof/>
        </w:rPr>
        <w:tab/>
        <w:t xml:space="preserve">Brohi KC, TC. Parr T.: </w:t>
      </w:r>
      <w:r w:rsidRPr="00C806D0">
        <w:rPr>
          <w:rFonts w:ascii="Calibri" w:hAnsi="Calibri"/>
          <w:b/>
          <w:noProof/>
        </w:rPr>
        <w:t>Regional trauma systems interim guidance for commissioners</w:t>
      </w:r>
      <w:r w:rsidRPr="00C806D0">
        <w:rPr>
          <w:rFonts w:ascii="Calibri" w:hAnsi="Calibri"/>
          <w:noProof/>
        </w:rPr>
        <w:t>. In</w:t>
      </w:r>
      <w:r w:rsidRPr="00C806D0">
        <w:rPr>
          <w:rFonts w:ascii="Calibri" w:hAnsi="Calibri"/>
          <w:i/>
          <w:noProof/>
        </w:rPr>
        <w:t>.</w:t>
      </w:r>
      <w:r w:rsidRPr="00C806D0">
        <w:rPr>
          <w:rFonts w:ascii="Calibri" w:hAnsi="Calibri"/>
          <w:noProof/>
        </w:rPr>
        <w:t xml:space="preserve"> London: The Royal College of Surgeons of England; 2009.</w:t>
      </w:r>
      <w:bookmarkEnd w:id="56"/>
    </w:p>
    <w:p w:rsidR="006D4D62" w:rsidRPr="00C806D0" w:rsidRDefault="006D4D62" w:rsidP="006D4D62">
      <w:pPr>
        <w:spacing w:line="240" w:lineRule="auto"/>
        <w:ind w:left="720" w:hanging="720"/>
        <w:rPr>
          <w:rFonts w:ascii="Calibri" w:hAnsi="Calibri"/>
          <w:noProof/>
        </w:rPr>
      </w:pPr>
      <w:bookmarkStart w:id="57" w:name="_ENREF_3_4"/>
      <w:r w:rsidRPr="00C806D0">
        <w:rPr>
          <w:rFonts w:ascii="Calibri" w:hAnsi="Calibri"/>
          <w:noProof/>
        </w:rPr>
        <w:t>4.</w:t>
      </w:r>
      <w:r w:rsidRPr="00C806D0">
        <w:rPr>
          <w:rFonts w:ascii="Calibri" w:hAnsi="Calibri"/>
          <w:noProof/>
        </w:rPr>
        <w:tab/>
        <w:t xml:space="preserve">Schafer JL: </w:t>
      </w:r>
      <w:r w:rsidRPr="00C806D0">
        <w:rPr>
          <w:rFonts w:ascii="Calibri" w:hAnsi="Calibri"/>
          <w:b/>
          <w:noProof/>
        </w:rPr>
        <w:t>Multiple imputation: a primer</w:t>
      </w:r>
      <w:r w:rsidRPr="00C806D0">
        <w:rPr>
          <w:rFonts w:ascii="Calibri" w:hAnsi="Calibri"/>
          <w:noProof/>
        </w:rPr>
        <w:t xml:space="preserve">. </w:t>
      </w:r>
      <w:r w:rsidRPr="00C806D0">
        <w:rPr>
          <w:rFonts w:ascii="Calibri" w:hAnsi="Calibri"/>
          <w:i/>
          <w:noProof/>
        </w:rPr>
        <w:t xml:space="preserve">Statistical methods in medical research </w:t>
      </w:r>
      <w:r w:rsidRPr="00C806D0">
        <w:rPr>
          <w:rFonts w:ascii="Calibri" w:hAnsi="Calibri"/>
          <w:noProof/>
        </w:rPr>
        <w:t xml:space="preserve">1999, </w:t>
      </w:r>
      <w:r w:rsidRPr="00C806D0">
        <w:rPr>
          <w:rFonts w:ascii="Calibri" w:hAnsi="Calibri"/>
          <w:b/>
          <w:noProof/>
        </w:rPr>
        <w:t>8</w:t>
      </w:r>
      <w:r w:rsidRPr="00C806D0">
        <w:rPr>
          <w:rFonts w:ascii="Calibri" w:hAnsi="Calibri"/>
          <w:noProof/>
        </w:rPr>
        <w:t>(1):3-15.</w:t>
      </w:r>
      <w:bookmarkEnd w:id="57"/>
    </w:p>
    <w:p w:rsidR="006D4D62" w:rsidRPr="00C806D0" w:rsidRDefault="006D4D62" w:rsidP="006D4D62">
      <w:pPr>
        <w:spacing w:line="240" w:lineRule="auto"/>
        <w:ind w:left="720" w:hanging="720"/>
        <w:rPr>
          <w:rFonts w:ascii="Calibri" w:hAnsi="Calibri"/>
          <w:noProof/>
        </w:rPr>
      </w:pPr>
      <w:bookmarkStart w:id="58" w:name="_ENREF_3_5"/>
      <w:r w:rsidRPr="00C806D0">
        <w:rPr>
          <w:rFonts w:ascii="Calibri" w:hAnsi="Calibri"/>
          <w:noProof/>
        </w:rPr>
        <w:t>5.</w:t>
      </w:r>
      <w:r w:rsidRPr="00C806D0">
        <w:rPr>
          <w:rFonts w:ascii="Calibri" w:hAnsi="Calibri"/>
          <w:noProof/>
        </w:rPr>
        <w:tab/>
        <w:t xml:space="preserve">Little RJA, Rubin DB: </w:t>
      </w:r>
      <w:r w:rsidRPr="00C806D0">
        <w:rPr>
          <w:rFonts w:ascii="Calibri" w:hAnsi="Calibri"/>
          <w:b/>
          <w:noProof/>
        </w:rPr>
        <w:t>Statistical analysis with missing data</w:t>
      </w:r>
      <w:r w:rsidRPr="00C806D0">
        <w:rPr>
          <w:rFonts w:ascii="Calibri" w:hAnsi="Calibri"/>
          <w:noProof/>
        </w:rPr>
        <w:t>. New York: Wiley; 1987.</w:t>
      </w:r>
      <w:bookmarkEnd w:id="58"/>
    </w:p>
    <w:p w:rsidR="006D4D62" w:rsidRPr="00C806D0" w:rsidRDefault="006D4D62" w:rsidP="006D4D62">
      <w:pPr>
        <w:spacing w:line="240" w:lineRule="auto"/>
        <w:ind w:left="720" w:hanging="720"/>
        <w:rPr>
          <w:rFonts w:ascii="Calibri" w:hAnsi="Calibri"/>
          <w:noProof/>
        </w:rPr>
      </w:pPr>
      <w:bookmarkStart w:id="59" w:name="_ENREF_3_6"/>
      <w:r w:rsidRPr="00C806D0">
        <w:rPr>
          <w:rFonts w:ascii="Calibri" w:hAnsi="Calibri"/>
          <w:noProof/>
        </w:rPr>
        <w:t>6.</w:t>
      </w:r>
      <w:r w:rsidRPr="00C806D0">
        <w:rPr>
          <w:rFonts w:ascii="Calibri" w:hAnsi="Calibri"/>
          <w:noProof/>
        </w:rPr>
        <w:tab/>
        <w:t xml:space="preserve">White IR, Royston P, Wood AM: </w:t>
      </w:r>
      <w:r w:rsidRPr="00C806D0">
        <w:rPr>
          <w:rFonts w:ascii="Calibri" w:hAnsi="Calibri"/>
          <w:b/>
          <w:noProof/>
        </w:rPr>
        <w:t>Multiple imputation using chained equations: Issues and guidance for practice</w:t>
      </w:r>
      <w:r w:rsidRPr="00C806D0">
        <w:rPr>
          <w:rFonts w:ascii="Calibri" w:hAnsi="Calibri"/>
          <w:noProof/>
        </w:rPr>
        <w:t xml:space="preserve">. </w:t>
      </w:r>
      <w:r w:rsidRPr="00C806D0">
        <w:rPr>
          <w:rFonts w:ascii="Calibri" w:hAnsi="Calibri"/>
          <w:i/>
          <w:noProof/>
        </w:rPr>
        <w:t xml:space="preserve">Statistics in medicine </w:t>
      </w:r>
      <w:r w:rsidRPr="00C806D0">
        <w:rPr>
          <w:rFonts w:ascii="Calibri" w:hAnsi="Calibri"/>
          <w:noProof/>
        </w:rPr>
        <w:t xml:space="preserve">2011, </w:t>
      </w:r>
      <w:r w:rsidRPr="00C806D0">
        <w:rPr>
          <w:rFonts w:ascii="Calibri" w:hAnsi="Calibri"/>
          <w:b/>
          <w:noProof/>
        </w:rPr>
        <w:t>30</w:t>
      </w:r>
      <w:r w:rsidRPr="00C806D0">
        <w:rPr>
          <w:rFonts w:ascii="Calibri" w:hAnsi="Calibri"/>
          <w:noProof/>
        </w:rPr>
        <w:t>(4):377-399.</w:t>
      </w:r>
      <w:bookmarkEnd w:id="59"/>
    </w:p>
    <w:p w:rsidR="006D4D62" w:rsidRPr="00C806D0" w:rsidRDefault="006D4D62" w:rsidP="006D4D62">
      <w:pPr>
        <w:spacing w:line="240" w:lineRule="auto"/>
        <w:ind w:left="720" w:hanging="720"/>
        <w:rPr>
          <w:rFonts w:ascii="Calibri" w:hAnsi="Calibri"/>
          <w:noProof/>
        </w:rPr>
      </w:pPr>
      <w:bookmarkStart w:id="60" w:name="_ENREF_3_7"/>
      <w:r w:rsidRPr="00C806D0">
        <w:rPr>
          <w:rFonts w:ascii="Calibri" w:hAnsi="Calibri"/>
          <w:noProof/>
        </w:rPr>
        <w:t>7.</w:t>
      </w:r>
      <w:r w:rsidRPr="00C806D0">
        <w:rPr>
          <w:rFonts w:ascii="Calibri" w:hAnsi="Calibri"/>
          <w:noProof/>
        </w:rPr>
        <w:tab/>
        <w:t xml:space="preserve">Sterne JA, White IR, Carlin JB, Spratt M, Royston P, Kenward MG, Wood AM, Carpenter JR: </w:t>
      </w:r>
      <w:r w:rsidRPr="00C806D0">
        <w:rPr>
          <w:rFonts w:ascii="Calibri" w:hAnsi="Calibri"/>
          <w:b/>
          <w:noProof/>
        </w:rPr>
        <w:t>Multiple imputation for missing data in epidemiological and clinical research: potential and pitfalls</w:t>
      </w:r>
      <w:r w:rsidRPr="00C806D0">
        <w:rPr>
          <w:rFonts w:ascii="Calibri" w:hAnsi="Calibri"/>
          <w:noProof/>
        </w:rPr>
        <w:t xml:space="preserve">. </w:t>
      </w:r>
      <w:r w:rsidRPr="00C806D0">
        <w:rPr>
          <w:rFonts w:ascii="Calibri" w:hAnsi="Calibri"/>
          <w:i/>
          <w:noProof/>
        </w:rPr>
        <w:t xml:space="preserve">Bmj </w:t>
      </w:r>
      <w:r w:rsidRPr="00C806D0">
        <w:rPr>
          <w:rFonts w:ascii="Calibri" w:hAnsi="Calibri"/>
          <w:noProof/>
        </w:rPr>
        <w:t xml:space="preserve">2009, </w:t>
      </w:r>
      <w:r w:rsidRPr="00C806D0">
        <w:rPr>
          <w:rFonts w:ascii="Calibri" w:hAnsi="Calibri"/>
          <w:b/>
          <w:noProof/>
        </w:rPr>
        <w:t>338</w:t>
      </w:r>
      <w:r w:rsidRPr="00C806D0">
        <w:rPr>
          <w:rFonts w:ascii="Calibri" w:hAnsi="Calibri"/>
          <w:noProof/>
        </w:rPr>
        <w:t>:b2393.</w:t>
      </w:r>
      <w:bookmarkEnd w:id="60"/>
    </w:p>
    <w:p w:rsidR="006D4D62" w:rsidRPr="00C806D0" w:rsidRDefault="006D4D62" w:rsidP="006D4D62">
      <w:pPr>
        <w:spacing w:line="240" w:lineRule="auto"/>
        <w:ind w:left="720" w:hanging="720"/>
        <w:rPr>
          <w:rFonts w:ascii="Calibri" w:hAnsi="Calibri"/>
          <w:noProof/>
        </w:rPr>
      </w:pPr>
      <w:bookmarkStart w:id="61" w:name="_ENREF_3_8"/>
      <w:r w:rsidRPr="00C806D0">
        <w:rPr>
          <w:rFonts w:ascii="Calibri" w:hAnsi="Calibri"/>
          <w:noProof/>
        </w:rPr>
        <w:t>8.</w:t>
      </w:r>
      <w:r w:rsidRPr="00C806D0">
        <w:rPr>
          <w:rFonts w:ascii="Calibri" w:hAnsi="Calibri"/>
          <w:noProof/>
        </w:rPr>
        <w:tab/>
        <w:t xml:space="preserve">Graham JW, Olchowski AE, Gilreath TD: </w:t>
      </w:r>
      <w:r w:rsidRPr="00C806D0">
        <w:rPr>
          <w:rFonts w:ascii="Calibri" w:hAnsi="Calibri"/>
          <w:b/>
          <w:noProof/>
        </w:rPr>
        <w:t>How many imputations are really needed? Some practical clarifications of multiple imputation theory</w:t>
      </w:r>
      <w:r w:rsidRPr="00C806D0">
        <w:rPr>
          <w:rFonts w:ascii="Calibri" w:hAnsi="Calibri"/>
          <w:noProof/>
        </w:rPr>
        <w:t xml:space="preserve">. </w:t>
      </w:r>
      <w:r w:rsidRPr="00C806D0">
        <w:rPr>
          <w:rFonts w:ascii="Calibri" w:hAnsi="Calibri"/>
          <w:i/>
          <w:noProof/>
        </w:rPr>
        <w:t xml:space="preserve">Prevention science : the official journal of the Society for Prevention Research </w:t>
      </w:r>
      <w:r w:rsidRPr="00C806D0">
        <w:rPr>
          <w:rFonts w:ascii="Calibri" w:hAnsi="Calibri"/>
          <w:noProof/>
        </w:rPr>
        <w:t xml:space="preserve">2007, </w:t>
      </w:r>
      <w:r w:rsidRPr="00C806D0">
        <w:rPr>
          <w:rFonts w:ascii="Calibri" w:hAnsi="Calibri"/>
          <w:b/>
          <w:noProof/>
        </w:rPr>
        <w:t>8</w:t>
      </w:r>
      <w:r w:rsidRPr="00C806D0">
        <w:rPr>
          <w:rFonts w:ascii="Calibri" w:hAnsi="Calibri"/>
          <w:noProof/>
        </w:rPr>
        <w:t>(3):206-213.</w:t>
      </w:r>
      <w:bookmarkEnd w:id="61"/>
    </w:p>
    <w:p w:rsidR="006D4D62" w:rsidRPr="00C806D0" w:rsidRDefault="006D4D62" w:rsidP="006D4D62">
      <w:pPr>
        <w:spacing w:line="240" w:lineRule="auto"/>
        <w:rPr>
          <w:rFonts w:ascii="Calibri" w:hAnsi="Calibri"/>
          <w:noProof/>
        </w:rPr>
      </w:pPr>
    </w:p>
    <w:p w:rsidR="00D368BB" w:rsidRPr="00C806D0" w:rsidRDefault="00D368BB" w:rsidP="00EB5320"/>
    <w:p w:rsidR="003A4BDE" w:rsidRPr="00C806D0" w:rsidRDefault="003A4BDE" w:rsidP="00EB5320">
      <w:pPr>
        <w:sectPr w:rsidR="003A4BDE" w:rsidRPr="00C806D0" w:rsidSect="00E31429">
          <w:footerReference w:type="default" r:id="rId12"/>
          <w:pgSz w:w="11906" w:h="16838" w:code="9"/>
          <w:pgMar w:top="1134" w:right="1134" w:bottom="1134" w:left="2268" w:header="851" w:footer="851" w:gutter="0"/>
          <w:cols w:space="708"/>
          <w:titlePg/>
          <w:docGrid w:linePitch="360"/>
        </w:sectPr>
      </w:pPr>
    </w:p>
    <w:p w:rsidR="006574FF" w:rsidRPr="00C806D0" w:rsidRDefault="006574FF" w:rsidP="006574FF">
      <w:pPr>
        <w:pStyle w:val="Heading1"/>
      </w:pPr>
      <w:r w:rsidRPr="00C806D0">
        <w:lastRenderedPageBreak/>
        <w:t>Appendix D: THE EFFECT OF TIME TO RESUSCITATION AND TIME TO NEUROCRITICAL CARE ON mortality in significant head injury</w:t>
      </w:r>
    </w:p>
    <w:p w:rsidR="006574FF" w:rsidRPr="00C806D0" w:rsidRDefault="006574FF" w:rsidP="006574FF">
      <w:pPr>
        <w:pStyle w:val="Heading2"/>
      </w:pPr>
      <w:r w:rsidRPr="00C806D0">
        <w:t>supplementary methodological information</w:t>
      </w:r>
    </w:p>
    <w:p w:rsidR="006574FF" w:rsidRPr="00C806D0" w:rsidRDefault="006574FF" w:rsidP="006574FF">
      <w:pPr>
        <w:pStyle w:val="Heading3"/>
      </w:pPr>
      <w:r w:rsidRPr="00C806D0">
        <w:t>Regression modelling strategy</w:t>
      </w:r>
      <w:r w:rsidR="00472909" w:rsidRPr="00C806D0">
        <w:t xml:space="preserve"> for the examination of the association between EMS interval and mortality</w:t>
      </w:r>
    </w:p>
    <w:p w:rsidR="006574FF" w:rsidRPr="00C806D0" w:rsidRDefault="00472909" w:rsidP="00472909">
      <w:pPr>
        <w:rPr>
          <w:rFonts w:ascii="Calibri" w:hAnsi="Calibri"/>
        </w:rPr>
      </w:pPr>
      <w:r w:rsidRPr="00C806D0">
        <w:rPr>
          <w:rFonts w:ascii="Calibri" w:hAnsi="Calibri"/>
        </w:rPr>
        <w:t xml:space="preserve">Multivariable logistic regression models were developed to investigate the independent effect of EMS interval on mortality, controlling for potential case-mix differences between patients with different prehospital times. </w:t>
      </w:r>
      <w:r w:rsidR="006574FF" w:rsidRPr="00C806D0">
        <w:rPr>
          <w:rFonts w:ascii="Calibri" w:hAnsi="Calibri"/>
        </w:rPr>
        <w:t xml:space="preserve">A fully specified model was initially built </w:t>
      </w:r>
      <w:r w:rsidR="009B5AC2" w:rsidRPr="00C806D0">
        <w:rPr>
          <w:rFonts w:ascii="Calibri" w:hAnsi="Calibri"/>
        </w:rPr>
        <w:t>incorporating</w:t>
      </w:r>
      <w:r w:rsidR="006574FF" w:rsidRPr="00C806D0">
        <w:rPr>
          <w:rFonts w:ascii="Calibri" w:hAnsi="Calibri"/>
        </w:rPr>
        <w:t xml:space="preserve"> inpatient mortality within 30 days as the dependent variable, EMS interval as the exposure variable, and potential confounding variables as additional explanatory variables. Specification of confounders was based on potential causal relationships between EMS interval and mortality, rather than statistical associations, and met the following conditions:</w:t>
      </w:r>
      <w:r w:rsidR="00D368BB" w:rsidRPr="00C806D0">
        <w:rPr>
          <w:rFonts w:ascii="Calibri" w:hAnsi="Calibri"/>
          <w:noProof/>
          <w:vertAlign w:val="superscript"/>
        </w:rPr>
        <w:t>[</w:t>
      </w:r>
      <w:r w:rsidR="006D4D62" w:rsidRPr="00C806D0">
        <w:rPr>
          <w:rFonts w:ascii="Calibri" w:hAnsi="Calibri"/>
          <w:noProof/>
          <w:vertAlign w:val="superscript"/>
        </w:rPr>
        <w:t>1</w:t>
      </w:r>
      <w:r w:rsidR="00D368BB" w:rsidRPr="00C806D0">
        <w:rPr>
          <w:rFonts w:ascii="Calibri" w:hAnsi="Calibri"/>
          <w:noProof/>
          <w:vertAlign w:val="superscript"/>
        </w:rPr>
        <w:t xml:space="preserve">, </w:t>
      </w:r>
      <w:r w:rsidR="006D4D62" w:rsidRPr="00C806D0">
        <w:rPr>
          <w:rFonts w:ascii="Calibri" w:hAnsi="Calibri"/>
          <w:noProof/>
          <w:vertAlign w:val="superscript"/>
        </w:rPr>
        <w:t>2</w:t>
      </w:r>
      <w:r w:rsidR="00D368BB" w:rsidRPr="00C806D0">
        <w:rPr>
          <w:rFonts w:ascii="Calibri" w:hAnsi="Calibri"/>
          <w:noProof/>
          <w:vertAlign w:val="superscript"/>
        </w:rPr>
        <w:t>]</w:t>
      </w:r>
    </w:p>
    <w:p w:rsidR="006574FF" w:rsidRPr="00C806D0" w:rsidRDefault="006574FF" w:rsidP="006574FF">
      <w:pPr>
        <w:autoSpaceDE w:val="0"/>
        <w:autoSpaceDN w:val="0"/>
        <w:adjustRightInd w:val="0"/>
        <w:rPr>
          <w:rFonts w:ascii="Calibri" w:hAnsi="Calibri"/>
        </w:rPr>
      </w:pPr>
    </w:p>
    <w:p w:rsidR="006574FF" w:rsidRPr="00C806D0" w:rsidRDefault="006574FF" w:rsidP="00550C9C">
      <w:pPr>
        <w:pStyle w:val="ListParagraph"/>
        <w:numPr>
          <w:ilvl w:val="0"/>
          <w:numId w:val="15"/>
        </w:numPr>
      </w:pPr>
      <w:r w:rsidRPr="00C806D0">
        <w:t xml:space="preserve">The variable is a risk factor for mortality following TBI; or is a surrogate measure of a risk factor. </w:t>
      </w:r>
    </w:p>
    <w:p w:rsidR="006574FF" w:rsidRPr="00C806D0" w:rsidRDefault="006574FF" w:rsidP="00550C9C">
      <w:pPr>
        <w:pStyle w:val="ListParagraph"/>
        <w:numPr>
          <w:ilvl w:val="0"/>
          <w:numId w:val="15"/>
        </w:numPr>
      </w:pPr>
      <w:r w:rsidRPr="00C806D0">
        <w:t>The variable is correlated, positively or negatively, with the duration of EMS interval, and hence has a different distribution in different exposure groups.</w:t>
      </w:r>
    </w:p>
    <w:p w:rsidR="006574FF" w:rsidRPr="00C806D0" w:rsidRDefault="006574FF" w:rsidP="00550C9C">
      <w:pPr>
        <w:pStyle w:val="ListParagraph"/>
        <w:numPr>
          <w:ilvl w:val="0"/>
          <w:numId w:val="15"/>
        </w:numPr>
      </w:pPr>
      <w:r w:rsidRPr="00C806D0">
        <w:t>The variable is not an intermediate step in the causal pathway between EMS interval duration and mortality; and the variable is unaffected by the EMS interval.</w:t>
      </w:r>
    </w:p>
    <w:p w:rsidR="006574FF" w:rsidRPr="00C806D0" w:rsidRDefault="006574FF" w:rsidP="006574FF">
      <w:pPr>
        <w:autoSpaceDE w:val="0"/>
        <w:autoSpaceDN w:val="0"/>
        <w:adjustRightInd w:val="0"/>
        <w:rPr>
          <w:rFonts w:ascii="Calibri" w:hAnsi="Calibri"/>
        </w:rPr>
      </w:pPr>
      <w:r w:rsidRPr="00C806D0">
        <w:rPr>
          <w:rFonts w:ascii="Calibri" w:hAnsi="Calibri"/>
        </w:rPr>
        <w:t>A set of potential confounders was deduced from a literature review of TBI pathophysiology, epidemiology, and prognostic models.</w:t>
      </w:r>
      <w:r w:rsidR="00D368BB" w:rsidRPr="00C806D0">
        <w:rPr>
          <w:rFonts w:ascii="Calibri" w:hAnsi="Calibri"/>
          <w:noProof/>
          <w:vertAlign w:val="superscript"/>
        </w:rPr>
        <w:t>[</w:t>
      </w:r>
      <w:r w:rsidR="006D4D62" w:rsidRPr="00C806D0">
        <w:rPr>
          <w:rFonts w:ascii="Calibri" w:hAnsi="Calibri"/>
          <w:noProof/>
          <w:vertAlign w:val="superscript"/>
        </w:rPr>
        <w:t>3-6</w:t>
      </w:r>
      <w:r w:rsidR="00D368BB" w:rsidRPr="00C806D0">
        <w:rPr>
          <w:rFonts w:ascii="Calibri" w:hAnsi="Calibri"/>
          <w:noProof/>
          <w:vertAlign w:val="superscript"/>
        </w:rPr>
        <w:t>]</w:t>
      </w:r>
      <w:r w:rsidRPr="00C806D0">
        <w:rPr>
          <w:rFonts w:ascii="Calibri" w:hAnsi="Calibri"/>
        </w:rPr>
        <w:t xml:space="preserve"> Overall, it was considered likely that paramedics would transport younger, healthier and severely injured patients more urgently, and that old age, comorbidities and poor performance status could be associated with longer EMS intervals secondary to a perceived lack of treatment benefit. The following variables were therefore pre-specified as explanatory variables: ISS, age, performance status, comorbidities, and first recorded </w:t>
      </w:r>
      <w:r w:rsidR="002A16B4" w:rsidRPr="00C806D0">
        <w:rPr>
          <w:rFonts w:ascii="Calibri" w:hAnsi="Calibri"/>
        </w:rPr>
        <w:t>prehospital</w:t>
      </w:r>
      <w:r w:rsidRPr="00C806D0">
        <w:rPr>
          <w:rFonts w:ascii="Calibri" w:hAnsi="Calibri"/>
        </w:rPr>
        <w:t xml:space="preserve"> systolic blood pressure (SBP), </w:t>
      </w:r>
      <w:r w:rsidR="00472909" w:rsidRPr="00C806D0">
        <w:rPr>
          <w:rFonts w:ascii="Calibri" w:hAnsi="Calibri"/>
        </w:rPr>
        <w:t>GCS</w:t>
      </w:r>
      <w:r w:rsidRPr="00C806D0">
        <w:rPr>
          <w:rFonts w:ascii="Calibri" w:hAnsi="Calibri"/>
        </w:rPr>
        <w:t xml:space="preserve">, pupillary responses and hypoxia (oxygen saturations&lt;93%). </w:t>
      </w:r>
    </w:p>
    <w:p w:rsidR="006574FF" w:rsidRPr="00C806D0" w:rsidRDefault="006574FF" w:rsidP="006574FF">
      <w:pPr>
        <w:autoSpaceDE w:val="0"/>
        <w:autoSpaceDN w:val="0"/>
        <w:adjustRightInd w:val="0"/>
        <w:rPr>
          <w:rFonts w:ascii="Calibri" w:hAnsi="Calibri"/>
        </w:rPr>
      </w:pPr>
    </w:p>
    <w:p w:rsidR="006574FF" w:rsidRPr="00C806D0" w:rsidRDefault="006574FF" w:rsidP="006574FF">
      <w:pPr>
        <w:autoSpaceDE w:val="0"/>
        <w:autoSpaceDN w:val="0"/>
        <w:adjustRightInd w:val="0"/>
        <w:rPr>
          <w:rFonts w:ascii="Calibri" w:hAnsi="Calibri"/>
        </w:rPr>
      </w:pPr>
      <w:r w:rsidRPr="00C806D0">
        <w:rPr>
          <w:rFonts w:ascii="Calibri" w:hAnsi="Calibri"/>
        </w:rPr>
        <w:t xml:space="preserve">All the designated confounders were available within the TARN database except for performance status. Although recorded in the TARN registry, comorbidities and pupil responses were excluded due to very high levels of missing data (&gt;50%). A directed acyclic graph demonstrated that conditioning on the included variables would remove all </w:t>
      </w:r>
      <w:r w:rsidRPr="00C806D0">
        <w:rPr>
          <w:rFonts w:ascii="Calibri" w:hAnsi="Calibri"/>
        </w:rPr>
        <w:lastRenderedPageBreak/>
        <w:t>confounding, except for that arising from comorbidities and performance status, assuming correct model specification, no measurement errors, and no residual confounding arising from incomplete control, unmeasured variables or unknown confounders.</w:t>
      </w:r>
      <w:r w:rsidR="00D368BB" w:rsidRPr="00C806D0">
        <w:rPr>
          <w:rFonts w:ascii="Calibri" w:hAnsi="Calibri"/>
          <w:noProof/>
          <w:vertAlign w:val="superscript"/>
        </w:rPr>
        <w:t>[</w:t>
      </w:r>
      <w:r w:rsidR="006D4D62" w:rsidRPr="00C806D0">
        <w:rPr>
          <w:rFonts w:ascii="Calibri" w:hAnsi="Calibri"/>
          <w:noProof/>
          <w:vertAlign w:val="superscript"/>
        </w:rPr>
        <w:t>7</w:t>
      </w:r>
      <w:r w:rsidR="00D368BB" w:rsidRPr="00C806D0">
        <w:rPr>
          <w:rFonts w:ascii="Calibri" w:hAnsi="Calibri"/>
          <w:noProof/>
          <w:vertAlign w:val="superscript"/>
        </w:rPr>
        <w:t>]</w:t>
      </w:r>
      <w:r w:rsidRPr="00C806D0">
        <w:rPr>
          <w:rFonts w:ascii="Calibri" w:hAnsi="Calibri"/>
        </w:rPr>
        <w:t xml:space="preserve"> The assumed causal structure is presented in Figure D1.</w:t>
      </w:r>
    </w:p>
    <w:p w:rsidR="006574FF" w:rsidRPr="00C806D0" w:rsidRDefault="006574FF" w:rsidP="006574FF">
      <w:pPr>
        <w:rPr>
          <w:szCs w:val="19"/>
        </w:rPr>
      </w:pPr>
      <w:r w:rsidRPr="00C806D0">
        <w:rPr>
          <w:noProof/>
          <w:szCs w:val="19"/>
          <w:lang w:val="en-US"/>
        </w:rPr>
        <w:drawing>
          <wp:inline distT="0" distB="0" distL="0" distR="0">
            <wp:extent cx="5400040" cy="3789680"/>
            <wp:effectExtent l="19050" t="0" r="0" b="0"/>
            <wp:docPr id="13" name="Picture 12" descr="Time ot SNC dagitty-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ot SNC dagitty-model (1).JPG"/>
                    <pic:cNvPicPr/>
                  </pic:nvPicPr>
                  <pic:blipFill>
                    <a:blip r:embed="rId13" cstate="print"/>
                    <a:stretch>
                      <a:fillRect/>
                    </a:stretch>
                  </pic:blipFill>
                  <pic:spPr>
                    <a:xfrm>
                      <a:off x="0" y="0"/>
                      <a:ext cx="5400040" cy="3789680"/>
                    </a:xfrm>
                    <a:prstGeom prst="rect">
                      <a:avLst/>
                    </a:prstGeom>
                  </pic:spPr>
                </pic:pic>
              </a:graphicData>
            </a:graphic>
          </wp:inline>
        </w:drawing>
      </w:r>
    </w:p>
    <w:p w:rsidR="006574FF" w:rsidRPr="00C806D0" w:rsidRDefault="006574FF" w:rsidP="006574FF">
      <w:pPr>
        <w:jc w:val="center"/>
        <w:rPr>
          <w:szCs w:val="19"/>
        </w:rPr>
      </w:pPr>
      <w:r w:rsidRPr="00C806D0">
        <w:rPr>
          <w:noProof/>
          <w:szCs w:val="19"/>
          <w:lang w:val="en-US"/>
        </w:rPr>
        <w:drawing>
          <wp:inline distT="0" distB="0" distL="0" distR="0">
            <wp:extent cx="2136873" cy="1876926"/>
            <wp:effectExtent l="19050" t="0" r="0" b="0"/>
            <wp:docPr id="14" name="Picture 6" descr="DAG_key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_key 1.2.jpg"/>
                    <pic:cNvPicPr/>
                  </pic:nvPicPr>
                  <pic:blipFill>
                    <a:blip r:embed="rId14" cstate="print"/>
                    <a:stretch>
                      <a:fillRect/>
                    </a:stretch>
                  </pic:blipFill>
                  <pic:spPr>
                    <a:xfrm>
                      <a:off x="0" y="0"/>
                      <a:ext cx="2139970" cy="1879646"/>
                    </a:xfrm>
                    <a:prstGeom prst="rect">
                      <a:avLst/>
                    </a:prstGeom>
                  </pic:spPr>
                </pic:pic>
              </a:graphicData>
            </a:graphic>
          </wp:inline>
        </w:drawing>
      </w:r>
    </w:p>
    <w:p w:rsidR="006574FF" w:rsidRPr="00C806D0" w:rsidRDefault="006574FF" w:rsidP="006574FF">
      <w:pPr>
        <w:autoSpaceDE w:val="0"/>
        <w:autoSpaceDN w:val="0"/>
        <w:adjustRightInd w:val="0"/>
        <w:rPr>
          <w:rFonts w:ascii="Calibri" w:hAnsi="Calibri"/>
          <w:b/>
        </w:rPr>
      </w:pPr>
      <w:r w:rsidRPr="00C806D0">
        <w:rPr>
          <w:rFonts w:ascii="Calibri" w:hAnsi="Calibri"/>
          <w:b/>
        </w:rPr>
        <w:t>Figure D1. Directed acyclic graph delineating the casual assumptions for the relationship between EMS interval duration and mortality.</w:t>
      </w:r>
    </w:p>
    <w:p w:rsidR="006574FF" w:rsidRPr="00C806D0" w:rsidRDefault="006574FF" w:rsidP="006574FF">
      <w:pPr>
        <w:autoSpaceDE w:val="0"/>
        <w:autoSpaceDN w:val="0"/>
        <w:adjustRightInd w:val="0"/>
        <w:rPr>
          <w:rFonts w:ascii="Calibri" w:hAnsi="Calibri"/>
        </w:rPr>
      </w:pPr>
    </w:p>
    <w:p w:rsidR="006574FF" w:rsidRPr="00C806D0" w:rsidRDefault="002A16B4" w:rsidP="006574FF">
      <w:pPr>
        <w:rPr>
          <w:rFonts w:ascii="Calibri" w:hAnsi="Calibri"/>
        </w:rPr>
      </w:pPr>
      <w:r w:rsidRPr="00C806D0">
        <w:t>Prehospital</w:t>
      </w:r>
      <w:r w:rsidR="006574FF" w:rsidRPr="00C806D0">
        <w:t xml:space="preserve"> GCS score was examined as a categorical variable to account for its ordinal nature </w:t>
      </w:r>
      <w:r w:rsidR="006574FF" w:rsidRPr="00C806D0">
        <w:rPr>
          <w:rFonts w:ascii="Calibri" w:hAnsi="Calibri" w:cs="AdvTimes"/>
        </w:rPr>
        <w:t xml:space="preserve">and fully reflect graduations in level of consciousness. </w:t>
      </w:r>
      <w:r w:rsidR="006574FF" w:rsidRPr="00C806D0">
        <w:t>EMS interval was also examined as a categorical variable and classified into the 7 groups</w:t>
      </w:r>
      <w:r w:rsidR="00472909" w:rsidRPr="00C806D0">
        <w:t xml:space="preserve"> (</w:t>
      </w:r>
      <w:r w:rsidR="00472909" w:rsidRPr="00C806D0">
        <w:rPr>
          <w:rFonts w:ascii="Calibri" w:hAnsi="Calibri"/>
        </w:rPr>
        <w:t>&lt;20, 20-40, 40-60,60-80,80-100, 100-120, &gt;120 minutes)</w:t>
      </w:r>
      <w:r w:rsidR="006574FF" w:rsidRPr="00C806D0">
        <w:t xml:space="preserve"> to account for any non-linearity with the logit of mortality, and to aid interpretation of effect estimates. Prehospital oxygen saturations were dichotomised into &lt;93% and ≥93% based on the clinically important diagnosis of hypoxia.</w:t>
      </w:r>
      <w:r w:rsidR="00D368BB" w:rsidRPr="00C806D0">
        <w:rPr>
          <w:noProof/>
          <w:vertAlign w:val="superscript"/>
        </w:rPr>
        <w:t>[</w:t>
      </w:r>
      <w:r w:rsidR="006D4D62" w:rsidRPr="00C806D0">
        <w:rPr>
          <w:noProof/>
          <w:vertAlign w:val="superscript"/>
        </w:rPr>
        <w:t>8</w:t>
      </w:r>
      <w:r w:rsidR="00D368BB" w:rsidRPr="00C806D0">
        <w:rPr>
          <w:noProof/>
          <w:vertAlign w:val="superscript"/>
        </w:rPr>
        <w:t>]</w:t>
      </w:r>
      <w:r w:rsidR="006574FF" w:rsidRPr="00C806D0">
        <w:t xml:space="preserve"> </w:t>
      </w:r>
      <w:r w:rsidR="006574FF" w:rsidRPr="00C806D0">
        <w:rPr>
          <w:rFonts w:ascii="Calibri" w:hAnsi="Calibri" w:cs="AdvTimes"/>
        </w:rPr>
        <w:t>C</w:t>
      </w:r>
      <w:r w:rsidR="006574FF" w:rsidRPr="00C806D0">
        <w:rPr>
          <w:rFonts w:ascii="Calibri" w:hAnsi="Calibri"/>
        </w:rPr>
        <w:t xml:space="preserve">ategorical variables </w:t>
      </w:r>
      <w:r w:rsidR="006574FF" w:rsidRPr="00C806D0">
        <w:rPr>
          <w:rFonts w:ascii="Calibri" w:hAnsi="Calibri"/>
        </w:rPr>
        <w:lastRenderedPageBreak/>
        <w:t xml:space="preserve">were entered into the model as dummy variables compared with a baseline reference category. </w:t>
      </w:r>
      <w:r w:rsidR="009B5AC2" w:rsidRPr="00C806D0">
        <w:rPr>
          <w:rFonts w:ascii="Calibri" w:hAnsi="Calibri"/>
        </w:rPr>
        <w:t>The relationship between</w:t>
      </w:r>
      <w:r w:rsidR="006574FF" w:rsidRPr="00C806D0">
        <w:rPr>
          <w:rFonts w:ascii="Calibri" w:hAnsi="Calibri"/>
        </w:rPr>
        <w:t xml:space="preserve"> other continuous variable</w:t>
      </w:r>
      <w:r w:rsidR="009B5AC2" w:rsidRPr="00C806D0">
        <w:rPr>
          <w:rFonts w:ascii="Calibri" w:hAnsi="Calibri"/>
        </w:rPr>
        <w:t>s and</w:t>
      </w:r>
      <w:r w:rsidR="006574FF" w:rsidRPr="00C806D0">
        <w:rPr>
          <w:rFonts w:ascii="Calibri" w:hAnsi="Calibri"/>
        </w:rPr>
        <w:t xml:space="preserve"> the logit of mortality was examined graphically, using </w:t>
      </w:r>
      <w:r w:rsidR="006574FF" w:rsidRPr="00C806D0">
        <w:t>locally weighted regression smoothing and exploratory plots of the categorised confounding variables against the logit of outcome.</w:t>
      </w:r>
      <w:r w:rsidR="00D368BB" w:rsidRPr="00C806D0">
        <w:rPr>
          <w:noProof/>
          <w:vertAlign w:val="superscript"/>
        </w:rPr>
        <w:t>[</w:t>
      </w:r>
      <w:r w:rsidR="006D4D62" w:rsidRPr="00C806D0">
        <w:rPr>
          <w:noProof/>
          <w:vertAlign w:val="superscript"/>
        </w:rPr>
        <w:t>9</w:t>
      </w:r>
      <w:r w:rsidR="00D368BB" w:rsidRPr="00C806D0">
        <w:rPr>
          <w:noProof/>
          <w:vertAlign w:val="superscript"/>
        </w:rPr>
        <w:t>]</w:t>
      </w:r>
      <w:r w:rsidR="006574FF" w:rsidRPr="00C806D0">
        <w:rPr>
          <w:rFonts w:ascii="Calibri" w:hAnsi="Calibri"/>
        </w:rPr>
        <w:t xml:space="preserve"> </w:t>
      </w:r>
      <w:r w:rsidR="006574FF" w:rsidRPr="00C806D0">
        <w:rPr>
          <w:rFonts w:ascii="Calibri" w:hAnsi="Calibri" w:cs="AdvTimes"/>
        </w:rPr>
        <w:t xml:space="preserve">Age and ISS demonstrated an approximately linear relationship with EMS interval and were included in the model as linear terms. Prehospital </w:t>
      </w:r>
      <w:r w:rsidR="00472909" w:rsidRPr="00C806D0">
        <w:rPr>
          <w:rFonts w:ascii="Calibri" w:hAnsi="Calibri" w:cs="AdvTimes"/>
        </w:rPr>
        <w:t>SBP</w:t>
      </w:r>
      <w:r w:rsidR="006574FF" w:rsidRPr="00C806D0">
        <w:rPr>
          <w:rFonts w:ascii="Calibri" w:hAnsi="Calibri" w:cs="AdvTimes"/>
        </w:rPr>
        <w:t xml:space="preserve"> exhibited a u-shaped relationship with outcome and was transformed using fractional polynomials to account for non-linearity. </w:t>
      </w:r>
      <w:r w:rsidR="006574FF" w:rsidRPr="00C806D0">
        <w:rPr>
          <w:rFonts w:ascii="Calibri" w:hAnsi="Calibri"/>
        </w:rPr>
        <w:t>Coding of each variable is described in Table D1.</w:t>
      </w:r>
    </w:p>
    <w:p w:rsidR="006574FF" w:rsidRPr="00C806D0" w:rsidRDefault="006574FF" w:rsidP="006574FF">
      <w:pPr>
        <w:rPr>
          <w:rFonts w:ascii="Calibri" w:hAnsi="Calibri"/>
        </w:rPr>
      </w:pPr>
    </w:p>
    <w:p w:rsidR="006574FF" w:rsidRPr="00C806D0" w:rsidRDefault="006574FF" w:rsidP="006574FF">
      <w:pPr>
        <w:rPr>
          <w:rFonts w:ascii="Calibri" w:hAnsi="Calibri"/>
        </w:rPr>
      </w:pPr>
      <w:r w:rsidRPr="00C806D0">
        <w:rPr>
          <w:rFonts w:ascii="Calibri" w:hAnsi="Calibri"/>
          <w:b/>
        </w:rPr>
        <w:t>Table D1. Coding of modelled variables in the multivariable model examining the association between EMS interval and mortality.</w:t>
      </w:r>
    </w:p>
    <w:tbl>
      <w:tblPr>
        <w:tblStyle w:val="TableGrid"/>
        <w:tblW w:w="0" w:type="auto"/>
        <w:tblLook w:val="04A0" w:firstRow="1" w:lastRow="0" w:firstColumn="1" w:lastColumn="0" w:noHBand="0" w:noVBand="1"/>
      </w:tblPr>
      <w:tblGrid>
        <w:gridCol w:w="1666"/>
        <w:gridCol w:w="3101"/>
        <w:gridCol w:w="3953"/>
      </w:tblGrid>
      <w:tr w:rsidR="006574FF" w:rsidRPr="00C806D0" w:rsidTr="004442E4">
        <w:tc>
          <w:tcPr>
            <w:tcW w:w="0" w:type="auto"/>
            <w:tcBorders>
              <w:left w:val="nil"/>
              <w:bottom w:val="single" w:sz="4" w:space="0" w:color="auto"/>
              <w:right w:val="nil"/>
            </w:tcBorders>
          </w:tcPr>
          <w:p w:rsidR="006574FF" w:rsidRPr="00C806D0" w:rsidRDefault="006574FF" w:rsidP="00B052FA">
            <w:pPr>
              <w:spacing w:line="276" w:lineRule="auto"/>
              <w:rPr>
                <w:rFonts w:ascii="Calibri" w:hAnsi="Calibri"/>
                <w:b/>
                <w:sz w:val="20"/>
                <w:szCs w:val="20"/>
              </w:rPr>
            </w:pPr>
            <w:r w:rsidRPr="00C806D0">
              <w:rPr>
                <w:rFonts w:ascii="Calibri" w:hAnsi="Calibri"/>
                <w:b/>
                <w:sz w:val="20"/>
                <w:szCs w:val="20"/>
              </w:rPr>
              <w:t>Variable</w:t>
            </w:r>
          </w:p>
        </w:tc>
        <w:tc>
          <w:tcPr>
            <w:tcW w:w="0" w:type="auto"/>
            <w:tcBorders>
              <w:left w:val="nil"/>
              <w:bottom w:val="single" w:sz="4" w:space="0" w:color="auto"/>
              <w:right w:val="nil"/>
            </w:tcBorders>
          </w:tcPr>
          <w:p w:rsidR="006574FF" w:rsidRPr="00C806D0" w:rsidRDefault="006574FF" w:rsidP="00B052FA">
            <w:pPr>
              <w:spacing w:line="276" w:lineRule="auto"/>
              <w:rPr>
                <w:rFonts w:ascii="Calibri" w:hAnsi="Calibri"/>
                <w:b/>
                <w:sz w:val="20"/>
                <w:szCs w:val="20"/>
              </w:rPr>
            </w:pPr>
            <w:r w:rsidRPr="00C806D0">
              <w:rPr>
                <w:rFonts w:ascii="Calibri" w:hAnsi="Calibri"/>
                <w:b/>
                <w:sz w:val="20"/>
                <w:szCs w:val="20"/>
              </w:rPr>
              <w:t>Coding</w:t>
            </w:r>
          </w:p>
        </w:tc>
        <w:tc>
          <w:tcPr>
            <w:tcW w:w="0" w:type="auto"/>
            <w:tcBorders>
              <w:left w:val="nil"/>
              <w:bottom w:val="single" w:sz="4" w:space="0" w:color="auto"/>
              <w:right w:val="nil"/>
            </w:tcBorders>
          </w:tcPr>
          <w:p w:rsidR="006574FF" w:rsidRPr="00C806D0" w:rsidRDefault="006574FF" w:rsidP="00B052FA">
            <w:pPr>
              <w:spacing w:line="276" w:lineRule="auto"/>
              <w:rPr>
                <w:rFonts w:ascii="Calibri" w:hAnsi="Calibri"/>
                <w:b/>
                <w:sz w:val="20"/>
                <w:szCs w:val="20"/>
              </w:rPr>
            </w:pPr>
            <w:r w:rsidRPr="00C806D0">
              <w:rPr>
                <w:rFonts w:ascii="Calibri" w:hAnsi="Calibri"/>
                <w:b/>
                <w:sz w:val="20"/>
                <w:szCs w:val="20"/>
              </w:rPr>
              <w:t>Rationale</w:t>
            </w:r>
          </w:p>
        </w:tc>
      </w:tr>
      <w:tr w:rsidR="006574FF" w:rsidRPr="00C806D0" w:rsidTr="004442E4">
        <w:tc>
          <w:tcPr>
            <w:tcW w:w="0" w:type="auto"/>
            <w:tcBorders>
              <w:left w:val="nil"/>
              <w:bottom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Age</w:t>
            </w:r>
          </w:p>
          <w:p w:rsidR="006574FF" w:rsidRPr="00C806D0" w:rsidRDefault="006574FF" w:rsidP="00B052FA">
            <w:pPr>
              <w:spacing w:line="276" w:lineRule="auto"/>
              <w:rPr>
                <w:rFonts w:ascii="Calibri" w:hAnsi="Calibri"/>
                <w:sz w:val="20"/>
                <w:szCs w:val="20"/>
              </w:rPr>
            </w:pPr>
          </w:p>
        </w:tc>
        <w:tc>
          <w:tcPr>
            <w:tcW w:w="0" w:type="auto"/>
            <w:tcBorders>
              <w:left w:val="nil"/>
              <w:bottom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Continuous</w:t>
            </w:r>
          </w:p>
          <w:p w:rsidR="006574FF" w:rsidRPr="00C806D0" w:rsidRDefault="006574FF" w:rsidP="00B052FA">
            <w:pPr>
              <w:spacing w:line="276" w:lineRule="auto"/>
              <w:rPr>
                <w:rFonts w:ascii="Calibri" w:hAnsi="Calibri"/>
                <w:sz w:val="20"/>
                <w:szCs w:val="20"/>
              </w:rPr>
            </w:pPr>
          </w:p>
        </w:tc>
        <w:tc>
          <w:tcPr>
            <w:tcW w:w="0" w:type="auto"/>
            <w:tcBorders>
              <w:left w:val="nil"/>
              <w:bottom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Approximately linear relationship with logit of outcome</w:t>
            </w:r>
          </w:p>
          <w:p w:rsidR="006574FF" w:rsidRPr="00C806D0" w:rsidRDefault="006574FF" w:rsidP="00B052FA">
            <w:pPr>
              <w:spacing w:line="276" w:lineRule="auto"/>
              <w:rPr>
                <w:rFonts w:ascii="Calibri" w:hAnsi="Calibri"/>
                <w:sz w:val="20"/>
                <w:szCs w:val="20"/>
              </w:rPr>
            </w:pPr>
          </w:p>
        </w:tc>
      </w:tr>
      <w:tr w:rsidR="006574FF" w:rsidRPr="00C806D0" w:rsidTr="004442E4">
        <w:tc>
          <w:tcPr>
            <w:tcW w:w="0" w:type="auto"/>
            <w:tcBorders>
              <w:top w:val="nil"/>
              <w:left w:val="nil"/>
              <w:bottom w:val="nil"/>
              <w:right w:val="nil"/>
            </w:tcBorders>
          </w:tcPr>
          <w:p w:rsidR="006574FF" w:rsidRPr="00C806D0" w:rsidRDefault="002A16B4" w:rsidP="00B052FA">
            <w:pPr>
              <w:spacing w:line="276" w:lineRule="auto"/>
              <w:rPr>
                <w:rFonts w:ascii="Calibri" w:hAnsi="Calibri"/>
                <w:sz w:val="20"/>
                <w:szCs w:val="20"/>
              </w:rPr>
            </w:pPr>
            <w:r w:rsidRPr="00C806D0">
              <w:rPr>
                <w:rFonts w:ascii="Calibri" w:hAnsi="Calibri"/>
                <w:sz w:val="20"/>
                <w:szCs w:val="20"/>
              </w:rPr>
              <w:t>Prehospital</w:t>
            </w:r>
            <w:r w:rsidR="006574FF" w:rsidRPr="00C806D0">
              <w:rPr>
                <w:rFonts w:ascii="Calibri" w:hAnsi="Calibri"/>
                <w:sz w:val="20"/>
                <w:szCs w:val="20"/>
              </w:rPr>
              <w:t xml:space="preserve"> systolic blood pressure</w:t>
            </w:r>
          </w:p>
        </w:tc>
        <w:tc>
          <w:tcPr>
            <w:tcW w:w="0" w:type="auto"/>
            <w:tcBorders>
              <w:top w:val="nil"/>
              <w:left w:val="nil"/>
              <w:bottom w:val="nil"/>
              <w:right w:val="nil"/>
            </w:tcBorders>
          </w:tcPr>
          <w:p w:rsidR="006574FF" w:rsidRPr="00C806D0" w:rsidRDefault="00472909" w:rsidP="00B052FA">
            <w:pPr>
              <w:spacing w:line="276" w:lineRule="auto"/>
              <w:rPr>
                <w:rFonts w:ascii="Calibri" w:hAnsi="Calibri"/>
                <w:sz w:val="20"/>
                <w:szCs w:val="20"/>
              </w:rPr>
            </w:pPr>
            <w:r w:rsidRPr="00C806D0">
              <w:rPr>
                <w:rFonts w:ascii="Calibri" w:hAnsi="Calibri"/>
                <w:sz w:val="20"/>
                <w:szCs w:val="20"/>
              </w:rPr>
              <w:t>Fractional polynomial term</w:t>
            </w:r>
          </w:p>
          <w:p w:rsidR="006574FF" w:rsidRPr="00C806D0" w:rsidRDefault="006574FF" w:rsidP="00B052FA">
            <w:pPr>
              <w:spacing w:line="276" w:lineRule="auto"/>
              <w:rPr>
                <w:rFonts w:ascii="Calibri" w:hAnsi="Calibri"/>
                <w:sz w:val="20"/>
                <w:szCs w:val="20"/>
              </w:rPr>
            </w:pPr>
          </w:p>
        </w:tc>
        <w:tc>
          <w:tcPr>
            <w:tcW w:w="0" w:type="auto"/>
            <w:tcBorders>
              <w:top w:val="nil"/>
              <w:left w:val="nil"/>
              <w:bottom w:val="nil"/>
              <w:right w:val="nil"/>
            </w:tcBorders>
          </w:tcPr>
          <w:p w:rsidR="006574FF" w:rsidRPr="00C806D0" w:rsidRDefault="006574FF" w:rsidP="00B052FA">
            <w:pPr>
              <w:spacing w:line="276" w:lineRule="auto"/>
              <w:rPr>
                <w:rFonts w:ascii="Calibri" w:hAnsi="Calibri"/>
                <w:sz w:val="20"/>
                <w:szCs w:val="20"/>
                <w:vertAlign w:val="superscript"/>
              </w:rPr>
            </w:pPr>
            <w:r w:rsidRPr="00C806D0">
              <w:rPr>
                <w:rFonts w:ascii="Calibri" w:hAnsi="Calibri"/>
                <w:sz w:val="20"/>
                <w:szCs w:val="20"/>
              </w:rPr>
              <w:t>Assumption of linear relationship with logit of outcome not valid. ‘U’-shaped association observed.</w:t>
            </w:r>
          </w:p>
        </w:tc>
      </w:tr>
      <w:tr w:rsidR="006574FF" w:rsidRPr="00C806D0" w:rsidTr="004442E4">
        <w:tc>
          <w:tcPr>
            <w:tcW w:w="0" w:type="auto"/>
            <w:tcBorders>
              <w:top w:val="nil"/>
              <w:left w:val="nil"/>
              <w:bottom w:val="nil"/>
              <w:right w:val="nil"/>
            </w:tcBorders>
          </w:tcPr>
          <w:p w:rsidR="006574FF" w:rsidRPr="00C806D0" w:rsidRDefault="006574FF" w:rsidP="00B052FA">
            <w:pPr>
              <w:spacing w:line="276" w:lineRule="auto"/>
              <w:rPr>
                <w:rFonts w:ascii="Calibri" w:hAnsi="Calibri"/>
                <w:sz w:val="20"/>
                <w:szCs w:val="20"/>
              </w:rPr>
            </w:pPr>
          </w:p>
        </w:tc>
        <w:tc>
          <w:tcPr>
            <w:tcW w:w="0" w:type="auto"/>
            <w:tcBorders>
              <w:top w:val="nil"/>
              <w:left w:val="nil"/>
              <w:bottom w:val="nil"/>
              <w:right w:val="nil"/>
            </w:tcBorders>
          </w:tcPr>
          <w:p w:rsidR="006574FF" w:rsidRPr="00C806D0" w:rsidRDefault="006574FF" w:rsidP="00B052FA">
            <w:pPr>
              <w:spacing w:line="276" w:lineRule="auto"/>
              <w:rPr>
                <w:rFonts w:ascii="Calibri" w:hAnsi="Calibri"/>
                <w:sz w:val="20"/>
                <w:szCs w:val="20"/>
              </w:rPr>
            </w:pPr>
          </w:p>
        </w:tc>
        <w:tc>
          <w:tcPr>
            <w:tcW w:w="0" w:type="auto"/>
            <w:tcBorders>
              <w:top w:val="nil"/>
              <w:left w:val="nil"/>
              <w:bottom w:val="nil"/>
              <w:right w:val="nil"/>
            </w:tcBorders>
          </w:tcPr>
          <w:p w:rsidR="006574FF" w:rsidRPr="00C806D0" w:rsidRDefault="006574FF" w:rsidP="00B052FA">
            <w:pPr>
              <w:spacing w:line="276" w:lineRule="auto"/>
              <w:rPr>
                <w:rFonts w:ascii="Calibri" w:hAnsi="Calibri"/>
                <w:sz w:val="20"/>
                <w:szCs w:val="20"/>
                <w:vertAlign w:val="superscript"/>
              </w:rPr>
            </w:pPr>
          </w:p>
        </w:tc>
      </w:tr>
      <w:tr w:rsidR="006574FF" w:rsidRPr="00C806D0" w:rsidTr="004442E4">
        <w:tc>
          <w:tcPr>
            <w:tcW w:w="0" w:type="auto"/>
            <w:tcBorders>
              <w:top w:val="nil"/>
              <w:left w:val="nil"/>
              <w:bottom w:val="nil"/>
              <w:right w:val="nil"/>
            </w:tcBorders>
          </w:tcPr>
          <w:p w:rsidR="006574FF" w:rsidRPr="00C806D0" w:rsidRDefault="002A16B4" w:rsidP="00B052FA">
            <w:pPr>
              <w:spacing w:line="276" w:lineRule="auto"/>
              <w:rPr>
                <w:rFonts w:ascii="Calibri" w:hAnsi="Calibri"/>
                <w:sz w:val="20"/>
                <w:szCs w:val="20"/>
              </w:rPr>
            </w:pPr>
            <w:r w:rsidRPr="00C806D0">
              <w:rPr>
                <w:rFonts w:ascii="Calibri" w:hAnsi="Calibri"/>
                <w:sz w:val="20"/>
                <w:szCs w:val="20"/>
              </w:rPr>
              <w:t>Prehospital</w:t>
            </w:r>
            <w:r w:rsidR="006574FF" w:rsidRPr="00C806D0">
              <w:rPr>
                <w:rFonts w:ascii="Calibri" w:hAnsi="Calibri"/>
                <w:sz w:val="20"/>
                <w:szCs w:val="20"/>
              </w:rPr>
              <w:t xml:space="preserve"> Glasgow Coma Score</w:t>
            </w:r>
          </w:p>
          <w:p w:rsidR="006574FF" w:rsidRPr="00C806D0" w:rsidRDefault="006574FF" w:rsidP="00B052FA">
            <w:pPr>
              <w:spacing w:line="276" w:lineRule="auto"/>
              <w:rPr>
                <w:rFonts w:ascii="Calibri" w:hAnsi="Calibri"/>
                <w:sz w:val="20"/>
                <w:szCs w:val="20"/>
              </w:rPr>
            </w:pPr>
          </w:p>
        </w:tc>
        <w:tc>
          <w:tcPr>
            <w:tcW w:w="0" w:type="auto"/>
            <w:tcBorders>
              <w:top w:val="nil"/>
              <w:left w:val="nil"/>
              <w:bottom w:val="nil"/>
              <w:right w:val="nil"/>
            </w:tcBorders>
          </w:tcPr>
          <w:p w:rsidR="006574FF" w:rsidRPr="00C806D0" w:rsidRDefault="006574FF" w:rsidP="00B052FA">
            <w:pPr>
              <w:spacing w:line="276" w:lineRule="auto"/>
              <w:rPr>
                <w:rFonts w:ascii="Calibri" w:hAnsi="Calibri" w:cs="AdvTimes"/>
                <w:sz w:val="20"/>
                <w:szCs w:val="20"/>
              </w:rPr>
            </w:pPr>
            <w:r w:rsidRPr="00C806D0">
              <w:rPr>
                <w:rFonts w:ascii="Calibri" w:hAnsi="Calibri"/>
                <w:sz w:val="20"/>
                <w:szCs w:val="20"/>
              </w:rPr>
              <w:t>Categorical</w:t>
            </w:r>
          </w:p>
          <w:p w:rsidR="006574FF" w:rsidRPr="00C806D0" w:rsidRDefault="006574FF" w:rsidP="00B052FA">
            <w:pPr>
              <w:spacing w:line="276" w:lineRule="auto"/>
              <w:rPr>
                <w:rFonts w:ascii="Calibri" w:hAnsi="Calibri"/>
                <w:sz w:val="20"/>
                <w:szCs w:val="20"/>
              </w:rPr>
            </w:pPr>
          </w:p>
        </w:tc>
        <w:tc>
          <w:tcPr>
            <w:tcW w:w="0" w:type="auto"/>
            <w:tcBorders>
              <w:top w:val="nil"/>
              <w:left w:val="nil"/>
              <w:bottom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Ordinal variable</w:t>
            </w:r>
          </w:p>
        </w:tc>
      </w:tr>
      <w:tr w:rsidR="006574FF" w:rsidRPr="00C806D0" w:rsidTr="004442E4">
        <w:tc>
          <w:tcPr>
            <w:tcW w:w="0" w:type="auto"/>
            <w:tcBorders>
              <w:top w:val="nil"/>
              <w:left w:val="nil"/>
              <w:bottom w:val="nil"/>
              <w:right w:val="nil"/>
            </w:tcBorders>
          </w:tcPr>
          <w:p w:rsidR="006574FF" w:rsidRPr="00C806D0" w:rsidRDefault="002A16B4" w:rsidP="00B052FA">
            <w:pPr>
              <w:spacing w:line="276" w:lineRule="auto"/>
              <w:rPr>
                <w:rFonts w:ascii="Calibri" w:hAnsi="Calibri"/>
                <w:sz w:val="20"/>
                <w:szCs w:val="20"/>
              </w:rPr>
            </w:pPr>
            <w:r w:rsidRPr="00C806D0">
              <w:rPr>
                <w:rFonts w:ascii="Calibri" w:hAnsi="Calibri"/>
                <w:sz w:val="20"/>
                <w:szCs w:val="20"/>
              </w:rPr>
              <w:t>Prehospital</w:t>
            </w:r>
            <w:r w:rsidR="006574FF" w:rsidRPr="00C806D0">
              <w:rPr>
                <w:rFonts w:ascii="Calibri" w:hAnsi="Calibri"/>
                <w:sz w:val="20"/>
                <w:szCs w:val="20"/>
              </w:rPr>
              <w:t xml:space="preserve"> oxygen saturations</w:t>
            </w:r>
          </w:p>
          <w:p w:rsidR="006574FF" w:rsidRPr="00C806D0" w:rsidRDefault="006574FF" w:rsidP="00B052FA">
            <w:pPr>
              <w:spacing w:line="276" w:lineRule="auto"/>
              <w:rPr>
                <w:rFonts w:ascii="Calibri" w:hAnsi="Calibri"/>
                <w:sz w:val="20"/>
                <w:szCs w:val="20"/>
              </w:rPr>
            </w:pPr>
          </w:p>
        </w:tc>
        <w:tc>
          <w:tcPr>
            <w:tcW w:w="0" w:type="auto"/>
            <w:tcBorders>
              <w:top w:val="nil"/>
              <w:left w:val="nil"/>
              <w:bottom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Categorised into 2 groups: &lt;93%, ≥93%.</w:t>
            </w:r>
          </w:p>
          <w:p w:rsidR="006574FF" w:rsidRPr="00C806D0" w:rsidRDefault="006574FF" w:rsidP="00B052FA">
            <w:pPr>
              <w:autoSpaceDE w:val="0"/>
              <w:autoSpaceDN w:val="0"/>
              <w:adjustRightInd w:val="0"/>
              <w:spacing w:line="276" w:lineRule="auto"/>
              <w:rPr>
                <w:rFonts w:ascii="Calibri" w:hAnsi="Calibri"/>
                <w:sz w:val="20"/>
                <w:szCs w:val="20"/>
              </w:rPr>
            </w:pPr>
          </w:p>
        </w:tc>
        <w:tc>
          <w:tcPr>
            <w:tcW w:w="0" w:type="auto"/>
            <w:tcBorders>
              <w:top w:val="nil"/>
              <w:left w:val="nil"/>
              <w:bottom w:val="nil"/>
              <w:right w:val="nil"/>
            </w:tcBorders>
          </w:tcPr>
          <w:p w:rsidR="006574FF" w:rsidRPr="00C806D0" w:rsidRDefault="006574FF" w:rsidP="00B052FA">
            <w:pPr>
              <w:spacing w:line="276" w:lineRule="auto"/>
              <w:rPr>
                <w:rFonts w:ascii="Calibri" w:hAnsi="Calibri"/>
                <w:sz w:val="20"/>
                <w:szCs w:val="20"/>
                <w:vertAlign w:val="superscript"/>
              </w:rPr>
            </w:pPr>
            <w:r w:rsidRPr="00C806D0">
              <w:rPr>
                <w:rFonts w:ascii="Calibri" w:hAnsi="Calibri"/>
                <w:sz w:val="20"/>
                <w:szCs w:val="20"/>
              </w:rPr>
              <w:t>Categorisation produces clinically relevant groups. Sats of 92% are a recognised threshold for hypoxia.</w:t>
            </w:r>
          </w:p>
          <w:p w:rsidR="006574FF" w:rsidRPr="00C806D0" w:rsidRDefault="006574FF" w:rsidP="00B052FA">
            <w:pPr>
              <w:spacing w:line="276" w:lineRule="auto"/>
              <w:rPr>
                <w:rFonts w:ascii="Calibri" w:hAnsi="Calibri"/>
                <w:sz w:val="20"/>
                <w:szCs w:val="20"/>
              </w:rPr>
            </w:pPr>
          </w:p>
        </w:tc>
      </w:tr>
      <w:tr w:rsidR="006574FF" w:rsidRPr="00C806D0" w:rsidTr="004442E4">
        <w:tc>
          <w:tcPr>
            <w:tcW w:w="0" w:type="auto"/>
            <w:tcBorders>
              <w:top w:val="nil"/>
              <w:left w:val="nil"/>
              <w:bottom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Injury Severity Score</w:t>
            </w:r>
          </w:p>
        </w:tc>
        <w:tc>
          <w:tcPr>
            <w:tcW w:w="0" w:type="auto"/>
            <w:tcBorders>
              <w:top w:val="nil"/>
              <w:left w:val="nil"/>
              <w:bottom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Continuous</w:t>
            </w:r>
          </w:p>
          <w:p w:rsidR="006574FF" w:rsidRPr="00C806D0" w:rsidRDefault="006574FF" w:rsidP="00B052FA">
            <w:pPr>
              <w:spacing w:line="276" w:lineRule="auto"/>
              <w:rPr>
                <w:rFonts w:ascii="Calibri" w:hAnsi="Calibri"/>
                <w:sz w:val="20"/>
                <w:szCs w:val="20"/>
              </w:rPr>
            </w:pPr>
          </w:p>
        </w:tc>
        <w:tc>
          <w:tcPr>
            <w:tcW w:w="0" w:type="auto"/>
            <w:tcBorders>
              <w:top w:val="nil"/>
              <w:left w:val="nil"/>
              <w:bottom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Approximately linear relationship with logit of outcome</w:t>
            </w:r>
          </w:p>
          <w:p w:rsidR="006574FF" w:rsidRPr="00C806D0" w:rsidRDefault="006574FF" w:rsidP="00B052FA">
            <w:pPr>
              <w:spacing w:line="276" w:lineRule="auto"/>
              <w:rPr>
                <w:rFonts w:ascii="Calibri" w:hAnsi="Calibri"/>
                <w:sz w:val="20"/>
                <w:szCs w:val="20"/>
              </w:rPr>
            </w:pPr>
          </w:p>
        </w:tc>
      </w:tr>
      <w:tr w:rsidR="006574FF" w:rsidRPr="00C806D0" w:rsidTr="004442E4">
        <w:tc>
          <w:tcPr>
            <w:tcW w:w="0" w:type="auto"/>
            <w:tcBorders>
              <w:top w:val="nil"/>
              <w:left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EMS interval</w:t>
            </w:r>
          </w:p>
        </w:tc>
        <w:tc>
          <w:tcPr>
            <w:tcW w:w="0" w:type="auto"/>
            <w:tcBorders>
              <w:top w:val="nil"/>
              <w:left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7 categories :&lt;20, 20-40, 40-60,60-80,80-100, 100-120, &gt;120 minutes (reference category 40-60).</w:t>
            </w:r>
          </w:p>
        </w:tc>
        <w:tc>
          <w:tcPr>
            <w:tcW w:w="0" w:type="auto"/>
            <w:tcBorders>
              <w:top w:val="nil"/>
              <w:left w:val="nil"/>
              <w:right w:val="nil"/>
            </w:tcBorders>
          </w:tcPr>
          <w:p w:rsidR="006574FF" w:rsidRPr="00C806D0" w:rsidRDefault="006574FF" w:rsidP="00B052FA">
            <w:pPr>
              <w:spacing w:line="276" w:lineRule="auto"/>
              <w:rPr>
                <w:rFonts w:ascii="Calibri" w:hAnsi="Calibri"/>
                <w:sz w:val="20"/>
                <w:szCs w:val="20"/>
              </w:rPr>
            </w:pPr>
            <w:r w:rsidRPr="00C806D0">
              <w:rPr>
                <w:rFonts w:ascii="Calibri" w:hAnsi="Calibri"/>
                <w:sz w:val="20"/>
                <w:szCs w:val="20"/>
              </w:rPr>
              <w:t>Categorisation allowed calculation of odds ratios for meaningful time periods. Reference category had highest number of cases.</w:t>
            </w:r>
          </w:p>
        </w:tc>
      </w:tr>
    </w:tbl>
    <w:p w:rsidR="006574FF" w:rsidRPr="00C806D0" w:rsidRDefault="006574FF" w:rsidP="006574FF">
      <w:pPr>
        <w:rPr>
          <w:rFonts w:ascii="Calibri" w:hAnsi="Calibri"/>
        </w:rPr>
      </w:pPr>
    </w:p>
    <w:p w:rsidR="006574FF" w:rsidRPr="00C806D0" w:rsidRDefault="006574FF" w:rsidP="006574FF">
      <w:pPr>
        <w:rPr>
          <w:rFonts w:ascii="Calibri" w:hAnsi="Calibri"/>
        </w:rPr>
      </w:pPr>
      <w:r w:rsidRPr="00C806D0">
        <w:rPr>
          <w:rFonts w:ascii="Calibri" w:hAnsi="Calibri"/>
        </w:rPr>
        <w:t xml:space="preserve">The association of EMS interval categories with mortality could vary significantly at different values of other explanatory variables e.g. there is a greater increase in mortality with longer EMS intervals in older </w:t>
      </w:r>
      <w:r w:rsidR="00335B1F" w:rsidRPr="00C806D0">
        <w:rPr>
          <w:rFonts w:ascii="Calibri" w:hAnsi="Calibri"/>
        </w:rPr>
        <w:t>compared with</w:t>
      </w:r>
      <w:r w:rsidRPr="00C806D0">
        <w:rPr>
          <w:rFonts w:ascii="Calibri" w:hAnsi="Calibri"/>
        </w:rPr>
        <w:t xml:space="preserve"> younger patients. Clinically plausible Interactions between EMS interval categories and age, ISS, prehospital SBP and prehospital hypoxia were therefore pre-specified and examined together using a Wald ‘chunk’ test,</w:t>
      </w:r>
      <w:r w:rsidR="00D368BB" w:rsidRPr="00C806D0">
        <w:rPr>
          <w:rFonts w:ascii="Calibri" w:hAnsi="Calibri"/>
          <w:noProof/>
          <w:vertAlign w:val="superscript"/>
        </w:rPr>
        <w:t>[</w:t>
      </w:r>
      <w:r w:rsidR="006D4D62" w:rsidRPr="00C806D0">
        <w:rPr>
          <w:rFonts w:ascii="Calibri" w:hAnsi="Calibri"/>
          <w:noProof/>
          <w:vertAlign w:val="superscript"/>
        </w:rPr>
        <w:t>10</w:t>
      </w:r>
      <w:r w:rsidR="00D368BB" w:rsidRPr="00C806D0">
        <w:rPr>
          <w:rFonts w:ascii="Calibri" w:hAnsi="Calibri"/>
          <w:noProof/>
          <w:vertAlign w:val="superscript"/>
        </w:rPr>
        <w:t>]</w:t>
      </w:r>
      <w:r w:rsidRPr="00C806D0">
        <w:rPr>
          <w:rFonts w:ascii="Calibri" w:hAnsi="Calibri"/>
        </w:rPr>
        <w:t xml:space="preserve"> with a null hypothesis that the ratio of odds ratios was 1. This approach minimises the problems of multiple statistical testing with its inherent risk of increased family-wise type I error rate. In the event of a significant ‘chunk’ test, assessment of each individual interaction was planned. </w:t>
      </w:r>
      <w:r w:rsidRPr="00C806D0">
        <w:rPr>
          <w:rFonts w:ascii="Calibri" w:hAnsi="Calibri"/>
        </w:rPr>
        <w:lastRenderedPageBreak/>
        <w:t xml:space="preserve">Interactions were examined first as the presence of a significant interaction precludes evaluation of confounding arising from the relevant variable. This initial model was hierarchically well formulated, containing all lower order components of the interaction terms. </w:t>
      </w:r>
    </w:p>
    <w:p w:rsidR="006574FF" w:rsidRPr="00C806D0" w:rsidRDefault="006574FF" w:rsidP="006574FF">
      <w:pPr>
        <w:rPr>
          <w:rFonts w:ascii="Calibri" w:hAnsi="Calibri"/>
        </w:rPr>
      </w:pPr>
    </w:p>
    <w:p w:rsidR="006574FF" w:rsidRPr="00C806D0" w:rsidRDefault="006574FF" w:rsidP="006574FF">
      <w:pPr>
        <w:autoSpaceDE w:val="0"/>
        <w:autoSpaceDN w:val="0"/>
        <w:adjustRightInd w:val="0"/>
      </w:pPr>
      <w:r w:rsidRPr="00C806D0">
        <w:rPr>
          <w:rFonts w:ascii="Calibri" w:hAnsi="Calibri"/>
        </w:rPr>
        <w:t>After removal of non-significant interactions terms confounding</w:t>
      </w:r>
      <w:r w:rsidRPr="00C806D0">
        <w:t xml:space="preserve"> was then assessed, without the use of statistical testing, by determining if the estimated exposure odds ratio meaningfully changed with deletion of each independent variable from the model. Potential non-confounders were eliminated from the fully specified model if deletion did not change the exposure odds ratio and resulted in a gain of precision evident from examination of the effect estimate’s confidence interval.</w:t>
      </w:r>
      <w:r w:rsidR="00D368BB" w:rsidRPr="00C806D0">
        <w:rPr>
          <w:noProof/>
          <w:vertAlign w:val="superscript"/>
        </w:rPr>
        <w:t>[</w:t>
      </w:r>
      <w:r w:rsidR="006D4D62" w:rsidRPr="00C806D0">
        <w:rPr>
          <w:noProof/>
          <w:vertAlign w:val="superscript"/>
        </w:rPr>
        <w:t>10</w:t>
      </w:r>
      <w:r w:rsidR="00D368BB" w:rsidRPr="00C806D0">
        <w:rPr>
          <w:noProof/>
          <w:vertAlign w:val="superscript"/>
        </w:rPr>
        <w:t>]</w:t>
      </w:r>
      <w:r w:rsidRPr="00C806D0">
        <w:t xml:space="preserve"> Robust standard errors, based on the admitting SNC, were used to calculate 95% confidence intervals for odds ratios to account for clustering of outcomes within hospitals.</w:t>
      </w:r>
      <w:r w:rsidR="00D368BB" w:rsidRPr="00C806D0">
        <w:rPr>
          <w:noProof/>
          <w:vertAlign w:val="superscript"/>
        </w:rPr>
        <w:t>[</w:t>
      </w:r>
      <w:r w:rsidR="006D4D62" w:rsidRPr="00C806D0">
        <w:rPr>
          <w:noProof/>
          <w:vertAlign w:val="superscript"/>
        </w:rPr>
        <w:t>11</w:t>
      </w:r>
      <w:r w:rsidR="00D368BB" w:rsidRPr="00C806D0">
        <w:rPr>
          <w:noProof/>
          <w:vertAlign w:val="superscript"/>
        </w:rPr>
        <w:t>]</w:t>
      </w:r>
    </w:p>
    <w:p w:rsidR="006574FF" w:rsidRPr="00C806D0" w:rsidRDefault="006574FF" w:rsidP="006574FF">
      <w:pPr>
        <w:autoSpaceDE w:val="0"/>
        <w:autoSpaceDN w:val="0"/>
        <w:adjustRightInd w:val="0"/>
      </w:pPr>
    </w:p>
    <w:p w:rsidR="006574FF" w:rsidRPr="00C806D0" w:rsidRDefault="006574FF" w:rsidP="006574FF">
      <w:r w:rsidRPr="00C806D0">
        <w:t>Checking of the resulting logistic regression model was subsequently performed by assessing goodness of fit, collinearity, influential observations and model over-fitting. The goodness of fit, assessing the extent to which the model predicts the observed outcomes in the dataset, was assessed using the Hosmer-Lemeshow statistic.</w:t>
      </w:r>
      <w:r w:rsidR="00D368BB" w:rsidRPr="00C806D0">
        <w:rPr>
          <w:noProof/>
          <w:vertAlign w:val="superscript"/>
        </w:rPr>
        <w:t>[</w:t>
      </w:r>
      <w:r w:rsidR="006D4D62" w:rsidRPr="00C806D0">
        <w:rPr>
          <w:noProof/>
          <w:vertAlign w:val="superscript"/>
        </w:rPr>
        <w:t>12</w:t>
      </w:r>
      <w:r w:rsidR="00D368BB" w:rsidRPr="00C806D0">
        <w:rPr>
          <w:noProof/>
          <w:vertAlign w:val="superscript"/>
        </w:rPr>
        <w:t>]</w:t>
      </w:r>
      <w:r w:rsidRPr="00C806D0">
        <w:t xml:space="preserve"> Collinearity, the degree to which a modelled explanatory variable can be predicted by another covariate, was explored by examination of the tolerance and variance inflation factor for EMS interval groups.</w:t>
      </w:r>
      <w:r w:rsidRPr="00C806D0">
        <w:rPr>
          <w:vertAlign w:val="superscript"/>
        </w:rPr>
        <w:t>[110]</w:t>
      </w:r>
      <w:r w:rsidRPr="00C806D0">
        <w:t xml:space="preserve"> Influential observations, which can disproportionately affect model coefficients, were examined in a further diagnostic procedure by plotting </w:t>
      </w:r>
      <w:r w:rsidRPr="00C806D0">
        <w:rPr>
          <w:color w:val="000000"/>
          <w:shd w:val="clear" w:color="auto" w:fill="FFFFFF"/>
        </w:rPr>
        <w:t>Pregibon's delta-beta</w:t>
      </w:r>
      <w:r w:rsidRPr="00C806D0">
        <w:t xml:space="preserve"> for each study participant.</w:t>
      </w:r>
      <w:r w:rsidR="00D368BB" w:rsidRPr="00C806D0">
        <w:rPr>
          <w:noProof/>
          <w:vertAlign w:val="superscript"/>
        </w:rPr>
        <w:t>[</w:t>
      </w:r>
      <w:r w:rsidR="006D4D62" w:rsidRPr="00C806D0">
        <w:rPr>
          <w:noProof/>
          <w:vertAlign w:val="superscript"/>
        </w:rPr>
        <w:t>13</w:t>
      </w:r>
      <w:r w:rsidR="00D368BB" w:rsidRPr="00C806D0">
        <w:rPr>
          <w:noProof/>
          <w:vertAlign w:val="superscript"/>
        </w:rPr>
        <w:t>]</w:t>
      </w:r>
      <w:r w:rsidRPr="00C806D0">
        <w:t xml:space="preserve"> Bootstrapping, using 1,000 samples with replacement was also performed to assess model stability.</w:t>
      </w:r>
      <w:r w:rsidR="00D368BB" w:rsidRPr="00C806D0">
        <w:rPr>
          <w:noProof/>
          <w:vertAlign w:val="superscript"/>
        </w:rPr>
        <w:t>[</w:t>
      </w:r>
      <w:r w:rsidR="006D4D62" w:rsidRPr="00C806D0">
        <w:rPr>
          <w:noProof/>
          <w:vertAlign w:val="superscript"/>
        </w:rPr>
        <w:t>10</w:t>
      </w:r>
      <w:r w:rsidR="00D368BB" w:rsidRPr="00C806D0">
        <w:rPr>
          <w:noProof/>
          <w:vertAlign w:val="superscript"/>
        </w:rPr>
        <w:t xml:space="preserve">, </w:t>
      </w:r>
      <w:r w:rsidR="006D4D62" w:rsidRPr="00C806D0">
        <w:rPr>
          <w:noProof/>
          <w:vertAlign w:val="superscript"/>
        </w:rPr>
        <w:t>12</w:t>
      </w:r>
      <w:r w:rsidR="00D368BB" w:rsidRPr="00C806D0">
        <w:rPr>
          <w:noProof/>
          <w:vertAlign w:val="superscript"/>
        </w:rPr>
        <w:t xml:space="preserve">, </w:t>
      </w:r>
      <w:r w:rsidR="006D4D62" w:rsidRPr="00C806D0">
        <w:rPr>
          <w:noProof/>
          <w:vertAlign w:val="superscript"/>
        </w:rPr>
        <w:t>14</w:t>
      </w:r>
      <w:r w:rsidR="00D368BB" w:rsidRPr="00C806D0">
        <w:rPr>
          <w:noProof/>
          <w:vertAlign w:val="superscript"/>
        </w:rPr>
        <w:t>]</w:t>
      </w:r>
    </w:p>
    <w:p w:rsidR="006574FF" w:rsidRPr="00C806D0" w:rsidRDefault="006574FF" w:rsidP="006574FF"/>
    <w:p w:rsidR="006574FF" w:rsidRPr="00C806D0" w:rsidRDefault="006574FF" w:rsidP="006574FF">
      <w:r w:rsidRPr="00C806D0">
        <w:t>As a secondary analysis of an existing data-set was performed, a power analysis was not appropriate and the 95% confidence intervals around the effect estimate will indicate the precision of results. However, consideration of sample size is important for determining the stability of the model, which signifies the extent to which parameters will vary with small changes in the data used to derive the model. A 10:1 ratio for modelled covariates to the least frequent outcome event is recommended as a rule of thumb for avoiding such model over-fitting, and preventing description of idiosyncrasies of the data arising from random error rather than a true underlying relationship.</w:t>
      </w:r>
      <w:r w:rsidR="00D368BB" w:rsidRPr="00C806D0">
        <w:rPr>
          <w:noProof/>
          <w:vertAlign w:val="superscript"/>
        </w:rPr>
        <w:t>[</w:t>
      </w:r>
      <w:r w:rsidR="006D4D62" w:rsidRPr="00C806D0">
        <w:rPr>
          <w:noProof/>
          <w:vertAlign w:val="superscript"/>
        </w:rPr>
        <w:t>12</w:t>
      </w:r>
      <w:r w:rsidR="00D368BB" w:rsidRPr="00C806D0">
        <w:rPr>
          <w:noProof/>
          <w:vertAlign w:val="superscript"/>
        </w:rPr>
        <w:t xml:space="preserve">, </w:t>
      </w:r>
      <w:r w:rsidR="006D4D62" w:rsidRPr="00C806D0">
        <w:rPr>
          <w:noProof/>
          <w:vertAlign w:val="superscript"/>
        </w:rPr>
        <w:t>14</w:t>
      </w:r>
      <w:r w:rsidR="00D368BB" w:rsidRPr="00C806D0">
        <w:rPr>
          <w:noProof/>
          <w:vertAlign w:val="superscript"/>
        </w:rPr>
        <w:t>]</w:t>
      </w:r>
      <w:r w:rsidRPr="00C806D0">
        <w:t xml:space="preserve"> </w:t>
      </w:r>
    </w:p>
    <w:p w:rsidR="006574FF" w:rsidRPr="00C806D0" w:rsidRDefault="006574FF" w:rsidP="006574FF"/>
    <w:p w:rsidR="006574FF" w:rsidRPr="00C806D0" w:rsidRDefault="006574FF" w:rsidP="006574FF"/>
    <w:p w:rsidR="006574FF" w:rsidRPr="00C806D0" w:rsidRDefault="006574FF" w:rsidP="006574FF">
      <w:pPr>
        <w:pStyle w:val="Heading3"/>
      </w:pPr>
      <w:r w:rsidRPr="00C806D0">
        <w:lastRenderedPageBreak/>
        <w:t>Propensity score matching</w:t>
      </w:r>
    </w:p>
    <w:p w:rsidR="006574FF" w:rsidRPr="00C806D0" w:rsidRDefault="006574FF" w:rsidP="006574FF">
      <w:pPr>
        <w:rPr>
          <w:rFonts w:ascii="Calibri" w:hAnsi="Calibri"/>
        </w:rPr>
      </w:pPr>
      <w:r w:rsidRPr="00C806D0">
        <w:rPr>
          <w:rFonts w:ascii="Calibri" w:hAnsi="Calibri"/>
        </w:rPr>
        <w:t>Expert recommendations were followed to implement propensity score matching with the greatest validity and precision.</w:t>
      </w:r>
      <w:r w:rsidR="00D368BB" w:rsidRPr="00C806D0">
        <w:rPr>
          <w:rFonts w:ascii="Calibri" w:hAnsi="Calibri"/>
          <w:noProof/>
          <w:vertAlign w:val="superscript"/>
        </w:rPr>
        <w:t>[</w:t>
      </w:r>
      <w:r w:rsidR="006D4D62" w:rsidRPr="00C806D0">
        <w:rPr>
          <w:rFonts w:ascii="Calibri" w:hAnsi="Calibri"/>
          <w:noProof/>
          <w:vertAlign w:val="superscript"/>
        </w:rPr>
        <w:t>15-18</w:t>
      </w:r>
      <w:r w:rsidR="00D368BB" w:rsidRPr="00C806D0">
        <w:rPr>
          <w:rFonts w:ascii="Calibri" w:hAnsi="Calibri"/>
          <w:noProof/>
          <w:vertAlign w:val="superscript"/>
        </w:rPr>
        <w:t>]</w:t>
      </w:r>
      <w:r w:rsidRPr="00C806D0">
        <w:rPr>
          <w:rFonts w:ascii="Calibri" w:hAnsi="Calibri"/>
        </w:rPr>
        <w:t xml:space="preserve"> Logistic regression modelling was used to </w:t>
      </w:r>
      <w:r w:rsidR="00472909" w:rsidRPr="00C806D0">
        <w:rPr>
          <w:rFonts w:ascii="Calibri" w:hAnsi="Calibri"/>
        </w:rPr>
        <w:t>estimate</w:t>
      </w:r>
      <w:r w:rsidRPr="00C806D0">
        <w:rPr>
          <w:rFonts w:ascii="Calibri" w:hAnsi="Calibri"/>
        </w:rPr>
        <w:t xml:space="preserve"> the probability of </w:t>
      </w:r>
      <w:r w:rsidR="00254320" w:rsidRPr="00C806D0">
        <w:rPr>
          <w:rFonts w:ascii="Calibri" w:hAnsi="Calibri"/>
        </w:rPr>
        <w:t>individuals having EMS</w:t>
      </w:r>
      <w:r w:rsidRPr="00C806D0">
        <w:rPr>
          <w:rFonts w:ascii="Calibri" w:hAnsi="Calibri"/>
        </w:rPr>
        <w:t xml:space="preserve"> interval </w:t>
      </w:r>
      <w:r w:rsidR="00B052FA" w:rsidRPr="00C806D0">
        <w:rPr>
          <w:rFonts w:ascii="Calibri" w:hAnsi="Calibri"/>
        </w:rPr>
        <w:t>duration</w:t>
      </w:r>
      <w:r w:rsidR="00472909" w:rsidRPr="00C806D0">
        <w:rPr>
          <w:rFonts w:ascii="Calibri" w:hAnsi="Calibri"/>
        </w:rPr>
        <w:t>s</w:t>
      </w:r>
      <w:r w:rsidR="00254320" w:rsidRPr="00C806D0">
        <w:rPr>
          <w:rFonts w:ascii="Calibri" w:hAnsi="Calibri"/>
        </w:rPr>
        <w:t xml:space="preserve"> of less than </w:t>
      </w:r>
      <w:r w:rsidRPr="00C806D0">
        <w:rPr>
          <w:rFonts w:ascii="Calibri" w:hAnsi="Calibri"/>
        </w:rPr>
        <w:t>60 minutes. A non-parsimonious modelling strategy was utilised including all variables available within the TARN dataset measured during the EMS interval and potentially related to outcome or EMS interval. These comprised: Mechanism of injury</w:t>
      </w:r>
      <w:r w:rsidR="00254320" w:rsidRPr="00C806D0">
        <w:rPr>
          <w:rFonts w:ascii="Calibri" w:hAnsi="Calibri"/>
        </w:rPr>
        <w:t>; vehicular entrapment;</w:t>
      </w:r>
      <w:r w:rsidRPr="00C806D0">
        <w:rPr>
          <w:rFonts w:ascii="Calibri" w:hAnsi="Calibri"/>
        </w:rPr>
        <w:t xml:space="preserve"> presence of penetrating trauma</w:t>
      </w:r>
      <w:r w:rsidR="00254320" w:rsidRPr="00C806D0">
        <w:rPr>
          <w:rFonts w:ascii="Calibri" w:hAnsi="Calibri"/>
        </w:rPr>
        <w:t>;</w:t>
      </w:r>
      <w:r w:rsidRPr="00C806D0">
        <w:rPr>
          <w:rFonts w:ascii="Calibri" w:hAnsi="Calibri"/>
        </w:rPr>
        <w:t xml:space="preserve"> mode of transport</w:t>
      </w:r>
      <w:r w:rsidR="00254320" w:rsidRPr="00C806D0">
        <w:rPr>
          <w:rFonts w:ascii="Calibri" w:hAnsi="Calibri"/>
        </w:rPr>
        <w:t>;</w:t>
      </w:r>
      <w:r w:rsidRPr="00C806D0">
        <w:rPr>
          <w:rFonts w:ascii="Calibri" w:hAnsi="Calibri"/>
        </w:rPr>
        <w:t xml:space="preserve"> age</w:t>
      </w:r>
      <w:r w:rsidR="00254320" w:rsidRPr="00C806D0">
        <w:rPr>
          <w:rFonts w:ascii="Calibri" w:hAnsi="Calibri"/>
        </w:rPr>
        <w:t>; gender;</w:t>
      </w:r>
      <w:r w:rsidRPr="00C806D0">
        <w:rPr>
          <w:rFonts w:ascii="Calibri" w:hAnsi="Calibri"/>
        </w:rPr>
        <w:t xml:space="preserve"> first recorded prehospital </w:t>
      </w:r>
      <w:r w:rsidR="00254320" w:rsidRPr="00C806D0">
        <w:rPr>
          <w:rFonts w:ascii="Calibri" w:hAnsi="Calibri"/>
        </w:rPr>
        <w:t>SBP,</w:t>
      </w:r>
      <w:r w:rsidRPr="00C806D0">
        <w:rPr>
          <w:rFonts w:ascii="Calibri" w:hAnsi="Calibri"/>
        </w:rPr>
        <w:t xml:space="preserve"> respiratory rate</w:t>
      </w:r>
      <w:r w:rsidR="00254320" w:rsidRPr="00C806D0">
        <w:rPr>
          <w:rFonts w:ascii="Calibri" w:hAnsi="Calibri"/>
        </w:rPr>
        <w:t>,</w:t>
      </w:r>
      <w:r w:rsidRPr="00C806D0">
        <w:rPr>
          <w:rFonts w:ascii="Calibri" w:hAnsi="Calibri"/>
        </w:rPr>
        <w:t xml:space="preserve"> pulse rate</w:t>
      </w:r>
      <w:r w:rsidR="00254320" w:rsidRPr="00C806D0">
        <w:rPr>
          <w:rFonts w:ascii="Calibri" w:hAnsi="Calibri"/>
        </w:rPr>
        <w:t>, and GCS;</w:t>
      </w:r>
      <w:r w:rsidRPr="00C806D0">
        <w:rPr>
          <w:rFonts w:ascii="Calibri" w:hAnsi="Calibri"/>
        </w:rPr>
        <w:t xml:space="preserve"> and prehospital hypoxia. Adequacy of specification of the propensity score model was assessed by comparing exposed and unexposed subjects for important confounders using standardised differences. In the presence of clinically significant differences the propensity score was modified with addition of interaction terms, transformation of non-linear variables and revision of included covariates. This iterative process was continued until systematic differences between the two groups were reduced to a minimal level. Rubin’s balancing score across 5 strata of propensity score was also examined.</w:t>
      </w:r>
      <w:r w:rsidR="00D368BB" w:rsidRPr="00C806D0">
        <w:rPr>
          <w:rFonts w:ascii="Calibri" w:hAnsi="Calibri"/>
          <w:noProof/>
          <w:vertAlign w:val="superscript"/>
        </w:rPr>
        <w:t>[</w:t>
      </w:r>
      <w:r w:rsidR="006D4D62" w:rsidRPr="00C806D0">
        <w:rPr>
          <w:rFonts w:ascii="Calibri" w:hAnsi="Calibri"/>
          <w:noProof/>
          <w:vertAlign w:val="superscript"/>
        </w:rPr>
        <w:t>16</w:t>
      </w:r>
      <w:r w:rsidR="00D368BB" w:rsidRPr="00C806D0">
        <w:rPr>
          <w:rFonts w:ascii="Calibri" w:hAnsi="Calibri"/>
          <w:noProof/>
          <w:vertAlign w:val="superscript"/>
        </w:rPr>
        <w:t>]</w:t>
      </w:r>
      <w:r w:rsidRPr="00C806D0">
        <w:rPr>
          <w:rFonts w:ascii="Calibri" w:hAnsi="Calibri"/>
        </w:rPr>
        <w:t xml:space="preserve"> </w:t>
      </w:r>
    </w:p>
    <w:p w:rsidR="006574FF" w:rsidRPr="00C806D0" w:rsidRDefault="006574FF" w:rsidP="006574FF">
      <w:pPr>
        <w:rPr>
          <w:rFonts w:ascii="Calibri" w:hAnsi="Calibri"/>
        </w:rPr>
      </w:pPr>
    </w:p>
    <w:p w:rsidR="006574FF" w:rsidRPr="00C806D0" w:rsidRDefault="006574FF" w:rsidP="006574FF">
      <w:pPr>
        <w:rPr>
          <w:rFonts w:ascii="Calibri" w:hAnsi="Calibri"/>
        </w:rPr>
      </w:pPr>
      <w:r w:rsidRPr="00C806D0">
        <w:rPr>
          <w:rFonts w:ascii="Calibri" w:hAnsi="Calibri"/>
        </w:rPr>
        <w:t>Propensity score matching was then performed within the area of common support using one-to-one, nearest neighbour, greedy matching with replacement, within a calliper width of 0.2 times the standard deviation of the logit of the propensity score. Treatment effect in the propensity score matched sample was then estimated by calculating the average effect of treatment on the treated, equalling the mean of the individual causal effects only for those receiving treatment, with absolute risk reductions and odds ratios subsequently calculated. To account for the paired nature of the data McNemar’s test was used to test the statistical significance of differences in proportions of mortality.</w:t>
      </w:r>
      <w:r w:rsidR="00D368BB" w:rsidRPr="00C806D0">
        <w:rPr>
          <w:rFonts w:ascii="Calibri" w:hAnsi="Calibri"/>
          <w:noProof/>
          <w:vertAlign w:val="superscript"/>
        </w:rPr>
        <w:t>[</w:t>
      </w:r>
      <w:r w:rsidR="006D4D62" w:rsidRPr="00C806D0">
        <w:rPr>
          <w:rFonts w:ascii="Calibri" w:hAnsi="Calibri"/>
          <w:noProof/>
          <w:vertAlign w:val="superscript"/>
        </w:rPr>
        <w:t>19</w:t>
      </w:r>
      <w:r w:rsidR="00D368BB" w:rsidRPr="00C806D0">
        <w:rPr>
          <w:rFonts w:ascii="Calibri" w:hAnsi="Calibri"/>
          <w:noProof/>
          <w:vertAlign w:val="superscript"/>
        </w:rPr>
        <w:t>]</w:t>
      </w:r>
      <w:r w:rsidRPr="00C806D0">
        <w:rPr>
          <w:rFonts w:ascii="Calibri" w:hAnsi="Calibri"/>
        </w:rPr>
        <w:t xml:space="preserve"> Finally the variance of the treatment effect was estimated using bootstrapping with 1,000 replications to calculate 95% confidence intervals.</w:t>
      </w:r>
    </w:p>
    <w:p w:rsidR="006574FF" w:rsidRPr="00C806D0" w:rsidRDefault="006574FF" w:rsidP="006574FF">
      <w:pPr>
        <w:pStyle w:val="Heading3"/>
        <w:spacing w:before="240"/>
      </w:pPr>
      <w:r w:rsidRPr="00C806D0">
        <w:t>Secondary analyses investigating the effect of EMS interval on mortality in significant TBI</w:t>
      </w:r>
    </w:p>
    <w:p w:rsidR="006574FF" w:rsidRPr="00C806D0" w:rsidRDefault="006574FF" w:rsidP="006574FF">
      <w:pPr>
        <w:rPr>
          <w:rFonts w:ascii="Calibri" w:hAnsi="Calibri"/>
        </w:rPr>
      </w:pPr>
      <w:r w:rsidRPr="00C806D0">
        <w:rPr>
          <w:rFonts w:ascii="Calibri" w:hAnsi="Calibri"/>
        </w:rPr>
        <w:t>A number of additional analyses were conducted in the first sub-study examining the effect of EMS interval on mortality in significant TBI</w:t>
      </w:r>
      <w:r w:rsidR="00254320" w:rsidRPr="00C806D0">
        <w:rPr>
          <w:rFonts w:ascii="Calibri" w:hAnsi="Calibri"/>
        </w:rPr>
        <w:t>,</w:t>
      </w:r>
      <w:r w:rsidRPr="00C806D0">
        <w:rPr>
          <w:rFonts w:ascii="Calibri" w:hAnsi="Calibri"/>
        </w:rPr>
        <w:t xml:space="preserve"> to investigate: the influence of missing covariate and outcome data; examine sub-group effects; and assess alternative causal structures for the relationship between EMS interval and mortality.</w:t>
      </w:r>
    </w:p>
    <w:p w:rsidR="006574FF" w:rsidRPr="00C806D0" w:rsidRDefault="006574FF" w:rsidP="006574FF">
      <w:pPr>
        <w:rPr>
          <w:rFonts w:ascii="Calibri" w:hAnsi="Calibri"/>
        </w:rPr>
      </w:pPr>
    </w:p>
    <w:p w:rsidR="006574FF" w:rsidRPr="00C806D0" w:rsidRDefault="006574FF" w:rsidP="006574FF"/>
    <w:p w:rsidR="006574FF" w:rsidRPr="00C806D0" w:rsidRDefault="006574FF" w:rsidP="006574FF">
      <w:pPr>
        <w:rPr>
          <w:rFonts w:ascii="Calibri" w:hAnsi="Calibri"/>
        </w:rPr>
      </w:pPr>
      <w:r w:rsidRPr="00C806D0">
        <w:rPr>
          <w:rFonts w:ascii="Calibri" w:hAnsi="Calibri"/>
        </w:rPr>
        <w:lastRenderedPageBreak/>
        <w:t>Complete case ana</w:t>
      </w:r>
      <w:r w:rsidR="00254320" w:rsidRPr="00C806D0">
        <w:rPr>
          <w:rFonts w:ascii="Calibri" w:hAnsi="Calibri"/>
        </w:rPr>
        <w:t xml:space="preserve">lyses were initially undertaken, </w:t>
      </w:r>
      <w:r w:rsidRPr="00C806D0">
        <w:rPr>
          <w:rFonts w:ascii="Calibri" w:hAnsi="Calibri"/>
        </w:rPr>
        <w:t xml:space="preserve">but to account for potential selection bias arising from </w:t>
      </w:r>
      <w:r w:rsidR="00254320" w:rsidRPr="00C806D0">
        <w:rPr>
          <w:rFonts w:ascii="Calibri" w:hAnsi="Calibri"/>
        </w:rPr>
        <w:t xml:space="preserve">listwise deletion of cases with </w:t>
      </w:r>
      <w:r w:rsidR="00B052FA" w:rsidRPr="00C806D0">
        <w:rPr>
          <w:rFonts w:ascii="Calibri" w:hAnsi="Calibri"/>
        </w:rPr>
        <w:t xml:space="preserve">incomplete </w:t>
      </w:r>
      <w:r w:rsidR="00254320" w:rsidRPr="00C806D0">
        <w:rPr>
          <w:rFonts w:ascii="Calibri" w:hAnsi="Calibri"/>
        </w:rPr>
        <w:t xml:space="preserve">covariate </w:t>
      </w:r>
      <w:r w:rsidR="00B052FA" w:rsidRPr="00C806D0">
        <w:rPr>
          <w:rFonts w:ascii="Calibri" w:hAnsi="Calibri"/>
        </w:rPr>
        <w:t>informatio</w:t>
      </w:r>
      <w:r w:rsidR="00254320" w:rsidRPr="00C806D0">
        <w:rPr>
          <w:rFonts w:ascii="Calibri" w:hAnsi="Calibri"/>
        </w:rPr>
        <w:t xml:space="preserve">n, </w:t>
      </w:r>
      <w:r w:rsidRPr="00C806D0">
        <w:rPr>
          <w:rFonts w:ascii="Calibri" w:hAnsi="Calibri"/>
        </w:rPr>
        <w:t xml:space="preserve">multiple imputation of missing data was </w:t>
      </w:r>
      <w:r w:rsidR="00254320" w:rsidRPr="00C806D0">
        <w:rPr>
          <w:rFonts w:ascii="Calibri" w:hAnsi="Calibri"/>
        </w:rPr>
        <w:t xml:space="preserve">subsequently </w:t>
      </w:r>
      <w:r w:rsidRPr="00C806D0">
        <w:rPr>
          <w:rFonts w:ascii="Calibri" w:hAnsi="Calibri"/>
        </w:rPr>
        <w:t>performed.</w:t>
      </w:r>
      <w:r w:rsidR="00D368BB" w:rsidRPr="00C806D0">
        <w:rPr>
          <w:rFonts w:ascii="Calibri" w:hAnsi="Calibri"/>
          <w:noProof/>
          <w:vertAlign w:val="superscript"/>
        </w:rPr>
        <w:t>[</w:t>
      </w:r>
      <w:r w:rsidR="006D4D62" w:rsidRPr="00C806D0">
        <w:rPr>
          <w:rFonts w:ascii="Calibri" w:hAnsi="Calibri"/>
          <w:noProof/>
          <w:vertAlign w:val="superscript"/>
        </w:rPr>
        <w:t>20</w:t>
      </w:r>
      <w:r w:rsidR="00D368BB" w:rsidRPr="00C806D0">
        <w:rPr>
          <w:rFonts w:ascii="Calibri" w:hAnsi="Calibri"/>
          <w:noProof/>
          <w:vertAlign w:val="superscript"/>
        </w:rPr>
        <w:t>]</w:t>
      </w:r>
      <w:r w:rsidRPr="00C806D0">
        <w:rPr>
          <w:rFonts w:ascii="Calibri" w:hAnsi="Calibri"/>
        </w:rPr>
        <w:t xml:space="preserve"> T</w:t>
      </w:r>
      <w:r w:rsidRPr="00C806D0">
        <w:rPr>
          <w:rFonts w:ascii="Calibri" w:hAnsi="Calibri" w:cs="Arial"/>
          <w:color w:val="000000"/>
        </w:rPr>
        <w:t xml:space="preserve">he extent of missing data in the cohort was described by calculating the proportion of cases without values for important demographic, injury and outcome variables. Case-wise missingness, examining the extent of missing data in terms of the number of variables with incomplete data for each case, was also calculated. To indicate the potential for selection bias arising from missing data, the characteristics of the complete case sample were </w:t>
      </w:r>
      <w:r w:rsidR="00335B1F" w:rsidRPr="00C806D0">
        <w:rPr>
          <w:rFonts w:ascii="Calibri" w:hAnsi="Calibri" w:cs="Arial"/>
          <w:color w:val="000000"/>
        </w:rPr>
        <w:t>compared with</w:t>
      </w:r>
      <w:r w:rsidRPr="00C806D0">
        <w:rPr>
          <w:rFonts w:ascii="Calibri" w:hAnsi="Calibri" w:cs="Arial"/>
          <w:color w:val="000000"/>
        </w:rPr>
        <w:t xml:space="preserve"> patients excluded due to missing data using </w:t>
      </w:r>
      <w:r w:rsidR="00254320" w:rsidRPr="00C806D0">
        <w:rPr>
          <w:rFonts w:ascii="Calibri" w:hAnsi="Calibri" w:cs="Arial"/>
          <w:color w:val="000000"/>
        </w:rPr>
        <w:t xml:space="preserve">descriptive statistics and </w:t>
      </w:r>
      <w:r w:rsidRPr="00C806D0">
        <w:rPr>
          <w:rFonts w:ascii="Calibri" w:hAnsi="Calibri" w:cs="Arial"/>
          <w:color w:val="000000"/>
        </w:rPr>
        <w:t xml:space="preserve">hypothesis testing. </w:t>
      </w:r>
      <w:r w:rsidRPr="00C806D0">
        <w:rPr>
          <w:rFonts w:ascii="Calibri" w:hAnsi="Calibri"/>
        </w:rPr>
        <w:t xml:space="preserve">Identical principles to those previously described </w:t>
      </w:r>
      <w:r w:rsidR="00B052FA" w:rsidRPr="00C806D0">
        <w:rPr>
          <w:rFonts w:ascii="Calibri" w:hAnsi="Calibri"/>
        </w:rPr>
        <w:t>previously</w:t>
      </w:r>
      <w:r w:rsidRPr="00C806D0">
        <w:rPr>
          <w:rFonts w:ascii="Calibri" w:hAnsi="Calibri"/>
        </w:rPr>
        <w:t xml:space="preserve"> were used to develop the imputation model and generate simulated imputed datasets, under a missing at random assumption. The primary regression model and propensity score matching were then implemented in the imputed datasets with Rubin’s rules used to derive </w:t>
      </w:r>
      <w:r w:rsidR="00254320" w:rsidRPr="00C806D0">
        <w:rPr>
          <w:rFonts w:ascii="Calibri" w:hAnsi="Calibri"/>
        </w:rPr>
        <w:t xml:space="preserve">final </w:t>
      </w:r>
      <w:r w:rsidRPr="00C806D0">
        <w:rPr>
          <w:rFonts w:ascii="Calibri" w:hAnsi="Calibri"/>
        </w:rPr>
        <w:t>effect estimates as previously described.</w:t>
      </w:r>
      <w:r w:rsidR="00D368BB" w:rsidRPr="00C806D0">
        <w:rPr>
          <w:rFonts w:ascii="Calibri" w:hAnsi="Calibri"/>
          <w:noProof/>
          <w:vertAlign w:val="superscript"/>
        </w:rPr>
        <w:t>[</w:t>
      </w:r>
      <w:r w:rsidR="006D4D62" w:rsidRPr="00C806D0">
        <w:rPr>
          <w:rFonts w:ascii="Calibri" w:hAnsi="Calibri"/>
          <w:noProof/>
          <w:vertAlign w:val="superscript"/>
        </w:rPr>
        <w:t>20</w:t>
      </w:r>
      <w:r w:rsidR="00D368BB" w:rsidRPr="00C806D0">
        <w:rPr>
          <w:rFonts w:ascii="Calibri" w:hAnsi="Calibri"/>
          <w:noProof/>
          <w:vertAlign w:val="superscript"/>
        </w:rPr>
        <w:t>]</w:t>
      </w:r>
    </w:p>
    <w:p w:rsidR="006574FF" w:rsidRPr="00C806D0" w:rsidRDefault="006574FF" w:rsidP="006574FF">
      <w:pPr>
        <w:rPr>
          <w:rFonts w:ascii="Calibri" w:hAnsi="Calibri"/>
        </w:rPr>
      </w:pPr>
    </w:p>
    <w:p w:rsidR="006574FF" w:rsidRPr="00C806D0" w:rsidRDefault="006574FF" w:rsidP="006574FF">
      <w:pPr>
        <w:rPr>
          <w:rFonts w:ascii="Calibri" w:hAnsi="Calibri"/>
        </w:rPr>
      </w:pPr>
      <w:r w:rsidRPr="00C806D0">
        <w:rPr>
          <w:rFonts w:ascii="Calibri" w:hAnsi="Calibri"/>
        </w:rPr>
        <w:t>The effect of loss to follow up was also examined in a scenario analysis providing the most optimistic assumptions on missing outcome data consistent with a positive relationship between short EMS intervals and increased survival. Patients with missing outcomes with EMS intervals &lt;60minutes were all assumed to have survived, while those over 60 minutes were assumed to have died. Complete case and adjusted multiple impu</w:t>
      </w:r>
      <w:r w:rsidR="00254320" w:rsidRPr="00C806D0">
        <w:rPr>
          <w:rFonts w:ascii="Calibri" w:hAnsi="Calibri"/>
        </w:rPr>
        <w:t>tation multivariate analyses were</w:t>
      </w:r>
      <w:r w:rsidRPr="00C806D0">
        <w:rPr>
          <w:rFonts w:ascii="Calibri" w:hAnsi="Calibri"/>
        </w:rPr>
        <w:t xml:space="preserve"> then repeated.</w:t>
      </w:r>
    </w:p>
    <w:p w:rsidR="006574FF" w:rsidRPr="00C806D0" w:rsidRDefault="006574FF" w:rsidP="006574FF">
      <w:pPr>
        <w:rPr>
          <w:rFonts w:ascii="Calibri" w:hAnsi="Calibri"/>
        </w:rPr>
      </w:pPr>
    </w:p>
    <w:p w:rsidR="006574FF" w:rsidRPr="00C806D0" w:rsidRDefault="006574FF" w:rsidP="006574FF">
      <w:r w:rsidRPr="00C806D0">
        <w:t>The potential for selection bias arising from incomplete patient enrolment in the TARN trauma registry was assessed using HES data.</w:t>
      </w:r>
      <w:r w:rsidRPr="00C806D0">
        <w:rPr>
          <w:vertAlign w:val="superscript"/>
        </w:rPr>
        <w:t xml:space="preserve"> </w:t>
      </w:r>
      <w:r w:rsidRPr="00C806D0">
        <w:t>HES is a national database containing details of all admissions to English NHS hospitals, and includes information on demographics, diagnosis (ICD-10 coded), and procedures.</w:t>
      </w:r>
      <w:r w:rsidR="00D368BB" w:rsidRPr="00C806D0">
        <w:rPr>
          <w:noProof/>
          <w:vertAlign w:val="superscript"/>
        </w:rPr>
        <w:t>[</w:t>
      </w:r>
      <w:r w:rsidR="006D4D62" w:rsidRPr="00C806D0">
        <w:rPr>
          <w:noProof/>
          <w:vertAlign w:val="superscript"/>
        </w:rPr>
        <w:t>21</w:t>
      </w:r>
      <w:r w:rsidR="00D368BB" w:rsidRPr="00C806D0">
        <w:rPr>
          <w:noProof/>
          <w:vertAlign w:val="superscript"/>
        </w:rPr>
        <w:t>]</w:t>
      </w:r>
      <w:r w:rsidRPr="00C806D0">
        <w:t xml:space="preserve">  Hospitals with &gt;65% concordance between TARN and HES data were defined as core hospital and results were recalculated using patients from only these hospitals.</w:t>
      </w:r>
    </w:p>
    <w:p w:rsidR="006574FF" w:rsidRPr="00C806D0" w:rsidRDefault="006574FF" w:rsidP="006574FF"/>
    <w:p w:rsidR="006574FF" w:rsidRPr="00C806D0" w:rsidRDefault="006574FF" w:rsidP="006574FF">
      <w:pPr>
        <w:autoSpaceDE w:val="0"/>
        <w:autoSpaceDN w:val="0"/>
        <w:adjustRightInd w:val="0"/>
      </w:pPr>
      <w:r w:rsidRPr="00C806D0">
        <w:rPr>
          <w:rFonts w:ascii="Calibri" w:hAnsi="Calibri"/>
        </w:rPr>
        <w:t>It is conceivable that EMS duration is only important in a small proportion of patients with injuries requiring time-critical resuscitative interventions, and that the effect in this sub-population may not be detected secondary to statistical noise in the primary study sample. Unstable patients requiring ED resuscitation were therefore investigated in a pre-specified subgroup analysis using the primary regression model specification.</w:t>
      </w:r>
      <w:r w:rsidRPr="00C806D0">
        <w:t xml:space="preserve"> Patients identified as unstable on ED arrival were included, with ED Instability defined as: GCS &lt;9; SBP &lt;90mmHg; abnormal respiratory rate of &lt;6 or &gt;29; pulse rate of &lt;50 or &gt;120</w:t>
      </w:r>
      <w:r w:rsidR="00254320" w:rsidRPr="00C806D0">
        <w:t>; hypoxia (sats&lt;93%);</w:t>
      </w:r>
      <w:r w:rsidRPr="00C806D0">
        <w:t xml:space="preserve"> requirement for cardiopulmonary resuscitation</w:t>
      </w:r>
      <w:r w:rsidR="00254320" w:rsidRPr="00C806D0">
        <w:t>;</w:t>
      </w:r>
      <w:r w:rsidRPr="00C806D0">
        <w:t xml:space="preserve"> or presence of an obstructed airway or </w:t>
      </w:r>
      <w:r w:rsidRPr="00C806D0">
        <w:lastRenderedPageBreak/>
        <w:t xml:space="preserve">respiratory distress. A further </w:t>
      </w:r>
      <w:r w:rsidRPr="00C806D0">
        <w:rPr>
          <w:i/>
        </w:rPr>
        <w:t>post hoc</w:t>
      </w:r>
      <w:r w:rsidRPr="00C806D0">
        <w:t xml:space="preserve"> subgroup analysis examined if there was a differential effect of EMS interval between patients transported by land or air ambulance. Adjusted odds ratios for the association between EMS interval categories and mortality were calculated for these subgroup analyses as above in complete case and multiple imputation analyses.</w:t>
      </w:r>
    </w:p>
    <w:p w:rsidR="006574FF" w:rsidRPr="00C806D0" w:rsidRDefault="006574FF" w:rsidP="006574FF">
      <w:pPr>
        <w:autoSpaceDE w:val="0"/>
        <w:autoSpaceDN w:val="0"/>
        <w:adjustRightInd w:val="0"/>
        <w:rPr>
          <w:rFonts w:ascii="Calibri" w:hAnsi="Calibri"/>
        </w:rPr>
      </w:pPr>
    </w:p>
    <w:p w:rsidR="006574FF" w:rsidRPr="00C806D0" w:rsidRDefault="006574FF" w:rsidP="006574FF">
      <w:pPr>
        <w:rPr>
          <w:rFonts w:ascii="Calibri" w:hAnsi="Calibri"/>
        </w:rPr>
      </w:pPr>
      <w:r w:rsidRPr="00C806D0">
        <w:rPr>
          <w:rFonts w:ascii="Calibri" w:hAnsi="Calibri"/>
        </w:rPr>
        <w:t>It is possible that injury severity could be directly influenced by EMS interval duration. For example acute intracranial haematomas may expand to a greater extent in prolonged primary transfers. This could manifest with worse CT head scans and higher ISS, in addition to increasing the probability of death</w:t>
      </w:r>
      <w:r w:rsidR="00B052FA" w:rsidRPr="00C806D0">
        <w:rPr>
          <w:rFonts w:ascii="Calibri" w:hAnsi="Calibri"/>
        </w:rPr>
        <w:t>,</w:t>
      </w:r>
      <w:r w:rsidRPr="00C806D0">
        <w:rPr>
          <w:rFonts w:ascii="Calibri" w:hAnsi="Calibri"/>
        </w:rPr>
        <w:t xml:space="preserve"> and consequently introduce bias. A </w:t>
      </w:r>
      <w:r w:rsidRPr="00C806D0">
        <w:rPr>
          <w:rFonts w:ascii="Calibri" w:hAnsi="Calibri"/>
          <w:i/>
        </w:rPr>
        <w:t>post hoc</w:t>
      </w:r>
      <w:r w:rsidRPr="00C806D0">
        <w:rPr>
          <w:rFonts w:ascii="Calibri" w:hAnsi="Calibri"/>
        </w:rPr>
        <w:t xml:space="preserve"> sensitivity analysis was therefore conducted in which</w:t>
      </w:r>
      <w:r w:rsidR="00472909" w:rsidRPr="00C806D0">
        <w:rPr>
          <w:rFonts w:ascii="Calibri" w:hAnsi="Calibri"/>
        </w:rPr>
        <w:t xml:space="preserve"> ISS was excluded from the multivariable model.</w:t>
      </w:r>
    </w:p>
    <w:p w:rsidR="006574FF" w:rsidRPr="00C806D0" w:rsidRDefault="006574FF" w:rsidP="006574FF">
      <w:pPr>
        <w:pStyle w:val="Heading3"/>
        <w:spacing w:before="240"/>
      </w:pPr>
      <w:r w:rsidRPr="00C806D0">
        <w:t>Secondary analyses investigating the effect of time to specialist care on mortality in significant TBI.</w:t>
      </w:r>
    </w:p>
    <w:p w:rsidR="006574FF" w:rsidRPr="00C806D0" w:rsidRDefault="006574FF" w:rsidP="006574FF">
      <w:pPr>
        <w:rPr>
          <w:rFonts w:ascii="Calibri" w:hAnsi="Calibri"/>
        </w:rPr>
      </w:pPr>
      <w:r w:rsidRPr="00C806D0">
        <w:rPr>
          <w:rFonts w:ascii="Calibri" w:hAnsi="Calibri"/>
        </w:rPr>
        <w:t>Sensitivity analyses were again conducted to examine the influence of missing covariate data using multiple imputation and ‘best</w:t>
      </w:r>
      <w:r w:rsidR="00EE28D3" w:rsidRPr="00C806D0">
        <w:rPr>
          <w:rFonts w:ascii="Calibri" w:hAnsi="Calibri"/>
        </w:rPr>
        <w:t xml:space="preserve">’ and ‘worst’ case scenarios. </w:t>
      </w:r>
      <w:r w:rsidR="00652B9A" w:rsidRPr="00C806D0">
        <w:rPr>
          <w:rFonts w:ascii="Calibri" w:hAnsi="Calibri"/>
        </w:rPr>
        <w:t>S</w:t>
      </w:r>
      <w:r w:rsidR="00EE28D3" w:rsidRPr="00C806D0">
        <w:rPr>
          <w:rFonts w:ascii="Calibri" w:hAnsi="Calibri"/>
        </w:rPr>
        <w:t>ubgroup analyses were</w:t>
      </w:r>
      <w:r w:rsidRPr="00C806D0">
        <w:rPr>
          <w:rFonts w:ascii="Calibri" w:hAnsi="Calibri"/>
        </w:rPr>
        <w:t xml:space="preserve"> also performed which examined if the effect of transfer time on mortality varied with the presence of a major extracranial injury</w:t>
      </w:r>
      <w:r w:rsidR="00652B9A" w:rsidRPr="00C806D0">
        <w:rPr>
          <w:rFonts w:ascii="Calibri" w:hAnsi="Calibri"/>
        </w:rPr>
        <w:t xml:space="preserve"> (pre-specified)</w:t>
      </w:r>
      <w:r w:rsidR="00B639E0" w:rsidRPr="00C806D0">
        <w:rPr>
          <w:rFonts w:ascii="Calibri" w:hAnsi="Calibri"/>
        </w:rPr>
        <w:t>, or requirement for emergency craniotomy</w:t>
      </w:r>
      <w:r w:rsidR="00652B9A" w:rsidRPr="00C806D0">
        <w:rPr>
          <w:rFonts w:ascii="Calibri" w:hAnsi="Calibri"/>
        </w:rPr>
        <w:t xml:space="preserve"> (post hoc)</w:t>
      </w:r>
      <w:r w:rsidRPr="00C806D0">
        <w:rPr>
          <w:rFonts w:ascii="Calibri" w:hAnsi="Calibri"/>
        </w:rPr>
        <w:t>.</w:t>
      </w:r>
    </w:p>
    <w:p w:rsidR="006574FF" w:rsidRPr="00C806D0" w:rsidRDefault="006574FF" w:rsidP="006574FF">
      <w:pPr>
        <w:rPr>
          <w:rFonts w:ascii="Calibri" w:hAnsi="Calibri"/>
        </w:rPr>
      </w:pPr>
    </w:p>
    <w:p w:rsidR="006574FF" w:rsidRPr="00C806D0" w:rsidRDefault="006574FF" w:rsidP="006574FF">
      <w:pPr>
        <w:rPr>
          <w:rFonts w:ascii="Calibri" w:hAnsi="Calibri"/>
        </w:rPr>
      </w:pPr>
      <w:r w:rsidRPr="00C806D0">
        <w:rPr>
          <w:rFonts w:ascii="Calibri" w:hAnsi="Calibri"/>
        </w:rPr>
        <w:t>In an identical approach to the first sub-study, variable-wise and case-wise missing data levels were computed; and the characteristics of complete case and excluded patients compared. The primary regression model was then repeated in the imputed datasets. Any impact on results from incomplete database enrolment was also examined by repeating multiple imputation results for core hospital patients.</w:t>
      </w:r>
    </w:p>
    <w:p w:rsidR="006574FF" w:rsidRPr="00C806D0" w:rsidRDefault="006574FF" w:rsidP="006574FF">
      <w:pPr>
        <w:rPr>
          <w:rFonts w:ascii="Calibri" w:hAnsi="Calibri"/>
        </w:rPr>
      </w:pPr>
    </w:p>
    <w:p w:rsidR="006574FF" w:rsidRPr="00C806D0" w:rsidRDefault="006574FF" w:rsidP="006574FF">
      <w:pPr>
        <w:rPr>
          <w:rFonts w:ascii="Calibri" w:hAnsi="Calibri"/>
        </w:rPr>
      </w:pPr>
      <w:r w:rsidRPr="00C806D0">
        <w:rPr>
          <w:rFonts w:ascii="Calibri" w:hAnsi="Calibri"/>
        </w:rPr>
        <w:t xml:space="preserve">The effect of missing outcome data was also examined in a further sensitivity analysis. In a ‘best case’ scenario for bypass, using the multiply imputed datasets, patients with short times to definitive care were initially assumed to have survived, with those transferred &gt;8 hours assumed to have died. These assumptions were then reversed in a ‘worst case’ scenario. </w:t>
      </w:r>
    </w:p>
    <w:p w:rsidR="006574FF" w:rsidRPr="00C806D0" w:rsidRDefault="006574FF" w:rsidP="006574FF">
      <w:pPr>
        <w:rPr>
          <w:rFonts w:ascii="Calibri" w:hAnsi="Calibri"/>
        </w:rPr>
      </w:pPr>
    </w:p>
    <w:p w:rsidR="006574FF" w:rsidRPr="00C806D0" w:rsidRDefault="006574FF" w:rsidP="006574FF">
      <w:pPr>
        <w:rPr>
          <w:rFonts w:ascii="Calibri" w:hAnsi="Calibri"/>
        </w:rPr>
      </w:pPr>
      <w:r w:rsidRPr="00C806D0">
        <w:rPr>
          <w:rFonts w:ascii="Calibri" w:hAnsi="Calibri"/>
        </w:rPr>
        <w:t xml:space="preserve">A final sensitivity analysis examined alternative specification of the primary regression model. Intracranial pathology could theoretically be worsened by delayed specialist care, e.g. expansion of intracranial haematomas, and ISS and Marshall Score could consequently lie on the causal pathway between the exposure and outcome. The regression model was therefore repeated </w:t>
      </w:r>
      <w:r w:rsidR="00254320" w:rsidRPr="00C806D0">
        <w:rPr>
          <w:rFonts w:ascii="Calibri" w:hAnsi="Calibri"/>
        </w:rPr>
        <w:t>omitting these</w:t>
      </w:r>
      <w:r w:rsidRPr="00C806D0">
        <w:rPr>
          <w:rFonts w:ascii="Calibri" w:hAnsi="Calibri"/>
        </w:rPr>
        <w:t xml:space="preserve"> variables that could contain information from after the time transfer decisions were made.</w:t>
      </w:r>
    </w:p>
    <w:p w:rsidR="006574FF" w:rsidRPr="00C806D0" w:rsidRDefault="006574FF" w:rsidP="006574FF">
      <w:pPr>
        <w:rPr>
          <w:rFonts w:ascii="Calibri" w:hAnsi="Calibri"/>
        </w:rPr>
      </w:pPr>
    </w:p>
    <w:p w:rsidR="00B639E0" w:rsidRPr="00C806D0" w:rsidRDefault="006574FF" w:rsidP="006574FF">
      <w:pPr>
        <w:rPr>
          <w:rFonts w:ascii="Calibri" w:hAnsi="Calibri"/>
        </w:rPr>
      </w:pPr>
      <w:r w:rsidRPr="00C806D0">
        <w:rPr>
          <w:rFonts w:ascii="Calibri" w:hAnsi="Calibri"/>
        </w:rPr>
        <w:t xml:space="preserve">A pre-specified subgroup analysis examined if the effect of transfer time on mortality varied with the presence of a major extracranial injury. Major </w:t>
      </w:r>
      <w:r w:rsidR="002A16B4" w:rsidRPr="00C806D0">
        <w:rPr>
          <w:rFonts w:ascii="Calibri" w:hAnsi="Calibri"/>
        </w:rPr>
        <w:t>extracranial</w:t>
      </w:r>
      <w:r w:rsidRPr="00C806D0">
        <w:rPr>
          <w:rFonts w:ascii="Calibri" w:hAnsi="Calibri"/>
        </w:rPr>
        <w:t xml:space="preserve"> injury was defined as any non-cranial AIS code ≥3. </w:t>
      </w:r>
      <w:r w:rsidR="00B639E0" w:rsidRPr="00C806D0">
        <w:rPr>
          <w:rFonts w:ascii="Calibri" w:hAnsi="Calibri"/>
        </w:rPr>
        <w:t>The relationship between time to arrival at a specialist centre and mortality was also separately investigated for patients undergoing emergency craniotomy for a focal intracranial lesion</w:t>
      </w:r>
      <w:r w:rsidR="00FA15FE" w:rsidRPr="00C806D0">
        <w:rPr>
          <w:rFonts w:ascii="Calibri" w:hAnsi="Calibri"/>
        </w:rPr>
        <w:t xml:space="preserve">, defined as Marshall score of 6 </w:t>
      </w:r>
      <w:r w:rsidR="005A7243" w:rsidRPr="00C806D0">
        <w:rPr>
          <w:rFonts w:ascii="Calibri" w:hAnsi="Calibri"/>
        </w:rPr>
        <w:t xml:space="preserve">with an extradural or subdural haematoma </w:t>
      </w:r>
      <w:r w:rsidR="00FA15FE" w:rsidRPr="00C806D0">
        <w:rPr>
          <w:rFonts w:ascii="Calibri" w:hAnsi="Calibri"/>
        </w:rPr>
        <w:t>(high or mixed density lesion on head CT of &gt;25cm</w:t>
      </w:r>
      <w:r w:rsidR="00FA15FE" w:rsidRPr="00C806D0">
        <w:rPr>
          <w:rFonts w:ascii="Calibri" w:hAnsi="Calibri"/>
          <w:vertAlign w:val="superscript"/>
        </w:rPr>
        <w:t>3</w:t>
      </w:r>
      <w:r w:rsidR="00FA15FE" w:rsidRPr="00C806D0">
        <w:rPr>
          <w:rFonts w:ascii="Calibri" w:hAnsi="Calibri"/>
        </w:rPr>
        <w:t>)</w:t>
      </w:r>
      <w:r w:rsidR="00B639E0" w:rsidRPr="00C806D0">
        <w:rPr>
          <w:rFonts w:ascii="Calibri" w:hAnsi="Calibri"/>
        </w:rPr>
        <w:t xml:space="preserve">.  </w:t>
      </w:r>
      <w:r w:rsidR="00FA15FE" w:rsidRPr="00C806D0">
        <w:rPr>
          <w:rFonts w:ascii="Calibri" w:hAnsi="Calibri"/>
        </w:rPr>
        <w:t xml:space="preserve">These subgroups were of specific interest as: major-extracranial injury increases the risk of secondary brain injury, which could be exacerbated with prolonged transfer times; and expanding intracranial haematomas are considered to be ‘time critical’ injuries. </w:t>
      </w:r>
    </w:p>
    <w:p w:rsidR="006574FF" w:rsidRPr="00C806D0" w:rsidRDefault="006574FF" w:rsidP="006574FF">
      <w:pPr>
        <w:pStyle w:val="Heading2"/>
      </w:pPr>
      <w:r w:rsidRPr="00C806D0">
        <w:t>SUPPLEMENTARY results</w:t>
      </w:r>
    </w:p>
    <w:p w:rsidR="006574FF" w:rsidRPr="00C806D0" w:rsidRDefault="006574FF" w:rsidP="006574FF">
      <w:pPr>
        <w:pStyle w:val="Heading3"/>
        <w:spacing w:before="240"/>
      </w:pPr>
      <w:r w:rsidRPr="00C806D0">
        <w:t>Effect of EMS interval on mortality in significant TBI</w:t>
      </w:r>
    </w:p>
    <w:p w:rsidR="006574FF" w:rsidRPr="00C806D0" w:rsidRDefault="006574FF" w:rsidP="006574FF">
      <w:pPr>
        <w:pStyle w:val="Heading4"/>
      </w:pPr>
      <w:r w:rsidRPr="00C806D0">
        <w:t>Multivariable regression model development</w:t>
      </w:r>
    </w:p>
    <w:p w:rsidR="006574FF" w:rsidRPr="00C806D0" w:rsidRDefault="006574FF" w:rsidP="006574FF">
      <w:pPr>
        <w:rPr>
          <w:rFonts w:ascii="Calibri" w:hAnsi="Calibri"/>
        </w:rPr>
      </w:pPr>
      <w:r w:rsidRPr="00C806D0">
        <w:rPr>
          <w:rFonts w:ascii="Calibri" w:hAnsi="Calibri"/>
        </w:rPr>
        <w:t xml:space="preserve">No interactions were identified between EMS interval and potential confounding variables (age, ISS, prehospital </w:t>
      </w:r>
      <w:r w:rsidR="00D464A9" w:rsidRPr="00C806D0">
        <w:rPr>
          <w:rFonts w:ascii="Calibri" w:hAnsi="Calibri"/>
        </w:rPr>
        <w:t>SBP,</w:t>
      </w:r>
      <w:r w:rsidRPr="00C806D0">
        <w:rPr>
          <w:rFonts w:ascii="Calibri" w:hAnsi="Calibri"/>
        </w:rPr>
        <w:t xml:space="preserve"> prehospital hypoxi</w:t>
      </w:r>
      <w:r w:rsidR="00D464A9" w:rsidRPr="00C806D0">
        <w:rPr>
          <w:rFonts w:ascii="Calibri" w:hAnsi="Calibri"/>
        </w:rPr>
        <w:t>a, prehospital GCS)</w:t>
      </w:r>
      <w:r w:rsidRPr="00C806D0">
        <w:rPr>
          <w:rFonts w:ascii="Calibri" w:hAnsi="Calibri"/>
        </w:rPr>
        <w:t xml:space="preserve"> demonstrated by a non-significant wald ‘chunk’ test, p=0.78. Removal of covariates from the fully specified model did not appreciably improve precision but did alter point estimates of odds ratios for EMS interval categories; although there were no changes in the statistical significance of any regression coefficients. All variables were therefore retained in a fully specified final model. </w:t>
      </w:r>
    </w:p>
    <w:p w:rsidR="006574FF" w:rsidRPr="00C806D0" w:rsidRDefault="006574FF" w:rsidP="006574FF">
      <w:pPr>
        <w:rPr>
          <w:rFonts w:ascii="Calibri" w:hAnsi="Calibri"/>
        </w:rPr>
      </w:pPr>
    </w:p>
    <w:p w:rsidR="006574FF" w:rsidRPr="00C806D0" w:rsidRDefault="006574FF" w:rsidP="006574FF">
      <w:pPr>
        <w:rPr>
          <w:rFonts w:ascii="Calibri" w:hAnsi="Calibri"/>
        </w:rPr>
      </w:pPr>
      <w:r w:rsidRPr="00C806D0">
        <w:rPr>
          <w:rFonts w:ascii="Calibri" w:hAnsi="Calibri"/>
        </w:rPr>
        <w:t>There was no evidence for a lack of model fit with the Hosmer-Lemeshow statistic not reaching statistical significance, p=1.0. Three outlying cases were identified with high Pregibon delta-beta’s over 0.2. All of these patients were transported to hospital within 20 minutes, of whom 2 died within 30 days. Examination of patient and injury characteristics revealed no concerns regarding the accuracy of data and no reasons for exclusion on the basis of generalisability of results. Collinearity was not a problem with tolerance values between 0.44 and 0.95 for EMS interval categories. The ratio of outcome events to independent variables was 20:1; well in excess of recommended levels. Bootstrapped coefficients did not vary to a meaningful degree suggesting that there were no concerns regarding model over-fitting.</w:t>
      </w:r>
    </w:p>
    <w:p w:rsidR="00BB34C8" w:rsidRPr="00C806D0" w:rsidRDefault="00BB34C8" w:rsidP="006574FF">
      <w:pPr>
        <w:rPr>
          <w:rFonts w:ascii="Calibri" w:hAnsi="Calibri"/>
        </w:rPr>
      </w:pPr>
    </w:p>
    <w:p w:rsidR="00BB34C8" w:rsidRPr="00C806D0" w:rsidRDefault="00BB34C8" w:rsidP="006574FF">
      <w:pPr>
        <w:rPr>
          <w:rFonts w:ascii="Calibri" w:hAnsi="Calibri"/>
        </w:rPr>
      </w:pPr>
    </w:p>
    <w:p w:rsidR="00BB34C8" w:rsidRPr="00C806D0" w:rsidRDefault="00BB34C8" w:rsidP="006574FF">
      <w:pPr>
        <w:rPr>
          <w:rFonts w:ascii="Calibri" w:hAnsi="Calibri"/>
        </w:rPr>
      </w:pPr>
    </w:p>
    <w:p w:rsidR="006574FF" w:rsidRPr="00C806D0" w:rsidRDefault="006574FF" w:rsidP="006574FF">
      <w:pPr>
        <w:pStyle w:val="Heading4"/>
      </w:pPr>
      <w:r w:rsidRPr="00C806D0">
        <w:lastRenderedPageBreak/>
        <w:t>Primary regression model odds ratios</w:t>
      </w:r>
    </w:p>
    <w:p w:rsidR="006574FF" w:rsidRPr="00C806D0" w:rsidRDefault="006574FF" w:rsidP="006574FF">
      <w:pPr>
        <w:rPr>
          <w:b/>
        </w:rPr>
      </w:pPr>
      <w:r w:rsidRPr="00C806D0">
        <w:rPr>
          <w:b/>
        </w:rPr>
        <w:t>Table D2. Odds ratios and 95% confidence intervals for covariates included in multivariable model examining the association between EMS interval and mortality in patients with significant TBI</w:t>
      </w:r>
    </w:p>
    <w:tbl>
      <w:tblPr>
        <w:tblStyle w:val="LightShading1"/>
        <w:tblW w:w="5000" w:type="pct"/>
        <w:tblLook w:val="0620" w:firstRow="1" w:lastRow="0" w:firstColumn="0" w:lastColumn="0" w:noHBand="1" w:noVBand="1"/>
      </w:tblPr>
      <w:tblGrid>
        <w:gridCol w:w="5080"/>
        <w:gridCol w:w="1821"/>
        <w:gridCol w:w="1819"/>
      </w:tblGrid>
      <w:tr w:rsidR="006574FF" w:rsidRPr="00C806D0" w:rsidTr="004442E4">
        <w:trPr>
          <w:cnfStyle w:val="100000000000" w:firstRow="1" w:lastRow="0" w:firstColumn="0" w:lastColumn="0" w:oddVBand="0" w:evenVBand="0" w:oddHBand="0" w:evenHBand="0" w:firstRowFirstColumn="0" w:firstRowLastColumn="0" w:lastRowFirstColumn="0" w:lastRowLastColumn="0"/>
        </w:trPr>
        <w:tc>
          <w:tcPr>
            <w:tcW w:w="2913" w:type="pct"/>
          </w:tcPr>
          <w:p w:rsidR="006574FF" w:rsidRPr="00C806D0" w:rsidRDefault="006574FF" w:rsidP="004442E4">
            <w:pPr>
              <w:rPr>
                <w:sz w:val="20"/>
                <w:szCs w:val="20"/>
              </w:rPr>
            </w:pPr>
            <w:r w:rsidRPr="00C806D0">
              <w:rPr>
                <w:sz w:val="20"/>
                <w:szCs w:val="20"/>
              </w:rPr>
              <w:t>Model variable</w:t>
            </w:r>
          </w:p>
        </w:tc>
        <w:tc>
          <w:tcPr>
            <w:tcW w:w="1044" w:type="pct"/>
          </w:tcPr>
          <w:p w:rsidR="006574FF" w:rsidRPr="00C806D0" w:rsidRDefault="006574FF" w:rsidP="004442E4">
            <w:pPr>
              <w:jc w:val="center"/>
              <w:rPr>
                <w:sz w:val="20"/>
                <w:szCs w:val="20"/>
              </w:rPr>
            </w:pPr>
            <w:r w:rsidRPr="00C806D0">
              <w:rPr>
                <w:sz w:val="20"/>
                <w:szCs w:val="20"/>
              </w:rPr>
              <w:t>Odds Ratio</w:t>
            </w:r>
          </w:p>
        </w:tc>
        <w:tc>
          <w:tcPr>
            <w:tcW w:w="1043" w:type="pct"/>
          </w:tcPr>
          <w:p w:rsidR="006574FF" w:rsidRPr="00C806D0" w:rsidRDefault="006574FF" w:rsidP="004442E4">
            <w:pPr>
              <w:jc w:val="center"/>
              <w:rPr>
                <w:sz w:val="20"/>
                <w:szCs w:val="20"/>
              </w:rPr>
            </w:pPr>
            <w:r w:rsidRPr="00C806D0">
              <w:rPr>
                <w:sz w:val="20"/>
                <w:szCs w:val="20"/>
              </w:rPr>
              <w:t>95% CI</w:t>
            </w:r>
          </w:p>
        </w:tc>
      </w:tr>
      <w:tr w:rsidR="006574FF" w:rsidRPr="00C806D0" w:rsidTr="004442E4">
        <w:tc>
          <w:tcPr>
            <w:tcW w:w="2913" w:type="pct"/>
          </w:tcPr>
          <w:p w:rsidR="006574FF" w:rsidRPr="00C806D0" w:rsidRDefault="006574FF" w:rsidP="004442E4">
            <w:pPr>
              <w:rPr>
                <w:sz w:val="20"/>
                <w:szCs w:val="20"/>
              </w:rPr>
            </w:pPr>
            <w:r w:rsidRPr="00C806D0">
              <w:rPr>
                <w:sz w:val="20"/>
                <w:szCs w:val="20"/>
              </w:rPr>
              <w:t>Number of Patients</w:t>
            </w:r>
          </w:p>
        </w:tc>
        <w:tc>
          <w:tcPr>
            <w:tcW w:w="1044" w:type="pct"/>
          </w:tcPr>
          <w:p w:rsidR="006574FF" w:rsidRPr="00C806D0" w:rsidRDefault="006574FF" w:rsidP="004442E4">
            <w:pPr>
              <w:jc w:val="center"/>
              <w:rPr>
                <w:sz w:val="20"/>
                <w:szCs w:val="20"/>
              </w:rPr>
            </w:pPr>
            <w:r w:rsidRPr="00C806D0">
              <w:rPr>
                <w:sz w:val="20"/>
                <w:szCs w:val="20"/>
              </w:rPr>
              <w:t>2,804</w:t>
            </w:r>
          </w:p>
        </w:tc>
        <w:tc>
          <w:tcPr>
            <w:tcW w:w="1043" w:type="pct"/>
          </w:tcPr>
          <w:p w:rsidR="006574FF" w:rsidRPr="00C806D0" w:rsidRDefault="006574FF" w:rsidP="004442E4">
            <w:pPr>
              <w:jc w:val="center"/>
              <w:rPr>
                <w:sz w:val="20"/>
                <w:szCs w:val="20"/>
              </w:rPr>
            </w:pPr>
          </w:p>
        </w:tc>
      </w:tr>
      <w:tr w:rsidR="006574FF" w:rsidRPr="00C806D0" w:rsidTr="004442E4">
        <w:tc>
          <w:tcPr>
            <w:tcW w:w="2913" w:type="pct"/>
          </w:tcPr>
          <w:p w:rsidR="006574FF" w:rsidRPr="00C806D0" w:rsidRDefault="006574FF" w:rsidP="004442E4">
            <w:pPr>
              <w:rPr>
                <w:sz w:val="20"/>
                <w:szCs w:val="20"/>
              </w:rPr>
            </w:pPr>
            <w:r w:rsidRPr="00C806D0">
              <w:rPr>
                <w:sz w:val="20"/>
                <w:szCs w:val="20"/>
              </w:rPr>
              <w:t>EMS interval &lt;20 minutes</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0.60</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0.08-4.47</w:t>
            </w:r>
          </w:p>
        </w:tc>
      </w:tr>
      <w:tr w:rsidR="006574FF" w:rsidRPr="00C806D0" w:rsidTr="004442E4">
        <w:tc>
          <w:tcPr>
            <w:tcW w:w="2913" w:type="pct"/>
          </w:tcPr>
          <w:p w:rsidR="006574FF" w:rsidRPr="00C806D0" w:rsidRDefault="006574FF" w:rsidP="004442E4">
            <w:pPr>
              <w:rPr>
                <w:sz w:val="20"/>
                <w:szCs w:val="20"/>
              </w:rPr>
            </w:pPr>
            <w:r w:rsidRPr="00C806D0">
              <w:rPr>
                <w:sz w:val="20"/>
                <w:szCs w:val="20"/>
              </w:rPr>
              <w:t>EMS interval 20-40 minutes</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0.92</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0.61-1.37</w:t>
            </w:r>
          </w:p>
        </w:tc>
      </w:tr>
      <w:tr w:rsidR="006574FF" w:rsidRPr="00C806D0" w:rsidTr="004442E4">
        <w:tc>
          <w:tcPr>
            <w:tcW w:w="2913" w:type="pct"/>
          </w:tcPr>
          <w:p w:rsidR="006574FF" w:rsidRPr="00C806D0" w:rsidRDefault="006574FF" w:rsidP="004442E4">
            <w:pPr>
              <w:rPr>
                <w:sz w:val="20"/>
                <w:szCs w:val="20"/>
              </w:rPr>
            </w:pPr>
            <w:r w:rsidRPr="00C806D0">
              <w:rPr>
                <w:sz w:val="20"/>
                <w:szCs w:val="20"/>
              </w:rPr>
              <w:t>EMS interval 40-60 minutes</w:t>
            </w:r>
          </w:p>
        </w:tc>
        <w:tc>
          <w:tcPr>
            <w:tcW w:w="1044" w:type="pct"/>
          </w:tcPr>
          <w:p w:rsidR="006574FF" w:rsidRPr="00C806D0" w:rsidRDefault="006574FF" w:rsidP="004442E4">
            <w:pPr>
              <w:jc w:val="center"/>
              <w:rPr>
                <w:sz w:val="20"/>
                <w:szCs w:val="20"/>
              </w:rPr>
            </w:pPr>
            <w:r w:rsidRPr="00C806D0">
              <w:rPr>
                <w:sz w:val="20"/>
                <w:szCs w:val="20"/>
              </w:rPr>
              <w:t>Reference: 1.0</w:t>
            </w:r>
          </w:p>
        </w:tc>
        <w:tc>
          <w:tcPr>
            <w:tcW w:w="1043" w:type="pct"/>
          </w:tcPr>
          <w:p w:rsidR="006574FF" w:rsidRPr="00C806D0" w:rsidRDefault="006574FF" w:rsidP="004442E4">
            <w:pPr>
              <w:jc w:val="center"/>
              <w:rPr>
                <w:sz w:val="20"/>
                <w:szCs w:val="20"/>
              </w:rPr>
            </w:pPr>
            <w:r w:rsidRPr="00C806D0">
              <w:rPr>
                <w:sz w:val="20"/>
                <w:szCs w:val="20"/>
              </w:rPr>
              <w:t>-</w:t>
            </w:r>
          </w:p>
        </w:tc>
      </w:tr>
      <w:tr w:rsidR="006574FF" w:rsidRPr="00C806D0" w:rsidTr="004442E4">
        <w:tc>
          <w:tcPr>
            <w:tcW w:w="2913" w:type="pct"/>
          </w:tcPr>
          <w:p w:rsidR="006574FF" w:rsidRPr="00C806D0" w:rsidRDefault="006574FF" w:rsidP="004442E4">
            <w:pPr>
              <w:rPr>
                <w:sz w:val="20"/>
                <w:szCs w:val="20"/>
              </w:rPr>
            </w:pPr>
            <w:r w:rsidRPr="00C806D0">
              <w:rPr>
                <w:sz w:val="20"/>
                <w:szCs w:val="20"/>
              </w:rPr>
              <w:t>EMS interval 60-80 minutes</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0.75</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0.54-1.04</w:t>
            </w:r>
          </w:p>
        </w:tc>
      </w:tr>
      <w:tr w:rsidR="006574FF" w:rsidRPr="00C806D0" w:rsidTr="004442E4">
        <w:tc>
          <w:tcPr>
            <w:tcW w:w="2913" w:type="pct"/>
          </w:tcPr>
          <w:p w:rsidR="006574FF" w:rsidRPr="00C806D0" w:rsidRDefault="006574FF" w:rsidP="004442E4">
            <w:pPr>
              <w:rPr>
                <w:sz w:val="20"/>
                <w:szCs w:val="20"/>
              </w:rPr>
            </w:pPr>
            <w:r w:rsidRPr="00C806D0">
              <w:rPr>
                <w:sz w:val="20"/>
                <w:szCs w:val="20"/>
              </w:rPr>
              <w:t>EMS interval 80-100 minutes</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0.88</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0.54-1.46</w:t>
            </w:r>
          </w:p>
        </w:tc>
      </w:tr>
      <w:tr w:rsidR="006574FF" w:rsidRPr="00C806D0" w:rsidTr="004442E4">
        <w:tc>
          <w:tcPr>
            <w:tcW w:w="2913" w:type="pct"/>
          </w:tcPr>
          <w:p w:rsidR="006574FF" w:rsidRPr="00C806D0" w:rsidRDefault="006574FF" w:rsidP="004442E4">
            <w:pPr>
              <w:rPr>
                <w:sz w:val="20"/>
                <w:szCs w:val="20"/>
              </w:rPr>
            </w:pPr>
            <w:r w:rsidRPr="00C806D0">
              <w:rPr>
                <w:sz w:val="20"/>
                <w:szCs w:val="20"/>
              </w:rPr>
              <w:t>EMS interval 100-120 minutes</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0.60</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0.37-0.98</w:t>
            </w:r>
          </w:p>
        </w:tc>
      </w:tr>
      <w:tr w:rsidR="006574FF" w:rsidRPr="00C806D0" w:rsidTr="004442E4">
        <w:tc>
          <w:tcPr>
            <w:tcW w:w="2913" w:type="pct"/>
          </w:tcPr>
          <w:p w:rsidR="006574FF" w:rsidRPr="00C806D0" w:rsidRDefault="006574FF" w:rsidP="004442E4">
            <w:pPr>
              <w:rPr>
                <w:sz w:val="20"/>
                <w:szCs w:val="20"/>
              </w:rPr>
            </w:pPr>
            <w:r w:rsidRPr="00C806D0">
              <w:rPr>
                <w:sz w:val="20"/>
                <w:szCs w:val="20"/>
              </w:rPr>
              <w:t>EMS interval &gt;120 minutes</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0.66</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0.39-1.1</w:t>
            </w:r>
          </w:p>
        </w:tc>
      </w:tr>
      <w:tr w:rsidR="006574FF" w:rsidRPr="00C806D0" w:rsidTr="004442E4">
        <w:tc>
          <w:tcPr>
            <w:tcW w:w="2913" w:type="pct"/>
          </w:tcPr>
          <w:p w:rsidR="006574FF" w:rsidRPr="00C806D0" w:rsidRDefault="006574FF" w:rsidP="004442E4">
            <w:pPr>
              <w:rPr>
                <w:rFonts w:ascii="Calibri" w:hAnsi="Calibri"/>
                <w:sz w:val="20"/>
                <w:szCs w:val="20"/>
              </w:rPr>
            </w:pPr>
            <w:r w:rsidRPr="00C806D0">
              <w:rPr>
                <w:rFonts w:ascii="Calibri" w:hAnsi="Calibri"/>
                <w:sz w:val="20"/>
                <w:szCs w:val="20"/>
              </w:rPr>
              <w:t>Prehospital SBP FP 1</w:t>
            </w:r>
            <w:r w:rsidRPr="00C806D0">
              <w:rPr>
                <w:rFonts w:ascii="Calibri" w:hAnsi="Calibri"/>
                <w:sz w:val="20"/>
                <w:szCs w:val="20"/>
                <w:vertAlign w:val="superscript"/>
              </w:rPr>
              <w:t>st</w:t>
            </w:r>
            <w:r w:rsidRPr="00C806D0">
              <w:rPr>
                <w:rFonts w:ascii="Calibri" w:hAnsi="Calibri"/>
                <w:sz w:val="20"/>
                <w:szCs w:val="20"/>
              </w:rPr>
              <w:t xml:space="preserve"> term (</w:t>
            </w:r>
            <m:oMath>
              <m:r>
                <w:rPr>
                  <w:rFonts w:ascii="Cambria Math" w:hAnsi="Cambria Math"/>
                  <w:sz w:val="20"/>
                  <w:szCs w:val="20"/>
                </w:rPr>
                <m:t>x</m:t>
              </m:r>
              <m:r>
                <w:rPr>
                  <w:rFonts w:ascii="Calibri" w:hAnsi="Calibri"/>
                  <w:sz w:val="20"/>
                  <w:szCs w:val="20"/>
                </w:rPr>
                <m:t>-</m:t>
              </m:r>
              <m:r>
                <w:rPr>
                  <w:rFonts w:ascii="Cambria Math" w:hAnsi="Calibri"/>
                  <w:sz w:val="20"/>
                  <w:szCs w:val="20"/>
                </w:rPr>
                <m:t>1.37</m:t>
              </m:r>
            </m:oMath>
            <w:r w:rsidRPr="00C806D0">
              <w:rPr>
                <w:rFonts w:ascii="Calibri" w:eastAsiaTheme="minorEastAsia" w:hAnsi="Calibri"/>
                <w:sz w:val="20"/>
                <w:szCs w:val="20"/>
              </w:rPr>
              <w:t>)</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0.23</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0.06-0.91</w:t>
            </w:r>
          </w:p>
        </w:tc>
      </w:tr>
      <w:tr w:rsidR="006574FF" w:rsidRPr="00C806D0" w:rsidTr="004442E4">
        <w:tc>
          <w:tcPr>
            <w:tcW w:w="2913" w:type="pct"/>
          </w:tcPr>
          <w:p w:rsidR="006574FF" w:rsidRPr="00C806D0" w:rsidRDefault="006574FF" w:rsidP="004442E4">
            <w:pPr>
              <w:rPr>
                <w:rFonts w:ascii="Calibri" w:hAnsi="Calibri"/>
                <w:sz w:val="20"/>
                <w:szCs w:val="20"/>
              </w:rPr>
            </w:pPr>
            <w:r w:rsidRPr="00C806D0">
              <w:rPr>
                <w:rFonts w:ascii="Calibri" w:hAnsi="Calibri"/>
                <w:sz w:val="20"/>
                <w:szCs w:val="20"/>
              </w:rPr>
              <w:t>Prehospital SBP FP 2</w:t>
            </w:r>
            <w:r w:rsidRPr="00C806D0">
              <w:rPr>
                <w:rFonts w:ascii="Calibri" w:hAnsi="Calibri"/>
                <w:sz w:val="20"/>
                <w:szCs w:val="20"/>
                <w:vertAlign w:val="superscript"/>
              </w:rPr>
              <w:t xml:space="preserve">nd </w:t>
            </w:r>
            <w:r w:rsidRPr="00C806D0">
              <w:rPr>
                <w:rFonts w:ascii="Calibri" w:hAnsi="Calibri"/>
                <w:sz w:val="20"/>
                <w:szCs w:val="20"/>
              </w:rPr>
              <w:t>term (</w:t>
            </w:r>
            <m:oMath>
              <m:sSup>
                <m:sSupPr>
                  <m:ctrlPr>
                    <w:rPr>
                      <w:rFonts w:ascii="Cambria Math" w:hAnsi="Calibri"/>
                      <w:i/>
                      <w:sz w:val="20"/>
                      <w:szCs w:val="20"/>
                    </w:rPr>
                  </m:ctrlPr>
                </m:sSupPr>
                <m:e>
                  <m:r>
                    <w:rPr>
                      <w:rFonts w:ascii="Cambria Math" w:hAnsi="Cambria Math"/>
                      <w:sz w:val="20"/>
                      <w:szCs w:val="20"/>
                    </w:rPr>
                    <m:t>x</m:t>
                  </m:r>
                </m:e>
                <m:sup>
                  <m:r>
                    <w:rPr>
                      <w:rFonts w:ascii="Cambria Math" w:hAnsi="Calibri"/>
                      <w:sz w:val="20"/>
                      <w:szCs w:val="20"/>
                    </w:rPr>
                    <m:t>2</m:t>
                  </m:r>
                </m:sup>
              </m:sSup>
              <m:r>
                <w:rPr>
                  <w:rFonts w:ascii="Calibri" w:hAnsi="Calibri"/>
                  <w:sz w:val="20"/>
                  <w:szCs w:val="20"/>
                </w:rPr>
                <m:t>-</m:t>
              </m:r>
              <m:r>
                <w:rPr>
                  <w:rFonts w:ascii="Cambria Math" w:hAnsi="Calibri"/>
                  <w:sz w:val="20"/>
                  <w:szCs w:val="20"/>
                </w:rPr>
                <m:t xml:space="preserve"> 1.87)</m:t>
              </m:r>
            </m:oMath>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2.06</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1.29-3.28</w:t>
            </w:r>
          </w:p>
        </w:tc>
      </w:tr>
      <w:tr w:rsidR="006574FF" w:rsidRPr="00C806D0" w:rsidTr="004442E4">
        <w:tc>
          <w:tcPr>
            <w:tcW w:w="2913" w:type="pct"/>
          </w:tcPr>
          <w:p w:rsidR="006574FF" w:rsidRPr="00C806D0" w:rsidRDefault="006574FF" w:rsidP="004442E4">
            <w:pPr>
              <w:rPr>
                <w:sz w:val="20"/>
                <w:szCs w:val="20"/>
              </w:rPr>
            </w:pPr>
            <w:r w:rsidRPr="00C806D0">
              <w:rPr>
                <w:sz w:val="20"/>
                <w:szCs w:val="20"/>
              </w:rPr>
              <w:t>Age</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1.04</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1.03-1.05</w:t>
            </w:r>
          </w:p>
        </w:tc>
      </w:tr>
      <w:tr w:rsidR="006574FF" w:rsidRPr="00C806D0" w:rsidTr="004442E4">
        <w:tc>
          <w:tcPr>
            <w:tcW w:w="2913" w:type="pct"/>
          </w:tcPr>
          <w:p w:rsidR="006574FF" w:rsidRPr="00C806D0" w:rsidRDefault="006574FF" w:rsidP="004442E4">
            <w:pPr>
              <w:rPr>
                <w:sz w:val="20"/>
                <w:szCs w:val="20"/>
              </w:rPr>
            </w:pPr>
            <w:r w:rsidRPr="00C806D0">
              <w:rPr>
                <w:sz w:val="20"/>
                <w:szCs w:val="20"/>
              </w:rPr>
              <w:t>ISS</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1.07</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1.06-1.08</w:t>
            </w:r>
          </w:p>
        </w:tc>
      </w:tr>
      <w:tr w:rsidR="006574FF" w:rsidRPr="00C806D0" w:rsidTr="004442E4">
        <w:tc>
          <w:tcPr>
            <w:tcW w:w="2913" w:type="pct"/>
          </w:tcPr>
          <w:p w:rsidR="006574FF" w:rsidRPr="00C806D0" w:rsidRDefault="006574FF" w:rsidP="004442E4">
            <w:pPr>
              <w:rPr>
                <w:sz w:val="20"/>
                <w:szCs w:val="20"/>
              </w:rPr>
            </w:pPr>
            <w:r w:rsidRPr="00C806D0">
              <w:rPr>
                <w:sz w:val="20"/>
                <w:szCs w:val="20"/>
              </w:rPr>
              <w:t xml:space="preserve">Prehospital hypoxia </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2.31</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1.62-3.3</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3</w:t>
            </w:r>
          </w:p>
        </w:tc>
        <w:tc>
          <w:tcPr>
            <w:tcW w:w="1044" w:type="pct"/>
          </w:tcPr>
          <w:p w:rsidR="006574FF" w:rsidRPr="00C806D0" w:rsidRDefault="006574FF" w:rsidP="004442E4">
            <w:pPr>
              <w:jc w:val="center"/>
              <w:rPr>
                <w:sz w:val="20"/>
                <w:szCs w:val="20"/>
              </w:rPr>
            </w:pPr>
            <w:r w:rsidRPr="00C806D0">
              <w:rPr>
                <w:sz w:val="20"/>
                <w:szCs w:val="20"/>
              </w:rPr>
              <w:t>Reference: 1.0</w:t>
            </w:r>
          </w:p>
        </w:tc>
        <w:tc>
          <w:tcPr>
            <w:tcW w:w="1043" w:type="pct"/>
          </w:tcPr>
          <w:p w:rsidR="006574FF" w:rsidRPr="00C806D0" w:rsidRDefault="006574FF" w:rsidP="004442E4">
            <w:pPr>
              <w:jc w:val="center"/>
              <w:rPr>
                <w:sz w:val="20"/>
                <w:szCs w:val="20"/>
              </w:rPr>
            </w:pPr>
            <w:r w:rsidRPr="00C806D0">
              <w:rPr>
                <w:sz w:val="20"/>
                <w:szCs w:val="20"/>
              </w:rPr>
              <w:t>-</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4</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1.08</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0.68-1.74</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5</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0.64</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0.38-1.09</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GCS6</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0.56</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0.36-0.9</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GCS7</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0.33</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0.15-0.72</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8</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0.09</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0.05-0.16</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9</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0.09</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0.05-0.18</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10</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0.14</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0.07-0.26</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11</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0.20</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0.11-0.36</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12</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0.12</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0.06-0.23</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13</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0.13</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0.08-0.23</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14</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0.08</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0.04-0.14</w:t>
            </w:r>
          </w:p>
        </w:tc>
      </w:tr>
      <w:tr w:rsidR="006574FF" w:rsidRPr="00C806D0" w:rsidTr="004442E4">
        <w:tc>
          <w:tcPr>
            <w:tcW w:w="2913" w:type="pct"/>
          </w:tcPr>
          <w:p w:rsidR="006574FF" w:rsidRPr="00C806D0" w:rsidRDefault="006574FF" w:rsidP="004442E4">
            <w:pPr>
              <w:rPr>
                <w:sz w:val="20"/>
                <w:szCs w:val="20"/>
              </w:rPr>
            </w:pPr>
            <w:r w:rsidRPr="00C806D0">
              <w:rPr>
                <w:sz w:val="20"/>
                <w:szCs w:val="20"/>
              </w:rPr>
              <w:t>GCS 15</w:t>
            </w:r>
          </w:p>
        </w:tc>
        <w:tc>
          <w:tcPr>
            <w:tcW w:w="1044"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0.08</w:t>
            </w:r>
          </w:p>
        </w:tc>
        <w:tc>
          <w:tcPr>
            <w:tcW w:w="1043" w:type="pct"/>
          </w:tcPr>
          <w:p w:rsidR="006574FF" w:rsidRPr="00C806D0" w:rsidRDefault="006574FF" w:rsidP="004442E4">
            <w:pPr>
              <w:jc w:val="center"/>
              <w:rPr>
                <w:rFonts w:ascii="Calibri" w:hAnsi="Calibri"/>
                <w:color w:val="000000"/>
                <w:sz w:val="20"/>
                <w:szCs w:val="20"/>
              </w:rPr>
            </w:pPr>
            <w:r w:rsidRPr="00C806D0">
              <w:rPr>
                <w:rFonts w:ascii="Calibri" w:hAnsi="Calibri"/>
                <w:color w:val="000000"/>
                <w:sz w:val="20"/>
                <w:szCs w:val="20"/>
              </w:rPr>
              <w:t>0.05-0.12</w:t>
            </w:r>
          </w:p>
        </w:tc>
      </w:tr>
    </w:tbl>
    <w:p w:rsidR="006574FF" w:rsidRPr="00C806D0" w:rsidRDefault="003B086D" w:rsidP="006574FF">
      <w:r w:rsidRPr="00C806D0">
        <w:rPr>
          <w:rFonts w:ascii="Calibri" w:hAnsi="Calibri"/>
          <w:sz w:val="20"/>
          <w:szCs w:val="20"/>
        </w:rPr>
        <w:t>FP: Fractional polynomial</w:t>
      </w:r>
    </w:p>
    <w:p w:rsidR="006574FF" w:rsidRPr="00C806D0" w:rsidRDefault="00D464A9" w:rsidP="006574FF">
      <w:pPr>
        <w:pStyle w:val="Heading4"/>
      </w:pPr>
      <w:r w:rsidRPr="00C806D0">
        <w:t>Secondary analyse</w:t>
      </w:r>
      <w:r w:rsidR="006574FF" w:rsidRPr="00C806D0">
        <w:t>s results</w:t>
      </w:r>
    </w:p>
    <w:p w:rsidR="006574FF" w:rsidRPr="00C806D0" w:rsidRDefault="006574FF" w:rsidP="006574FF">
      <w:r w:rsidRPr="00C806D0">
        <w:t xml:space="preserve">There was a notable proportion of missing data for important study variables, ranging from 0% for age and ISS to 45.1% for </w:t>
      </w:r>
      <w:r w:rsidR="002A16B4" w:rsidRPr="00C806D0">
        <w:t>prehospital</w:t>
      </w:r>
      <w:r w:rsidRPr="00C806D0">
        <w:t xml:space="preserve"> oxygen saturations (Table D3).  Case-wise missingness for variables included in the multivariable regression modelling varied from 39.2% of cases </w:t>
      </w:r>
      <w:r w:rsidRPr="00C806D0">
        <w:lastRenderedPageBreak/>
        <w:t>having no missing data on any variable to 1.1% of cases missing data on all five included covariates (Table D4).</w:t>
      </w:r>
    </w:p>
    <w:p w:rsidR="006574FF" w:rsidRPr="00C806D0" w:rsidRDefault="006574FF" w:rsidP="006574FF"/>
    <w:p w:rsidR="006574FF" w:rsidRPr="00C806D0" w:rsidRDefault="006574FF" w:rsidP="006574FF">
      <w:r w:rsidRPr="00C806D0">
        <w:t xml:space="preserve">Patients excluded from the multivariable regression analysis due to missing data had broadly similar characteristics to included patients, but several variables showed clinically and statistically significant differences. In particular, patients with missing data were slightly younger (median age 44.9 v 47.5 years, p&lt;0.01), were more likely to be male (74.2% v 70.1%, p&lt;0.01), had a lower proportion of hypotension (1.9% v 3.1%, p&lt;0.01), and had lower GCS (median GCS 10 v 13, p&lt;0.01). There was also a statistically significant lower median duration of EMS interval, but this appeared to be of dubious clinical importance (median EMS interval 57 v 62 minutes). Other variables did not differ to a statistically significant extent. Patient characteristics between included and excluded patients are summarised in Table D5. </w:t>
      </w:r>
    </w:p>
    <w:p w:rsidR="003B086D" w:rsidRPr="00C806D0" w:rsidRDefault="003B086D" w:rsidP="006574FF">
      <w:pPr>
        <w:rPr>
          <w:b/>
        </w:rPr>
      </w:pPr>
    </w:p>
    <w:p w:rsidR="006574FF" w:rsidRPr="00C806D0" w:rsidRDefault="006574FF" w:rsidP="006574FF">
      <w:pPr>
        <w:rPr>
          <w:b/>
        </w:rPr>
      </w:pPr>
      <w:r w:rsidRPr="00C806D0">
        <w:rPr>
          <w:b/>
        </w:rPr>
        <w:t>Table D3. Rates of missing data for important variables in patients directly admitted to SNCs by EMS.</w:t>
      </w:r>
    </w:p>
    <w:tbl>
      <w:tblPr>
        <w:tblW w:w="3545" w:type="pct"/>
        <w:jc w:val="center"/>
        <w:tblCellMar>
          <w:left w:w="0" w:type="dxa"/>
          <w:right w:w="0" w:type="dxa"/>
        </w:tblCellMar>
        <w:tblLook w:val="00A0" w:firstRow="1" w:lastRow="0" w:firstColumn="1" w:lastColumn="0" w:noHBand="0" w:noVBand="0"/>
      </w:tblPr>
      <w:tblGrid>
        <w:gridCol w:w="3549"/>
        <w:gridCol w:w="2582"/>
      </w:tblGrid>
      <w:tr w:rsidR="006574FF" w:rsidRPr="00C806D0" w:rsidTr="004442E4">
        <w:trPr>
          <w:trHeight w:val="398"/>
          <w:jc w:val="center"/>
        </w:trPr>
        <w:tc>
          <w:tcPr>
            <w:tcW w:w="2894" w:type="pct"/>
            <w:tcBorders>
              <w:top w:val="single" w:sz="4" w:space="0" w:color="auto"/>
              <w:bottom w:val="single" w:sz="8" w:space="0" w:color="000000"/>
            </w:tcBorders>
            <w:tcMar>
              <w:top w:w="72" w:type="dxa"/>
              <w:left w:w="144" w:type="dxa"/>
              <w:bottom w:w="72" w:type="dxa"/>
              <w:right w:w="144" w:type="dxa"/>
            </w:tcMar>
          </w:tcPr>
          <w:p w:rsidR="006574FF" w:rsidRPr="00C806D0" w:rsidRDefault="006574FF" w:rsidP="004442E4">
            <w:pPr>
              <w:spacing w:line="240" w:lineRule="auto"/>
              <w:rPr>
                <w:b/>
              </w:rPr>
            </w:pPr>
            <w:r w:rsidRPr="00C806D0">
              <w:rPr>
                <w:b/>
              </w:rPr>
              <w:t>Patient characteristic</w:t>
            </w:r>
          </w:p>
        </w:tc>
        <w:tc>
          <w:tcPr>
            <w:tcW w:w="2106" w:type="pct"/>
            <w:tcBorders>
              <w:top w:val="single" w:sz="4" w:space="0" w:color="auto"/>
              <w:left w:val="nil"/>
              <w:bottom w:val="single" w:sz="8" w:space="0" w:color="000000"/>
            </w:tcBorders>
          </w:tcPr>
          <w:p w:rsidR="006574FF" w:rsidRPr="00C806D0" w:rsidRDefault="006574FF" w:rsidP="004442E4">
            <w:pPr>
              <w:spacing w:line="240" w:lineRule="auto"/>
              <w:jc w:val="center"/>
              <w:rPr>
                <w:b/>
              </w:rPr>
            </w:pPr>
            <w:r w:rsidRPr="00C806D0">
              <w:rPr>
                <w:b/>
              </w:rPr>
              <w:t>Data incompleteness</w:t>
            </w:r>
            <w:r w:rsidR="00D464A9" w:rsidRPr="00C806D0">
              <w:rPr>
                <w:b/>
              </w:rPr>
              <w:t>*</w:t>
            </w:r>
          </w:p>
          <w:p w:rsidR="006574FF" w:rsidRPr="00C806D0" w:rsidRDefault="006574FF" w:rsidP="004442E4">
            <w:pPr>
              <w:spacing w:line="240" w:lineRule="auto"/>
              <w:jc w:val="center"/>
              <w:rPr>
                <w:b/>
              </w:rPr>
            </w:pPr>
            <w:r w:rsidRPr="00C806D0">
              <w:rPr>
                <w:b/>
              </w:rPr>
              <w:t>(cases with missing data, %)</w:t>
            </w:r>
          </w:p>
        </w:tc>
      </w:tr>
      <w:tr w:rsidR="006574FF" w:rsidRPr="00C806D0" w:rsidTr="004442E4">
        <w:trPr>
          <w:trHeight w:val="236"/>
          <w:jc w:val="center"/>
        </w:trPr>
        <w:tc>
          <w:tcPr>
            <w:tcW w:w="2894" w:type="pct"/>
            <w:tcMar>
              <w:top w:w="72" w:type="dxa"/>
              <w:left w:w="144" w:type="dxa"/>
              <w:bottom w:w="72" w:type="dxa"/>
              <w:right w:w="144" w:type="dxa"/>
            </w:tcMar>
          </w:tcPr>
          <w:p w:rsidR="006574FF" w:rsidRPr="00C806D0" w:rsidRDefault="006574FF" w:rsidP="004442E4">
            <w:pPr>
              <w:spacing w:line="240" w:lineRule="auto"/>
            </w:pPr>
            <w:r w:rsidRPr="00C806D0">
              <w:t xml:space="preserve">Age </w:t>
            </w:r>
          </w:p>
        </w:tc>
        <w:tc>
          <w:tcPr>
            <w:tcW w:w="2106" w:type="pct"/>
            <w:tcBorders>
              <w:left w:val="nil"/>
            </w:tcBorders>
          </w:tcPr>
          <w:p w:rsidR="006574FF" w:rsidRPr="00C806D0" w:rsidRDefault="006574FF" w:rsidP="004442E4">
            <w:pPr>
              <w:spacing w:line="240" w:lineRule="auto"/>
              <w:jc w:val="center"/>
            </w:pPr>
            <w:r w:rsidRPr="00C806D0">
              <w:t>0 (0%)</w:t>
            </w:r>
          </w:p>
        </w:tc>
      </w:tr>
      <w:tr w:rsidR="006574FF" w:rsidRPr="00C806D0" w:rsidTr="004442E4">
        <w:trPr>
          <w:trHeight w:val="233"/>
          <w:jc w:val="center"/>
        </w:trPr>
        <w:tc>
          <w:tcPr>
            <w:tcW w:w="2894" w:type="pct"/>
            <w:tcMar>
              <w:top w:w="72" w:type="dxa"/>
              <w:left w:w="144" w:type="dxa"/>
              <w:bottom w:w="72" w:type="dxa"/>
              <w:right w:w="144" w:type="dxa"/>
            </w:tcMar>
          </w:tcPr>
          <w:p w:rsidR="006574FF" w:rsidRPr="00C806D0" w:rsidRDefault="006574FF" w:rsidP="004442E4">
            <w:pPr>
              <w:spacing w:line="240" w:lineRule="auto"/>
            </w:pPr>
            <w:r w:rsidRPr="00C806D0">
              <w:t xml:space="preserve">Prehospital GCS </w:t>
            </w:r>
          </w:p>
        </w:tc>
        <w:tc>
          <w:tcPr>
            <w:tcW w:w="2106" w:type="pct"/>
            <w:tcBorders>
              <w:left w:val="nil"/>
            </w:tcBorders>
            <w:vAlign w:val="bottom"/>
          </w:tcPr>
          <w:p w:rsidR="006574FF" w:rsidRPr="00C806D0" w:rsidRDefault="006574FF" w:rsidP="004442E4">
            <w:pPr>
              <w:spacing w:line="240" w:lineRule="auto"/>
              <w:jc w:val="center"/>
              <w:rPr>
                <w:color w:val="000000"/>
              </w:rPr>
            </w:pPr>
            <w:r w:rsidRPr="00C806D0">
              <w:rPr>
                <w:color w:val="000000"/>
              </w:rPr>
              <w:t>2,333 (33%)</w:t>
            </w:r>
          </w:p>
        </w:tc>
      </w:tr>
      <w:tr w:rsidR="006574FF" w:rsidRPr="00C806D0" w:rsidTr="004442E4">
        <w:trPr>
          <w:trHeight w:val="288"/>
          <w:jc w:val="center"/>
        </w:trPr>
        <w:tc>
          <w:tcPr>
            <w:tcW w:w="2894" w:type="pct"/>
            <w:tcMar>
              <w:top w:w="72" w:type="dxa"/>
              <w:left w:w="144" w:type="dxa"/>
              <w:bottom w:w="72" w:type="dxa"/>
              <w:right w:w="144" w:type="dxa"/>
            </w:tcMar>
          </w:tcPr>
          <w:p w:rsidR="006574FF" w:rsidRPr="00C806D0" w:rsidRDefault="006574FF" w:rsidP="004442E4">
            <w:pPr>
              <w:spacing w:line="240" w:lineRule="auto"/>
            </w:pPr>
            <w:r w:rsidRPr="00C806D0">
              <w:t>Prehospital systolic blood pressure</w:t>
            </w:r>
          </w:p>
        </w:tc>
        <w:tc>
          <w:tcPr>
            <w:tcW w:w="2106" w:type="pct"/>
            <w:tcBorders>
              <w:left w:val="nil"/>
            </w:tcBorders>
            <w:vAlign w:val="bottom"/>
          </w:tcPr>
          <w:p w:rsidR="006574FF" w:rsidRPr="00C806D0" w:rsidRDefault="006574FF" w:rsidP="004442E4">
            <w:pPr>
              <w:spacing w:line="240" w:lineRule="auto"/>
              <w:jc w:val="center"/>
              <w:rPr>
                <w:color w:val="000000"/>
              </w:rPr>
            </w:pPr>
            <w:r w:rsidRPr="00C806D0">
              <w:rPr>
                <w:color w:val="000000"/>
              </w:rPr>
              <w:t>3,026 (42%)</w:t>
            </w:r>
          </w:p>
        </w:tc>
      </w:tr>
      <w:tr w:rsidR="006574FF" w:rsidRPr="00C806D0" w:rsidTr="004442E4">
        <w:trPr>
          <w:trHeight w:val="259"/>
          <w:jc w:val="center"/>
        </w:trPr>
        <w:tc>
          <w:tcPr>
            <w:tcW w:w="2894" w:type="pct"/>
            <w:tcMar>
              <w:top w:w="72" w:type="dxa"/>
              <w:left w:w="144" w:type="dxa"/>
              <w:bottom w:w="72" w:type="dxa"/>
              <w:right w:w="144" w:type="dxa"/>
            </w:tcMar>
          </w:tcPr>
          <w:p w:rsidR="006574FF" w:rsidRPr="00C806D0" w:rsidRDefault="006574FF" w:rsidP="004442E4">
            <w:pPr>
              <w:spacing w:line="240" w:lineRule="auto"/>
            </w:pPr>
            <w:r w:rsidRPr="00C806D0">
              <w:t>Prehospital hypoxia</w:t>
            </w:r>
          </w:p>
        </w:tc>
        <w:tc>
          <w:tcPr>
            <w:tcW w:w="2106" w:type="pct"/>
            <w:tcBorders>
              <w:left w:val="nil"/>
            </w:tcBorders>
            <w:vAlign w:val="bottom"/>
          </w:tcPr>
          <w:p w:rsidR="006574FF" w:rsidRPr="00C806D0" w:rsidRDefault="006574FF" w:rsidP="004442E4">
            <w:pPr>
              <w:spacing w:line="240" w:lineRule="auto"/>
              <w:jc w:val="center"/>
              <w:rPr>
                <w:color w:val="000000"/>
              </w:rPr>
            </w:pPr>
            <w:r w:rsidRPr="00C806D0">
              <w:rPr>
                <w:color w:val="000000"/>
              </w:rPr>
              <w:t>3,227 (45%)</w:t>
            </w:r>
          </w:p>
        </w:tc>
      </w:tr>
      <w:tr w:rsidR="006574FF" w:rsidRPr="00C806D0" w:rsidTr="004442E4">
        <w:trPr>
          <w:trHeight w:val="293"/>
          <w:jc w:val="center"/>
        </w:trPr>
        <w:tc>
          <w:tcPr>
            <w:tcW w:w="2894" w:type="pct"/>
            <w:tcMar>
              <w:top w:w="72" w:type="dxa"/>
              <w:left w:w="144" w:type="dxa"/>
              <w:bottom w:w="72" w:type="dxa"/>
              <w:right w:w="144" w:type="dxa"/>
            </w:tcMar>
          </w:tcPr>
          <w:p w:rsidR="006574FF" w:rsidRPr="00C806D0" w:rsidRDefault="006574FF" w:rsidP="004442E4">
            <w:pPr>
              <w:spacing w:line="240" w:lineRule="auto"/>
            </w:pPr>
            <w:r w:rsidRPr="00C806D0">
              <w:t>ISS</w:t>
            </w:r>
          </w:p>
        </w:tc>
        <w:tc>
          <w:tcPr>
            <w:tcW w:w="2106" w:type="pct"/>
            <w:tcBorders>
              <w:left w:val="nil"/>
            </w:tcBorders>
          </w:tcPr>
          <w:p w:rsidR="006574FF" w:rsidRPr="00C806D0" w:rsidRDefault="006574FF" w:rsidP="004442E4">
            <w:pPr>
              <w:spacing w:line="240" w:lineRule="auto"/>
              <w:jc w:val="center"/>
            </w:pPr>
            <w:r w:rsidRPr="00C806D0">
              <w:t>0 (0%)</w:t>
            </w:r>
          </w:p>
        </w:tc>
      </w:tr>
      <w:tr w:rsidR="006574FF" w:rsidRPr="00C806D0" w:rsidTr="004442E4">
        <w:trPr>
          <w:trHeight w:val="285"/>
          <w:jc w:val="center"/>
        </w:trPr>
        <w:tc>
          <w:tcPr>
            <w:tcW w:w="2894" w:type="pct"/>
            <w:tcMar>
              <w:top w:w="72" w:type="dxa"/>
              <w:left w:w="144" w:type="dxa"/>
              <w:bottom w:w="72" w:type="dxa"/>
              <w:right w:w="144" w:type="dxa"/>
            </w:tcMar>
          </w:tcPr>
          <w:p w:rsidR="006574FF" w:rsidRPr="00C806D0" w:rsidRDefault="006574FF" w:rsidP="004442E4">
            <w:pPr>
              <w:spacing w:line="240" w:lineRule="auto"/>
            </w:pPr>
            <w:r w:rsidRPr="00C806D0">
              <w:t>EMS interval</w:t>
            </w:r>
          </w:p>
        </w:tc>
        <w:tc>
          <w:tcPr>
            <w:tcW w:w="2106" w:type="pct"/>
            <w:tcBorders>
              <w:left w:val="nil"/>
            </w:tcBorders>
          </w:tcPr>
          <w:p w:rsidR="006574FF" w:rsidRPr="00C806D0" w:rsidRDefault="006574FF" w:rsidP="004442E4">
            <w:pPr>
              <w:spacing w:line="240" w:lineRule="auto"/>
              <w:jc w:val="center"/>
            </w:pPr>
            <w:r w:rsidRPr="00C806D0">
              <w:t>2,993 (42%)</w:t>
            </w:r>
          </w:p>
        </w:tc>
      </w:tr>
      <w:tr w:rsidR="006574FF" w:rsidRPr="00C806D0" w:rsidTr="004442E4">
        <w:trPr>
          <w:trHeight w:val="404"/>
          <w:jc w:val="center"/>
        </w:trPr>
        <w:tc>
          <w:tcPr>
            <w:tcW w:w="2894" w:type="pct"/>
            <w:tcBorders>
              <w:bottom w:val="single" w:sz="4" w:space="0" w:color="auto"/>
            </w:tcBorders>
            <w:tcMar>
              <w:top w:w="72" w:type="dxa"/>
              <w:left w:w="144" w:type="dxa"/>
              <w:bottom w:w="72" w:type="dxa"/>
              <w:right w:w="144" w:type="dxa"/>
            </w:tcMar>
          </w:tcPr>
          <w:p w:rsidR="006574FF" w:rsidRPr="00C806D0" w:rsidRDefault="006574FF" w:rsidP="004442E4">
            <w:pPr>
              <w:spacing w:line="240" w:lineRule="auto"/>
            </w:pPr>
            <w:r w:rsidRPr="00C806D0">
              <w:t>Mortality</w:t>
            </w:r>
          </w:p>
        </w:tc>
        <w:tc>
          <w:tcPr>
            <w:tcW w:w="2106" w:type="pct"/>
            <w:tcBorders>
              <w:left w:val="nil"/>
              <w:bottom w:val="single" w:sz="4" w:space="0" w:color="auto"/>
            </w:tcBorders>
          </w:tcPr>
          <w:p w:rsidR="006574FF" w:rsidRPr="00C806D0" w:rsidRDefault="006574FF" w:rsidP="004442E4">
            <w:pPr>
              <w:spacing w:line="240" w:lineRule="auto"/>
              <w:jc w:val="center"/>
            </w:pPr>
            <w:r w:rsidRPr="00C806D0">
              <w:t>326 (5%)</w:t>
            </w:r>
          </w:p>
        </w:tc>
      </w:tr>
    </w:tbl>
    <w:p w:rsidR="006574FF" w:rsidRPr="00C806D0" w:rsidRDefault="00D464A9" w:rsidP="00D464A9">
      <w:pPr>
        <w:ind w:left="720" w:firstLine="720"/>
      </w:pPr>
      <w:r w:rsidRPr="00C806D0">
        <w:t>*Total eligible sample n=7,149</w:t>
      </w:r>
    </w:p>
    <w:p w:rsidR="006574FF" w:rsidRPr="00C806D0" w:rsidRDefault="006574FF" w:rsidP="006574FF">
      <w:pPr>
        <w:rPr>
          <w:b/>
        </w:rPr>
      </w:pPr>
    </w:p>
    <w:p w:rsidR="006574FF" w:rsidRPr="00C806D0" w:rsidRDefault="006574FF" w:rsidP="006574FF">
      <w:pPr>
        <w:rPr>
          <w:b/>
        </w:rPr>
      </w:pPr>
    </w:p>
    <w:p w:rsidR="003B086D" w:rsidRPr="00C806D0" w:rsidRDefault="003B086D" w:rsidP="006574FF">
      <w:pPr>
        <w:rPr>
          <w:b/>
        </w:rPr>
      </w:pPr>
    </w:p>
    <w:p w:rsidR="003B086D" w:rsidRPr="00C806D0" w:rsidRDefault="003B086D" w:rsidP="006574FF">
      <w:pPr>
        <w:rPr>
          <w:b/>
        </w:rPr>
      </w:pPr>
    </w:p>
    <w:p w:rsidR="003B086D" w:rsidRPr="00C806D0" w:rsidRDefault="003B086D" w:rsidP="006574FF">
      <w:pPr>
        <w:rPr>
          <w:b/>
        </w:rPr>
      </w:pPr>
    </w:p>
    <w:p w:rsidR="003B086D" w:rsidRPr="00C806D0" w:rsidRDefault="003B086D" w:rsidP="006574FF">
      <w:pPr>
        <w:rPr>
          <w:b/>
        </w:rPr>
      </w:pPr>
    </w:p>
    <w:p w:rsidR="006574FF" w:rsidRPr="00C806D0" w:rsidRDefault="006574FF" w:rsidP="006574FF">
      <w:pPr>
        <w:rPr>
          <w:b/>
        </w:rPr>
      </w:pPr>
    </w:p>
    <w:p w:rsidR="003B086D" w:rsidRPr="00C806D0" w:rsidRDefault="003B086D" w:rsidP="006574FF">
      <w:pPr>
        <w:rPr>
          <w:b/>
        </w:rPr>
      </w:pPr>
    </w:p>
    <w:p w:rsidR="006574FF" w:rsidRPr="00C806D0" w:rsidRDefault="006574FF" w:rsidP="006574FF">
      <w:pPr>
        <w:rPr>
          <w:b/>
        </w:rPr>
      </w:pPr>
    </w:p>
    <w:p w:rsidR="006574FF" w:rsidRPr="00C806D0" w:rsidRDefault="006574FF" w:rsidP="006574FF">
      <w:pPr>
        <w:rPr>
          <w:b/>
        </w:rPr>
      </w:pPr>
      <w:r w:rsidRPr="00C806D0">
        <w:rPr>
          <w:b/>
        </w:rPr>
        <w:lastRenderedPageBreak/>
        <w:t xml:space="preserve">Table D4. Case-wise missingness in variables included in multivariable regression examining he association between EMS interval and mortality </w:t>
      </w:r>
    </w:p>
    <w:tbl>
      <w:tblPr>
        <w:tblW w:w="4767" w:type="pct"/>
        <w:tblCellMar>
          <w:left w:w="0" w:type="dxa"/>
          <w:right w:w="0" w:type="dxa"/>
        </w:tblCellMar>
        <w:tblLook w:val="00A0" w:firstRow="1" w:lastRow="0" w:firstColumn="1" w:lastColumn="0" w:noHBand="0" w:noVBand="0"/>
      </w:tblPr>
      <w:tblGrid>
        <w:gridCol w:w="3249"/>
        <w:gridCol w:w="2498"/>
        <w:gridCol w:w="2498"/>
      </w:tblGrid>
      <w:tr w:rsidR="006574FF" w:rsidRPr="00C806D0" w:rsidTr="004442E4">
        <w:trPr>
          <w:trHeight w:val="398"/>
        </w:trPr>
        <w:tc>
          <w:tcPr>
            <w:tcW w:w="1970" w:type="pct"/>
            <w:tcBorders>
              <w:top w:val="single" w:sz="4" w:space="0" w:color="auto"/>
              <w:bottom w:val="single" w:sz="8" w:space="0" w:color="000000"/>
            </w:tcBorders>
            <w:tcMar>
              <w:top w:w="72" w:type="dxa"/>
              <w:left w:w="144" w:type="dxa"/>
              <w:bottom w:w="72" w:type="dxa"/>
              <w:right w:w="144" w:type="dxa"/>
            </w:tcMar>
          </w:tcPr>
          <w:p w:rsidR="006574FF" w:rsidRPr="00C806D0" w:rsidRDefault="006574FF" w:rsidP="004442E4">
            <w:pPr>
              <w:pStyle w:val="NoSpacing"/>
              <w:rPr>
                <w:b/>
              </w:rPr>
            </w:pPr>
            <w:r w:rsidRPr="00C806D0">
              <w:rPr>
                <w:b/>
              </w:rPr>
              <w:t>Number of variables missing</w:t>
            </w:r>
          </w:p>
        </w:tc>
        <w:tc>
          <w:tcPr>
            <w:tcW w:w="1515" w:type="pct"/>
            <w:tcBorders>
              <w:top w:val="single" w:sz="4" w:space="0" w:color="auto"/>
              <w:left w:val="nil"/>
              <w:bottom w:val="single" w:sz="8" w:space="0" w:color="000000"/>
            </w:tcBorders>
          </w:tcPr>
          <w:p w:rsidR="006574FF" w:rsidRPr="00C806D0" w:rsidRDefault="006574FF" w:rsidP="004442E4">
            <w:pPr>
              <w:pStyle w:val="NoSpacing"/>
              <w:rPr>
                <w:b/>
              </w:rPr>
            </w:pPr>
            <w:r w:rsidRPr="00C806D0">
              <w:rPr>
                <w:b/>
              </w:rPr>
              <w:t>Data completeness</w:t>
            </w:r>
            <w:r w:rsidR="00D464A9" w:rsidRPr="00C806D0">
              <w:rPr>
                <w:b/>
              </w:rPr>
              <w:t>*</w:t>
            </w:r>
          </w:p>
          <w:p w:rsidR="006574FF" w:rsidRPr="00C806D0" w:rsidRDefault="006574FF" w:rsidP="004442E4">
            <w:pPr>
              <w:pStyle w:val="NoSpacing"/>
              <w:rPr>
                <w:b/>
              </w:rPr>
            </w:pPr>
            <w:r w:rsidRPr="00C806D0">
              <w:rPr>
                <w:b/>
              </w:rPr>
              <w:t xml:space="preserve"> (n)</w:t>
            </w:r>
          </w:p>
        </w:tc>
        <w:tc>
          <w:tcPr>
            <w:tcW w:w="1515" w:type="pct"/>
            <w:tcBorders>
              <w:top w:val="single" w:sz="4" w:space="0" w:color="auto"/>
              <w:left w:val="nil"/>
              <w:bottom w:val="single" w:sz="8" w:space="0" w:color="000000"/>
            </w:tcBorders>
          </w:tcPr>
          <w:p w:rsidR="006574FF" w:rsidRPr="00C806D0" w:rsidRDefault="006574FF" w:rsidP="004442E4">
            <w:pPr>
              <w:pStyle w:val="NoSpacing"/>
              <w:rPr>
                <w:b/>
              </w:rPr>
            </w:pPr>
          </w:p>
          <w:p w:rsidR="006574FF" w:rsidRPr="00C806D0" w:rsidRDefault="006574FF" w:rsidP="004442E4">
            <w:pPr>
              <w:pStyle w:val="NoSpacing"/>
              <w:rPr>
                <w:b/>
              </w:rPr>
            </w:pPr>
            <w:r w:rsidRPr="00C806D0">
              <w:rPr>
                <w:b/>
              </w:rPr>
              <w:t>(%)</w:t>
            </w:r>
          </w:p>
        </w:tc>
      </w:tr>
      <w:tr w:rsidR="006574FF" w:rsidRPr="00C806D0" w:rsidTr="004442E4">
        <w:trPr>
          <w:trHeight w:val="236"/>
        </w:trPr>
        <w:tc>
          <w:tcPr>
            <w:tcW w:w="1970" w:type="pct"/>
            <w:tcMar>
              <w:top w:w="72" w:type="dxa"/>
              <w:left w:w="144" w:type="dxa"/>
              <w:bottom w:w="72" w:type="dxa"/>
              <w:right w:w="144" w:type="dxa"/>
            </w:tcMar>
          </w:tcPr>
          <w:p w:rsidR="006574FF" w:rsidRPr="00C806D0" w:rsidRDefault="006574FF" w:rsidP="004442E4">
            <w:pPr>
              <w:pStyle w:val="NoSpacing"/>
            </w:pPr>
            <w:r w:rsidRPr="00C806D0">
              <w:t>0</w:t>
            </w:r>
          </w:p>
        </w:tc>
        <w:tc>
          <w:tcPr>
            <w:tcW w:w="1515" w:type="pct"/>
            <w:tcBorders>
              <w:left w:val="nil"/>
            </w:tcBorders>
            <w:vAlign w:val="bottom"/>
          </w:tcPr>
          <w:p w:rsidR="006574FF" w:rsidRPr="00C806D0" w:rsidRDefault="006574FF" w:rsidP="004442E4">
            <w:pPr>
              <w:spacing w:line="240" w:lineRule="auto"/>
              <w:rPr>
                <w:color w:val="000000"/>
              </w:rPr>
            </w:pPr>
            <w:r w:rsidRPr="00C806D0">
              <w:rPr>
                <w:color w:val="000000"/>
              </w:rPr>
              <w:t>2,804</w:t>
            </w:r>
          </w:p>
        </w:tc>
        <w:tc>
          <w:tcPr>
            <w:tcW w:w="1515" w:type="pct"/>
            <w:tcBorders>
              <w:left w:val="nil"/>
            </w:tcBorders>
            <w:vAlign w:val="bottom"/>
          </w:tcPr>
          <w:p w:rsidR="006574FF" w:rsidRPr="00C806D0" w:rsidRDefault="006574FF" w:rsidP="004442E4">
            <w:pPr>
              <w:spacing w:line="240" w:lineRule="auto"/>
              <w:rPr>
                <w:color w:val="000000"/>
              </w:rPr>
            </w:pPr>
            <w:r w:rsidRPr="00C806D0">
              <w:rPr>
                <w:color w:val="000000"/>
              </w:rPr>
              <w:t>39.2</w:t>
            </w:r>
          </w:p>
        </w:tc>
      </w:tr>
      <w:tr w:rsidR="006574FF" w:rsidRPr="00C806D0" w:rsidTr="004442E4">
        <w:trPr>
          <w:trHeight w:val="286"/>
        </w:trPr>
        <w:tc>
          <w:tcPr>
            <w:tcW w:w="1970" w:type="pct"/>
            <w:tcMar>
              <w:top w:w="72" w:type="dxa"/>
              <w:left w:w="144" w:type="dxa"/>
              <w:bottom w:w="72" w:type="dxa"/>
              <w:right w:w="144" w:type="dxa"/>
            </w:tcMar>
          </w:tcPr>
          <w:p w:rsidR="006574FF" w:rsidRPr="00C806D0" w:rsidRDefault="006574FF" w:rsidP="004442E4">
            <w:pPr>
              <w:pStyle w:val="NoSpacing"/>
            </w:pPr>
            <w:r w:rsidRPr="00C806D0">
              <w:t>1</w:t>
            </w:r>
          </w:p>
        </w:tc>
        <w:tc>
          <w:tcPr>
            <w:tcW w:w="1515" w:type="pct"/>
            <w:tcBorders>
              <w:left w:val="nil"/>
            </w:tcBorders>
            <w:vAlign w:val="bottom"/>
          </w:tcPr>
          <w:p w:rsidR="006574FF" w:rsidRPr="00C806D0" w:rsidRDefault="006574FF" w:rsidP="004442E4">
            <w:pPr>
              <w:spacing w:line="240" w:lineRule="auto"/>
              <w:rPr>
                <w:color w:val="000000"/>
              </w:rPr>
            </w:pPr>
            <w:r w:rsidRPr="00C806D0">
              <w:rPr>
                <w:color w:val="000000"/>
              </w:rPr>
              <w:t>1,370</w:t>
            </w:r>
          </w:p>
        </w:tc>
        <w:tc>
          <w:tcPr>
            <w:tcW w:w="1515" w:type="pct"/>
            <w:tcBorders>
              <w:left w:val="nil"/>
            </w:tcBorders>
            <w:vAlign w:val="bottom"/>
          </w:tcPr>
          <w:p w:rsidR="006574FF" w:rsidRPr="00C806D0" w:rsidRDefault="006574FF" w:rsidP="004442E4">
            <w:pPr>
              <w:spacing w:line="240" w:lineRule="auto"/>
              <w:rPr>
                <w:color w:val="000000"/>
              </w:rPr>
            </w:pPr>
            <w:r w:rsidRPr="00C806D0">
              <w:rPr>
                <w:color w:val="000000"/>
              </w:rPr>
              <w:t>19.2</w:t>
            </w:r>
          </w:p>
        </w:tc>
      </w:tr>
      <w:tr w:rsidR="006574FF" w:rsidRPr="00C806D0" w:rsidTr="004442E4">
        <w:trPr>
          <w:trHeight w:val="233"/>
        </w:trPr>
        <w:tc>
          <w:tcPr>
            <w:tcW w:w="1970" w:type="pct"/>
            <w:tcMar>
              <w:top w:w="72" w:type="dxa"/>
              <w:left w:w="144" w:type="dxa"/>
              <w:bottom w:w="72" w:type="dxa"/>
              <w:right w:w="144" w:type="dxa"/>
            </w:tcMar>
          </w:tcPr>
          <w:p w:rsidR="006574FF" w:rsidRPr="00C806D0" w:rsidRDefault="006574FF" w:rsidP="004442E4">
            <w:pPr>
              <w:pStyle w:val="NoSpacing"/>
            </w:pPr>
            <w:r w:rsidRPr="00C806D0">
              <w:t>2</w:t>
            </w:r>
          </w:p>
        </w:tc>
        <w:tc>
          <w:tcPr>
            <w:tcW w:w="1515" w:type="pct"/>
            <w:tcBorders>
              <w:left w:val="nil"/>
            </w:tcBorders>
            <w:vAlign w:val="bottom"/>
          </w:tcPr>
          <w:p w:rsidR="006574FF" w:rsidRPr="00C806D0" w:rsidRDefault="006574FF" w:rsidP="004442E4">
            <w:pPr>
              <w:spacing w:line="240" w:lineRule="auto"/>
              <w:rPr>
                <w:color w:val="000000"/>
              </w:rPr>
            </w:pPr>
            <w:r w:rsidRPr="00C806D0">
              <w:rPr>
                <w:color w:val="000000"/>
              </w:rPr>
              <w:t>509</w:t>
            </w:r>
          </w:p>
        </w:tc>
        <w:tc>
          <w:tcPr>
            <w:tcW w:w="1515" w:type="pct"/>
            <w:tcBorders>
              <w:left w:val="nil"/>
            </w:tcBorders>
            <w:vAlign w:val="bottom"/>
          </w:tcPr>
          <w:p w:rsidR="006574FF" w:rsidRPr="00C806D0" w:rsidRDefault="006574FF" w:rsidP="004442E4">
            <w:pPr>
              <w:spacing w:line="240" w:lineRule="auto"/>
              <w:rPr>
                <w:color w:val="000000"/>
              </w:rPr>
            </w:pPr>
            <w:r w:rsidRPr="00C806D0">
              <w:rPr>
                <w:color w:val="000000"/>
              </w:rPr>
              <w:t>7.1</w:t>
            </w:r>
          </w:p>
        </w:tc>
      </w:tr>
      <w:tr w:rsidR="006574FF" w:rsidRPr="00C806D0" w:rsidTr="004442E4">
        <w:trPr>
          <w:trHeight w:val="192"/>
        </w:trPr>
        <w:tc>
          <w:tcPr>
            <w:tcW w:w="1970" w:type="pct"/>
            <w:tcMar>
              <w:top w:w="72" w:type="dxa"/>
              <w:left w:w="144" w:type="dxa"/>
              <w:bottom w:w="72" w:type="dxa"/>
              <w:right w:w="144" w:type="dxa"/>
            </w:tcMar>
          </w:tcPr>
          <w:p w:rsidR="006574FF" w:rsidRPr="00C806D0" w:rsidRDefault="006574FF" w:rsidP="004442E4">
            <w:pPr>
              <w:pStyle w:val="NoSpacing"/>
            </w:pPr>
            <w:r w:rsidRPr="00C806D0">
              <w:t>3</w:t>
            </w:r>
          </w:p>
        </w:tc>
        <w:tc>
          <w:tcPr>
            <w:tcW w:w="1515" w:type="pct"/>
            <w:tcBorders>
              <w:left w:val="nil"/>
            </w:tcBorders>
            <w:vAlign w:val="bottom"/>
          </w:tcPr>
          <w:p w:rsidR="006574FF" w:rsidRPr="00C806D0" w:rsidRDefault="006574FF" w:rsidP="004442E4">
            <w:pPr>
              <w:spacing w:line="240" w:lineRule="auto"/>
              <w:rPr>
                <w:color w:val="000000"/>
              </w:rPr>
            </w:pPr>
            <w:r w:rsidRPr="00C806D0">
              <w:rPr>
                <w:color w:val="000000"/>
              </w:rPr>
              <w:t>423</w:t>
            </w:r>
          </w:p>
        </w:tc>
        <w:tc>
          <w:tcPr>
            <w:tcW w:w="1515" w:type="pct"/>
            <w:tcBorders>
              <w:left w:val="nil"/>
            </w:tcBorders>
            <w:vAlign w:val="bottom"/>
          </w:tcPr>
          <w:p w:rsidR="006574FF" w:rsidRPr="00C806D0" w:rsidRDefault="006574FF" w:rsidP="004442E4">
            <w:pPr>
              <w:spacing w:line="240" w:lineRule="auto"/>
              <w:rPr>
                <w:color w:val="000000"/>
              </w:rPr>
            </w:pPr>
            <w:r w:rsidRPr="00C806D0">
              <w:rPr>
                <w:color w:val="000000"/>
              </w:rPr>
              <w:t>5.9</w:t>
            </w:r>
          </w:p>
        </w:tc>
      </w:tr>
      <w:tr w:rsidR="006574FF" w:rsidRPr="00C806D0" w:rsidTr="004442E4">
        <w:trPr>
          <w:trHeight w:val="288"/>
        </w:trPr>
        <w:tc>
          <w:tcPr>
            <w:tcW w:w="1970" w:type="pct"/>
            <w:tcMar>
              <w:top w:w="72" w:type="dxa"/>
              <w:left w:w="144" w:type="dxa"/>
              <w:bottom w:w="72" w:type="dxa"/>
              <w:right w:w="144" w:type="dxa"/>
            </w:tcMar>
          </w:tcPr>
          <w:p w:rsidR="006574FF" w:rsidRPr="00C806D0" w:rsidRDefault="006574FF" w:rsidP="004442E4">
            <w:pPr>
              <w:pStyle w:val="NoSpacing"/>
            </w:pPr>
            <w:r w:rsidRPr="00C806D0">
              <w:t>4</w:t>
            </w:r>
          </w:p>
        </w:tc>
        <w:tc>
          <w:tcPr>
            <w:tcW w:w="1515" w:type="pct"/>
            <w:tcBorders>
              <w:left w:val="nil"/>
            </w:tcBorders>
            <w:vAlign w:val="bottom"/>
          </w:tcPr>
          <w:p w:rsidR="006574FF" w:rsidRPr="00C806D0" w:rsidRDefault="006574FF" w:rsidP="004442E4">
            <w:pPr>
              <w:spacing w:line="240" w:lineRule="auto"/>
              <w:rPr>
                <w:color w:val="000000"/>
              </w:rPr>
            </w:pPr>
            <w:r w:rsidRPr="00C806D0">
              <w:rPr>
                <w:color w:val="000000"/>
              </w:rPr>
              <w:t>1,967</w:t>
            </w:r>
          </w:p>
        </w:tc>
        <w:tc>
          <w:tcPr>
            <w:tcW w:w="1515" w:type="pct"/>
            <w:tcBorders>
              <w:left w:val="nil"/>
            </w:tcBorders>
            <w:vAlign w:val="bottom"/>
          </w:tcPr>
          <w:p w:rsidR="006574FF" w:rsidRPr="00C806D0" w:rsidRDefault="006574FF" w:rsidP="004442E4">
            <w:pPr>
              <w:spacing w:line="240" w:lineRule="auto"/>
              <w:rPr>
                <w:color w:val="000000"/>
              </w:rPr>
            </w:pPr>
            <w:r w:rsidRPr="00C806D0">
              <w:rPr>
                <w:color w:val="000000"/>
              </w:rPr>
              <w:t>27.5</w:t>
            </w:r>
          </w:p>
        </w:tc>
      </w:tr>
      <w:tr w:rsidR="006574FF" w:rsidRPr="00C806D0" w:rsidTr="004442E4">
        <w:trPr>
          <w:trHeight w:val="288"/>
        </w:trPr>
        <w:tc>
          <w:tcPr>
            <w:tcW w:w="1970" w:type="pct"/>
            <w:tcBorders>
              <w:bottom w:val="single" w:sz="4" w:space="0" w:color="auto"/>
            </w:tcBorders>
            <w:tcMar>
              <w:top w:w="72" w:type="dxa"/>
              <w:left w:w="144" w:type="dxa"/>
              <w:bottom w:w="72" w:type="dxa"/>
              <w:right w:w="144" w:type="dxa"/>
            </w:tcMar>
          </w:tcPr>
          <w:p w:rsidR="006574FF" w:rsidRPr="00C806D0" w:rsidRDefault="006574FF" w:rsidP="004442E4">
            <w:pPr>
              <w:pStyle w:val="NoSpacing"/>
            </w:pPr>
            <w:r w:rsidRPr="00C806D0">
              <w:t>5</w:t>
            </w:r>
          </w:p>
        </w:tc>
        <w:tc>
          <w:tcPr>
            <w:tcW w:w="1515" w:type="pct"/>
            <w:tcBorders>
              <w:left w:val="nil"/>
              <w:bottom w:val="single" w:sz="4" w:space="0" w:color="auto"/>
            </w:tcBorders>
            <w:vAlign w:val="bottom"/>
          </w:tcPr>
          <w:p w:rsidR="006574FF" w:rsidRPr="00C806D0" w:rsidRDefault="006574FF" w:rsidP="004442E4">
            <w:pPr>
              <w:spacing w:line="240" w:lineRule="auto"/>
              <w:rPr>
                <w:color w:val="000000"/>
              </w:rPr>
            </w:pPr>
            <w:r w:rsidRPr="00C806D0">
              <w:rPr>
                <w:color w:val="000000"/>
              </w:rPr>
              <w:t>76</w:t>
            </w:r>
          </w:p>
        </w:tc>
        <w:tc>
          <w:tcPr>
            <w:tcW w:w="1515" w:type="pct"/>
            <w:tcBorders>
              <w:left w:val="nil"/>
              <w:bottom w:val="single" w:sz="4" w:space="0" w:color="auto"/>
            </w:tcBorders>
            <w:vAlign w:val="bottom"/>
          </w:tcPr>
          <w:p w:rsidR="006574FF" w:rsidRPr="00C806D0" w:rsidRDefault="006574FF" w:rsidP="004442E4">
            <w:pPr>
              <w:spacing w:line="240" w:lineRule="auto"/>
              <w:rPr>
                <w:color w:val="000000"/>
              </w:rPr>
            </w:pPr>
            <w:r w:rsidRPr="00C806D0">
              <w:rPr>
                <w:color w:val="000000"/>
              </w:rPr>
              <w:t>1.1</w:t>
            </w:r>
          </w:p>
        </w:tc>
      </w:tr>
    </w:tbl>
    <w:p w:rsidR="00D464A9" w:rsidRPr="00C806D0" w:rsidRDefault="00D464A9" w:rsidP="00D464A9">
      <w:r w:rsidRPr="00C806D0">
        <w:t>*Total eligible sample n=7,149</w:t>
      </w:r>
    </w:p>
    <w:p w:rsidR="006574FF" w:rsidRPr="00C806D0" w:rsidRDefault="006574FF" w:rsidP="006574FF"/>
    <w:p w:rsidR="006574FF" w:rsidRPr="00C806D0" w:rsidRDefault="006574FF" w:rsidP="006574FF">
      <w:r w:rsidRPr="00C806D0">
        <w:rPr>
          <w:b/>
        </w:rPr>
        <w:t xml:space="preserve">Table D5. Comparison of patient characteristics between included patients and cases excluded for missing outcome or covariate data. </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547"/>
        <w:gridCol w:w="1644"/>
        <w:gridCol w:w="2684"/>
        <w:gridCol w:w="844"/>
      </w:tblGrid>
      <w:tr w:rsidR="006574FF" w:rsidRPr="00C806D0" w:rsidTr="004442E4">
        <w:trPr>
          <w:trHeight w:val="398"/>
          <w:jc w:val="center"/>
        </w:trPr>
        <w:tc>
          <w:tcPr>
            <w:tcW w:w="2034" w:type="pct"/>
            <w:tcBorders>
              <w:top w:val="single" w:sz="4" w:space="0" w:color="auto"/>
              <w:left w:val="nil"/>
              <w:bottom w:val="single" w:sz="4" w:space="0" w:color="auto"/>
              <w:right w:val="nil"/>
            </w:tcBorders>
            <w:tcMar>
              <w:top w:w="72" w:type="dxa"/>
              <w:left w:w="144" w:type="dxa"/>
              <w:bottom w:w="72" w:type="dxa"/>
              <w:right w:w="144" w:type="dxa"/>
            </w:tcMar>
          </w:tcPr>
          <w:p w:rsidR="006574FF" w:rsidRPr="00C806D0" w:rsidRDefault="006574FF" w:rsidP="003B086D">
            <w:pPr>
              <w:pStyle w:val="NoSpacing"/>
              <w:rPr>
                <w:sz w:val="20"/>
                <w:szCs w:val="20"/>
              </w:rPr>
            </w:pPr>
          </w:p>
        </w:tc>
        <w:tc>
          <w:tcPr>
            <w:tcW w:w="943" w:type="pct"/>
            <w:tcBorders>
              <w:top w:val="single" w:sz="4" w:space="0" w:color="auto"/>
              <w:left w:val="nil"/>
              <w:bottom w:val="single" w:sz="4" w:space="0" w:color="auto"/>
              <w:right w:val="nil"/>
            </w:tcBorders>
          </w:tcPr>
          <w:p w:rsidR="006574FF" w:rsidRPr="00C806D0" w:rsidRDefault="006574FF" w:rsidP="003B086D">
            <w:pPr>
              <w:pStyle w:val="NoSpacing"/>
              <w:jc w:val="center"/>
              <w:rPr>
                <w:b/>
                <w:sz w:val="20"/>
                <w:szCs w:val="20"/>
              </w:rPr>
            </w:pPr>
            <w:r w:rsidRPr="00C806D0">
              <w:rPr>
                <w:b/>
                <w:sz w:val="20"/>
                <w:szCs w:val="20"/>
              </w:rPr>
              <w:t xml:space="preserve">Complete case       </w:t>
            </w:r>
          </w:p>
        </w:tc>
        <w:tc>
          <w:tcPr>
            <w:tcW w:w="1539" w:type="pct"/>
            <w:tcBorders>
              <w:top w:val="single" w:sz="4" w:space="0" w:color="auto"/>
              <w:left w:val="nil"/>
              <w:bottom w:val="single" w:sz="4" w:space="0" w:color="auto"/>
              <w:right w:val="nil"/>
            </w:tcBorders>
          </w:tcPr>
          <w:p w:rsidR="006574FF" w:rsidRPr="00C806D0" w:rsidRDefault="006574FF" w:rsidP="003B086D">
            <w:pPr>
              <w:pStyle w:val="NoSpacing"/>
              <w:jc w:val="center"/>
              <w:rPr>
                <w:b/>
                <w:sz w:val="20"/>
                <w:szCs w:val="20"/>
              </w:rPr>
            </w:pPr>
            <w:r w:rsidRPr="00C806D0">
              <w:rPr>
                <w:b/>
                <w:sz w:val="20"/>
                <w:szCs w:val="20"/>
              </w:rPr>
              <w:t xml:space="preserve"> Otherwise eligible patients</w:t>
            </w:r>
          </w:p>
          <w:p w:rsidR="006574FF" w:rsidRPr="00C806D0" w:rsidRDefault="006574FF" w:rsidP="003B086D">
            <w:pPr>
              <w:pStyle w:val="NoSpacing"/>
              <w:jc w:val="center"/>
              <w:rPr>
                <w:b/>
                <w:sz w:val="20"/>
                <w:szCs w:val="20"/>
              </w:rPr>
            </w:pPr>
            <w:r w:rsidRPr="00C806D0">
              <w:rPr>
                <w:b/>
                <w:sz w:val="20"/>
                <w:szCs w:val="20"/>
              </w:rPr>
              <w:t xml:space="preserve"> excluded due to missing data</w:t>
            </w:r>
          </w:p>
        </w:tc>
        <w:tc>
          <w:tcPr>
            <w:tcW w:w="484" w:type="pct"/>
            <w:tcBorders>
              <w:top w:val="single" w:sz="4" w:space="0" w:color="auto"/>
              <w:left w:val="nil"/>
              <w:bottom w:val="single" w:sz="4" w:space="0" w:color="auto"/>
              <w:right w:val="nil"/>
            </w:tcBorders>
          </w:tcPr>
          <w:p w:rsidR="006574FF" w:rsidRPr="00C806D0" w:rsidRDefault="006574FF" w:rsidP="003B086D">
            <w:pPr>
              <w:pStyle w:val="NoSpacing"/>
              <w:jc w:val="center"/>
              <w:rPr>
                <w:b/>
                <w:sz w:val="20"/>
                <w:szCs w:val="20"/>
              </w:rPr>
            </w:pPr>
            <w:r w:rsidRPr="00C806D0">
              <w:rPr>
                <w:b/>
                <w:sz w:val="20"/>
                <w:szCs w:val="20"/>
              </w:rPr>
              <w:t xml:space="preserve">  p-value</w:t>
            </w:r>
          </w:p>
        </w:tc>
      </w:tr>
      <w:tr w:rsidR="006574FF" w:rsidRPr="00C806D0" w:rsidTr="004442E4">
        <w:trPr>
          <w:trHeight w:val="454"/>
          <w:jc w:val="center"/>
        </w:trPr>
        <w:tc>
          <w:tcPr>
            <w:tcW w:w="2034" w:type="pct"/>
            <w:tcBorders>
              <w:top w:val="single" w:sz="4" w:space="0" w:color="auto"/>
              <w:left w:val="nil"/>
              <w:bottom w:val="nil"/>
              <w:right w:val="nil"/>
            </w:tcBorders>
            <w:tcMar>
              <w:top w:w="72" w:type="dxa"/>
              <w:left w:w="144" w:type="dxa"/>
              <w:bottom w:w="72" w:type="dxa"/>
              <w:right w:w="144" w:type="dxa"/>
            </w:tcMar>
          </w:tcPr>
          <w:p w:rsidR="006574FF" w:rsidRPr="00C806D0" w:rsidRDefault="006574FF" w:rsidP="003B086D">
            <w:pPr>
              <w:pStyle w:val="NoSpacing"/>
              <w:rPr>
                <w:sz w:val="20"/>
                <w:szCs w:val="20"/>
              </w:rPr>
            </w:pPr>
            <w:r w:rsidRPr="00C806D0">
              <w:rPr>
                <w:sz w:val="20"/>
                <w:szCs w:val="20"/>
              </w:rPr>
              <w:t>Number of Patients</w:t>
            </w:r>
          </w:p>
        </w:tc>
        <w:tc>
          <w:tcPr>
            <w:tcW w:w="943" w:type="pct"/>
            <w:tcBorders>
              <w:top w:val="single" w:sz="4" w:space="0" w:color="auto"/>
              <w:left w:val="nil"/>
              <w:bottom w:val="nil"/>
              <w:right w:val="nil"/>
            </w:tcBorders>
          </w:tcPr>
          <w:p w:rsidR="006574FF" w:rsidRPr="00C806D0" w:rsidRDefault="006574FF" w:rsidP="003B086D">
            <w:pPr>
              <w:pStyle w:val="NoSpacing"/>
              <w:jc w:val="center"/>
              <w:rPr>
                <w:sz w:val="20"/>
                <w:szCs w:val="20"/>
              </w:rPr>
            </w:pPr>
            <w:r w:rsidRPr="00C806D0">
              <w:rPr>
                <w:sz w:val="20"/>
                <w:szCs w:val="20"/>
              </w:rPr>
              <w:t>2,804</w:t>
            </w:r>
          </w:p>
        </w:tc>
        <w:tc>
          <w:tcPr>
            <w:tcW w:w="1539" w:type="pct"/>
            <w:tcBorders>
              <w:top w:val="single" w:sz="4" w:space="0" w:color="auto"/>
              <w:left w:val="nil"/>
              <w:bottom w:val="nil"/>
              <w:right w:val="nil"/>
            </w:tcBorders>
          </w:tcPr>
          <w:p w:rsidR="006574FF" w:rsidRPr="00C806D0" w:rsidRDefault="006574FF" w:rsidP="003B086D">
            <w:pPr>
              <w:pStyle w:val="NoSpacing"/>
              <w:jc w:val="center"/>
              <w:rPr>
                <w:sz w:val="20"/>
                <w:szCs w:val="20"/>
              </w:rPr>
            </w:pPr>
            <w:r w:rsidRPr="00C806D0">
              <w:rPr>
                <w:sz w:val="20"/>
                <w:szCs w:val="20"/>
              </w:rPr>
              <w:t>4,345*</w:t>
            </w:r>
          </w:p>
        </w:tc>
        <w:tc>
          <w:tcPr>
            <w:tcW w:w="484" w:type="pct"/>
            <w:tcBorders>
              <w:top w:val="single" w:sz="4" w:space="0" w:color="auto"/>
              <w:left w:val="nil"/>
              <w:bottom w:val="nil"/>
              <w:right w:val="nil"/>
            </w:tcBorders>
          </w:tcPr>
          <w:p w:rsidR="006574FF" w:rsidRPr="00C806D0" w:rsidRDefault="006574FF" w:rsidP="003B086D">
            <w:pPr>
              <w:pStyle w:val="NoSpacing"/>
              <w:jc w:val="center"/>
              <w:rPr>
                <w:sz w:val="20"/>
                <w:szCs w:val="20"/>
              </w:rPr>
            </w:pPr>
          </w:p>
        </w:tc>
      </w:tr>
      <w:tr w:rsidR="006574FF" w:rsidRPr="00C806D0" w:rsidTr="004442E4">
        <w:trPr>
          <w:trHeight w:val="470"/>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3B086D">
            <w:pPr>
              <w:pStyle w:val="NoSpacing"/>
              <w:rPr>
                <w:sz w:val="20"/>
                <w:szCs w:val="20"/>
              </w:rPr>
            </w:pPr>
            <w:r w:rsidRPr="00C806D0">
              <w:rPr>
                <w:sz w:val="20"/>
                <w:szCs w:val="20"/>
              </w:rPr>
              <w:t>Age (years, median, IQR)</w:t>
            </w:r>
          </w:p>
        </w:tc>
        <w:tc>
          <w:tcPr>
            <w:tcW w:w="943"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47.2 (29-69)</w:t>
            </w:r>
          </w:p>
        </w:tc>
        <w:tc>
          <w:tcPr>
            <w:tcW w:w="1539"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44.9 (28-66)</w:t>
            </w:r>
          </w:p>
        </w:tc>
        <w:tc>
          <w:tcPr>
            <w:tcW w:w="484"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&lt;0.01</w:t>
            </w:r>
          </w:p>
        </w:tc>
      </w:tr>
      <w:tr w:rsidR="006574FF" w:rsidRPr="00C806D0" w:rsidTr="004442E4">
        <w:trPr>
          <w:trHeight w:val="453"/>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3B086D">
            <w:pPr>
              <w:pStyle w:val="NoSpacing"/>
              <w:rPr>
                <w:sz w:val="20"/>
                <w:szCs w:val="20"/>
              </w:rPr>
            </w:pPr>
            <w:r w:rsidRPr="00C806D0">
              <w:rPr>
                <w:sz w:val="20"/>
                <w:szCs w:val="20"/>
              </w:rPr>
              <w:t>Gender (male, %, 95% CI)</w:t>
            </w:r>
          </w:p>
        </w:tc>
        <w:tc>
          <w:tcPr>
            <w:tcW w:w="943"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70.1 (69.2-72.6)</w:t>
            </w:r>
          </w:p>
        </w:tc>
        <w:tc>
          <w:tcPr>
            <w:tcW w:w="1539"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74.2 (72.9-75.5)</w:t>
            </w:r>
          </w:p>
        </w:tc>
        <w:tc>
          <w:tcPr>
            <w:tcW w:w="484"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&lt;0.01</w:t>
            </w:r>
          </w:p>
        </w:tc>
      </w:tr>
      <w:tr w:rsidR="006574FF" w:rsidRPr="00C806D0" w:rsidTr="004442E4">
        <w:trPr>
          <w:trHeight w:val="506"/>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3B086D">
            <w:pPr>
              <w:pStyle w:val="NoSpacing"/>
              <w:rPr>
                <w:sz w:val="20"/>
                <w:szCs w:val="20"/>
              </w:rPr>
            </w:pPr>
            <w:r w:rsidRPr="00C806D0">
              <w:rPr>
                <w:sz w:val="20"/>
                <w:szCs w:val="20"/>
              </w:rPr>
              <w:t>ISS (median, IQR)</w:t>
            </w:r>
          </w:p>
        </w:tc>
        <w:tc>
          <w:tcPr>
            <w:tcW w:w="943"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25 (17-29)</w:t>
            </w:r>
          </w:p>
        </w:tc>
        <w:tc>
          <w:tcPr>
            <w:tcW w:w="1539"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25 (16-29)</w:t>
            </w:r>
          </w:p>
        </w:tc>
        <w:tc>
          <w:tcPr>
            <w:tcW w:w="484"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0.57</w:t>
            </w: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3B086D">
            <w:pPr>
              <w:pStyle w:val="NoSpacing"/>
              <w:rPr>
                <w:sz w:val="20"/>
                <w:szCs w:val="20"/>
              </w:rPr>
            </w:pPr>
            <w:r w:rsidRPr="00C806D0">
              <w:rPr>
                <w:sz w:val="20"/>
                <w:szCs w:val="20"/>
              </w:rPr>
              <w:t>Prehospital hypotension (%, 95% CI)</w:t>
            </w:r>
          </w:p>
        </w:tc>
        <w:tc>
          <w:tcPr>
            <w:tcW w:w="943"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3.1 (2.5-3.8)</w:t>
            </w:r>
          </w:p>
        </w:tc>
        <w:tc>
          <w:tcPr>
            <w:tcW w:w="1539"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1.9 (1.5-2.3)</w:t>
            </w:r>
          </w:p>
        </w:tc>
        <w:tc>
          <w:tcPr>
            <w:tcW w:w="484"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&lt;0.01</w:t>
            </w: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3B086D">
            <w:pPr>
              <w:pStyle w:val="NoSpacing"/>
              <w:rPr>
                <w:sz w:val="20"/>
                <w:szCs w:val="20"/>
              </w:rPr>
            </w:pPr>
            <w:r w:rsidRPr="00C806D0">
              <w:rPr>
                <w:sz w:val="20"/>
                <w:szCs w:val="20"/>
              </w:rPr>
              <w:t>Prehospital hypoxia (%, 95% CI)</w:t>
            </w:r>
          </w:p>
        </w:tc>
        <w:tc>
          <w:tcPr>
            <w:tcW w:w="943"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13.8 (12.6-15.1)</w:t>
            </w:r>
          </w:p>
        </w:tc>
        <w:tc>
          <w:tcPr>
            <w:tcW w:w="1539"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14.0 (11.9-16.0)</w:t>
            </w:r>
          </w:p>
          <w:p w:rsidR="006574FF" w:rsidRPr="00C806D0" w:rsidRDefault="006574FF" w:rsidP="003B086D">
            <w:pPr>
              <w:pStyle w:val="NoSpacing"/>
              <w:jc w:val="center"/>
              <w:rPr>
                <w:sz w:val="20"/>
                <w:szCs w:val="20"/>
              </w:rPr>
            </w:pPr>
            <w:r w:rsidRPr="00C806D0">
              <w:rPr>
                <w:sz w:val="20"/>
                <w:szCs w:val="20"/>
              </w:rPr>
              <w:t>[n=1,118]</w:t>
            </w:r>
          </w:p>
        </w:tc>
        <w:tc>
          <w:tcPr>
            <w:tcW w:w="484"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0.92</w:t>
            </w: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3B086D">
            <w:pPr>
              <w:pStyle w:val="NoSpacing"/>
              <w:rPr>
                <w:sz w:val="20"/>
                <w:szCs w:val="20"/>
              </w:rPr>
            </w:pPr>
            <w:r w:rsidRPr="00C806D0">
              <w:rPr>
                <w:sz w:val="20"/>
                <w:szCs w:val="20"/>
              </w:rPr>
              <w:t>Prehospital GCS  (median, IQR)</w:t>
            </w:r>
          </w:p>
        </w:tc>
        <w:tc>
          <w:tcPr>
            <w:tcW w:w="943"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13 (7-15)</w:t>
            </w:r>
          </w:p>
        </w:tc>
        <w:tc>
          <w:tcPr>
            <w:tcW w:w="1539"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10 (5-14)</w:t>
            </w:r>
          </w:p>
          <w:p w:rsidR="006574FF" w:rsidRPr="00C806D0" w:rsidRDefault="006574FF" w:rsidP="003B086D">
            <w:pPr>
              <w:pStyle w:val="NoSpacing"/>
              <w:jc w:val="center"/>
              <w:rPr>
                <w:sz w:val="20"/>
                <w:szCs w:val="20"/>
              </w:rPr>
            </w:pPr>
            <w:r w:rsidRPr="00C806D0">
              <w:rPr>
                <w:sz w:val="20"/>
                <w:szCs w:val="20"/>
              </w:rPr>
              <w:t>[n=2,012]</w:t>
            </w:r>
          </w:p>
        </w:tc>
        <w:tc>
          <w:tcPr>
            <w:tcW w:w="484"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&lt;0.01</w:t>
            </w: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3B086D">
            <w:pPr>
              <w:pStyle w:val="NoSpacing"/>
              <w:rPr>
                <w:sz w:val="20"/>
                <w:szCs w:val="20"/>
              </w:rPr>
            </w:pPr>
            <w:r w:rsidRPr="00C806D0">
              <w:rPr>
                <w:sz w:val="20"/>
                <w:szCs w:val="20"/>
              </w:rPr>
              <w:t>EMS interval (mins, median, IQR)</w:t>
            </w:r>
          </w:p>
        </w:tc>
        <w:tc>
          <w:tcPr>
            <w:tcW w:w="943"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62 (47-82)</w:t>
            </w:r>
          </w:p>
        </w:tc>
        <w:tc>
          <w:tcPr>
            <w:tcW w:w="1539"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57 (41-78)</w:t>
            </w:r>
          </w:p>
          <w:p w:rsidR="006574FF" w:rsidRPr="00C806D0" w:rsidRDefault="006574FF" w:rsidP="003B086D">
            <w:pPr>
              <w:pStyle w:val="NoSpacing"/>
              <w:jc w:val="center"/>
              <w:rPr>
                <w:sz w:val="20"/>
                <w:szCs w:val="20"/>
              </w:rPr>
            </w:pPr>
            <w:r w:rsidRPr="00C806D0">
              <w:rPr>
                <w:sz w:val="20"/>
                <w:szCs w:val="20"/>
              </w:rPr>
              <w:t>[n=4,156]</w:t>
            </w:r>
          </w:p>
        </w:tc>
        <w:tc>
          <w:tcPr>
            <w:tcW w:w="484" w:type="pct"/>
            <w:tcBorders>
              <w:top w:val="nil"/>
              <w:left w:val="nil"/>
              <w:bottom w:val="nil"/>
              <w:right w:val="nil"/>
            </w:tcBorders>
          </w:tcPr>
          <w:p w:rsidR="006574FF" w:rsidRPr="00C806D0" w:rsidRDefault="006574FF" w:rsidP="003B086D">
            <w:pPr>
              <w:pStyle w:val="NoSpacing"/>
              <w:jc w:val="center"/>
              <w:rPr>
                <w:sz w:val="20"/>
                <w:szCs w:val="20"/>
              </w:rPr>
            </w:pPr>
            <w:r w:rsidRPr="00C806D0">
              <w:rPr>
                <w:sz w:val="20"/>
                <w:szCs w:val="20"/>
              </w:rPr>
              <w:t>&lt;0.01</w:t>
            </w:r>
          </w:p>
        </w:tc>
      </w:tr>
      <w:tr w:rsidR="006574FF" w:rsidRPr="00C806D0" w:rsidTr="004442E4">
        <w:trPr>
          <w:trHeight w:val="688"/>
          <w:jc w:val="center"/>
        </w:trPr>
        <w:tc>
          <w:tcPr>
            <w:tcW w:w="2034" w:type="pct"/>
            <w:tcBorders>
              <w:top w:val="nil"/>
              <w:left w:val="nil"/>
              <w:bottom w:val="single" w:sz="4" w:space="0" w:color="auto"/>
              <w:right w:val="nil"/>
            </w:tcBorders>
            <w:tcMar>
              <w:top w:w="72" w:type="dxa"/>
              <w:left w:w="144" w:type="dxa"/>
              <w:bottom w:w="72" w:type="dxa"/>
              <w:right w:w="144" w:type="dxa"/>
            </w:tcMar>
          </w:tcPr>
          <w:p w:rsidR="006574FF" w:rsidRPr="00C806D0" w:rsidRDefault="006574FF" w:rsidP="003B086D">
            <w:pPr>
              <w:pStyle w:val="NoSpacing"/>
              <w:rPr>
                <w:sz w:val="20"/>
                <w:szCs w:val="20"/>
              </w:rPr>
            </w:pPr>
            <w:r w:rsidRPr="00C806D0">
              <w:rPr>
                <w:sz w:val="20"/>
                <w:szCs w:val="20"/>
              </w:rPr>
              <w:t xml:space="preserve">Mortality (%, 95% CI)* </w:t>
            </w:r>
          </w:p>
          <w:p w:rsidR="006574FF" w:rsidRPr="00C806D0" w:rsidRDefault="006574FF" w:rsidP="003B086D">
            <w:pPr>
              <w:pStyle w:val="NoSpacing"/>
              <w:rPr>
                <w:sz w:val="20"/>
                <w:szCs w:val="20"/>
              </w:rPr>
            </w:pPr>
          </w:p>
          <w:p w:rsidR="006574FF" w:rsidRPr="00C806D0" w:rsidRDefault="006574FF" w:rsidP="003B086D">
            <w:pPr>
              <w:pStyle w:val="NoSpacing"/>
              <w:rPr>
                <w:sz w:val="20"/>
                <w:szCs w:val="20"/>
              </w:rPr>
            </w:pPr>
          </w:p>
        </w:tc>
        <w:tc>
          <w:tcPr>
            <w:tcW w:w="943" w:type="pct"/>
            <w:tcBorders>
              <w:top w:val="nil"/>
              <w:left w:val="nil"/>
              <w:bottom w:val="single" w:sz="4" w:space="0" w:color="auto"/>
              <w:right w:val="nil"/>
            </w:tcBorders>
          </w:tcPr>
          <w:p w:rsidR="006574FF" w:rsidRPr="00C806D0" w:rsidRDefault="006574FF" w:rsidP="003B086D">
            <w:pPr>
              <w:pStyle w:val="NoSpacing"/>
              <w:jc w:val="center"/>
              <w:rPr>
                <w:sz w:val="20"/>
                <w:szCs w:val="20"/>
              </w:rPr>
            </w:pPr>
            <w:r w:rsidRPr="00C806D0">
              <w:rPr>
                <w:sz w:val="20"/>
                <w:szCs w:val="20"/>
              </w:rPr>
              <w:t>17.5 (16.1-19.0)</w:t>
            </w:r>
          </w:p>
        </w:tc>
        <w:tc>
          <w:tcPr>
            <w:tcW w:w="1539" w:type="pct"/>
            <w:tcBorders>
              <w:top w:val="nil"/>
              <w:left w:val="nil"/>
              <w:bottom w:val="single" w:sz="4" w:space="0" w:color="auto"/>
              <w:right w:val="nil"/>
            </w:tcBorders>
          </w:tcPr>
          <w:p w:rsidR="006574FF" w:rsidRPr="00C806D0" w:rsidRDefault="006574FF" w:rsidP="003B086D">
            <w:pPr>
              <w:pStyle w:val="NoSpacing"/>
              <w:jc w:val="center"/>
              <w:rPr>
                <w:sz w:val="20"/>
                <w:szCs w:val="20"/>
              </w:rPr>
            </w:pPr>
            <w:r w:rsidRPr="00C806D0">
              <w:rPr>
                <w:sz w:val="20"/>
                <w:szCs w:val="20"/>
              </w:rPr>
              <w:t>19.0 (17.7-20.2)</w:t>
            </w:r>
          </w:p>
          <w:p w:rsidR="006574FF" w:rsidRPr="00C806D0" w:rsidRDefault="006574FF" w:rsidP="003B086D">
            <w:pPr>
              <w:pStyle w:val="NoSpacing"/>
              <w:jc w:val="center"/>
              <w:rPr>
                <w:sz w:val="20"/>
                <w:szCs w:val="20"/>
              </w:rPr>
            </w:pPr>
            <w:r w:rsidRPr="00C806D0">
              <w:rPr>
                <w:sz w:val="20"/>
                <w:szCs w:val="20"/>
              </w:rPr>
              <w:t>[n=4,019]</w:t>
            </w:r>
          </w:p>
        </w:tc>
        <w:tc>
          <w:tcPr>
            <w:tcW w:w="484" w:type="pct"/>
            <w:tcBorders>
              <w:top w:val="nil"/>
              <w:left w:val="nil"/>
              <w:bottom w:val="single" w:sz="4" w:space="0" w:color="auto"/>
              <w:right w:val="nil"/>
            </w:tcBorders>
          </w:tcPr>
          <w:p w:rsidR="006574FF" w:rsidRPr="00C806D0" w:rsidRDefault="006574FF" w:rsidP="003B086D">
            <w:pPr>
              <w:pStyle w:val="NoSpacing"/>
              <w:jc w:val="center"/>
              <w:rPr>
                <w:sz w:val="20"/>
                <w:szCs w:val="20"/>
              </w:rPr>
            </w:pPr>
            <w:r w:rsidRPr="00C806D0">
              <w:rPr>
                <w:sz w:val="20"/>
                <w:szCs w:val="20"/>
              </w:rPr>
              <w:t>0.14</w:t>
            </w:r>
          </w:p>
        </w:tc>
      </w:tr>
    </w:tbl>
    <w:p w:rsidR="006574FF" w:rsidRPr="00C806D0" w:rsidRDefault="006574FF" w:rsidP="006574FF">
      <w:pPr>
        <w:rPr>
          <w:sz w:val="20"/>
          <w:szCs w:val="20"/>
        </w:rPr>
      </w:pPr>
      <w:r w:rsidRPr="00C806D0">
        <w:rPr>
          <w:sz w:val="20"/>
          <w:szCs w:val="20"/>
        </w:rPr>
        <w:t>*complete case analysis unless sample size otherwise stated.</w:t>
      </w:r>
    </w:p>
    <w:p w:rsidR="006574FF" w:rsidRPr="00C806D0" w:rsidRDefault="006574FF" w:rsidP="006574FF"/>
    <w:p w:rsidR="006574FF" w:rsidRPr="00C806D0" w:rsidRDefault="006574FF" w:rsidP="006574FF"/>
    <w:p w:rsidR="006574FF" w:rsidRPr="00C806D0" w:rsidRDefault="006574FF" w:rsidP="006574FF"/>
    <w:p w:rsidR="006574FF" w:rsidRPr="00C806D0" w:rsidRDefault="006574FF" w:rsidP="006574FF"/>
    <w:p w:rsidR="006574FF" w:rsidRPr="00C806D0" w:rsidRDefault="006574FF" w:rsidP="006574FF">
      <w:r w:rsidRPr="00C806D0">
        <w:lastRenderedPageBreak/>
        <w:t xml:space="preserve">Multivariable regression results were not materially different following multiple imputation, with odds ratios for mortality not significantly differing for different EMS interval categories as shown in Table D5 and Figure D2 (n=7,149). Of note, the point estimate for EMS interval of &lt;20 minutes in the complete case analysis changed from suggesting a benefit (odds ratio 0.60) of rapid transportation to indicating no association with mortality following multiple imputation (odds ratio 0.97); and odds ratios for longer EMS intervals also became closer to null.  Imputed data demonstrated credible distributions for all incomplete variables, with plausible ranges and no obvious anomalies (data not shown). An identical fully specified model to that implemented in the primary analysis was used, with no significant interactions or differences in functional form of covariates detected. Model diagnostics suggested no concerns. </w:t>
      </w:r>
    </w:p>
    <w:p w:rsidR="006574FF" w:rsidRPr="00C806D0" w:rsidRDefault="006574FF" w:rsidP="006574FF"/>
    <w:p w:rsidR="006574FF" w:rsidRPr="00C806D0" w:rsidRDefault="006574FF" w:rsidP="006574FF">
      <w:r w:rsidRPr="00C806D0">
        <w:t>There was virtually no change in odds ratios in a further sensitivity analysis in which patients with missing outcomes and EMS intervals &lt;60 minutes were assumed to have survived and those with EMS intervals &gt;60 minutes assumed to have died (adjusted multiple imputation analyses, n=7,143, Figure D3 and Table D5), and vice versa.</w:t>
      </w:r>
    </w:p>
    <w:p w:rsidR="006574FF" w:rsidRPr="00C806D0" w:rsidRDefault="006574FF" w:rsidP="006574FF"/>
    <w:p w:rsidR="006574FF" w:rsidRPr="00C806D0" w:rsidRDefault="006574FF" w:rsidP="006574FF">
      <w:pPr>
        <w:rPr>
          <w:rFonts w:ascii="Calibri" w:hAnsi="Calibri"/>
        </w:rPr>
      </w:pPr>
      <w:r w:rsidRPr="00C806D0">
        <w:rPr>
          <w:rFonts w:ascii="Calibri" w:hAnsi="Calibri"/>
        </w:rPr>
        <w:t>There were 4,135 patients admitted to core TARN hospitals during the study period. Repeating logistic regression models for these patients resulted in materially unchanged findings in both complete case (data not shown) and multiple imputation (Table D5) analyses, with no obvious relationship between EMS interval and mortality apparent.</w:t>
      </w:r>
    </w:p>
    <w:p w:rsidR="006574FF" w:rsidRPr="00C806D0" w:rsidRDefault="006574FF" w:rsidP="006574FF">
      <w:pPr>
        <w:rPr>
          <w:rFonts w:ascii="Calibri" w:hAnsi="Calibri"/>
        </w:rPr>
      </w:pPr>
    </w:p>
    <w:p w:rsidR="006574FF" w:rsidRPr="00C806D0" w:rsidRDefault="006574FF" w:rsidP="006574FF">
      <w:r w:rsidRPr="00C806D0">
        <w:t xml:space="preserve">The lack of association between EMS interval and mortality was also </w:t>
      </w:r>
      <w:r w:rsidR="00D464A9" w:rsidRPr="00C806D0">
        <w:t>evident</w:t>
      </w:r>
      <w:r w:rsidRPr="00C806D0">
        <w:t xml:space="preserve"> in adjusted multiple imputation analyses examining patients who were unstable on ED arrival (n=3,735); conveyed by land ambulances (n=3,735), or transported by air ambulance (n=1,331). In each of these subgroup analyses odds ratios were similar </w:t>
      </w:r>
      <w:r w:rsidR="00D464A9" w:rsidRPr="00C806D0">
        <w:t xml:space="preserve">to the original analysis </w:t>
      </w:r>
      <w:r w:rsidRPr="00C806D0">
        <w:t>for each EMS category. Removing ISS from the primary model also did not appreciably alter results. Table D5 summarises the results from these multiple imputation secondary analyses. Qualitatively identical results were also achieved in corresponding complete case analyses (data not shown).</w:t>
      </w:r>
    </w:p>
    <w:p w:rsidR="006574FF" w:rsidRPr="00C806D0" w:rsidRDefault="006574FF" w:rsidP="006574FF"/>
    <w:p w:rsidR="006574FF" w:rsidRPr="00C806D0" w:rsidRDefault="006574FF" w:rsidP="006574FF">
      <w:r w:rsidRPr="00C806D0">
        <w:t>Propensity score matching results were also similar following multiple imputation. The number of matched pairs in each data set varied from 2644 to 2708. Covariate balance was satisfactory in each imputed dataset. After combining results using Rubin’s rules the average effect on the treated of an EMS interval &lt;60 minutes was a non-significant 2.3% increase in mortality (95%CI -2.2% - 6.7%).</w:t>
      </w:r>
    </w:p>
    <w:p w:rsidR="006574FF" w:rsidRPr="00C806D0" w:rsidRDefault="006574FF" w:rsidP="006574FF">
      <w:pPr>
        <w:rPr>
          <w:b/>
        </w:rPr>
      </w:pPr>
      <w:r w:rsidRPr="00C806D0">
        <w:rPr>
          <w:b/>
        </w:rPr>
        <w:lastRenderedPageBreak/>
        <w:t>Figure D2. Odds of death for different EMS interval categories following multiple imputation for missing data.</w:t>
      </w:r>
    </w:p>
    <w:p w:rsidR="006574FF" w:rsidRPr="00C806D0" w:rsidRDefault="006574FF" w:rsidP="006574FF">
      <w:pPr>
        <w:rPr>
          <w:rFonts w:ascii="Calibri" w:hAnsi="Calibri"/>
        </w:rPr>
      </w:pPr>
      <w:r w:rsidRPr="00C806D0">
        <w:rPr>
          <w:rFonts w:ascii="Calibri" w:hAnsi="Calibri"/>
          <w:noProof/>
          <w:lang w:val="en-US"/>
        </w:rPr>
        <w:drawing>
          <wp:inline distT="0" distB="0" distL="0" distR="0">
            <wp:extent cx="5168603" cy="3407636"/>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176462" cy="3412817"/>
                    </a:xfrm>
                    <a:prstGeom prst="rect">
                      <a:avLst/>
                    </a:prstGeom>
                    <a:noFill/>
                  </pic:spPr>
                </pic:pic>
              </a:graphicData>
            </a:graphic>
          </wp:inline>
        </w:drawing>
      </w:r>
    </w:p>
    <w:p w:rsidR="006574FF" w:rsidRPr="00C806D0" w:rsidRDefault="006574FF" w:rsidP="006574FF">
      <w:pPr>
        <w:rPr>
          <w:rFonts w:ascii="Calibri" w:hAnsi="Calibri"/>
          <w:sz w:val="20"/>
          <w:szCs w:val="20"/>
        </w:rPr>
      </w:pPr>
      <w:r w:rsidRPr="00C806D0">
        <w:rPr>
          <w:rFonts w:ascii="Calibri" w:hAnsi="Calibri"/>
          <w:sz w:val="20"/>
          <w:szCs w:val="20"/>
        </w:rPr>
        <w:t xml:space="preserve">Reference EMS interval 40-60 minutes. </w:t>
      </w:r>
      <w:r w:rsidRPr="00C806D0">
        <w:rPr>
          <w:sz w:val="20"/>
          <w:szCs w:val="20"/>
        </w:rPr>
        <w:t>O</w:t>
      </w:r>
      <w:r w:rsidRPr="00C806D0">
        <w:rPr>
          <w:rFonts w:ascii="Calibri" w:hAnsi="Calibri"/>
          <w:sz w:val="20"/>
          <w:szCs w:val="20"/>
        </w:rPr>
        <w:t>dds ratios &lt;1 favourable indicate decreased mortality.</w:t>
      </w:r>
    </w:p>
    <w:p w:rsidR="006574FF" w:rsidRPr="00C806D0" w:rsidRDefault="006574FF" w:rsidP="006574FF"/>
    <w:p w:rsidR="006574FF" w:rsidRPr="00C806D0" w:rsidRDefault="006574FF" w:rsidP="006574FF">
      <w:pPr>
        <w:rPr>
          <w:rFonts w:ascii="Calibri" w:hAnsi="Calibri"/>
          <w:b/>
          <w:noProof/>
        </w:rPr>
      </w:pPr>
      <w:r w:rsidRPr="00C806D0">
        <w:rPr>
          <w:b/>
        </w:rPr>
        <w:t>Figure D3. Relationship between EMS interval and odds ratio for short-term mortality in sensitivity analysis examining missing outcomes using multiply imputed data</w:t>
      </w:r>
      <w:r w:rsidRPr="00C806D0">
        <w:rPr>
          <w:rFonts w:ascii="Calibri" w:hAnsi="Calibri"/>
          <w:b/>
          <w:sz w:val="20"/>
          <w:szCs w:val="20"/>
        </w:rPr>
        <w:t>.</w:t>
      </w:r>
    </w:p>
    <w:p w:rsidR="006574FF" w:rsidRPr="00C806D0" w:rsidRDefault="006574FF" w:rsidP="006574FF">
      <w:pPr>
        <w:rPr>
          <w:rFonts w:ascii="Calibri" w:hAnsi="Calibri"/>
          <w:b/>
          <w:noProof/>
        </w:rPr>
      </w:pPr>
      <w:r w:rsidRPr="00C806D0">
        <w:rPr>
          <w:rFonts w:ascii="Calibri" w:hAnsi="Calibri"/>
          <w:b/>
          <w:noProof/>
          <w:lang w:val="en-US"/>
        </w:rPr>
        <w:drawing>
          <wp:inline distT="0" distB="0" distL="0" distR="0">
            <wp:extent cx="5358809" cy="3533039"/>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363574" cy="3536181"/>
                    </a:xfrm>
                    <a:prstGeom prst="rect">
                      <a:avLst/>
                    </a:prstGeom>
                    <a:noFill/>
                  </pic:spPr>
                </pic:pic>
              </a:graphicData>
            </a:graphic>
          </wp:inline>
        </w:drawing>
      </w:r>
    </w:p>
    <w:p w:rsidR="00776188" w:rsidRPr="00C806D0" w:rsidRDefault="006574FF" w:rsidP="006574FF">
      <w:pPr>
        <w:rPr>
          <w:b/>
        </w:rPr>
      </w:pPr>
      <w:r w:rsidRPr="00C806D0">
        <w:rPr>
          <w:rFonts w:ascii="Calibri" w:hAnsi="Calibri"/>
          <w:sz w:val="20"/>
          <w:szCs w:val="20"/>
        </w:rPr>
        <w:t xml:space="preserve">Reference EMS interval 40-60 minutes. </w:t>
      </w:r>
      <w:r w:rsidRPr="00C806D0">
        <w:rPr>
          <w:sz w:val="20"/>
          <w:szCs w:val="20"/>
        </w:rPr>
        <w:t>O</w:t>
      </w:r>
      <w:r w:rsidRPr="00C806D0">
        <w:rPr>
          <w:rFonts w:ascii="Calibri" w:hAnsi="Calibri"/>
          <w:sz w:val="20"/>
          <w:szCs w:val="20"/>
        </w:rPr>
        <w:t>dds ratios &lt;1 favourable indicate decreased mortality.</w:t>
      </w:r>
    </w:p>
    <w:p w:rsidR="00472909" w:rsidRPr="00C806D0" w:rsidRDefault="00472909" w:rsidP="006574FF">
      <w:pPr>
        <w:rPr>
          <w:b/>
        </w:rPr>
      </w:pPr>
    </w:p>
    <w:p w:rsidR="007F7392" w:rsidRPr="00C806D0" w:rsidRDefault="007F7392" w:rsidP="006574FF">
      <w:pPr>
        <w:rPr>
          <w:rFonts w:ascii="Calibri" w:hAnsi="Calibri"/>
          <w:b/>
        </w:rPr>
        <w:sectPr w:rsidR="007F7392" w:rsidRPr="00C806D0" w:rsidSect="00E31429">
          <w:pgSz w:w="11906" w:h="16838"/>
          <w:pgMar w:top="1134" w:right="1134" w:bottom="1134" w:left="2268" w:header="708" w:footer="708" w:gutter="0"/>
          <w:cols w:space="708"/>
          <w:docGrid w:linePitch="360"/>
        </w:sectPr>
      </w:pPr>
    </w:p>
    <w:p w:rsidR="006574FF" w:rsidRPr="00C806D0" w:rsidRDefault="006574FF" w:rsidP="006574FF">
      <w:pPr>
        <w:rPr>
          <w:rFonts w:ascii="Calibri" w:hAnsi="Calibri"/>
          <w:b/>
        </w:rPr>
      </w:pPr>
      <w:r w:rsidRPr="00C806D0">
        <w:rPr>
          <w:rFonts w:ascii="Calibri" w:hAnsi="Calibri"/>
          <w:b/>
        </w:rPr>
        <w:lastRenderedPageBreak/>
        <w:t>Table D5. Summary of results from primary and secondary analyses examining the association between EMS interval and mortality</w:t>
      </w:r>
    </w:p>
    <w:tbl>
      <w:tblPr>
        <w:tblStyle w:val="LightShading1"/>
        <w:tblW w:w="5000" w:type="pct"/>
        <w:tblLook w:val="0620" w:firstRow="1" w:lastRow="0" w:firstColumn="0" w:lastColumn="0" w:noHBand="1" w:noVBand="1"/>
      </w:tblPr>
      <w:tblGrid>
        <w:gridCol w:w="4860"/>
        <w:gridCol w:w="1360"/>
        <w:gridCol w:w="683"/>
        <w:gridCol w:w="680"/>
        <w:gridCol w:w="1692"/>
        <w:gridCol w:w="680"/>
        <w:gridCol w:w="680"/>
        <w:gridCol w:w="1360"/>
        <w:gridCol w:w="680"/>
        <w:gridCol w:w="680"/>
        <w:gridCol w:w="1431"/>
      </w:tblGrid>
      <w:tr w:rsidR="006574FF" w:rsidRPr="00C806D0" w:rsidTr="004442E4">
        <w:trPr>
          <w:cnfStyle w:val="100000000000" w:firstRow="1" w:lastRow="0" w:firstColumn="0" w:lastColumn="0" w:oddVBand="0" w:evenVBand="0" w:oddHBand="0" w:evenHBand="0" w:firstRowFirstColumn="0" w:firstRowLastColumn="0" w:lastRowFirstColumn="0" w:lastRowLastColumn="0"/>
          <w:trHeight w:val="398"/>
        </w:trPr>
        <w:tc>
          <w:tcPr>
            <w:tcW w:w="1643" w:type="pct"/>
            <w:tcBorders>
              <w:bottom w:val="nil"/>
            </w:tcBorders>
          </w:tcPr>
          <w:p w:rsidR="006574FF" w:rsidRPr="00C806D0" w:rsidRDefault="006574FF" w:rsidP="004442E4">
            <w:pPr>
              <w:pStyle w:val="NoSpacing"/>
              <w:jc w:val="center"/>
              <w:rPr>
                <w:rFonts w:ascii="Calibri" w:hAnsi="Calibri"/>
                <w:sz w:val="18"/>
                <w:szCs w:val="18"/>
              </w:rPr>
            </w:pPr>
          </w:p>
        </w:tc>
        <w:tc>
          <w:tcPr>
            <w:tcW w:w="3357" w:type="pct"/>
            <w:gridSpan w:val="10"/>
            <w:tcBorders>
              <w:bottom w:val="nil"/>
            </w:tcBorders>
          </w:tcPr>
          <w:p w:rsidR="006574FF" w:rsidRPr="00C806D0" w:rsidRDefault="006574FF" w:rsidP="004442E4">
            <w:pPr>
              <w:pStyle w:val="NoSpacing"/>
              <w:jc w:val="center"/>
              <w:rPr>
                <w:rFonts w:ascii="Calibri" w:hAnsi="Calibri"/>
                <w:b w:val="0"/>
                <w:sz w:val="18"/>
                <w:szCs w:val="18"/>
              </w:rPr>
            </w:pPr>
            <w:r w:rsidRPr="00C806D0">
              <w:rPr>
                <w:rFonts w:ascii="Calibri" w:hAnsi="Calibri"/>
                <w:sz w:val="18"/>
                <w:szCs w:val="18"/>
              </w:rPr>
              <w:t>EMS Interval category (minutes)</w:t>
            </w:r>
          </w:p>
        </w:tc>
      </w:tr>
      <w:tr w:rsidR="006574FF" w:rsidRPr="00C806D0" w:rsidTr="004442E4">
        <w:trPr>
          <w:trHeight w:val="398"/>
        </w:trPr>
        <w:tc>
          <w:tcPr>
            <w:tcW w:w="1643" w:type="pct"/>
            <w:tcBorders>
              <w:top w:val="nil"/>
              <w:bottom w:val="single" w:sz="4" w:space="0" w:color="auto"/>
            </w:tcBorders>
          </w:tcPr>
          <w:p w:rsidR="006574FF" w:rsidRPr="00C806D0" w:rsidRDefault="006574FF" w:rsidP="004442E4">
            <w:pPr>
              <w:pStyle w:val="NoSpacing"/>
              <w:rPr>
                <w:rFonts w:ascii="Calibri" w:hAnsi="Calibri"/>
                <w:b/>
                <w:sz w:val="18"/>
                <w:szCs w:val="18"/>
              </w:rPr>
            </w:pPr>
          </w:p>
        </w:tc>
        <w:tc>
          <w:tcPr>
            <w:tcW w:w="460" w:type="pct"/>
            <w:tcBorders>
              <w:top w:val="nil"/>
              <w:bottom w:val="single" w:sz="4" w:space="0" w:color="auto"/>
            </w:tcBorders>
          </w:tcPr>
          <w:p w:rsidR="006574FF" w:rsidRPr="00C806D0" w:rsidRDefault="006574FF" w:rsidP="004442E4">
            <w:pPr>
              <w:pStyle w:val="NoSpacing"/>
              <w:jc w:val="center"/>
              <w:rPr>
                <w:rFonts w:ascii="Calibri" w:hAnsi="Calibri"/>
                <w:b/>
                <w:sz w:val="18"/>
                <w:szCs w:val="18"/>
              </w:rPr>
            </w:pPr>
            <w:r w:rsidRPr="00C806D0">
              <w:rPr>
                <w:rFonts w:ascii="Calibri" w:hAnsi="Calibri"/>
                <w:b/>
                <w:sz w:val="18"/>
                <w:szCs w:val="18"/>
              </w:rPr>
              <w:t>&lt;20</w:t>
            </w:r>
          </w:p>
        </w:tc>
        <w:tc>
          <w:tcPr>
            <w:tcW w:w="461" w:type="pct"/>
            <w:gridSpan w:val="2"/>
            <w:tcBorders>
              <w:top w:val="nil"/>
              <w:bottom w:val="single" w:sz="4" w:space="0" w:color="auto"/>
            </w:tcBorders>
          </w:tcPr>
          <w:p w:rsidR="006574FF" w:rsidRPr="00C806D0" w:rsidRDefault="006574FF" w:rsidP="004442E4">
            <w:pPr>
              <w:pStyle w:val="NoSpacing"/>
              <w:jc w:val="center"/>
              <w:rPr>
                <w:rFonts w:ascii="Calibri" w:hAnsi="Calibri"/>
                <w:b/>
                <w:sz w:val="18"/>
                <w:szCs w:val="18"/>
              </w:rPr>
            </w:pPr>
            <w:r w:rsidRPr="00C806D0">
              <w:rPr>
                <w:rFonts w:ascii="Calibri" w:hAnsi="Calibri"/>
                <w:b/>
                <w:sz w:val="18"/>
                <w:szCs w:val="18"/>
              </w:rPr>
              <w:t>20-39.9</w:t>
            </w:r>
          </w:p>
        </w:tc>
        <w:tc>
          <w:tcPr>
            <w:tcW w:w="572" w:type="pct"/>
            <w:tcBorders>
              <w:top w:val="nil"/>
              <w:bottom w:val="single" w:sz="4" w:space="0" w:color="auto"/>
            </w:tcBorders>
          </w:tcPr>
          <w:p w:rsidR="006574FF" w:rsidRPr="00C806D0" w:rsidRDefault="006574FF" w:rsidP="004442E4">
            <w:pPr>
              <w:pStyle w:val="NoSpacing"/>
              <w:jc w:val="center"/>
              <w:rPr>
                <w:rFonts w:ascii="Calibri" w:hAnsi="Calibri"/>
                <w:b/>
                <w:sz w:val="18"/>
                <w:szCs w:val="18"/>
              </w:rPr>
            </w:pPr>
            <w:r w:rsidRPr="00C806D0">
              <w:rPr>
                <w:rFonts w:ascii="Calibri" w:hAnsi="Calibri"/>
                <w:b/>
                <w:sz w:val="18"/>
                <w:szCs w:val="18"/>
              </w:rPr>
              <w:t>40-59.9</w:t>
            </w:r>
          </w:p>
        </w:tc>
        <w:tc>
          <w:tcPr>
            <w:tcW w:w="460" w:type="pct"/>
            <w:gridSpan w:val="2"/>
            <w:tcBorders>
              <w:top w:val="nil"/>
              <w:bottom w:val="single" w:sz="4" w:space="0" w:color="auto"/>
            </w:tcBorders>
          </w:tcPr>
          <w:p w:rsidR="006574FF" w:rsidRPr="00C806D0" w:rsidRDefault="006574FF" w:rsidP="004442E4">
            <w:pPr>
              <w:pStyle w:val="NoSpacing"/>
              <w:jc w:val="center"/>
              <w:rPr>
                <w:rFonts w:ascii="Calibri" w:hAnsi="Calibri"/>
                <w:b/>
                <w:sz w:val="18"/>
                <w:szCs w:val="18"/>
              </w:rPr>
            </w:pPr>
            <w:r w:rsidRPr="00C806D0">
              <w:rPr>
                <w:rFonts w:ascii="Calibri" w:hAnsi="Calibri"/>
                <w:b/>
                <w:sz w:val="18"/>
                <w:szCs w:val="18"/>
              </w:rPr>
              <w:t>60-79.9</w:t>
            </w:r>
          </w:p>
        </w:tc>
        <w:tc>
          <w:tcPr>
            <w:tcW w:w="460" w:type="pct"/>
            <w:tcBorders>
              <w:top w:val="nil"/>
              <w:bottom w:val="single" w:sz="4" w:space="0" w:color="auto"/>
            </w:tcBorders>
          </w:tcPr>
          <w:p w:rsidR="006574FF" w:rsidRPr="00C806D0" w:rsidRDefault="006574FF" w:rsidP="004442E4">
            <w:pPr>
              <w:pStyle w:val="NoSpacing"/>
              <w:jc w:val="center"/>
              <w:rPr>
                <w:rFonts w:ascii="Calibri" w:hAnsi="Calibri"/>
                <w:b/>
                <w:sz w:val="18"/>
                <w:szCs w:val="18"/>
              </w:rPr>
            </w:pPr>
            <w:r w:rsidRPr="00C806D0">
              <w:rPr>
                <w:rFonts w:ascii="Calibri" w:hAnsi="Calibri"/>
                <w:b/>
                <w:sz w:val="18"/>
                <w:szCs w:val="18"/>
              </w:rPr>
              <w:t>80-99.9</w:t>
            </w:r>
          </w:p>
        </w:tc>
        <w:tc>
          <w:tcPr>
            <w:tcW w:w="460" w:type="pct"/>
            <w:gridSpan w:val="2"/>
            <w:tcBorders>
              <w:top w:val="nil"/>
              <w:bottom w:val="single" w:sz="4" w:space="0" w:color="auto"/>
            </w:tcBorders>
          </w:tcPr>
          <w:p w:rsidR="006574FF" w:rsidRPr="00C806D0" w:rsidRDefault="006574FF" w:rsidP="004442E4">
            <w:pPr>
              <w:pStyle w:val="NoSpacing"/>
              <w:jc w:val="center"/>
              <w:rPr>
                <w:rFonts w:ascii="Calibri" w:hAnsi="Calibri"/>
                <w:b/>
                <w:sz w:val="18"/>
                <w:szCs w:val="18"/>
              </w:rPr>
            </w:pPr>
            <w:r w:rsidRPr="00C806D0">
              <w:rPr>
                <w:rFonts w:ascii="Calibri" w:hAnsi="Calibri"/>
                <w:b/>
                <w:sz w:val="18"/>
                <w:szCs w:val="18"/>
              </w:rPr>
              <w:t>100-119.9</w:t>
            </w:r>
          </w:p>
        </w:tc>
        <w:tc>
          <w:tcPr>
            <w:tcW w:w="484" w:type="pct"/>
            <w:tcBorders>
              <w:top w:val="nil"/>
              <w:bottom w:val="single" w:sz="4" w:space="0" w:color="auto"/>
            </w:tcBorders>
          </w:tcPr>
          <w:p w:rsidR="006574FF" w:rsidRPr="00C806D0" w:rsidRDefault="006574FF" w:rsidP="004442E4">
            <w:pPr>
              <w:pStyle w:val="NoSpacing"/>
              <w:jc w:val="center"/>
              <w:rPr>
                <w:rFonts w:ascii="Calibri" w:hAnsi="Calibri"/>
                <w:b/>
                <w:sz w:val="18"/>
                <w:szCs w:val="18"/>
              </w:rPr>
            </w:pPr>
            <w:r w:rsidRPr="00C806D0">
              <w:rPr>
                <w:rFonts w:ascii="Calibri" w:hAnsi="Calibri"/>
                <w:b/>
                <w:sz w:val="18"/>
                <w:szCs w:val="18"/>
              </w:rPr>
              <w:t>≥120</w:t>
            </w:r>
          </w:p>
        </w:tc>
      </w:tr>
      <w:tr w:rsidR="006574FF" w:rsidRPr="00C806D0" w:rsidTr="004442E4">
        <w:trPr>
          <w:trHeight w:val="398"/>
        </w:trPr>
        <w:tc>
          <w:tcPr>
            <w:tcW w:w="1643" w:type="pct"/>
            <w:tcBorders>
              <w:top w:val="single" w:sz="4" w:space="0" w:color="auto"/>
            </w:tcBorders>
          </w:tcPr>
          <w:p w:rsidR="006574FF" w:rsidRPr="00C806D0" w:rsidRDefault="006574FF" w:rsidP="004442E4">
            <w:pPr>
              <w:pStyle w:val="NoSpacing"/>
              <w:rPr>
                <w:rFonts w:ascii="Calibri" w:hAnsi="Calibri"/>
                <w:b/>
                <w:sz w:val="18"/>
                <w:szCs w:val="18"/>
              </w:rPr>
            </w:pPr>
            <w:r w:rsidRPr="00C806D0">
              <w:rPr>
                <w:rFonts w:ascii="Calibri" w:hAnsi="Calibri"/>
                <w:b/>
                <w:sz w:val="18"/>
                <w:szCs w:val="18"/>
              </w:rPr>
              <w:t>Analysis:</w:t>
            </w:r>
          </w:p>
        </w:tc>
        <w:tc>
          <w:tcPr>
            <w:tcW w:w="3357" w:type="pct"/>
            <w:gridSpan w:val="10"/>
            <w:tcBorders>
              <w:top w:val="single" w:sz="4" w:space="0" w:color="auto"/>
            </w:tcBorders>
          </w:tcPr>
          <w:p w:rsidR="006574FF" w:rsidRPr="00C806D0" w:rsidRDefault="006574FF" w:rsidP="004442E4">
            <w:pPr>
              <w:pStyle w:val="NoSpacing"/>
              <w:jc w:val="center"/>
              <w:rPr>
                <w:rFonts w:ascii="Calibri" w:hAnsi="Calibri"/>
                <w:b/>
                <w:sz w:val="18"/>
                <w:szCs w:val="18"/>
              </w:rPr>
            </w:pPr>
            <w:r w:rsidRPr="00C806D0">
              <w:rPr>
                <w:rFonts w:ascii="Calibri" w:hAnsi="Calibri"/>
                <w:b/>
                <w:sz w:val="18"/>
                <w:szCs w:val="18"/>
              </w:rPr>
              <w:t>Odds ratios (95%CI):</w:t>
            </w:r>
          </w:p>
        </w:tc>
      </w:tr>
      <w:tr w:rsidR="006574FF" w:rsidRPr="00C806D0" w:rsidTr="004442E4">
        <w:trPr>
          <w:trHeight w:val="493"/>
        </w:trPr>
        <w:tc>
          <w:tcPr>
            <w:tcW w:w="1643" w:type="pct"/>
          </w:tcPr>
          <w:p w:rsidR="006574FF" w:rsidRPr="00C806D0" w:rsidRDefault="006574FF" w:rsidP="004442E4">
            <w:pPr>
              <w:pStyle w:val="NoSpacing"/>
              <w:rPr>
                <w:rFonts w:ascii="Calibri" w:hAnsi="Calibri"/>
                <w:sz w:val="18"/>
                <w:szCs w:val="18"/>
              </w:rPr>
            </w:pPr>
            <w:r w:rsidRPr="00C806D0">
              <w:rPr>
                <w:rFonts w:ascii="Calibri" w:hAnsi="Calibri"/>
                <w:b/>
                <w:sz w:val="18"/>
                <w:szCs w:val="18"/>
              </w:rPr>
              <w:t>Primary regression model</w:t>
            </w:r>
          </w:p>
        </w:tc>
        <w:tc>
          <w:tcPr>
            <w:tcW w:w="460" w:type="pct"/>
          </w:tcPr>
          <w:p w:rsidR="006574FF" w:rsidRPr="00C806D0" w:rsidRDefault="006574FF" w:rsidP="004442E4">
            <w:pPr>
              <w:pStyle w:val="NoSpacing"/>
              <w:jc w:val="center"/>
              <w:rPr>
                <w:rFonts w:ascii="Calibri" w:hAnsi="Calibri"/>
                <w:sz w:val="18"/>
                <w:szCs w:val="18"/>
              </w:rPr>
            </w:pPr>
          </w:p>
        </w:tc>
        <w:tc>
          <w:tcPr>
            <w:tcW w:w="461" w:type="pct"/>
            <w:gridSpan w:val="2"/>
          </w:tcPr>
          <w:p w:rsidR="006574FF" w:rsidRPr="00C806D0" w:rsidRDefault="006574FF" w:rsidP="004442E4">
            <w:pPr>
              <w:pStyle w:val="NoSpacing"/>
              <w:jc w:val="center"/>
              <w:rPr>
                <w:rFonts w:ascii="Calibri" w:hAnsi="Calibri"/>
                <w:sz w:val="18"/>
                <w:szCs w:val="18"/>
              </w:rPr>
            </w:pPr>
          </w:p>
        </w:tc>
        <w:tc>
          <w:tcPr>
            <w:tcW w:w="572" w:type="pct"/>
          </w:tcPr>
          <w:p w:rsidR="006574FF" w:rsidRPr="00C806D0" w:rsidRDefault="006574FF" w:rsidP="004442E4">
            <w:pPr>
              <w:pStyle w:val="NoSpacing"/>
              <w:jc w:val="center"/>
              <w:rPr>
                <w:rFonts w:ascii="Calibri" w:hAnsi="Calibri"/>
                <w:sz w:val="18"/>
                <w:szCs w:val="18"/>
              </w:rPr>
            </w:pPr>
          </w:p>
        </w:tc>
        <w:tc>
          <w:tcPr>
            <w:tcW w:w="460" w:type="pct"/>
            <w:gridSpan w:val="2"/>
          </w:tcPr>
          <w:p w:rsidR="006574FF" w:rsidRPr="00C806D0" w:rsidRDefault="006574FF" w:rsidP="004442E4">
            <w:pPr>
              <w:pStyle w:val="NoSpacing"/>
              <w:jc w:val="center"/>
              <w:rPr>
                <w:rFonts w:ascii="Calibri" w:hAnsi="Calibri"/>
                <w:sz w:val="18"/>
                <w:szCs w:val="18"/>
              </w:rPr>
            </w:pPr>
          </w:p>
        </w:tc>
        <w:tc>
          <w:tcPr>
            <w:tcW w:w="460" w:type="pct"/>
          </w:tcPr>
          <w:p w:rsidR="006574FF" w:rsidRPr="00C806D0" w:rsidRDefault="006574FF" w:rsidP="004442E4">
            <w:pPr>
              <w:pStyle w:val="NoSpacing"/>
              <w:jc w:val="center"/>
              <w:rPr>
                <w:rFonts w:ascii="Calibri" w:hAnsi="Calibri"/>
                <w:sz w:val="18"/>
                <w:szCs w:val="18"/>
              </w:rPr>
            </w:pPr>
          </w:p>
        </w:tc>
        <w:tc>
          <w:tcPr>
            <w:tcW w:w="460" w:type="pct"/>
            <w:gridSpan w:val="2"/>
          </w:tcPr>
          <w:p w:rsidR="006574FF" w:rsidRPr="00C806D0" w:rsidRDefault="006574FF" w:rsidP="004442E4">
            <w:pPr>
              <w:pStyle w:val="NoSpacing"/>
              <w:jc w:val="center"/>
              <w:rPr>
                <w:rFonts w:ascii="Calibri" w:hAnsi="Calibri"/>
                <w:sz w:val="18"/>
                <w:szCs w:val="18"/>
              </w:rPr>
            </w:pPr>
          </w:p>
        </w:tc>
        <w:tc>
          <w:tcPr>
            <w:tcW w:w="484" w:type="pct"/>
          </w:tcPr>
          <w:p w:rsidR="006574FF" w:rsidRPr="00C806D0" w:rsidRDefault="006574FF" w:rsidP="004442E4">
            <w:pPr>
              <w:pStyle w:val="NoSpacing"/>
              <w:jc w:val="center"/>
              <w:rPr>
                <w:rFonts w:ascii="Calibri" w:hAnsi="Calibri"/>
                <w:sz w:val="18"/>
                <w:szCs w:val="18"/>
              </w:rPr>
            </w:pPr>
          </w:p>
        </w:tc>
      </w:tr>
      <w:tr w:rsidR="006574FF" w:rsidRPr="00C806D0" w:rsidTr="004442E4">
        <w:trPr>
          <w:trHeight w:val="493"/>
        </w:trPr>
        <w:tc>
          <w:tcPr>
            <w:tcW w:w="1643" w:type="pct"/>
          </w:tcPr>
          <w:p w:rsidR="006574FF" w:rsidRPr="00C806D0" w:rsidRDefault="006574FF" w:rsidP="004442E4">
            <w:pPr>
              <w:pStyle w:val="NoSpacing"/>
              <w:rPr>
                <w:rFonts w:ascii="Calibri" w:hAnsi="Calibri"/>
                <w:sz w:val="18"/>
                <w:szCs w:val="18"/>
              </w:rPr>
            </w:pPr>
            <w:r w:rsidRPr="00C806D0">
              <w:rPr>
                <w:rFonts w:ascii="Calibri" w:hAnsi="Calibri"/>
                <w:sz w:val="18"/>
                <w:szCs w:val="18"/>
              </w:rPr>
              <w:t>Complete case</w:t>
            </w:r>
          </w:p>
          <w:p w:rsidR="006574FF" w:rsidRPr="00C806D0" w:rsidRDefault="006574FF" w:rsidP="004442E4">
            <w:pPr>
              <w:pStyle w:val="NoSpacing"/>
              <w:rPr>
                <w:rFonts w:ascii="Calibri" w:hAnsi="Calibri"/>
                <w:sz w:val="18"/>
                <w:szCs w:val="18"/>
              </w:rPr>
            </w:pPr>
            <w:r w:rsidRPr="00C806D0">
              <w:rPr>
                <w:rFonts w:ascii="Calibri" w:hAnsi="Calibri"/>
                <w:sz w:val="18"/>
                <w:szCs w:val="18"/>
              </w:rPr>
              <w:t>(n=2,804)</w:t>
            </w:r>
          </w:p>
          <w:p w:rsidR="006574FF" w:rsidRPr="00C806D0" w:rsidRDefault="006574FF" w:rsidP="004442E4">
            <w:pPr>
              <w:pStyle w:val="NoSpacing"/>
              <w:rPr>
                <w:rFonts w:ascii="Calibri" w:hAnsi="Calibri"/>
                <w:sz w:val="18"/>
                <w:szCs w:val="18"/>
              </w:rPr>
            </w:pP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(0.1-3.3)</w:t>
            </w:r>
          </w:p>
        </w:tc>
        <w:tc>
          <w:tcPr>
            <w:tcW w:w="461"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0.92</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(0.6-1.4)</w:t>
            </w:r>
          </w:p>
        </w:tc>
        <w:tc>
          <w:tcPr>
            <w:tcW w:w="572"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(reference)</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0.75</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(0.6-1.1)</w:t>
            </w: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0.88</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(0.6-1.3)</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(0.4-1.0)</w:t>
            </w:r>
          </w:p>
        </w:tc>
        <w:tc>
          <w:tcPr>
            <w:tcW w:w="484"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0.66</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(0.4-1.4)</w:t>
            </w:r>
          </w:p>
        </w:tc>
      </w:tr>
      <w:tr w:rsidR="006574FF" w:rsidRPr="00C806D0" w:rsidTr="004442E4">
        <w:trPr>
          <w:trHeight w:val="493"/>
        </w:trPr>
        <w:tc>
          <w:tcPr>
            <w:tcW w:w="1643" w:type="pct"/>
          </w:tcPr>
          <w:p w:rsidR="006574FF" w:rsidRPr="00C806D0" w:rsidRDefault="006574FF" w:rsidP="004442E4">
            <w:pPr>
              <w:pStyle w:val="NoSpacing"/>
              <w:rPr>
                <w:rFonts w:ascii="Calibri" w:hAnsi="Calibri"/>
                <w:sz w:val="18"/>
                <w:szCs w:val="18"/>
              </w:rPr>
            </w:pPr>
            <w:r w:rsidRPr="00C806D0">
              <w:rPr>
                <w:rFonts w:ascii="Calibri" w:hAnsi="Calibri"/>
                <w:sz w:val="18"/>
                <w:szCs w:val="18"/>
              </w:rPr>
              <w:t>Multiple imputation</w:t>
            </w:r>
          </w:p>
          <w:p w:rsidR="006574FF" w:rsidRPr="00C806D0" w:rsidRDefault="006574FF" w:rsidP="004442E4">
            <w:pPr>
              <w:pStyle w:val="NoSpacing"/>
              <w:rPr>
                <w:rFonts w:ascii="Calibri" w:hAnsi="Calibri"/>
                <w:sz w:val="18"/>
                <w:szCs w:val="18"/>
              </w:rPr>
            </w:pPr>
            <w:r w:rsidRPr="00C806D0">
              <w:rPr>
                <w:rFonts w:ascii="Calibri" w:hAnsi="Calibri"/>
                <w:sz w:val="18"/>
                <w:szCs w:val="18"/>
              </w:rPr>
              <w:t>(n= 7,149)</w:t>
            </w:r>
          </w:p>
          <w:p w:rsidR="006574FF" w:rsidRPr="00C806D0" w:rsidRDefault="006574FF" w:rsidP="004442E4">
            <w:pPr>
              <w:pStyle w:val="NoSpacing"/>
              <w:rPr>
                <w:rFonts w:ascii="Calibri" w:hAnsi="Calibri"/>
                <w:sz w:val="18"/>
                <w:szCs w:val="18"/>
              </w:rPr>
            </w:pP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0.97</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(0.5-1.9)</w:t>
            </w:r>
          </w:p>
        </w:tc>
        <w:tc>
          <w:tcPr>
            <w:tcW w:w="461"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1.08</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(0.8-1.4)</w:t>
            </w:r>
          </w:p>
        </w:tc>
        <w:tc>
          <w:tcPr>
            <w:tcW w:w="572"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(reference)</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0.87</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(0.7-1.1)</w:t>
            </w: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0.97</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(0.7-1.3)</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0.79</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(0.6-1.1)</w:t>
            </w:r>
          </w:p>
        </w:tc>
        <w:tc>
          <w:tcPr>
            <w:tcW w:w="484"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(0.6-1.8)</w:t>
            </w:r>
          </w:p>
        </w:tc>
      </w:tr>
      <w:tr w:rsidR="006574FF" w:rsidRPr="00C806D0" w:rsidTr="004442E4">
        <w:trPr>
          <w:trHeight w:val="493"/>
        </w:trPr>
        <w:tc>
          <w:tcPr>
            <w:tcW w:w="1643" w:type="pct"/>
          </w:tcPr>
          <w:p w:rsidR="006574FF" w:rsidRPr="00C806D0" w:rsidRDefault="006574FF" w:rsidP="004442E4">
            <w:pPr>
              <w:pStyle w:val="NoSpacing"/>
              <w:rPr>
                <w:rFonts w:ascii="Calibri" w:hAnsi="Calibri"/>
                <w:sz w:val="18"/>
                <w:szCs w:val="18"/>
              </w:rPr>
            </w:pPr>
            <w:r w:rsidRPr="00C806D0">
              <w:rPr>
                <w:rFonts w:ascii="Calibri" w:hAnsi="Calibri"/>
                <w:sz w:val="18"/>
                <w:szCs w:val="18"/>
              </w:rPr>
              <w:t>Outcomes sensitivity analysis</w:t>
            </w:r>
          </w:p>
          <w:p w:rsidR="006574FF" w:rsidRPr="00C806D0" w:rsidRDefault="006574FF" w:rsidP="004442E4">
            <w:pPr>
              <w:pStyle w:val="NoSpacing"/>
              <w:rPr>
                <w:rFonts w:ascii="Calibri" w:hAnsi="Calibri"/>
                <w:sz w:val="18"/>
                <w:szCs w:val="18"/>
              </w:rPr>
            </w:pPr>
            <w:r w:rsidRPr="00C806D0">
              <w:rPr>
                <w:rFonts w:ascii="Calibri" w:hAnsi="Calibri"/>
                <w:sz w:val="18"/>
                <w:szCs w:val="18"/>
              </w:rPr>
              <w:t>(n= 7,149)</w:t>
            </w:r>
          </w:p>
          <w:p w:rsidR="006574FF" w:rsidRPr="00C806D0" w:rsidRDefault="006574FF" w:rsidP="004442E4">
            <w:pPr>
              <w:pStyle w:val="NoSpacing"/>
              <w:rPr>
                <w:rFonts w:ascii="Calibri" w:hAnsi="Calibri"/>
                <w:sz w:val="18"/>
                <w:szCs w:val="18"/>
              </w:rPr>
            </w:pP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0.98</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(0.5-1.9)</w:t>
            </w:r>
          </w:p>
        </w:tc>
        <w:tc>
          <w:tcPr>
            <w:tcW w:w="461"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1.09</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(0.9-1.4)</w:t>
            </w:r>
          </w:p>
        </w:tc>
        <w:tc>
          <w:tcPr>
            <w:tcW w:w="572"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(reference)</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0.87</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(0.7-1.1)</w:t>
            </w: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0.97</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(0.7-1.3)</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(0.6-1.1)</w:t>
            </w:r>
          </w:p>
        </w:tc>
        <w:tc>
          <w:tcPr>
            <w:tcW w:w="484"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1.02</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(0.6-1.8)</w:t>
            </w:r>
          </w:p>
        </w:tc>
      </w:tr>
      <w:tr w:rsidR="006574FF" w:rsidRPr="00C806D0" w:rsidTr="004442E4">
        <w:trPr>
          <w:trHeight w:val="493"/>
        </w:trPr>
        <w:tc>
          <w:tcPr>
            <w:tcW w:w="1643" w:type="pct"/>
          </w:tcPr>
          <w:p w:rsidR="006574FF" w:rsidRPr="00C806D0" w:rsidRDefault="006574FF" w:rsidP="004442E4">
            <w:pPr>
              <w:pStyle w:val="NoSpacing"/>
              <w:rPr>
                <w:rFonts w:ascii="Calibri" w:hAnsi="Calibri"/>
                <w:sz w:val="18"/>
                <w:szCs w:val="18"/>
              </w:rPr>
            </w:pPr>
            <w:r w:rsidRPr="00C806D0">
              <w:rPr>
                <w:rFonts w:ascii="Calibri" w:hAnsi="Calibri"/>
                <w:sz w:val="18"/>
                <w:szCs w:val="18"/>
              </w:rPr>
              <w:t>Core hospitals only</w:t>
            </w:r>
          </w:p>
          <w:p w:rsidR="006574FF" w:rsidRPr="00C806D0" w:rsidRDefault="006574FF" w:rsidP="004442E4">
            <w:pPr>
              <w:pStyle w:val="NoSpacing"/>
              <w:rPr>
                <w:rFonts w:ascii="Calibri" w:hAnsi="Calibri"/>
                <w:sz w:val="18"/>
                <w:szCs w:val="18"/>
              </w:rPr>
            </w:pPr>
            <w:r w:rsidRPr="00C806D0">
              <w:rPr>
                <w:rFonts w:ascii="Calibri" w:hAnsi="Calibri"/>
                <w:sz w:val="18"/>
                <w:szCs w:val="18"/>
              </w:rPr>
              <w:t>(Multiple imputation, n= 4,135)</w:t>
            </w:r>
          </w:p>
          <w:p w:rsidR="006574FF" w:rsidRPr="00C806D0" w:rsidRDefault="006574FF" w:rsidP="004442E4">
            <w:pPr>
              <w:pStyle w:val="NoSpacing"/>
              <w:rPr>
                <w:rFonts w:ascii="Calibri" w:hAnsi="Calibri"/>
                <w:sz w:val="18"/>
                <w:szCs w:val="18"/>
              </w:rPr>
            </w:pP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0.94</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(0.43-2.10)</w:t>
            </w:r>
          </w:p>
        </w:tc>
        <w:tc>
          <w:tcPr>
            <w:tcW w:w="461"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0.98</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(0.71-1.34)</w:t>
            </w:r>
          </w:p>
        </w:tc>
        <w:tc>
          <w:tcPr>
            <w:tcW w:w="572"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(reference)</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0.78</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(0.59-1.02)</w:t>
            </w: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0.88</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(0.57-1.02)</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0.76</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(0.46-1.25)</w:t>
            </w:r>
          </w:p>
        </w:tc>
        <w:tc>
          <w:tcPr>
            <w:tcW w:w="484"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0.86</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(0.48-1.52)</w:t>
            </w:r>
          </w:p>
        </w:tc>
      </w:tr>
      <w:tr w:rsidR="006574FF" w:rsidRPr="00C806D0" w:rsidTr="004442E4">
        <w:trPr>
          <w:gridAfter w:val="2"/>
          <w:wAfter w:w="714" w:type="pct"/>
          <w:trHeight w:val="493"/>
        </w:trPr>
        <w:tc>
          <w:tcPr>
            <w:tcW w:w="2334" w:type="pct"/>
            <w:gridSpan w:val="3"/>
          </w:tcPr>
          <w:p w:rsidR="006574FF" w:rsidRPr="00C806D0" w:rsidRDefault="006574FF" w:rsidP="004442E4">
            <w:pPr>
              <w:pStyle w:val="NoSpacing"/>
              <w:rPr>
                <w:rFonts w:ascii="Calibri" w:hAnsi="Calibri"/>
                <w:sz w:val="18"/>
                <w:szCs w:val="18"/>
              </w:rPr>
            </w:pPr>
            <w:r w:rsidRPr="00C806D0">
              <w:rPr>
                <w:rFonts w:ascii="Calibri" w:hAnsi="Calibri"/>
                <w:b/>
                <w:sz w:val="18"/>
                <w:szCs w:val="18"/>
              </w:rPr>
              <w:t>Subgroup analyses</w:t>
            </w:r>
          </w:p>
        </w:tc>
        <w:tc>
          <w:tcPr>
            <w:tcW w:w="230" w:type="pct"/>
          </w:tcPr>
          <w:p w:rsidR="006574FF" w:rsidRPr="00C806D0" w:rsidRDefault="006574FF" w:rsidP="004442E4">
            <w:pPr>
              <w:pStyle w:val="NoSpacing"/>
              <w:jc w:val="center"/>
              <w:rPr>
                <w:rFonts w:ascii="Calibri" w:hAnsi="Calibri"/>
                <w:sz w:val="18"/>
                <w:szCs w:val="18"/>
              </w:rPr>
            </w:pPr>
          </w:p>
        </w:tc>
        <w:tc>
          <w:tcPr>
            <w:tcW w:w="572" w:type="pct"/>
          </w:tcPr>
          <w:p w:rsidR="006574FF" w:rsidRPr="00C806D0" w:rsidRDefault="006574FF" w:rsidP="004442E4">
            <w:pPr>
              <w:pStyle w:val="NoSpacing"/>
              <w:jc w:val="center"/>
              <w:rPr>
                <w:rFonts w:ascii="Calibri" w:hAnsi="Calibri"/>
                <w:sz w:val="18"/>
                <w:szCs w:val="18"/>
              </w:rPr>
            </w:pPr>
          </w:p>
        </w:tc>
        <w:tc>
          <w:tcPr>
            <w:tcW w:w="230" w:type="pct"/>
          </w:tcPr>
          <w:p w:rsidR="006574FF" w:rsidRPr="00C806D0" w:rsidRDefault="006574FF" w:rsidP="004442E4">
            <w:pPr>
              <w:pStyle w:val="NoSpacing"/>
              <w:jc w:val="center"/>
              <w:rPr>
                <w:rFonts w:ascii="Calibri" w:hAnsi="Calibri"/>
                <w:sz w:val="18"/>
                <w:szCs w:val="18"/>
              </w:rPr>
            </w:pPr>
          </w:p>
        </w:tc>
        <w:tc>
          <w:tcPr>
            <w:tcW w:w="920" w:type="pct"/>
            <w:gridSpan w:val="3"/>
          </w:tcPr>
          <w:p w:rsidR="006574FF" w:rsidRPr="00C806D0" w:rsidRDefault="006574FF" w:rsidP="004442E4">
            <w:pPr>
              <w:pStyle w:val="NoSpacing"/>
              <w:jc w:val="center"/>
              <w:rPr>
                <w:rFonts w:ascii="Calibri" w:hAnsi="Calibri"/>
                <w:sz w:val="18"/>
                <w:szCs w:val="18"/>
              </w:rPr>
            </w:pPr>
          </w:p>
        </w:tc>
      </w:tr>
      <w:tr w:rsidR="006574FF" w:rsidRPr="00C806D0" w:rsidTr="004442E4">
        <w:trPr>
          <w:trHeight w:val="493"/>
        </w:trPr>
        <w:tc>
          <w:tcPr>
            <w:tcW w:w="1643" w:type="pct"/>
          </w:tcPr>
          <w:p w:rsidR="006574FF" w:rsidRPr="00C806D0" w:rsidRDefault="006574FF" w:rsidP="004442E4">
            <w:pPr>
              <w:pStyle w:val="NoSpacing"/>
              <w:rPr>
                <w:rFonts w:ascii="Calibri" w:hAnsi="Calibri"/>
                <w:sz w:val="18"/>
                <w:szCs w:val="18"/>
              </w:rPr>
            </w:pPr>
            <w:r w:rsidRPr="00C806D0">
              <w:rPr>
                <w:rFonts w:ascii="Calibri" w:hAnsi="Calibri"/>
                <w:sz w:val="18"/>
                <w:szCs w:val="18"/>
              </w:rPr>
              <w:t>Land ambulance cases</w:t>
            </w:r>
          </w:p>
          <w:p w:rsidR="006574FF" w:rsidRPr="00C806D0" w:rsidRDefault="006574FF" w:rsidP="004442E4">
            <w:pPr>
              <w:pStyle w:val="NoSpacing"/>
              <w:rPr>
                <w:rFonts w:ascii="Calibri" w:hAnsi="Calibri"/>
                <w:sz w:val="18"/>
                <w:szCs w:val="18"/>
              </w:rPr>
            </w:pPr>
            <w:r w:rsidRPr="00C806D0">
              <w:rPr>
                <w:rFonts w:ascii="Calibri" w:hAnsi="Calibri"/>
                <w:sz w:val="18"/>
                <w:szCs w:val="18"/>
              </w:rPr>
              <w:t>(Multiple imputation, n= 5,818)</w:t>
            </w:r>
          </w:p>
          <w:p w:rsidR="006574FF" w:rsidRPr="00C806D0" w:rsidRDefault="006574FF" w:rsidP="004442E4">
            <w:pPr>
              <w:pStyle w:val="NoSpacing"/>
              <w:rPr>
                <w:rFonts w:ascii="Calibri" w:hAnsi="Calibri"/>
                <w:sz w:val="18"/>
                <w:szCs w:val="18"/>
              </w:rPr>
            </w:pP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1.01</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(0.5-2.1)</w:t>
            </w:r>
          </w:p>
        </w:tc>
        <w:tc>
          <w:tcPr>
            <w:tcW w:w="461"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1.1</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(0.8-1.4)</w:t>
            </w:r>
          </w:p>
        </w:tc>
        <w:tc>
          <w:tcPr>
            <w:tcW w:w="572"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(reference)</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0.82</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(0.7-1.0)</w:t>
            </w: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0.93</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(0.7-1.3)</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(0.4-0.9)</w:t>
            </w:r>
          </w:p>
        </w:tc>
        <w:tc>
          <w:tcPr>
            <w:tcW w:w="484"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0.88</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(0.4-1.9)</w:t>
            </w:r>
          </w:p>
        </w:tc>
      </w:tr>
      <w:tr w:rsidR="006574FF" w:rsidRPr="00C806D0" w:rsidTr="004442E4">
        <w:trPr>
          <w:trHeight w:val="493"/>
        </w:trPr>
        <w:tc>
          <w:tcPr>
            <w:tcW w:w="1643" w:type="pct"/>
          </w:tcPr>
          <w:p w:rsidR="006574FF" w:rsidRPr="00C806D0" w:rsidRDefault="006574FF" w:rsidP="004442E4">
            <w:pPr>
              <w:pStyle w:val="NoSpacing"/>
              <w:rPr>
                <w:rFonts w:ascii="Calibri" w:hAnsi="Calibri"/>
                <w:sz w:val="18"/>
                <w:szCs w:val="18"/>
              </w:rPr>
            </w:pPr>
            <w:r w:rsidRPr="00C806D0">
              <w:rPr>
                <w:rFonts w:ascii="Calibri" w:hAnsi="Calibri"/>
                <w:sz w:val="18"/>
                <w:szCs w:val="18"/>
              </w:rPr>
              <w:t>Air ambulance cases</w:t>
            </w:r>
          </w:p>
          <w:p w:rsidR="006574FF" w:rsidRPr="00C806D0" w:rsidRDefault="006574FF" w:rsidP="004442E4">
            <w:pPr>
              <w:pStyle w:val="NoSpacing"/>
              <w:rPr>
                <w:rFonts w:ascii="Calibri" w:hAnsi="Calibri"/>
                <w:sz w:val="18"/>
                <w:szCs w:val="18"/>
              </w:rPr>
            </w:pPr>
            <w:r w:rsidRPr="00C806D0">
              <w:rPr>
                <w:rFonts w:ascii="Calibri" w:hAnsi="Calibri"/>
                <w:sz w:val="18"/>
                <w:szCs w:val="18"/>
              </w:rPr>
              <w:t>(Multiple imputation, n= 1,331)</w:t>
            </w:r>
          </w:p>
          <w:p w:rsidR="006574FF" w:rsidRPr="00C806D0" w:rsidRDefault="006574FF" w:rsidP="004442E4">
            <w:pPr>
              <w:pStyle w:val="NoSpacing"/>
              <w:rPr>
                <w:rFonts w:ascii="Calibri" w:hAnsi="Calibri"/>
                <w:sz w:val="18"/>
                <w:szCs w:val="18"/>
              </w:rPr>
            </w:pP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1.13</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(0.2-8.0)</w:t>
            </w:r>
          </w:p>
        </w:tc>
        <w:tc>
          <w:tcPr>
            <w:tcW w:w="461"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1.1</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(0.5-2.7)</w:t>
            </w:r>
          </w:p>
        </w:tc>
        <w:tc>
          <w:tcPr>
            <w:tcW w:w="572"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(reference)</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1.01</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(0.6-1.7)</w:t>
            </w: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(0.5-1.9)</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1.19</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(0.6-2.3)</w:t>
            </w:r>
          </w:p>
        </w:tc>
        <w:tc>
          <w:tcPr>
            <w:tcW w:w="484"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(0.6-1.8)</w:t>
            </w:r>
          </w:p>
        </w:tc>
      </w:tr>
      <w:tr w:rsidR="006574FF" w:rsidRPr="00C806D0" w:rsidTr="004442E4">
        <w:trPr>
          <w:trHeight w:val="493"/>
        </w:trPr>
        <w:tc>
          <w:tcPr>
            <w:tcW w:w="1643" w:type="pct"/>
          </w:tcPr>
          <w:p w:rsidR="006574FF" w:rsidRPr="00C806D0" w:rsidRDefault="006574FF" w:rsidP="004442E4">
            <w:pPr>
              <w:pStyle w:val="NoSpacing"/>
              <w:rPr>
                <w:rFonts w:ascii="Calibri" w:hAnsi="Calibri"/>
                <w:sz w:val="18"/>
                <w:szCs w:val="18"/>
              </w:rPr>
            </w:pPr>
            <w:r w:rsidRPr="00C806D0">
              <w:rPr>
                <w:rFonts w:ascii="Calibri" w:hAnsi="Calibri"/>
                <w:sz w:val="18"/>
                <w:szCs w:val="18"/>
              </w:rPr>
              <w:t>Patients unstable on ED arrival</w:t>
            </w:r>
          </w:p>
          <w:p w:rsidR="006574FF" w:rsidRPr="00C806D0" w:rsidRDefault="006574FF" w:rsidP="004442E4">
            <w:pPr>
              <w:pStyle w:val="NoSpacing"/>
              <w:rPr>
                <w:rFonts w:ascii="Calibri" w:hAnsi="Calibri"/>
                <w:sz w:val="18"/>
                <w:szCs w:val="18"/>
              </w:rPr>
            </w:pPr>
            <w:r w:rsidRPr="00C806D0">
              <w:rPr>
                <w:rFonts w:ascii="Calibri" w:hAnsi="Calibri"/>
                <w:sz w:val="18"/>
                <w:szCs w:val="18"/>
              </w:rPr>
              <w:t>(Multiple imputation, n= 3,735)</w:t>
            </w:r>
          </w:p>
          <w:p w:rsidR="006574FF" w:rsidRPr="00C806D0" w:rsidRDefault="006574FF" w:rsidP="004442E4">
            <w:pPr>
              <w:pStyle w:val="NoSpacing"/>
              <w:rPr>
                <w:rFonts w:ascii="Calibri" w:hAnsi="Calibri"/>
                <w:sz w:val="18"/>
                <w:szCs w:val="18"/>
              </w:rPr>
            </w:pP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0.77</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(0.4-1.5)</w:t>
            </w:r>
          </w:p>
        </w:tc>
        <w:tc>
          <w:tcPr>
            <w:tcW w:w="461"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1.07</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(0.8-1.5)</w:t>
            </w:r>
          </w:p>
        </w:tc>
        <w:tc>
          <w:tcPr>
            <w:tcW w:w="572"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(reference)</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0.83</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(0.7-1.1)</w:t>
            </w: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0.88</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(0.6-1.3)</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(0.4-1.1)</w:t>
            </w:r>
          </w:p>
        </w:tc>
        <w:tc>
          <w:tcPr>
            <w:tcW w:w="484"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0.73</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(0.4-1.3)</w:t>
            </w:r>
          </w:p>
        </w:tc>
      </w:tr>
      <w:tr w:rsidR="006574FF" w:rsidRPr="00C806D0" w:rsidTr="004442E4">
        <w:trPr>
          <w:trHeight w:val="493"/>
        </w:trPr>
        <w:tc>
          <w:tcPr>
            <w:tcW w:w="1643" w:type="pct"/>
          </w:tcPr>
          <w:p w:rsidR="006574FF" w:rsidRPr="00C806D0" w:rsidRDefault="006574FF" w:rsidP="004442E4">
            <w:pPr>
              <w:pStyle w:val="NoSpacing"/>
              <w:rPr>
                <w:rFonts w:ascii="Calibri" w:hAnsi="Calibri"/>
                <w:b/>
                <w:sz w:val="18"/>
                <w:szCs w:val="18"/>
              </w:rPr>
            </w:pPr>
            <w:r w:rsidRPr="00C806D0">
              <w:rPr>
                <w:rFonts w:ascii="Calibri" w:hAnsi="Calibri"/>
                <w:b/>
                <w:sz w:val="18"/>
                <w:szCs w:val="18"/>
              </w:rPr>
              <w:t>Alternative model specification</w:t>
            </w:r>
          </w:p>
        </w:tc>
        <w:tc>
          <w:tcPr>
            <w:tcW w:w="460" w:type="pct"/>
          </w:tcPr>
          <w:p w:rsidR="006574FF" w:rsidRPr="00C806D0" w:rsidRDefault="006574FF" w:rsidP="004442E4">
            <w:pPr>
              <w:pStyle w:val="NoSpacing"/>
              <w:jc w:val="center"/>
              <w:rPr>
                <w:rFonts w:ascii="Calibri" w:hAnsi="Calibri"/>
                <w:sz w:val="18"/>
                <w:szCs w:val="18"/>
              </w:rPr>
            </w:pPr>
          </w:p>
        </w:tc>
        <w:tc>
          <w:tcPr>
            <w:tcW w:w="461" w:type="pct"/>
            <w:gridSpan w:val="2"/>
          </w:tcPr>
          <w:p w:rsidR="006574FF" w:rsidRPr="00C806D0" w:rsidRDefault="006574FF" w:rsidP="004442E4">
            <w:pPr>
              <w:pStyle w:val="NoSpacing"/>
              <w:jc w:val="center"/>
              <w:rPr>
                <w:rFonts w:ascii="Calibri" w:hAnsi="Calibri"/>
                <w:sz w:val="18"/>
                <w:szCs w:val="18"/>
              </w:rPr>
            </w:pPr>
          </w:p>
        </w:tc>
        <w:tc>
          <w:tcPr>
            <w:tcW w:w="572" w:type="pct"/>
          </w:tcPr>
          <w:p w:rsidR="006574FF" w:rsidRPr="00C806D0" w:rsidRDefault="006574FF" w:rsidP="004442E4">
            <w:pPr>
              <w:pStyle w:val="NoSpacing"/>
              <w:jc w:val="center"/>
              <w:rPr>
                <w:rFonts w:ascii="Calibri" w:hAnsi="Calibri"/>
                <w:sz w:val="18"/>
                <w:szCs w:val="18"/>
              </w:rPr>
            </w:pPr>
          </w:p>
        </w:tc>
        <w:tc>
          <w:tcPr>
            <w:tcW w:w="460" w:type="pct"/>
            <w:gridSpan w:val="2"/>
          </w:tcPr>
          <w:p w:rsidR="006574FF" w:rsidRPr="00C806D0" w:rsidRDefault="006574FF" w:rsidP="004442E4">
            <w:pPr>
              <w:pStyle w:val="NoSpacing"/>
              <w:jc w:val="center"/>
              <w:rPr>
                <w:rFonts w:ascii="Calibri" w:hAnsi="Calibri"/>
                <w:sz w:val="18"/>
                <w:szCs w:val="18"/>
              </w:rPr>
            </w:pPr>
          </w:p>
        </w:tc>
        <w:tc>
          <w:tcPr>
            <w:tcW w:w="460" w:type="pct"/>
          </w:tcPr>
          <w:p w:rsidR="006574FF" w:rsidRPr="00C806D0" w:rsidRDefault="006574FF" w:rsidP="004442E4">
            <w:pPr>
              <w:pStyle w:val="NoSpacing"/>
              <w:jc w:val="center"/>
              <w:rPr>
                <w:rFonts w:ascii="Calibri" w:hAnsi="Calibri"/>
                <w:sz w:val="18"/>
                <w:szCs w:val="18"/>
              </w:rPr>
            </w:pPr>
          </w:p>
        </w:tc>
        <w:tc>
          <w:tcPr>
            <w:tcW w:w="460" w:type="pct"/>
            <w:gridSpan w:val="2"/>
          </w:tcPr>
          <w:p w:rsidR="006574FF" w:rsidRPr="00C806D0" w:rsidRDefault="006574FF" w:rsidP="004442E4">
            <w:pPr>
              <w:pStyle w:val="NoSpacing"/>
              <w:jc w:val="center"/>
              <w:rPr>
                <w:rFonts w:ascii="Calibri" w:hAnsi="Calibri"/>
                <w:sz w:val="18"/>
                <w:szCs w:val="18"/>
              </w:rPr>
            </w:pPr>
          </w:p>
        </w:tc>
        <w:tc>
          <w:tcPr>
            <w:tcW w:w="484" w:type="pct"/>
          </w:tcPr>
          <w:p w:rsidR="006574FF" w:rsidRPr="00C806D0" w:rsidRDefault="006574FF" w:rsidP="004442E4">
            <w:pPr>
              <w:pStyle w:val="NoSpacing"/>
              <w:jc w:val="center"/>
              <w:rPr>
                <w:rFonts w:ascii="Calibri" w:hAnsi="Calibri"/>
                <w:sz w:val="18"/>
                <w:szCs w:val="18"/>
              </w:rPr>
            </w:pPr>
          </w:p>
        </w:tc>
      </w:tr>
      <w:tr w:rsidR="006574FF" w:rsidRPr="00C806D0" w:rsidTr="004442E4">
        <w:trPr>
          <w:trHeight w:val="493"/>
        </w:trPr>
        <w:tc>
          <w:tcPr>
            <w:tcW w:w="1643" w:type="pct"/>
          </w:tcPr>
          <w:p w:rsidR="006574FF" w:rsidRPr="00C806D0" w:rsidRDefault="006574FF" w:rsidP="004442E4">
            <w:pPr>
              <w:pStyle w:val="NoSpacing"/>
              <w:rPr>
                <w:rFonts w:ascii="Calibri" w:hAnsi="Calibri"/>
                <w:sz w:val="18"/>
                <w:szCs w:val="18"/>
              </w:rPr>
            </w:pPr>
            <w:r w:rsidRPr="00C806D0">
              <w:rPr>
                <w:rFonts w:ascii="Calibri" w:hAnsi="Calibri"/>
                <w:sz w:val="18"/>
                <w:szCs w:val="18"/>
              </w:rPr>
              <w:t xml:space="preserve">ISS removed </w:t>
            </w:r>
          </w:p>
          <w:p w:rsidR="006574FF" w:rsidRPr="00C806D0" w:rsidRDefault="006574FF" w:rsidP="004442E4">
            <w:pPr>
              <w:pStyle w:val="NoSpacing"/>
              <w:rPr>
                <w:rFonts w:ascii="Calibri" w:hAnsi="Calibri"/>
                <w:sz w:val="18"/>
                <w:szCs w:val="18"/>
              </w:rPr>
            </w:pPr>
            <w:r w:rsidRPr="00C806D0">
              <w:rPr>
                <w:rFonts w:ascii="Calibri" w:hAnsi="Calibri"/>
                <w:sz w:val="18"/>
                <w:szCs w:val="18"/>
              </w:rPr>
              <w:t>(Multiple imputation, n= 7,149)</w:t>
            </w: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0.59</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(0.1-3.0)</w:t>
            </w:r>
          </w:p>
        </w:tc>
        <w:tc>
          <w:tcPr>
            <w:tcW w:w="461"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0.89</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(0.6-1.3)</w:t>
            </w:r>
          </w:p>
        </w:tc>
        <w:tc>
          <w:tcPr>
            <w:tcW w:w="572"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1.0</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(reference)</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0.89</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(0.7-1.2)</w:t>
            </w:r>
          </w:p>
        </w:tc>
        <w:tc>
          <w:tcPr>
            <w:tcW w:w="460"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1.12</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(0.8-1.5)</w:t>
            </w:r>
          </w:p>
        </w:tc>
        <w:tc>
          <w:tcPr>
            <w:tcW w:w="460" w:type="pct"/>
            <w:gridSpan w:val="2"/>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0.77</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(0.5-1.2)</w:t>
            </w:r>
          </w:p>
        </w:tc>
        <w:tc>
          <w:tcPr>
            <w:tcW w:w="484" w:type="pct"/>
          </w:tcPr>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0.96</w:t>
            </w:r>
          </w:p>
          <w:p w:rsidR="006574FF" w:rsidRPr="00C806D0" w:rsidRDefault="006574FF" w:rsidP="004442E4">
            <w:pPr>
              <w:pStyle w:val="NoSpacing"/>
              <w:jc w:val="center"/>
              <w:rPr>
                <w:rFonts w:ascii="Calibri" w:hAnsi="Calibri"/>
                <w:sz w:val="18"/>
                <w:szCs w:val="18"/>
              </w:rPr>
            </w:pPr>
            <w:r w:rsidRPr="00C806D0">
              <w:rPr>
                <w:rFonts w:ascii="Calibri" w:hAnsi="Calibri"/>
                <w:sz w:val="18"/>
                <w:szCs w:val="18"/>
              </w:rPr>
              <w:t>(0.6-1.6)</w:t>
            </w:r>
          </w:p>
        </w:tc>
      </w:tr>
    </w:tbl>
    <w:p w:rsidR="007F7392" w:rsidRPr="00C806D0" w:rsidRDefault="007F7392" w:rsidP="006F2FC6">
      <w:pPr>
        <w:pStyle w:val="Heading3"/>
        <w:numPr>
          <w:ilvl w:val="0"/>
          <w:numId w:val="0"/>
        </w:numPr>
        <w:spacing w:before="240"/>
        <w:ind w:left="720"/>
        <w:sectPr w:rsidR="007F7392" w:rsidRPr="00C806D0" w:rsidSect="007F7392">
          <w:pgSz w:w="16838" w:h="11906" w:orient="landscape"/>
          <w:pgMar w:top="2268" w:right="1134" w:bottom="1134" w:left="1134" w:header="709" w:footer="709" w:gutter="0"/>
          <w:cols w:space="708"/>
          <w:docGrid w:linePitch="360"/>
        </w:sectPr>
      </w:pPr>
    </w:p>
    <w:p w:rsidR="006574FF" w:rsidRPr="00C806D0" w:rsidRDefault="006574FF" w:rsidP="006574FF">
      <w:pPr>
        <w:pStyle w:val="Heading3"/>
        <w:spacing w:before="240"/>
      </w:pPr>
      <w:r w:rsidRPr="00C806D0">
        <w:lastRenderedPageBreak/>
        <w:t>Effect of time to specialist care on mortality in significant TBI.</w:t>
      </w:r>
    </w:p>
    <w:p w:rsidR="006574FF" w:rsidRPr="00C806D0" w:rsidRDefault="006574FF" w:rsidP="006574FF">
      <w:pPr>
        <w:pStyle w:val="Heading4"/>
      </w:pPr>
      <w:r w:rsidRPr="00C806D0">
        <w:t>Multivariable regression model development</w:t>
      </w:r>
    </w:p>
    <w:p w:rsidR="006574FF" w:rsidRPr="00C806D0" w:rsidRDefault="006574FF" w:rsidP="006574FF">
      <w:r w:rsidRPr="00C806D0">
        <w:rPr>
          <w:rFonts w:ascii="Calibri" w:hAnsi="Calibri"/>
        </w:rPr>
        <w:t>No interactions were identified between time to specialist care and other explanatory variables; and all covariates appeared to be significant confounders and were therefore retained in a fully specified final model. There was no evidence for a lack of model fit with the Hosmer-Lemeshow statistic not reaching statistical significance, p=0.85. Model diagnostics for influential observations, collinearity and over-fitting were unremarkable (data not shown).</w:t>
      </w:r>
    </w:p>
    <w:p w:rsidR="006574FF" w:rsidRPr="00C806D0" w:rsidRDefault="006574FF"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7F7392" w:rsidRPr="00C806D0" w:rsidRDefault="007F7392" w:rsidP="006574FF"/>
    <w:p w:rsidR="006574FF" w:rsidRPr="00C806D0" w:rsidRDefault="006574FF" w:rsidP="006574FF">
      <w:pPr>
        <w:pStyle w:val="Heading4"/>
      </w:pPr>
      <w:r w:rsidRPr="00C806D0">
        <w:lastRenderedPageBreak/>
        <w:t>Primary regression model odds ratios</w:t>
      </w:r>
    </w:p>
    <w:p w:rsidR="006574FF" w:rsidRPr="00C806D0" w:rsidRDefault="006574FF" w:rsidP="006574FF">
      <w:pPr>
        <w:rPr>
          <w:b/>
        </w:rPr>
      </w:pPr>
      <w:r w:rsidRPr="00C806D0">
        <w:rPr>
          <w:b/>
        </w:rPr>
        <w:t>Table D6. Odds ratios and 95% confidence intervals for covariates included in multivariable model examining the association between time to arrival in a SNC and mortality in patients with significant TBI</w:t>
      </w:r>
    </w:p>
    <w:tbl>
      <w:tblPr>
        <w:tblStyle w:val="LightShading1"/>
        <w:tblW w:w="5000" w:type="pct"/>
        <w:tblLook w:val="0620" w:firstRow="1" w:lastRow="0" w:firstColumn="0" w:lastColumn="0" w:noHBand="1" w:noVBand="1"/>
      </w:tblPr>
      <w:tblGrid>
        <w:gridCol w:w="5080"/>
        <w:gridCol w:w="1821"/>
        <w:gridCol w:w="1819"/>
      </w:tblGrid>
      <w:tr w:rsidR="006574FF" w:rsidRPr="00C806D0" w:rsidTr="004442E4">
        <w:trPr>
          <w:cnfStyle w:val="100000000000" w:firstRow="1" w:lastRow="0" w:firstColumn="0" w:lastColumn="0" w:oddVBand="0" w:evenVBand="0" w:oddHBand="0" w:evenHBand="0" w:firstRowFirstColumn="0" w:firstRowLastColumn="0" w:lastRowFirstColumn="0" w:lastRowLastColumn="0"/>
          <w:trHeight w:val="340"/>
        </w:trPr>
        <w:tc>
          <w:tcPr>
            <w:tcW w:w="2913" w:type="pct"/>
          </w:tcPr>
          <w:p w:rsidR="006574FF" w:rsidRPr="00C806D0" w:rsidRDefault="006574FF" w:rsidP="004442E4">
            <w:pPr>
              <w:spacing w:line="240" w:lineRule="auto"/>
              <w:rPr>
                <w:sz w:val="20"/>
                <w:szCs w:val="20"/>
              </w:rPr>
            </w:pPr>
            <w:r w:rsidRPr="00C806D0">
              <w:rPr>
                <w:sz w:val="20"/>
                <w:szCs w:val="20"/>
              </w:rPr>
              <w:t>Model variable</w:t>
            </w:r>
          </w:p>
        </w:tc>
        <w:tc>
          <w:tcPr>
            <w:tcW w:w="1044" w:type="pct"/>
          </w:tcPr>
          <w:p w:rsidR="006574FF" w:rsidRPr="00C806D0" w:rsidRDefault="006574FF" w:rsidP="004442E4">
            <w:pPr>
              <w:spacing w:line="240" w:lineRule="auto"/>
              <w:jc w:val="center"/>
              <w:rPr>
                <w:sz w:val="20"/>
                <w:szCs w:val="20"/>
              </w:rPr>
            </w:pPr>
            <w:r w:rsidRPr="00C806D0">
              <w:rPr>
                <w:sz w:val="20"/>
                <w:szCs w:val="20"/>
              </w:rPr>
              <w:t>Odds Ratio</w:t>
            </w:r>
          </w:p>
        </w:tc>
        <w:tc>
          <w:tcPr>
            <w:tcW w:w="1043" w:type="pct"/>
          </w:tcPr>
          <w:p w:rsidR="006574FF" w:rsidRPr="00C806D0" w:rsidRDefault="006574FF" w:rsidP="004442E4">
            <w:pPr>
              <w:spacing w:line="240" w:lineRule="auto"/>
              <w:jc w:val="center"/>
              <w:rPr>
                <w:sz w:val="20"/>
                <w:szCs w:val="20"/>
              </w:rPr>
            </w:pPr>
            <w:r w:rsidRPr="00C806D0">
              <w:rPr>
                <w:sz w:val="20"/>
                <w:szCs w:val="20"/>
              </w:rPr>
              <w:t>95% CI</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Number of Patients</w:t>
            </w:r>
          </w:p>
        </w:tc>
        <w:tc>
          <w:tcPr>
            <w:tcW w:w="1044" w:type="pct"/>
          </w:tcPr>
          <w:p w:rsidR="006574FF" w:rsidRPr="00C806D0" w:rsidRDefault="006574FF" w:rsidP="004442E4">
            <w:pPr>
              <w:spacing w:line="240" w:lineRule="auto"/>
              <w:jc w:val="center"/>
              <w:rPr>
                <w:sz w:val="20"/>
                <w:szCs w:val="20"/>
              </w:rPr>
            </w:pPr>
            <w:r w:rsidRPr="00C806D0">
              <w:rPr>
                <w:sz w:val="20"/>
                <w:szCs w:val="20"/>
              </w:rPr>
              <w:t>6,116</w:t>
            </w:r>
          </w:p>
        </w:tc>
        <w:tc>
          <w:tcPr>
            <w:tcW w:w="1043" w:type="pct"/>
          </w:tcPr>
          <w:p w:rsidR="006574FF" w:rsidRPr="00C806D0" w:rsidRDefault="006574FF" w:rsidP="004442E4">
            <w:pPr>
              <w:spacing w:line="240" w:lineRule="auto"/>
              <w:jc w:val="center"/>
              <w:rPr>
                <w:sz w:val="20"/>
                <w:szCs w:val="20"/>
              </w:rPr>
            </w:pP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Time to specialist care (%, 95% CI):</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p>
        </w:tc>
      </w:tr>
      <w:tr w:rsidR="006574FF" w:rsidRPr="00C806D0" w:rsidTr="004442E4">
        <w:trPr>
          <w:trHeight w:val="340"/>
        </w:trPr>
        <w:tc>
          <w:tcPr>
            <w:tcW w:w="2913" w:type="pct"/>
          </w:tcPr>
          <w:p w:rsidR="006574FF" w:rsidRPr="00C806D0" w:rsidRDefault="006574FF" w:rsidP="004442E4">
            <w:pPr>
              <w:spacing w:line="240" w:lineRule="auto"/>
              <w:ind w:left="720"/>
              <w:rPr>
                <w:sz w:val="20"/>
                <w:szCs w:val="20"/>
              </w:rPr>
            </w:pPr>
            <w:r w:rsidRPr="00C806D0">
              <w:rPr>
                <w:sz w:val="20"/>
                <w:szCs w:val="20"/>
              </w:rPr>
              <w:t>No transfer</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sz w:val="20"/>
                <w:szCs w:val="20"/>
              </w:rPr>
              <w:t>Reference: 1.0</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w:t>
            </w:r>
          </w:p>
        </w:tc>
      </w:tr>
      <w:tr w:rsidR="006574FF" w:rsidRPr="00C806D0" w:rsidTr="004442E4">
        <w:trPr>
          <w:trHeight w:val="340"/>
        </w:trPr>
        <w:tc>
          <w:tcPr>
            <w:tcW w:w="2913" w:type="pct"/>
          </w:tcPr>
          <w:p w:rsidR="006574FF" w:rsidRPr="00C806D0" w:rsidRDefault="006574FF" w:rsidP="004442E4">
            <w:pPr>
              <w:spacing w:line="240" w:lineRule="auto"/>
              <w:ind w:left="720"/>
              <w:rPr>
                <w:sz w:val="20"/>
                <w:szCs w:val="20"/>
              </w:rPr>
            </w:pPr>
            <w:r w:rsidRPr="00C806D0">
              <w:rPr>
                <w:sz w:val="20"/>
                <w:szCs w:val="20"/>
              </w:rPr>
              <w:t>&lt;4 hours</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0.40</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0.13-1.21</w:t>
            </w:r>
          </w:p>
        </w:tc>
      </w:tr>
      <w:tr w:rsidR="006574FF" w:rsidRPr="00C806D0" w:rsidTr="004442E4">
        <w:trPr>
          <w:trHeight w:val="340"/>
        </w:trPr>
        <w:tc>
          <w:tcPr>
            <w:tcW w:w="2913" w:type="pct"/>
          </w:tcPr>
          <w:p w:rsidR="006574FF" w:rsidRPr="00C806D0" w:rsidRDefault="006574FF" w:rsidP="004442E4">
            <w:pPr>
              <w:spacing w:line="240" w:lineRule="auto"/>
              <w:ind w:left="720"/>
              <w:rPr>
                <w:sz w:val="20"/>
                <w:szCs w:val="20"/>
              </w:rPr>
            </w:pPr>
            <w:r w:rsidRPr="00C806D0">
              <w:rPr>
                <w:sz w:val="20"/>
                <w:szCs w:val="20"/>
              </w:rPr>
              <w:t>4-8 hours</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0.21</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0.12-0.35</w:t>
            </w:r>
          </w:p>
        </w:tc>
      </w:tr>
      <w:tr w:rsidR="006574FF" w:rsidRPr="00C806D0" w:rsidTr="004442E4">
        <w:trPr>
          <w:trHeight w:val="340"/>
        </w:trPr>
        <w:tc>
          <w:tcPr>
            <w:tcW w:w="2913" w:type="pct"/>
          </w:tcPr>
          <w:p w:rsidR="006574FF" w:rsidRPr="00C806D0" w:rsidRDefault="006574FF" w:rsidP="004442E4">
            <w:pPr>
              <w:spacing w:line="240" w:lineRule="auto"/>
              <w:ind w:left="720"/>
              <w:rPr>
                <w:sz w:val="20"/>
                <w:szCs w:val="20"/>
              </w:rPr>
            </w:pPr>
            <w:r w:rsidRPr="00C806D0">
              <w:rPr>
                <w:sz w:val="20"/>
                <w:szCs w:val="20"/>
              </w:rPr>
              <w:t>8-16 hours</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0.30</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0.15-0.62</w:t>
            </w:r>
          </w:p>
        </w:tc>
      </w:tr>
      <w:tr w:rsidR="006574FF" w:rsidRPr="00C806D0" w:rsidTr="004442E4">
        <w:trPr>
          <w:trHeight w:val="340"/>
        </w:trPr>
        <w:tc>
          <w:tcPr>
            <w:tcW w:w="2913" w:type="pct"/>
          </w:tcPr>
          <w:p w:rsidR="006574FF" w:rsidRPr="00C806D0" w:rsidRDefault="006574FF" w:rsidP="004442E4">
            <w:pPr>
              <w:spacing w:line="240" w:lineRule="auto"/>
              <w:ind w:left="720"/>
              <w:rPr>
                <w:sz w:val="20"/>
                <w:szCs w:val="20"/>
              </w:rPr>
            </w:pPr>
            <w:r w:rsidRPr="00C806D0">
              <w:rPr>
                <w:sz w:val="20"/>
                <w:szCs w:val="20"/>
              </w:rPr>
              <w:t>&gt;16 hours</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0.57</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0.15-2.22</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Age</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1.06</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1.05-1.06</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ISS</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1.07</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1.05-1.08</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ED hypotension</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4.44</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2.61-7.55</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 xml:space="preserve">ED hypoxia </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1.81</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1.51-2.18</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3</w:t>
            </w:r>
          </w:p>
        </w:tc>
        <w:tc>
          <w:tcPr>
            <w:tcW w:w="1044" w:type="pct"/>
          </w:tcPr>
          <w:p w:rsidR="006574FF" w:rsidRPr="00C806D0" w:rsidRDefault="006574FF" w:rsidP="004442E4">
            <w:pPr>
              <w:spacing w:line="240" w:lineRule="auto"/>
              <w:jc w:val="center"/>
              <w:rPr>
                <w:sz w:val="20"/>
                <w:szCs w:val="20"/>
              </w:rPr>
            </w:pPr>
            <w:r w:rsidRPr="00C806D0">
              <w:rPr>
                <w:sz w:val="20"/>
                <w:szCs w:val="20"/>
              </w:rPr>
              <w:t>Reference: 1.0</w:t>
            </w:r>
          </w:p>
        </w:tc>
        <w:tc>
          <w:tcPr>
            <w:tcW w:w="1043" w:type="pct"/>
          </w:tcPr>
          <w:p w:rsidR="006574FF" w:rsidRPr="00C806D0" w:rsidRDefault="006574FF" w:rsidP="004442E4">
            <w:pPr>
              <w:spacing w:line="240" w:lineRule="auto"/>
              <w:jc w:val="center"/>
              <w:rPr>
                <w:sz w:val="20"/>
                <w:szCs w:val="20"/>
              </w:rPr>
            </w:pPr>
            <w:r w:rsidRPr="00C806D0">
              <w:rPr>
                <w:sz w:val="20"/>
                <w:szCs w:val="20"/>
              </w:rPr>
              <w:t>-</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4</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0.69</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0.38-1.26</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5</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0.38</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0.21-0.7</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GCS6</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0.17</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0.1-0.31</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GCS7</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0.16</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0.1-0.28</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8</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0.10</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0.06-0.17</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9</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0.09</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0.05-0.16</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10</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0.07</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0.04-0.12</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11</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0.10</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0.06-0.17</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12</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0.07</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0.04-0.12</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13</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0.03</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0.02-0.05</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14</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0.03</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0.02-0.04</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GCS 15</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0.02</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0.01-0.03</w:t>
            </w:r>
          </w:p>
        </w:tc>
      </w:tr>
      <w:tr w:rsidR="006574FF" w:rsidRPr="00C806D0" w:rsidTr="004442E4">
        <w:trPr>
          <w:trHeight w:val="340"/>
        </w:trPr>
        <w:tc>
          <w:tcPr>
            <w:tcW w:w="2913" w:type="pct"/>
          </w:tcPr>
          <w:p w:rsidR="006574FF" w:rsidRPr="00C806D0" w:rsidRDefault="007B7679" w:rsidP="007B7679">
            <w:pPr>
              <w:spacing w:line="240" w:lineRule="auto"/>
              <w:rPr>
                <w:sz w:val="20"/>
                <w:szCs w:val="20"/>
              </w:rPr>
            </w:pPr>
            <w:r w:rsidRPr="00C806D0">
              <w:rPr>
                <w:sz w:val="20"/>
                <w:szCs w:val="20"/>
              </w:rPr>
              <w:t>Traumatic subarachnoid haemorhage</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1.81</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1.51-2.18</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Intraventricular haemorrhage</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1.34</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1.05-1.72</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Marshall Score 2</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sz w:val="20"/>
                <w:szCs w:val="20"/>
              </w:rPr>
              <w:t>Reference: 1.0</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Marshall score 3</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1.47</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1.11-1.96</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Marshall score 4</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2.79</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1.99-3.91</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Marshall score 5/6</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4.63</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3.72-5.76</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Marshall score 7*</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7.24</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2.36-22.24</w:t>
            </w:r>
          </w:p>
        </w:tc>
      </w:tr>
      <w:tr w:rsidR="006574FF" w:rsidRPr="00C806D0" w:rsidTr="004442E4">
        <w:trPr>
          <w:trHeight w:val="340"/>
        </w:trPr>
        <w:tc>
          <w:tcPr>
            <w:tcW w:w="2913" w:type="pct"/>
          </w:tcPr>
          <w:p w:rsidR="006574FF" w:rsidRPr="00C806D0" w:rsidRDefault="006574FF" w:rsidP="004442E4">
            <w:pPr>
              <w:spacing w:line="240" w:lineRule="auto"/>
              <w:rPr>
                <w:sz w:val="20"/>
                <w:szCs w:val="20"/>
              </w:rPr>
            </w:pPr>
            <w:r w:rsidRPr="00C806D0">
              <w:rPr>
                <w:sz w:val="20"/>
                <w:szCs w:val="20"/>
              </w:rPr>
              <w:t>Marshall score 8*</w:t>
            </w:r>
          </w:p>
        </w:tc>
        <w:tc>
          <w:tcPr>
            <w:tcW w:w="1044"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2.48</w:t>
            </w:r>
          </w:p>
        </w:tc>
        <w:tc>
          <w:tcPr>
            <w:tcW w:w="1043" w:type="pct"/>
            <w:vAlign w:val="bottom"/>
          </w:tcPr>
          <w:p w:rsidR="006574FF" w:rsidRPr="00C806D0" w:rsidRDefault="006574FF" w:rsidP="004442E4">
            <w:pPr>
              <w:spacing w:line="240" w:lineRule="auto"/>
              <w:jc w:val="center"/>
              <w:rPr>
                <w:rFonts w:ascii="Calibri" w:hAnsi="Calibri"/>
                <w:color w:val="000000"/>
                <w:sz w:val="20"/>
                <w:szCs w:val="20"/>
              </w:rPr>
            </w:pPr>
            <w:r w:rsidRPr="00C806D0">
              <w:rPr>
                <w:rFonts w:ascii="Calibri" w:hAnsi="Calibri"/>
                <w:color w:val="000000"/>
                <w:sz w:val="20"/>
                <w:szCs w:val="20"/>
              </w:rPr>
              <w:t>0.36-17.22</w:t>
            </w:r>
          </w:p>
        </w:tc>
      </w:tr>
    </w:tbl>
    <w:p w:rsidR="007B7679" w:rsidRPr="00C806D0" w:rsidRDefault="006574FF" w:rsidP="006574FF">
      <w:pPr>
        <w:rPr>
          <w:sz w:val="20"/>
          <w:szCs w:val="20"/>
        </w:rPr>
      </w:pPr>
      <w:r w:rsidRPr="00C806D0">
        <w:rPr>
          <w:sz w:val="20"/>
          <w:szCs w:val="20"/>
        </w:rPr>
        <w:t>*Published TARN modification of Marshall score used</w:t>
      </w:r>
      <w:r w:rsidR="007B7679" w:rsidRPr="00C806D0">
        <w:rPr>
          <w:sz w:val="20"/>
          <w:szCs w:val="20"/>
        </w:rPr>
        <w:t>/</w:t>
      </w:r>
    </w:p>
    <w:p w:rsidR="006574FF" w:rsidRPr="00C806D0" w:rsidRDefault="006574FF" w:rsidP="006574FF">
      <w:pPr>
        <w:rPr>
          <w:b/>
          <w:sz w:val="20"/>
          <w:szCs w:val="20"/>
        </w:rPr>
      </w:pPr>
      <w:r w:rsidRPr="00C806D0">
        <w:rPr>
          <w:sz w:val="20"/>
          <w:szCs w:val="20"/>
        </w:rPr>
        <w:t>O</w:t>
      </w:r>
      <w:r w:rsidRPr="00C806D0">
        <w:rPr>
          <w:rFonts w:ascii="Calibri" w:hAnsi="Calibri"/>
          <w:sz w:val="20"/>
          <w:szCs w:val="20"/>
        </w:rPr>
        <w:t>dds ratios &lt;1 favourable indicate decreased mortality.</w:t>
      </w:r>
    </w:p>
    <w:p w:rsidR="006574FF" w:rsidRPr="00C806D0" w:rsidRDefault="006574FF" w:rsidP="006574FF">
      <w:pPr>
        <w:pStyle w:val="Heading4"/>
      </w:pPr>
      <w:r w:rsidRPr="00C806D0">
        <w:lastRenderedPageBreak/>
        <w:t>Secondary analysis results</w:t>
      </w:r>
    </w:p>
    <w:p w:rsidR="006574FF" w:rsidRPr="00C806D0" w:rsidRDefault="006574FF" w:rsidP="006574FF">
      <w:r w:rsidRPr="00C806D0">
        <w:t xml:space="preserve">There was a large proportion of missing data for variables included in the multivariable analysis, varying from 0% for age, </w:t>
      </w:r>
      <w:r w:rsidR="000E7A54" w:rsidRPr="00C806D0">
        <w:rPr>
          <w:sz w:val="20"/>
        </w:rPr>
        <w:t>Marshall S</w:t>
      </w:r>
      <w:r w:rsidRPr="00C806D0">
        <w:rPr>
          <w:sz w:val="20"/>
        </w:rPr>
        <w:t>core</w:t>
      </w:r>
      <w:r w:rsidRPr="00C806D0">
        <w:t xml:space="preserve"> and ISS to 41.6% for the timing of secondary transfers to SNCs (Table D7).  Case-wise missingness for variables included in the multivariable regression modelling varied from 45.4% of cases having no missing data on any variable to 4.3% of cases missing data on </w:t>
      </w:r>
      <w:r w:rsidR="007B7679" w:rsidRPr="00C806D0">
        <w:t xml:space="preserve">at least </w:t>
      </w:r>
      <w:r w:rsidRPr="00C806D0">
        <w:t xml:space="preserve">five </w:t>
      </w:r>
      <w:r w:rsidR="007B7679" w:rsidRPr="00C806D0">
        <w:t>of the</w:t>
      </w:r>
      <w:r w:rsidRPr="00C806D0">
        <w:t xml:space="preserve"> included covariates (Table D8). There were marked differences between complete case patients and those with missing data (Table D9). </w:t>
      </w:r>
    </w:p>
    <w:p w:rsidR="006574FF" w:rsidRPr="00C806D0" w:rsidRDefault="006574FF" w:rsidP="006574FF">
      <w:pPr>
        <w:rPr>
          <w:b/>
        </w:rPr>
      </w:pPr>
    </w:p>
    <w:p w:rsidR="006574FF" w:rsidRPr="00C806D0" w:rsidRDefault="006574FF" w:rsidP="006574FF">
      <w:pPr>
        <w:rPr>
          <w:b/>
        </w:rPr>
      </w:pPr>
      <w:r w:rsidRPr="00C806D0">
        <w:rPr>
          <w:b/>
        </w:rPr>
        <w:t>Table D7. Rates of missing data for important variables in patients with significant TBI directly initially admitted to NSAHs.</w:t>
      </w:r>
    </w:p>
    <w:tbl>
      <w:tblPr>
        <w:tblW w:w="3545" w:type="pct"/>
        <w:jc w:val="center"/>
        <w:tblCellMar>
          <w:left w:w="0" w:type="dxa"/>
          <w:right w:w="0" w:type="dxa"/>
        </w:tblCellMar>
        <w:tblLook w:val="00A0" w:firstRow="1" w:lastRow="0" w:firstColumn="1" w:lastColumn="0" w:noHBand="0" w:noVBand="0"/>
      </w:tblPr>
      <w:tblGrid>
        <w:gridCol w:w="3549"/>
        <w:gridCol w:w="2582"/>
      </w:tblGrid>
      <w:tr w:rsidR="006574FF" w:rsidRPr="00C806D0" w:rsidTr="004442E4">
        <w:trPr>
          <w:trHeight w:val="398"/>
          <w:jc w:val="center"/>
        </w:trPr>
        <w:tc>
          <w:tcPr>
            <w:tcW w:w="2894" w:type="pct"/>
            <w:tcBorders>
              <w:top w:val="single" w:sz="4" w:space="0" w:color="auto"/>
              <w:bottom w:val="single" w:sz="8" w:space="0" w:color="000000"/>
            </w:tcBorders>
            <w:tcMar>
              <w:top w:w="72" w:type="dxa"/>
              <w:left w:w="144" w:type="dxa"/>
              <w:bottom w:w="72" w:type="dxa"/>
              <w:right w:w="144" w:type="dxa"/>
            </w:tcMar>
          </w:tcPr>
          <w:p w:rsidR="006574FF" w:rsidRPr="00C806D0" w:rsidRDefault="006574FF" w:rsidP="004442E4">
            <w:pPr>
              <w:spacing w:line="240" w:lineRule="auto"/>
              <w:rPr>
                <w:b/>
                <w:sz w:val="20"/>
                <w:szCs w:val="20"/>
              </w:rPr>
            </w:pPr>
            <w:r w:rsidRPr="00C806D0">
              <w:rPr>
                <w:b/>
                <w:sz w:val="20"/>
                <w:szCs w:val="20"/>
              </w:rPr>
              <w:t>Patient characteristic</w:t>
            </w:r>
          </w:p>
        </w:tc>
        <w:tc>
          <w:tcPr>
            <w:tcW w:w="2106" w:type="pct"/>
            <w:tcBorders>
              <w:top w:val="single" w:sz="4" w:space="0" w:color="auto"/>
              <w:left w:val="nil"/>
              <w:bottom w:val="single" w:sz="8" w:space="0" w:color="000000"/>
            </w:tcBorders>
          </w:tcPr>
          <w:p w:rsidR="006574FF" w:rsidRPr="00C806D0" w:rsidRDefault="006574FF" w:rsidP="004442E4">
            <w:pPr>
              <w:spacing w:line="240" w:lineRule="auto"/>
              <w:jc w:val="center"/>
              <w:rPr>
                <w:b/>
                <w:sz w:val="20"/>
                <w:szCs w:val="20"/>
              </w:rPr>
            </w:pPr>
            <w:r w:rsidRPr="00C806D0">
              <w:rPr>
                <w:b/>
                <w:sz w:val="20"/>
                <w:szCs w:val="20"/>
              </w:rPr>
              <w:t>Data incompleteness</w:t>
            </w:r>
            <w:r w:rsidR="007B7679" w:rsidRPr="00C806D0">
              <w:rPr>
                <w:b/>
                <w:sz w:val="20"/>
                <w:szCs w:val="20"/>
              </w:rPr>
              <w:t>*</w:t>
            </w:r>
          </w:p>
          <w:p w:rsidR="006574FF" w:rsidRPr="00C806D0" w:rsidRDefault="006574FF" w:rsidP="004442E4">
            <w:pPr>
              <w:spacing w:line="240" w:lineRule="auto"/>
              <w:jc w:val="center"/>
              <w:rPr>
                <w:b/>
                <w:sz w:val="20"/>
                <w:szCs w:val="20"/>
              </w:rPr>
            </w:pPr>
            <w:r w:rsidRPr="00C806D0">
              <w:rPr>
                <w:b/>
                <w:sz w:val="20"/>
                <w:szCs w:val="20"/>
              </w:rPr>
              <w:t>(cases with missing data, %)</w:t>
            </w:r>
          </w:p>
        </w:tc>
      </w:tr>
      <w:tr w:rsidR="006574FF" w:rsidRPr="00C806D0" w:rsidTr="004442E4">
        <w:trPr>
          <w:trHeight w:val="236"/>
          <w:jc w:val="center"/>
        </w:trPr>
        <w:tc>
          <w:tcPr>
            <w:tcW w:w="2894" w:type="pct"/>
            <w:tcMar>
              <w:top w:w="72" w:type="dxa"/>
              <w:left w:w="144" w:type="dxa"/>
              <w:bottom w:w="72" w:type="dxa"/>
              <w:right w:w="144" w:type="dxa"/>
            </w:tcMar>
          </w:tcPr>
          <w:p w:rsidR="006574FF" w:rsidRPr="00C806D0" w:rsidRDefault="006574FF" w:rsidP="004442E4">
            <w:pPr>
              <w:spacing w:line="240" w:lineRule="auto"/>
              <w:rPr>
                <w:sz w:val="20"/>
                <w:szCs w:val="20"/>
              </w:rPr>
            </w:pPr>
            <w:r w:rsidRPr="00C806D0">
              <w:rPr>
                <w:sz w:val="20"/>
                <w:szCs w:val="20"/>
              </w:rPr>
              <w:t xml:space="preserve">Age </w:t>
            </w:r>
          </w:p>
        </w:tc>
        <w:tc>
          <w:tcPr>
            <w:tcW w:w="2106" w:type="pct"/>
            <w:tcBorders>
              <w:left w:val="nil"/>
            </w:tcBorders>
          </w:tcPr>
          <w:p w:rsidR="006574FF" w:rsidRPr="00C806D0" w:rsidRDefault="006574FF" w:rsidP="004442E4">
            <w:pPr>
              <w:spacing w:line="240" w:lineRule="auto"/>
              <w:jc w:val="center"/>
              <w:rPr>
                <w:sz w:val="20"/>
                <w:szCs w:val="20"/>
              </w:rPr>
            </w:pPr>
            <w:r w:rsidRPr="00C806D0">
              <w:rPr>
                <w:sz w:val="20"/>
                <w:szCs w:val="20"/>
              </w:rPr>
              <w:t>0 (0%)</w:t>
            </w:r>
          </w:p>
        </w:tc>
      </w:tr>
      <w:tr w:rsidR="006574FF" w:rsidRPr="00C806D0" w:rsidTr="004442E4">
        <w:trPr>
          <w:trHeight w:val="233"/>
          <w:jc w:val="center"/>
        </w:trPr>
        <w:tc>
          <w:tcPr>
            <w:tcW w:w="2894" w:type="pct"/>
            <w:tcMar>
              <w:top w:w="72" w:type="dxa"/>
              <w:left w:w="144" w:type="dxa"/>
              <w:bottom w:w="72" w:type="dxa"/>
              <w:right w:w="144" w:type="dxa"/>
            </w:tcMar>
          </w:tcPr>
          <w:p w:rsidR="006574FF" w:rsidRPr="00C806D0" w:rsidRDefault="006574FF" w:rsidP="004442E4">
            <w:pPr>
              <w:spacing w:line="240" w:lineRule="auto"/>
              <w:rPr>
                <w:sz w:val="20"/>
                <w:szCs w:val="20"/>
              </w:rPr>
            </w:pPr>
            <w:r w:rsidRPr="00C806D0">
              <w:rPr>
                <w:sz w:val="20"/>
                <w:szCs w:val="20"/>
              </w:rPr>
              <w:t xml:space="preserve">Emergency department GCS </w:t>
            </w:r>
          </w:p>
        </w:tc>
        <w:tc>
          <w:tcPr>
            <w:tcW w:w="2106" w:type="pct"/>
            <w:tcBorders>
              <w:left w:val="nil"/>
            </w:tcBorders>
            <w:vAlign w:val="bottom"/>
          </w:tcPr>
          <w:p w:rsidR="006574FF" w:rsidRPr="00C806D0" w:rsidRDefault="006574FF" w:rsidP="004442E4">
            <w:pPr>
              <w:spacing w:line="240" w:lineRule="auto"/>
              <w:jc w:val="center"/>
              <w:rPr>
                <w:color w:val="000000"/>
                <w:sz w:val="20"/>
                <w:szCs w:val="20"/>
              </w:rPr>
            </w:pPr>
            <w:r w:rsidRPr="00C806D0">
              <w:rPr>
                <w:color w:val="000000"/>
                <w:sz w:val="20"/>
                <w:szCs w:val="20"/>
              </w:rPr>
              <w:t>4,538 (33.7%)</w:t>
            </w:r>
          </w:p>
        </w:tc>
      </w:tr>
      <w:tr w:rsidR="006574FF" w:rsidRPr="00C806D0" w:rsidTr="004442E4">
        <w:trPr>
          <w:trHeight w:val="288"/>
          <w:jc w:val="center"/>
        </w:trPr>
        <w:tc>
          <w:tcPr>
            <w:tcW w:w="2894" w:type="pct"/>
            <w:tcMar>
              <w:top w:w="72" w:type="dxa"/>
              <w:left w:w="144" w:type="dxa"/>
              <w:bottom w:w="72" w:type="dxa"/>
              <w:right w:w="144" w:type="dxa"/>
            </w:tcMar>
          </w:tcPr>
          <w:p w:rsidR="006574FF" w:rsidRPr="00C806D0" w:rsidRDefault="006574FF" w:rsidP="004442E4">
            <w:pPr>
              <w:spacing w:line="240" w:lineRule="auto"/>
              <w:rPr>
                <w:sz w:val="20"/>
                <w:szCs w:val="20"/>
              </w:rPr>
            </w:pPr>
            <w:r w:rsidRPr="00C806D0">
              <w:rPr>
                <w:sz w:val="20"/>
                <w:szCs w:val="20"/>
              </w:rPr>
              <w:t>Emergency department hypotension</w:t>
            </w:r>
          </w:p>
        </w:tc>
        <w:tc>
          <w:tcPr>
            <w:tcW w:w="2106" w:type="pct"/>
            <w:tcBorders>
              <w:left w:val="nil"/>
            </w:tcBorders>
            <w:vAlign w:val="bottom"/>
          </w:tcPr>
          <w:p w:rsidR="006574FF" w:rsidRPr="00C806D0" w:rsidRDefault="006574FF" w:rsidP="004442E4">
            <w:pPr>
              <w:spacing w:line="240" w:lineRule="auto"/>
              <w:jc w:val="center"/>
              <w:rPr>
                <w:color w:val="000000"/>
                <w:sz w:val="20"/>
                <w:szCs w:val="20"/>
              </w:rPr>
            </w:pPr>
            <w:r w:rsidRPr="00C806D0">
              <w:rPr>
                <w:color w:val="000000"/>
                <w:sz w:val="20"/>
                <w:szCs w:val="20"/>
              </w:rPr>
              <w:t>4,163 (30.1%)</w:t>
            </w:r>
          </w:p>
        </w:tc>
      </w:tr>
      <w:tr w:rsidR="006574FF" w:rsidRPr="00C806D0" w:rsidTr="004442E4">
        <w:trPr>
          <w:trHeight w:val="259"/>
          <w:jc w:val="center"/>
        </w:trPr>
        <w:tc>
          <w:tcPr>
            <w:tcW w:w="2894" w:type="pct"/>
            <w:tcMar>
              <w:top w:w="72" w:type="dxa"/>
              <w:left w:w="144" w:type="dxa"/>
              <w:bottom w:w="72" w:type="dxa"/>
              <w:right w:w="144" w:type="dxa"/>
            </w:tcMar>
          </w:tcPr>
          <w:p w:rsidR="006574FF" w:rsidRPr="00C806D0" w:rsidRDefault="006574FF" w:rsidP="004442E4">
            <w:pPr>
              <w:spacing w:line="240" w:lineRule="auto"/>
              <w:rPr>
                <w:sz w:val="20"/>
                <w:szCs w:val="20"/>
              </w:rPr>
            </w:pPr>
            <w:r w:rsidRPr="00C806D0">
              <w:rPr>
                <w:sz w:val="20"/>
                <w:szCs w:val="20"/>
              </w:rPr>
              <w:t>Emergency department hypoxia</w:t>
            </w:r>
          </w:p>
        </w:tc>
        <w:tc>
          <w:tcPr>
            <w:tcW w:w="2106" w:type="pct"/>
            <w:tcBorders>
              <w:left w:val="nil"/>
            </w:tcBorders>
            <w:vAlign w:val="bottom"/>
          </w:tcPr>
          <w:p w:rsidR="006574FF" w:rsidRPr="00C806D0" w:rsidRDefault="006574FF" w:rsidP="004442E4">
            <w:pPr>
              <w:spacing w:line="240" w:lineRule="auto"/>
              <w:jc w:val="center"/>
              <w:rPr>
                <w:color w:val="000000"/>
                <w:sz w:val="20"/>
                <w:szCs w:val="20"/>
              </w:rPr>
            </w:pPr>
            <w:r w:rsidRPr="00C806D0">
              <w:rPr>
                <w:color w:val="000000"/>
                <w:sz w:val="20"/>
                <w:szCs w:val="20"/>
              </w:rPr>
              <w:t>4,774 (35.5%)</w:t>
            </w:r>
          </w:p>
        </w:tc>
      </w:tr>
      <w:tr w:rsidR="006574FF" w:rsidRPr="00C806D0" w:rsidTr="004442E4">
        <w:trPr>
          <w:trHeight w:val="293"/>
          <w:jc w:val="center"/>
        </w:trPr>
        <w:tc>
          <w:tcPr>
            <w:tcW w:w="2894" w:type="pct"/>
            <w:tcMar>
              <w:top w:w="72" w:type="dxa"/>
              <w:left w:w="144" w:type="dxa"/>
              <w:bottom w:w="72" w:type="dxa"/>
              <w:right w:w="144" w:type="dxa"/>
            </w:tcMar>
          </w:tcPr>
          <w:p w:rsidR="006574FF" w:rsidRPr="00C806D0" w:rsidRDefault="006574FF" w:rsidP="004442E4">
            <w:pPr>
              <w:spacing w:line="240" w:lineRule="auto"/>
              <w:rPr>
                <w:sz w:val="20"/>
                <w:szCs w:val="20"/>
              </w:rPr>
            </w:pPr>
            <w:r w:rsidRPr="00C806D0">
              <w:rPr>
                <w:sz w:val="20"/>
                <w:szCs w:val="20"/>
              </w:rPr>
              <w:t>ISS</w:t>
            </w:r>
          </w:p>
        </w:tc>
        <w:tc>
          <w:tcPr>
            <w:tcW w:w="2106" w:type="pct"/>
            <w:tcBorders>
              <w:left w:val="nil"/>
            </w:tcBorders>
          </w:tcPr>
          <w:p w:rsidR="006574FF" w:rsidRPr="00C806D0" w:rsidRDefault="006574FF" w:rsidP="004442E4">
            <w:pPr>
              <w:spacing w:line="240" w:lineRule="auto"/>
              <w:jc w:val="center"/>
              <w:rPr>
                <w:sz w:val="20"/>
                <w:szCs w:val="20"/>
              </w:rPr>
            </w:pPr>
            <w:r w:rsidRPr="00C806D0">
              <w:rPr>
                <w:sz w:val="20"/>
                <w:szCs w:val="20"/>
              </w:rPr>
              <w:t>0 (0%)</w:t>
            </w:r>
          </w:p>
        </w:tc>
      </w:tr>
      <w:tr w:rsidR="006574FF" w:rsidRPr="00C806D0" w:rsidTr="004442E4">
        <w:trPr>
          <w:trHeight w:val="285"/>
          <w:jc w:val="center"/>
        </w:trPr>
        <w:tc>
          <w:tcPr>
            <w:tcW w:w="2894" w:type="pct"/>
            <w:tcMar>
              <w:top w:w="72" w:type="dxa"/>
              <w:left w:w="144" w:type="dxa"/>
              <w:bottom w:w="72" w:type="dxa"/>
              <w:right w:w="144" w:type="dxa"/>
            </w:tcMar>
          </w:tcPr>
          <w:p w:rsidR="006574FF" w:rsidRPr="00C806D0" w:rsidRDefault="006574FF" w:rsidP="004442E4">
            <w:pPr>
              <w:spacing w:line="240" w:lineRule="auto"/>
              <w:rPr>
                <w:sz w:val="20"/>
                <w:szCs w:val="20"/>
              </w:rPr>
            </w:pPr>
            <w:r w:rsidRPr="00C806D0">
              <w:rPr>
                <w:sz w:val="20"/>
                <w:szCs w:val="20"/>
              </w:rPr>
              <w:t>Marshall score</w:t>
            </w:r>
          </w:p>
        </w:tc>
        <w:tc>
          <w:tcPr>
            <w:tcW w:w="2106" w:type="pct"/>
            <w:tcBorders>
              <w:left w:val="nil"/>
            </w:tcBorders>
          </w:tcPr>
          <w:p w:rsidR="006574FF" w:rsidRPr="00C806D0" w:rsidRDefault="006574FF" w:rsidP="004442E4">
            <w:pPr>
              <w:spacing w:line="240" w:lineRule="auto"/>
              <w:jc w:val="center"/>
              <w:rPr>
                <w:sz w:val="20"/>
                <w:szCs w:val="20"/>
              </w:rPr>
            </w:pPr>
            <w:r w:rsidRPr="00C806D0">
              <w:rPr>
                <w:sz w:val="20"/>
                <w:szCs w:val="20"/>
              </w:rPr>
              <w:t>0 (0%)</w:t>
            </w:r>
          </w:p>
        </w:tc>
      </w:tr>
      <w:tr w:rsidR="006574FF" w:rsidRPr="00C806D0" w:rsidTr="004442E4">
        <w:trPr>
          <w:trHeight w:val="285"/>
          <w:jc w:val="center"/>
        </w:trPr>
        <w:tc>
          <w:tcPr>
            <w:tcW w:w="2894" w:type="pct"/>
            <w:tcMar>
              <w:top w:w="72" w:type="dxa"/>
              <w:left w:w="144" w:type="dxa"/>
              <w:bottom w:w="72" w:type="dxa"/>
              <w:right w:w="144" w:type="dxa"/>
            </w:tcMar>
          </w:tcPr>
          <w:p w:rsidR="006574FF" w:rsidRPr="00C806D0" w:rsidRDefault="006574FF" w:rsidP="004442E4">
            <w:pPr>
              <w:spacing w:line="240" w:lineRule="auto"/>
              <w:rPr>
                <w:sz w:val="20"/>
                <w:szCs w:val="20"/>
              </w:rPr>
            </w:pPr>
            <w:r w:rsidRPr="00C806D0">
              <w:rPr>
                <w:sz w:val="20"/>
                <w:szCs w:val="20"/>
              </w:rPr>
              <w:t>Traumatic subarachnoid haemorrhage</w:t>
            </w:r>
          </w:p>
        </w:tc>
        <w:tc>
          <w:tcPr>
            <w:tcW w:w="2106" w:type="pct"/>
            <w:tcBorders>
              <w:left w:val="nil"/>
            </w:tcBorders>
          </w:tcPr>
          <w:p w:rsidR="006574FF" w:rsidRPr="00C806D0" w:rsidRDefault="006574FF" w:rsidP="004442E4">
            <w:pPr>
              <w:spacing w:line="240" w:lineRule="auto"/>
              <w:jc w:val="center"/>
              <w:rPr>
                <w:sz w:val="20"/>
                <w:szCs w:val="20"/>
              </w:rPr>
            </w:pPr>
            <w:r w:rsidRPr="00C806D0">
              <w:rPr>
                <w:sz w:val="20"/>
                <w:szCs w:val="20"/>
              </w:rPr>
              <w:t>0 (0%)</w:t>
            </w:r>
          </w:p>
        </w:tc>
      </w:tr>
      <w:tr w:rsidR="006574FF" w:rsidRPr="00C806D0" w:rsidTr="004442E4">
        <w:trPr>
          <w:trHeight w:val="285"/>
          <w:jc w:val="center"/>
        </w:trPr>
        <w:tc>
          <w:tcPr>
            <w:tcW w:w="2894" w:type="pct"/>
            <w:tcMar>
              <w:top w:w="72" w:type="dxa"/>
              <w:left w:w="144" w:type="dxa"/>
              <w:bottom w:w="72" w:type="dxa"/>
              <w:right w:w="144" w:type="dxa"/>
            </w:tcMar>
          </w:tcPr>
          <w:p w:rsidR="006574FF" w:rsidRPr="00C806D0" w:rsidRDefault="006574FF" w:rsidP="004442E4">
            <w:pPr>
              <w:spacing w:line="240" w:lineRule="auto"/>
              <w:rPr>
                <w:sz w:val="20"/>
                <w:szCs w:val="20"/>
              </w:rPr>
            </w:pPr>
            <w:r w:rsidRPr="00C806D0">
              <w:rPr>
                <w:sz w:val="20"/>
                <w:szCs w:val="20"/>
              </w:rPr>
              <w:t>Traumatic intraventricular haemorrhage</w:t>
            </w:r>
          </w:p>
        </w:tc>
        <w:tc>
          <w:tcPr>
            <w:tcW w:w="2106" w:type="pct"/>
            <w:tcBorders>
              <w:left w:val="nil"/>
            </w:tcBorders>
          </w:tcPr>
          <w:p w:rsidR="006574FF" w:rsidRPr="00C806D0" w:rsidRDefault="006574FF" w:rsidP="004442E4">
            <w:pPr>
              <w:spacing w:line="240" w:lineRule="auto"/>
              <w:jc w:val="center"/>
              <w:rPr>
                <w:sz w:val="20"/>
                <w:szCs w:val="20"/>
              </w:rPr>
            </w:pPr>
            <w:r w:rsidRPr="00C806D0">
              <w:rPr>
                <w:sz w:val="20"/>
                <w:szCs w:val="20"/>
              </w:rPr>
              <w:t>0 (0%)</w:t>
            </w:r>
          </w:p>
        </w:tc>
      </w:tr>
      <w:tr w:rsidR="006574FF" w:rsidRPr="00C806D0" w:rsidTr="004442E4">
        <w:trPr>
          <w:trHeight w:val="285"/>
          <w:jc w:val="center"/>
        </w:trPr>
        <w:tc>
          <w:tcPr>
            <w:tcW w:w="2894" w:type="pct"/>
            <w:tcMar>
              <w:top w:w="72" w:type="dxa"/>
              <w:left w:w="144" w:type="dxa"/>
              <w:bottom w:w="72" w:type="dxa"/>
              <w:right w:w="144" w:type="dxa"/>
            </w:tcMar>
          </w:tcPr>
          <w:p w:rsidR="006574FF" w:rsidRPr="00C806D0" w:rsidRDefault="006574FF" w:rsidP="004442E4">
            <w:pPr>
              <w:spacing w:line="240" w:lineRule="auto"/>
              <w:rPr>
                <w:sz w:val="20"/>
                <w:szCs w:val="20"/>
              </w:rPr>
            </w:pPr>
            <w:r w:rsidRPr="00C806D0">
              <w:rPr>
                <w:sz w:val="20"/>
                <w:szCs w:val="20"/>
              </w:rPr>
              <w:t>Secondary transfer timing</w:t>
            </w:r>
          </w:p>
        </w:tc>
        <w:tc>
          <w:tcPr>
            <w:tcW w:w="2106" w:type="pct"/>
            <w:tcBorders>
              <w:left w:val="nil"/>
            </w:tcBorders>
          </w:tcPr>
          <w:p w:rsidR="006574FF" w:rsidRPr="00C806D0" w:rsidRDefault="006574FF" w:rsidP="004442E4">
            <w:pPr>
              <w:spacing w:line="240" w:lineRule="auto"/>
              <w:jc w:val="center"/>
              <w:rPr>
                <w:sz w:val="20"/>
                <w:szCs w:val="20"/>
              </w:rPr>
            </w:pPr>
            <w:r w:rsidRPr="00C806D0">
              <w:rPr>
                <w:sz w:val="20"/>
                <w:szCs w:val="20"/>
              </w:rPr>
              <w:t>5,594 (41.6%)</w:t>
            </w:r>
          </w:p>
        </w:tc>
      </w:tr>
      <w:tr w:rsidR="006574FF" w:rsidRPr="00C806D0" w:rsidTr="004442E4">
        <w:trPr>
          <w:trHeight w:val="404"/>
          <w:jc w:val="center"/>
        </w:trPr>
        <w:tc>
          <w:tcPr>
            <w:tcW w:w="2894" w:type="pct"/>
            <w:tcBorders>
              <w:bottom w:val="single" w:sz="4" w:space="0" w:color="auto"/>
            </w:tcBorders>
            <w:tcMar>
              <w:top w:w="72" w:type="dxa"/>
              <w:left w:w="144" w:type="dxa"/>
              <w:bottom w:w="72" w:type="dxa"/>
              <w:right w:w="144" w:type="dxa"/>
            </w:tcMar>
          </w:tcPr>
          <w:p w:rsidR="006574FF" w:rsidRPr="00C806D0" w:rsidRDefault="006574FF" w:rsidP="004442E4">
            <w:pPr>
              <w:spacing w:line="240" w:lineRule="auto"/>
              <w:rPr>
                <w:sz w:val="20"/>
                <w:szCs w:val="20"/>
              </w:rPr>
            </w:pPr>
            <w:r w:rsidRPr="00C806D0">
              <w:rPr>
                <w:sz w:val="20"/>
                <w:szCs w:val="20"/>
              </w:rPr>
              <w:t>Mortality</w:t>
            </w:r>
          </w:p>
        </w:tc>
        <w:tc>
          <w:tcPr>
            <w:tcW w:w="2106" w:type="pct"/>
            <w:tcBorders>
              <w:left w:val="nil"/>
              <w:bottom w:val="single" w:sz="4" w:space="0" w:color="auto"/>
            </w:tcBorders>
          </w:tcPr>
          <w:p w:rsidR="006574FF" w:rsidRPr="00C806D0" w:rsidRDefault="006574FF" w:rsidP="004442E4">
            <w:pPr>
              <w:spacing w:line="240" w:lineRule="auto"/>
              <w:jc w:val="center"/>
              <w:rPr>
                <w:sz w:val="20"/>
                <w:szCs w:val="20"/>
              </w:rPr>
            </w:pPr>
            <w:r w:rsidRPr="00C806D0">
              <w:rPr>
                <w:sz w:val="20"/>
                <w:szCs w:val="20"/>
              </w:rPr>
              <w:t>1,839 (13.7%)</w:t>
            </w:r>
          </w:p>
        </w:tc>
      </w:tr>
    </w:tbl>
    <w:p w:rsidR="007B7679" w:rsidRPr="00C806D0" w:rsidRDefault="007B7679" w:rsidP="007B7679">
      <w:pPr>
        <w:ind w:left="720" w:firstLine="720"/>
      </w:pPr>
      <w:r w:rsidRPr="00C806D0">
        <w:t>*Total eligible sample n=13,460</w:t>
      </w:r>
    </w:p>
    <w:p w:rsidR="006574FF" w:rsidRPr="00C806D0" w:rsidRDefault="006574FF" w:rsidP="006574FF"/>
    <w:p w:rsidR="006574FF" w:rsidRPr="00C806D0" w:rsidRDefault="006574FF" w:rsidP="006574FF">
      <w:pPr>
        <w:rPr>
          <w:b/>
        </w:rPr>
      </w:pPr>
      <w:r w:rsidRPr="00C806D0">
        <w:rPr>
          <w:b/>
        </w:rPr>
        <w:t xml:space="preserve">Table D8. Case-wise missingness in variables included in multivariable regression examining he association between secondary transfer timing and mortality </w:t>
      </w:r>
    </w:p>
    <w:tbl>
      <w:tblPr>
        <w:tblW w:w="4767" w:type="pct"/>
        <w:tblCellMar>
          <w:left w:w="0" w:type="dxa"/>
          <w:right w:w="0" w:type="dxa"/>
        </w:tblCellMar>
        <w:tblLook w:val="00A0" w:firstRow="1" w:lastRow="0" w:firstColumn="1" w:lastColumn="0" w:noHBand="0" w:noVBand="0"/>
      </w:tblPr>
      <w:tblGrid>
        <w:gridCol w:w="3249"/>
        <w:gridCol w:w="2498"/>
        <w:gridCol w:w="2498"/>
      </w:tblGrid>
      <w:tr w:rsidR="006574FF" w:rsidRPr="00C806D0" w:rsidTr="004442E4">
        <w:trPr>
          <w:trHeight w:val="398"/>
        </w:trPr>
        <w:tc>
          <w:tcPr>
            <w:tcW w:w="1970" w:type="pct"/>
            <w:tcBorders>
              <w:top w:val="single" w:sz="4" w:space="0" w:color="auto"/>
              <w:bottom w:val="single" w:sz="8" w:space="0" w:color="000000"/>
            </w:tcBorders>
            <w:tcMar>
              <w:top w:w="72" w:type="dxa"/>
              <w:left w:w="144" w:type="dxa"/>
              <w:bottom w:w="72" w:type="dxa"/>
              <w:right w:w="144" w:type="dxa"/>
            </w:tcMar>
          </w:tcPr>
          <w:p w:rsidR="006574FF" w:rsidRPr="00C806D0" w:rsidRDefault="006574FF" w:rsidP="004442E4">
            <w:pPr>
              <w:pStyle w:val="NoSpacing"/>
              <w:rPr>
                <w:b/>
                <w:sz w:val="20"/>
                <w:szCs w:val="20"/>
              </w:rPr>
            </w:pPr>
            <w:r w:rsidRPr="00C806D0">
              <w:rPr>
                <w:b/>
                <w:sz w:val="20"/>
                <w:szCs w:val="20"/>
              </w:rPr>
              <w:t>Number of variables missing</w:t>
            </w:r>
          </w:p>
        </w:tc>
        <w:tc>
          <w:tcPr>
            <w:tcW w:w="1515" w:type="pct"/>
            <w:tcBorders>
              <w:top w:val="single" w:sz="4" w:space="0" w:color="auto"/>
              <w:left w:val="nil"/>
              <w:bottom w:val="single" w:sz="8" w:space="0" w:color="000000"/>
            </w:tcBorders>
          </w:tcPr>
          <w:p w:rsidR="006574FF" w:rsidRPr="00C806D0" w:rsidRDefault="006574FF" w:rsidP="004442E4">
            <w:pPr>
              <w:pStyle w:val="NoSpacing"/>
              <w:rPr>
                <w:b/>
                <w:sz w:val="20"/>
                <w:szCs w:val="20"/>
              </w:rPr>
            </w:pPr>
            <w:r w:rsidRPr="00C806D0">
              <w:rPr>
                <w:b/>
                <w:sz w:val="20"/>
                <w:szCs w:val="20"/>
              </w:rPr>
              <w:t>Data completeness</w:t>
            </w:r>
            <w:r w:rsidR="007B7679" w:rsidRPr="00C806D0">
              <w:rPr>
                <w:b/>
                <w:sz w:val="20"/>
                <w:szCs w:val="20"/>
              </w:rPr>
              <w:t>*</w:t>
            </w:r>
          </w:p>
          <w:p w:rsidR="006574FF" w:rsidRPr="00C806D0" w:rsidRDefault="006574FF" w:rsidP="004442E4">
            <w:pPr>
              <w:pStyle w:val="NoSpacing"/>
              <w:rPr>
                <w:b/>
                <w:sz w:val="20"/>
                <w:szCs w:val="20"/>
              </w:rPr>
            </w:pPr>
            <w:r w:rsidRPr="00C806D0">
              <w:rPr>
                <w:b/>
                <w:sz w:val="20"/>
                <w:szCs w:val="20"/>
              </w:rPr>
              <w:t xml:space="preserve"> (n)</w:t>
            </w:r>
          </w:p>
        </w:tc>
        <w:tc>
          <w:tcPr>
            <w:tcW w:w="1515" w:type="pct"/>
            <w:tcBorders>
              <w:top w:val="single" w:sz="4" w:space="0" w:color="auto"/>
              <w:left w:val="nil"/>
              <w:bottom w:val="single" w:sz="8" w:space="0" w:color="000000"/>
            </w:tcBorders>
          </w:tcPr>
          <w:p w:rsidR="006574FF" w:rsidRPr="00C806D0" w:rsidRDefault="006574FF" w:rsidP="004442E4">
            <w:pPr>
              <w:pStyle w:val="NoSpacing"/>
              <w:rPr>
                <w:b/>
                <w:sz w:val="20"/>
                <w:szCs w:val="20"/>
              </w:rPr>
            </w:pPr>
          </w:p>
          <w:p w:rsidR="006574FF" w:rsidRPr="00C806D0" w:rsidRDefault="006574FF" w:rsidP="004442E4">
            <w:pPr>
              <w:pStyle w:val="NoSpacing"/>
              <w:rPr>
                <w:b/>
                <w:sz w:val="20"/>
                <w:szCs w:val="20"/>
              </w:rPr>
            </w:pPr>
            <w:r w:rsidRPr="00C806D0">
              <w:rPr>
                <w:b/>
                <w:sz w:val="20"/>
                <w:szCs w:val="20"/>
              </w:rPr>
              <w:t>(%)</w:t>
            </w:r>
          </w:p>
        </w:tc>
      </w:tr>
      <w:tr w:rsidR="006574FF" w:rsidRPr="00C806D0" w:rsidTr="004442E4">
        <w:trPr>
          <w:trHeight w:val="236"/>
        </w:trPr>
        <w:tc>
          <w:tcPr>
            <w:tcW w:w="1970" w:type="pct"/>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0</w:t>
            </w:r>
          </w:p>
        </w:tc>
        <w:tc>
          <w:tcPr>
            <w:tcW w:w="1515" w:type="pct"/>
            <w:tcBorders>
              <w:left w:val="nil"/>
            </w:tcBorders>
          </w:tcPr>
          <w:p w:rsidR="006574FF" w:rsidRPr="00C806D0" w:rsidRDefault="006574FF" w:rsidP="004442E4">
            <w:pPr>
              <w:spacing w:line="240" w:lineRule="auto"/>
              <w:rPr>
                <w:sz w:val="20"/>
                <w:szCs w:val="20"/>
              </w:rPr>
            </w:pPr>
            <w:r w:rsidRPr="00C806D0">
              <w:rPr>
                <w:sz w:val="20"/>
                <w:szCs w:val="20"/>
              </w:rPr>
              <w:t>6,116</w:t>
            </w:r>
          </w:p>
        </w:tc>
        <w:tc>
          <w:tcPr>
            <w:tcW w:w="1515" w:type="pct"/>
            <w:tcBorders>
              <w:left w:val="nil"/>
            </w:tcBorders>
          </w:tcPr>
          <w:p w:rsidR="006574FF" w:rsidRPr="00C806D0" w:rsidRDefault="006574FF" w:rsidP="004442E4">
            <w:pPr>
              <w:spacing w:line="240" w:lineRule="auto"/>
              <w:rPr>
                <w:sz w:val="20"/>
                <w:szCs w:val="20"/>
              </w:rPr>
            </w:pPr>
            <w:r w:rsidRPr="00C806D0">
              <w:rPr>
                <w:sz w:val="20"/>
                <w:szCs w:val="20"/>
              </w:rPr>
              <w:t>45.4</w:t>
            </w:r>
          </w:p>
        </w:tc>
      </w:tr>
      <w:tr w:rsidR="006574FF" w:rsidRPr="00C806D0" w:rsidTr="004442E4">
        <w:trPr>
          <w:trHeight w:val="286"/>
        </w:trPr>
        <w:tc>
          <w:tcPr>
            <w:tcW w:w="1970" w:type="pct"/>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1</w:t>
            </w:r>
          </w:p>
        </w:tc>
        <w:tc>
          <w:tcPr>
            <w:tcW w:w="1515" w:type="pct"/>
            <w:tcBorders>
              <w:left w:val="nil"/>
            </w:tcBorders>
          </w:tcPr>
          <w:p w:rsidR="006574FF" w:rsidRPr="00C806D0" w:rsidRDefault="006574FF" w:rsidP="004442E4">
            <w:pPr>
              <w:spacing w:line="240" w:lineRule="auto"/>
              <w:rPr>
                <w:sz w:val="20"/>
                <w:szCs w:val="20"/>
              </w:rPr>
            </w:pPr>
            <w:r w:rsidRPr="00C806D0">
              <w:rPr>
                <w:sz w:val="20"/>
                <w:szCs w:val="20"/>
              </w:rPr>
              <w:t>1,852</w:t>
            </w:r>
          </w:p>
        </w:tc>
        <w:tc>
          <w:tcPr>
            <w:tcW w:w="1515" w:type="pct"/>
            <w:tcBorders>
              <w:left w:val="nil"/>
            </w:tcBorders>
          </w:tcPr>
          <w:p w:rsidR="006574FF" w:rsidRPr="00C806D0" w:rsidRDefault="006574FF" w:rsidP="004442E4">
            <w:pPr>
              <w:spacing w:line="240" w:lineRule="auto"/>
              <w:rPr>
                <w:sz w:val="20"/>
                <w:szCs w:val="20"/>
              </w:rPr>
            </w:pPr>
            <w:r w:rsidRPr="00C806D0">
              <w:rPr>
                <w:sz w:val="20"/>
                <w:szCs w:val="20"/>
              </w:rPr>
              <w:t>13.8</w:t>
            </w:r>
          </w:p>
        </w:tc>
      </w:tr>
      <w:tr w:rsidR="006574FF" w:rsidRPr="00C806D0" w:rsidTr="004442E4">
        <w:trPr>
          <w:trHeight w:val="233"/>
        </w:trPr>
        <w:tc>
          <w:tcPr>
            <w:tcW w:w="1970" w:type="pct"/>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2</w:t>
            </w:r>
          </w:p>
        </w:tc>
        <w:tc>
          <w:tcPr>
            <w:tcW w:w="1515" w:type="pct"/>
            <w:tcBorders>
              <w:left w:val="nil"/>
            </w:tcBorders>
          </w:tcPr>
          <w:p w:rsidR="006574FF" w:rsidRPr="00C806D0" w:rsidRDefault="006574FF" w:rsidP="004442E4">
            <w:pPr>
              <w:spacing w:line="240" w:lineRule="auto"/>
              <w:rPr>
                <w:sz w:val="20"/>
                <w:szCs w:val="20"/>
              </w:rPr>
            </w:pPr>
            <w:r w:rsidRPr="00C806D0">
              <w:rPr>
                <w:sz w:val="20"/>
                <w:szCs w:val="20"/>
              </w:rPr>
              <w:t>1,381</w:t>
            </w:r>
          </w:p>
        </w:tc>
        <w:tc>
          <w:tcPr>
            <w:tcW w:w="1515" w:type="pct"/>
            <w:tcBorders>
              <w:left w:val="nil"/>
            </w:tcBorders>
          </w:tcPr>
          <w:p w:rsidR="006574FF" w:rsidRPr="00C806D0" w:rsidRDefault="006574FF" w:rsidP="004442E4">
            <w:pPr>
              <w:spacing w:line="240" w:lineRule="auto"/>
              <w:rPr>
                <w:sz w:val="20"/>
                <w:szCs w:val="20"/>
              </w:rPr>
            </w:pPr>
            <w:r w:rsidRPr="00C806D0">
              <w:rPr>
                <w:sz w:val="20"/>
                <w:szCs w:val="20"/>
              </w:rPr>
              <w:t>10.3</w:t>
            </w:r>
          </w:p>
        </w:tc>
      </w:tr>
      <w:tr w:rsidR="006574FF" w:rsidRPr="00C806D0" w:rsidTr="004442E4">
        <w:trPr>
          <w:trHeight w:val="192"/>
        </w:trPr>
        <w:tc>
          <w:tcPr>
            <w:tcW w:w="1970" w:type="pct"/>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3</w:t>
            </w:r>
          </w:p>
        </w:tc>
        <w:tc>
          <w:tcPr>
            <w:tcW w:w="1515" w:type="pct"/>
            <w:tcBorders>
              <w:left w:val="nil"/>
            </w:tcBorders>
          </w:tcPr>
          <w:p w:rsidR="006574FF" w:rsidRPr="00C806D0" w:rsidRDefault="006574FF" w:rsidP="004442E4">
            <w:pPr>
              <w:spacing w:line="240" w:lineRule="auto"/>
              <w:rPr>
                <w:sz w:val="20"/>
                <w:szCs w:val="20"/>
              </w:rPr>
            </w:pPr>
            <w:r w:rsidRPr="00C806D0">
              <w:rPr>
                <w:sz w:val="20"/>
                <w:szCs w:val="20"/>
              </w:rPr>
              <w:t>730</w:t>
            </w:r>
          </w:p>
        </w:tc>
        <w:tc>
          <w:tcPr>
            <w:tcW w:w="1515" w:type="pct"/>
            <w:tcBorders>
              <w:left w:val="nil"/>
            </w:tcBorders>
          </w:tcPr>
          <w:p w:rsidR="006574FF" w:rsidRPr="00C806D0" w:rsidRDefault="006574FF" w:rsidP="004442E4">
            <w:pPr>
              <w:spacing w:line="240" w:lineRule="auto"/>
              <w:rPr>
                <w:sz w:val="20"/>
                <w:szCs w:val="20"/>
              </w:rPr>
            </w:pPr>
            <w:r w:rsidRPr="00C806D0">
              <w:rPr>
                <w:sz w:val="20"/>
                <w:szCs w:val="20"/>
              </w:rPr>
              <w:t>5.4</w:t>
            </w:r>
          </w:p>
        </w:tc>
      </w:tr>
      <w:tr w:rsidR="006574FF" w:rsidRPr="00C806D0" w:rsidTr="004442E4">
        <w:trPr>
          <w:trHeight w:val="288"/>
        </w:trPr>
        <w:tc>
          <w:tcPr>
            <w:tcW w:w="1970" w:type="pct"/>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4</w:t>
            </w:r>
          </w:p>
        </w:tc>
        <w:tc>
          <w:tcPr>
            <w:tcW w:w="1515" w:type="pct"/>
            <w:tcBorders>
              <w:left w:val="nil"/>
            </w:tcBorders>
          </w:tcPr>
          <w:p w:rsidR="006574FF" w:rsidRPr="00C806D0" w:rsidRDefault="006574FF" w:rsidP="004442E4">
            <w:pPr>
              <w:spacing w:line="240" w:lineRule="auto"/>
              <w:rPr>
                <w:sz w:val="20"/>
                <w:szCs w:val="20"/>
              </w:rPr>
            </w:pPr>
            <w:r w:rsidRPr="00C806D0">
              <w:rPr>
                <w:sz w:val="20"/>
                <w:szCs w:val="20"/>
              </w:rPr>
              <w:t>2,801</w:t>
            </w:r>
          </w:p>
        </w:tc>
        <w:tc>
          <w:tcPr>
            <w:tcW w:w="1515" w:type="pct"/>
            <w:tcBorders>
              <w:left w:val="nil"/>
            </w:tcBorders>
          </w:tcPr>
          <w:p w:rsidR="006574FF" w:rsidRPr="00C806D0" w:rsidRDefault="006574FF" w:rsidP="004442E4">
            <w:pPr>
              <w:spacing w:line="240" w:lineRule="auto"/>
              <w:rPr>
                <w:sz w:val="20"/>
                <w:szCs w:val="20"/>
              </w:rPr>
            </w:pPr>
            <w:r w:rsidRPr="00C806D0">
              <w:rPr>
                <w:sz w:val="20"/>
                <w:szCs w:val="20"/>
              </w:rPr>
              <w:t>20.8</w:t>
            </w:r>
          </w:p>
        </w:tc>
      </w:tr>
      <w:tr w:rsidR="006574FF" w:rsidRPr="00C806D0" w:rsidTr="004442E4">
        <w:trPr>
          <w:trHeight w:val="288"/>
        </w:trPr>
        <w:tc>
          <w:tcPr>
            <w:tcW w:w="1970" w:type="pct"/>
            <w:tcBorders>
              <w:bottom w:val="single" w:sz="4" w:space="0" w:color="auto"/>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5</w:t>
            </w:r>
            <w:r w:rsidR="007B7679" w:rsidRPr="00C806D0">
              <w:rPr>
                <w:sz w:val="20"/>
                <w:szCs w:val="20"/>
              </w:rPr>
              <w:t>+</w:t>
            </w:r>
          </w:p>
        </w:tc>
        <w:tc>
          <w:tcPr>
            <w:tcW w:w="1515" w:type="pct"/>
            <w:tcBorders>
              <w:left w:val="nil"/>
              <w:bottom w:val="single" w:sz="4" w:space="0" w:color="auto"/>
            </w:tcBorders>
          </w:tcPr>
          <w:p w:rsidR="006574FF" w:rsidRPr="00C806D0" w:rsidRDefault="006574FF" w:rsidP="004442E4">
            <w:pPr>
              <w:spacing w:line="240" w:lineRule="auto"/>
              <w:rPr>
                <w:sz w:val="20"/>
                <w:szCs w:val="20"/>
              </w:rPr>
            </w:pPr>
            <w:r w:rsidRPr="00C806D0">
              <w:rPr>
                <w:sz w:val="20"/>
                <w:szCs w:val="20"/>
              </w:rPr>
              <w:t>580</w:t>
            </w:r>
          </w:p>
        </w:tc>
        <w:tc>
          <w:tcPr>
            <w:tcW w:w="1515" w:type="pct"/>
            <w:tcBorders>
              <w:left w:val="nil"/>
              <w:bottom w:val="single" w:sz="4" w:space="0" w:color="auto"/>
            </w:tcBorders>
          </w:tcPr>
          <w:p w:rsidR="006574FF" w:rsidRPr="00C806D0" w:rsidRDefault="006574FF" w:rsidP="004442E4">
            <w:pPr>
              <w:spacing w:line="240" w:lineRule="auto"/>
              <w:rPr>
                <w:sz w:val="20"/>
                <w:szCs w:val="20"/>
              </w:rPr>
            </w:pPr>
            <w:r w:rsidRPr="00C806D0">
              <w:rPr>
                <w:sz w:val="20"/>
                <w:szCs w:val="20"/>
              </w:rPr>
              <w:t>4.3</w:t>
            </w:r>
          </w:p>
        </w:tc>
      </w:tr>
    </w:tbl>
    <w:p w:rsidR="007B7679" w:rsidRPr="00C806D0" w:rsidRDefault="007B7679" w:rsidP="007B7679">
      <w:r w:rsidRPr="00C806D0">
        <w:t>*Total eligible sample n=13,460</w:t>
      </w:r>
    </w:p>
    <w:p w:rsidR="006574FF" w:rsidRPr="00C806D0" w:rsidRDefault="006574FF" w:rsidP="006574FF">
      <w:r w:rsidRPr="00C806D0">
        <w:rPr>
          <w:b/>
        </w:rPr>
        <w:lastRenderedPageBreak/>
        <w:t xml:space="preserve">Table D9. Comparison of patient characteristics between patients included in the analysis of significant TBI directly initially admitted to NSAHs; and cases excluded for missing outcome or covariate data. </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547"/>
        <w:gridCol w:w="1644"/>
        <w:gridCol w:w="2684"/>
        <w:gridCol w:w="844"/>
      </w:tblGrid>
      <w:tr w:rsidR="006574FF" w:rsidRPr="00C806D0" w:rsidTr="004442E4">
        <w:trPr>
          <w:trHeight w:val="398"/>
          <w:jc w:val="center"/>
        </w:trPr>
        <w:tc>
          <w:tcPr>
            <w:tcW w:w="2034" w:type="pct"/>
            <w:tcBorders>
              <w:top w:val="single" w:sz="4" w:space="0" w:color="auto"/>
              <w:left w:val="nil"/>
              <w:bottom w:val="single" w:sz="4" w:space="0" w:color="auto"/>
              <w:right w:val="nil"/>
            </w:tcBorders>
            <w:tcMar>
              <w:top w:w="72" w:type="dxa"/>
              <w:left w:w="144" w:type="dxa"/>
              <w:bottom w:w="72" w:type="dxa"/>
              <w:right w:w="144" w:type="dxa"/>
            </w:tcMar>
          </w:tcPr>
          <w:p w:rsidR="006574FF" w:rsidRPr="00C806D0" w:rsidRDefault="006574FF" w:rsidP="004442E4">
            <w:pPr>
              <w:pStyle w:val="NoSpacing"/>
              <w:rPr>
                <w:sz w:val="20"/>
                <w:szCs w:val="20"/>
              </w:rPr>
            </w:pPr>
          </w:p>
        </w:tc>
        <w:tc>
          <w:tcPr>
            <w:tcW w:w="943" w:type="pct"/>
            <w:tcBorders>
              <w:top w:val="single" w:sz="4" w:space="0" w:color="auto"/>
              <w:left w:val="nil"/>
              <w:bottom w:val="single" w:sz="4" w:space="0" w:color="auto"/>
              <w:right w:val="nil"/>
            </w:tcBorders>
          </w:tcPr>
          <w:p w:rsidR="006574FF" w:rsidRPr="00C806D0" w:rsidRDefault="006574FF" w:rsidP="004442E4">
            <w:pPr>
              <w:pStyle w:val="NoSpacing"/>
              <w:jc w:val="center"/>
              <w:rPr>
                <w:b/>
                <w:sz w:val="20"/>
                <w:szCs w:val="20"/>
              </w:rPr>
            </w:pPr>
            <w:r w:rsidRPr="00C806D0">
              <w:rPr>
                <w:b/>
                <w:sz w:val="20"/>
                <w:szCs w:val="20"/>
              </w:rPr>
              <w:t xml:space="preserve">Complete case       </w:t>
            </w:r>
          </w:p>
        </w:tc>
        <w:tc>
          <w:tcPr>
            <w:tcW w:w="1539" w:type="pct"/>
            <w:tcBorders>
              <w:top w:val="single" w:sz="4" w:space="0" w:color="auto"/>
              <w:left w:val="nil"/>
              <w:bottom w:val="single" w:sz="4" w:space="0" w:color="auto"/>
              <w:right w:val="nil"/>
            </w:tcBorders>
          </w:tcPr>
          <w:p w:rsidR="006574FF" w:rsidRPr="00C806D0" w:rsidRDefault="006574FF" w:rsidP="004442E4">
            <w:pPr>
              <w:pStyle w:val="NoSpacing"/>
              <w:jc w:val="center"/>
              <w:rPr>
                <w:b/>
                <w:sz w:val="20"/>
                <w:szCs w:val="20"/>
              </w:rPr>
            </w:pPr>
            <w:r w:rsidRPr="00C806D0">
              <w:rPr>
                <w:b/>
                <w:sz w:val="20"/>
                <w:szCs w:val="20"/>
              </w:rPr>
              <w:t xml:space="preserve"> Otherwise eligible patients</w:t>
            </w:r>
          </w:p>
          <w:p w:rsidR="006574FF" w:rsidRPr="00C806D0" w:rsidRDefault="006574FF" w:rsidP="004442E4">
            <w:pPr>
              <w:pStyle w:val="NoSpacing"/>
              <w:jc w:val="center"/>
              <w:rPr>
                <w:b/>
                <w:sz w:val="20"/>
                <w:szCs w:val="20"/>
              </w:rPr>
            </w:pPr>
            <w:r w:rsidRPr="00C806D0">
              <w:rPr>
                <w:b/>
                <w:sz w:val="20"/>
                <w:szCs w:val="20"/>
              </w:rPr>
              <w:t xml:space="preserve"> excluded due to missing data*</w:t>
            </w:r>
          </w:p>
        </w:tc>
        <w:tc>
          <w:tcPr>
            <w:tcW w:w="484" w:type="pct"/>
            <w:tcBorders>
              <w:top w:val="single" w:sz="4" w:space="0" w:color="auto"/>
              <w:left w:val="nil"/>
              <w:bottom w:val="single" w:sz="4" w:space="0" w:color="auto"/>
              <w:right w:val="nil"/>
            </w:tcBorders>
          </w:tcPr>
          <w:p w:rsidR="006574FF" w:rsidRPr="00C806D0" w:rsidRDefault="006574FF" w:rsidP="004442E4">
            <w:pPr>
              <w:pStyle w:val="NoSpacing"/>
              <w:jc w:val="center"/>
              <w:rPr>
                <w:b/>
                <w:sz w:val="20"/>
                <w:szCs w:val="20"/>
              </w:rPr>
            </w:pPr>
            <w:r w:rsidRPr="00C806D0">
              <w:rPr>
                <w:b/>
                <w:sz w:val="20"/>
                <w:szCs w:val="20"/>
              </w:rPr>
              <w:t xml:space="preserve">  p-value</w:t>
            </w:r>
          </w:p>
        </w:tc>
      </w:tr>
      <w:tr w:rsidR="006574FF" w:rsidRPr="00C806D0" w:rsidTr="004442E4">
        <w:trPr>
          <w:trHeight w:val="454"/>
          <w:jc w:val="center"/>
        </w:trPr>
        <w:tc>
          <w:tcPr>
            <w:tcW w:w="2034" w:type="pct"/>
            <w:tcBorders>
              <w:top w:val="single" w:sz="4" w:space="0" w:color="auto"/>
              <w:left w:val="nil"/>
              <w:bottom w:val="nil"/>
              <w:right w:val="nil"/>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Number of Patients</w:t>
            </w:r>
          </w:p>
        </w:tc>
        <w:tc>
          <w:tcPr>
            <w:tcW w:w="943" w:type="pct"/>
            <w:tcBorders>
              <w:top w:val="single" w:sz="4" w:space="0" w:color="auto"/>
              <w:left w:val="nil"/>
              <w:bottom w:val="nil"/>
              <w:right w:val="nil"/>
            </w:tcBorders>
          </w:tcPr>
          <w:p w:rsidR="006574FF" w:rsidRPr="00C806D0" w:rsidRDefault="006574FF" w:rsidP="004442E4">
            <w:pPr>
              <w:pStyle w:val="NoSpacing"/>
              <w:jc w:val="center"/>
              <w:rPr>
                <w:sz w:val="20"/>
                <w:szCs w:val="20"/>
              </w:rPr>
            </w:pPr>
            <w:r w:rsidRPr="00C806D0">
              <w:rPr>
                <w:sz w:val="20"/>
                <w:szCs w:val="20"/>
              </w:rPr>
              <w:t>6,116</w:t>
            </w:r>
          </w:p>
        </w:tc>
        <w:tc>
          <w:tcPr>
            <w:tcW w:w="1539" w:type="pct"/>
            <w:tcBorders>
              <w:top w:val="single" w:sz="4" w:space="0" w:color="auto"/>
              <w:left w:val="nil"/>
              <w:bottom w:val="nil"/>
              <w:right w:val="nil"/>
            </w:tcBorders>
          </w:tcPr>
          <w:p w:rsidR="006574FF" w:rsidRPr="00C806D0" w:rsidRDefault="006574FF" w:rsidP="004442E4">
            <w:pPr>
              <w:pStyle w:val="NoSpacing"/>
              <w:jc w:val="center"/>
              <w:rPr>
                <w:sz w:val="20"/>
                <w:szCs w:val="20"/>
              </w:rPr>
            </w:pPr>
            <w:r w:rsidRPr="00C806D0">
              <w:rPr>
                <w:sz w:val="20"/>
                <w:szCs w:val="20"/>
              </w:rPr>
              <w:t>7,344</w:t>
            </w:r>
          </w:p>
        </w:tc>
        <w:tc>
          <w:tcPr>
            <w:tcW w:w="484" w:type="pct"/>
            <w:tcBorders>
              <w:top w:val="single" w:sz="4" w:space="0" w:color="auto"/>
              <w:left w:val="nil"/>
              <w:bottom w:val="nil"/>
              <w:right w:val="nil"/>
            </w:tcBorders>
          </w:tcPr>
          <w:p w:rsidR="006574FF" w:rsidRPr="00C806D0" w:rsidRDefault="006574FF" w:rsidP="004442E4">
            <w:pPr>
              <w:pStyle w:val="NoSpacing"/>
              <w:jc w:val="center"/>
              <w:rPr>
                <w:sz w:val="20"/>
                <w:szCs w:val="20"/>
              </w:rPr>
            </w:pPr>
          </w:p>
        </w:tc>
      </w:tr>
      <w:tr w:rsidR="006574FF" w:rsidRPr="00C806D0" w:rsidTr="004442E4">
        <w:trPr>
          <w:trHeight w:val="470"/>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Age (years, median, IQR)</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62.9 (40.2-81.4)</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47.4 (29.8-67.2)</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&lt;0.01</w:t>
            </w:r>
          </w:p>
        </w:tc>
      </w:tr>
      <w:tr w:rsidR="006574FF" w:rsidRPr="00C806D0" w:rsidTr="004442E4">
        <w:trPr>
          <w:trHeight w:val="453"/>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Gender (male, %, 95% CI)</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65.0 (63.8-66.2)</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74.7 (73.7-75.7)</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&lt;0.01</w:t>
            </w:r>
          </w:p>
        </w:tc>
      </w:tr>
      <w:tr w:rsidR="006574FF" w:rsidRPr="00C806D0" w:rsidTr="004442E4">
        <w:trPr>
          <w:trHeight w:val="453"/>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Penetrating injury (male, %, 95% CI)</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1.3 (1.0-1.6)</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2.0 (1.7-2.3)</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&lt;0.01</w:t>
            </w:r>
          </w:p>
        </w:tc>
      </w:tr>
      <w:tr w:rsidR="006574FF" w:rsidRPr="00C806D0" w:rsidTr="004442E4">
        <w:trPr>
          <w:trHeight w:val="506"/>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ISS (median, IQR)</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18 (16-25)</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24 (16-26)</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&lt;0.01</w:t>
            </w:r>
          </w:p>
        </w:tc>
      </w:tr>
      <w:tr w:rsidR="006574FF" w:rsidRPr="00C806D0" w:rsidTr="004442E4">
        <w:trPr>
          <w:trHeight w:val="506"/>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2A16B4" w:rsidP="004442E4">
            <w:pPr>
              <w:pStyle w:val="NoSpacing"/>
              <w:rPr>
                <w:sz w:val="20"/>
                <w:szCs w:val="20"/>
              </w:rPr>
            </w:pPr>
            <w:r w:rsidRPr="00C806D0">
              <w:rPr>
                <w:sz w:val="20"/>
                <w:szCs w:val="20"/>
              </w:rPr>
              <w:t>Extracranial</w:t>
            </w:r>
            <w:r w:rsidR="006574FF" w:rsidRPr="00C806D0">
              <w:rPr>
                <w:sz w:val="20"/>
                <w:szCs w:val="20"/>
              </w:rPr>
              <w:t xml:space="preserve"> injury AIS≥3  (%, 95% CI)</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17.7 (16.8-18.7)</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18.5 (17.6-19.4)</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=0.22</w:t>
            </w:r>
          </w:p>
        </w:tc>
      </w:tr>
      <w:tr w:rsidR="006574FF" w:rsidRPr="00C806D0" w:rsidTr="004442E4">
        <w:trPr>
          <w:trHeight w:val="506"/>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Traumatic subarachnoid haemorrhage (%, 95% CI)</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32.3 (31.1-33.5)</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31.0 (30.0-32.0)</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0.09</w:t>
            </w:r>
          </w:p>
        </w:tc>
      </w:tr>
      <w:tr w:rsidR="006574FF" w:rsidRPr="00C806D0" w:rsidTr="004442E4">
        <w:trPr>
          <w:trHeight w:val="506"/>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Traumatic intraventricular haemorrhage (%, 95% CI)</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9.2 (8.4-9.9)</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9.8 (9.1-10.5)</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0.20</w:t>
            </w:r>
          </w:p>
        </w:tc>
      </w:tr>
      <w:tr w:rsidR="006574FF" w:rsidRPr="00C806D0" w:rsidTr="004442E4">
        <w:trPr>
          <w:trHeight w:val="506"/>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Focal intracranial lesion (%, 95% CI)</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17.6 (16.6-18.5)</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24.9 (24.0-26.0)</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&lt;0.01</w:t>
            </w: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D22244" w:rsidP="004442E4">
            <w:pPr>
              <w:pStyle w:val="NoSpacing"/>
              <w:rPr>
                <w:sz w:val="20"/>
                <w:szCs w:val="20"/>
              </w:rPr>
            </w:pPr>
            <w:r w:rsidRPr="00C806D0">
              <w:rPr>
                <w:sz w:val="20"/>
                <w:szCs w:val="20"/>
              </w:rPr>
              <w:t>ED</w:t>
            </w:r>
            <w:r w:rsidR="006574FF" w:rsidRPr="00C806D0">
              <w:rPr>
                <w:sz w:val="20"/>
                <w:szCs w:val="20"/>
              </w:rPr>
              <w:t xml:space="preserve"> hypotension (%, 95% CI)</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2.3 (1.9-2.6)</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4.6 (3.9-5.4)</w:t>
            </w:r>
          </w:p>
          <w:p w:rsidR="006574FF" w:rsidRPr="00C806D0" w:rsidRDefault="006574FF" w:rsidP="004442E4">
            <w:pPr>
              <w:pStyle w:val="NoSpacing"/>
              <w:jc w:val="center"/>
              <w:rPr>
                <w:sz w:val="20"/>
                <w:szCs w:val="20"/>
              </w:rPr>
            </w:pPr>
            <w:r w:rsidRPr="00C806D0">
              <w:rPr>
                <w:sz w:val="20"/>
                <w:szCs w:val="20"/>
              </w:rPr>
              <w:t>[n=3,181]</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&lt;0.01</w:t>
            </w: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D22244" w:rsidP="004442E4">
            <w:pPr>
              <w:pStyle w:val="NoSpacing"/>
              <w:rPr>
                <w:sz w:val="20"/>
                <w:szCs w:val="20"/>
              </w:rPr>
            </w:pPr>
            <w:r w:rsidRPr="00C806D0">
              <w:rPr>
                <w:sz w:val="20"/>
                <w:szCs w:val="20"/>
              </w:rPr>
              <w:t>ED</w:t>
            </w:r>
            <w:r w:rsidR="006574FF" w:rsidRPr="00C806D0">
              <w:rPr>
                <w:sz w:val="20"/>
                <w:szCs w:val="20"/>
              </w:rPr>
              <w:t xml:space="preserve"> hypoxia (%, 95% CI)</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7.3 (6.6-7.9)</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7.0 (6.0-8.0)</w:t>
            </w:r>
          </w:p>
          <w:p w:rsidR="006574FF" w:rsidRPr="00C806D0" w:rsidRDefault="006574FF" w:rsidP="004442E4">
            <w:pPr>
              <w:pStyle w:val="NoSpacing"/>
              <w:jc w:val="center"/>
              <w:rPr>
                <w:sz w:val="20"/>
                <w:szCs w:val="20"/>
              </w:rPr>
            </w:pPr>
            <w:r w:rsidRPr="00C806D0">
              <w:rPr>
                <w:sz w:val="20"/>
                <w:szCs w:val="20"/>
              </w:rPr>
              <w:t>[n=2,570]</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0.64</w:t>
            </w: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D22244" w:rsidP="004442E4">
            <w:pPr>
              <w:pStyle w:val="NoSpacing"/>
              <w:rPr>
                <w:sz w:val="20"/>
                <w:szCs w:val="20"/>
              </w:rPr>
            </w:pPr>
            <w:r w:rsidRPr="00C806D0">
              <w:rPr>
                <w:sz w:val="20"/>
                <w:szCs w:val="20"/>
              </w:rPr>
              <w:t>ED</w:t>
            </w:r>
            <w:r w:rsidR="006574FF" w:rsidRPr="00C806D0">
              <w:rPr>
                <w:sz w:val="20"/>
                <w:szCs w:val="20"/>
              </w:rPr>
              <w:t xml:space="preserve"> GCS  (median, IQR)</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14 (11-15)</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13 (8-15)</w:t>
            </w:r>
          </w:p>
          <w:p w:rsidR="006574FF" w:rsidRPr="00C806D0" w:rsidRDefault="006574FF" w:rsidP="004442E4">
            <w:pPr>
              <w:pStyle w:val="NoSpacing"/>
              <w:jc w:val="center"/>
              <w:rPr>
                <w:sz w:val="20"/>
                <w:szCs w:val="20"/>
              </w:rPr>
            </w:pPr>
            <w:r w:rsidRPr="00C806D0">
              <w:rPr>
                <w:sz w:val="20"/>
                <w:szCs w:val="20"/>
              </w:rPr>
              <w:t>[n=2,806]</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&lt;0.01</w:t>
            </w: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Secondary transfer time category (%, 95% CI)</w:t>
            </w:r>
            <w:r w:rsidR="00D22244" w:rsidRPr="00C806D0">
              <w:rPr>
                <w:sz w:val="20"/>
                <w:szCs w:val="20"/>
              </w:rPr>
              <w:t>:</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p>
        </w:tc>
        <w:tc>
          <w:tcPr>
            <w:tcW w:w="484" w:type="pct"/>
            <w:tcBorders>
              <w:top w:val="nil"/>
              <w:left w:val="nil"/>
              <w:bottom w:val="nil"/>
              <w:right w:val="nil"/>
            </w:tcBorders>
          </w:tcPr>
          <w:p w:rsidR="006574FF" w:rsidRPr="00C806D0" w:rsidRDefault="006574FF" w:rsidP="004442E4">
            <w:pPr>
              <w:pStyle w:val="NoSpacing"/>
              <w:jc w:val="center"/>
              <w:rPr>
                <w:sz w:val="20"/>
                <w:szCs w:val="20"/>
              </w:rPr>
            </w:pP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D22244" w:rsidP="004442E4">
            <w:pPr>
              <w:pStyle w:val="NoSpacing"/>
              <w:rPr>
                <w:sz w:val="20"/>
                <w:szCs w:val="20"/>
              </w:rPr>
            </w:pPr>
            <w:r w:rsidRPr="00C806D0">
              <w:rPr>
                <w:sz w:val="20"/>
                <w:szCs w:val="20"/>
              </w:rPr>
              <w:tab/>
            </w:r>
            <w:r w:rsidR="006574FF" w:rsidRPr="00C806D0">
              <w:rPr>
                <w:sz w:val="20"/>
                <w:szCs w:val="20"/>
              </w:rPr>
              <w:t>No transfer</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93.7 (93.1-94.3)</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91.4 (90.0-92.7)</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D22244" w:rsidP="004442E4">
            <w:pPr>
              <w:pStyle w:val="NoSpacing"/>
              <w:rPr>
                <w:sz w:val="20"/>
                <w:szCs w:val="20"/>
              </w:rPr>
            </w:pPr>
            <w:r w:rsidRPr="00C806D0">
              <w:rPr>
                <w:sz w:val="20"/>
                <w:szCs w:val="20"/>
              </w:rPr>
              <w:tab/>
            </w:r>
            <w:r w:rsidR="006574FF" w:rsidRPr="00C806D0">
              <w:rPr>
                <w:sz w:val="20"/>
                <w:szCs w:val="20"/>
              </w:rPr>
              <w:t>&lt;4 hours</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0.51 (0.33-0.68)</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1.6 (1.0-2.2)</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D22244" w:rsidP="004442E4">
            <w:pPr>
              <w:pStyle w:val="NoSpacing"/>
              <w:rPr>
                <w:sz w:val="20"/>
                <w:szCs w:val="20"/>
              </w:rPr>
            </w:pPr>
            <w:r w:rsidRPr="00C806D0">
              <w:rPr>
                <w:sz w:val="20"/>
                <w:szCs w:val="20"/>
              </w:rPr>
              <w:tab/>
            </w:r>
            <w:r w:rsidR="006574FF" w:rsidRPr="00C806D0">
              <w:rPr>
                <w:sz w:val="20"/>
                <w:szCs w:val="20"/>
              </w:rPr>
              <w:t>4-8 hours</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3.6 (3.1-4.0)</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4.8 (3.8-5.8)</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D22244" w:rsidP="004442E4">
            <w:pPr>
              <w:pStyle w:val="NoSpacing"/>
              <w:rPr>
                <w:sz w:val="20"/>
                <w:szCs w:val="20"/>
              </w:rPr>
            </w:pPr>
            <w:r w:rsidRPr="00C806D0">
              <w:rPr>
                <w:sz w:val="20"/>
                <w:szCs w:val="20"/>
              </w:rPr>
              <w:tab/>
            </w:r>
            <w:r w:rsidR="006574FF" w:rsidRPr="00C806D0">
              <w:rPr>
                <w:sz w:val="20"/>
                <w:szCs w:val="20"/>
              </w:rPr>
              <w:t>8-16 hours</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1.8 (1.5-2.1)</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1.9 (1.2-2.5)</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p>
        </w:tc>
      </w:tr>
      <w:tr w:rsidR="006574FF" w:rsidRPr="00C806D0" w:rsidTr="004442E4">
        <w:trPr>
          <w:trHeight w:val="437"/>
          <w:jc w:val="center"/>
        </w:trPr>
        <w:tc>
          <w:tcPr>
            <w:tcW w:w="2034" w:type="pct"/>
            <w:tcBorders>
              <w:top w:val="nil"/>
              <w:left w:val="nil"/>
              <w:bottom w:val="nil"/>
              <w:right w:val="nil"/>
            </w:tcBorders>
            <w:tcMar>
              <w:top w:w="72" w:type="dxa"/>
              <w:left w:w="144" w:type="dxa"/>
              <w:bottom w:w="72" w:type="dxa"/>
              <w:right w:w="144" w:type="dxa"/>
            </w:tcMar>
          </w:tcPr>
          <w:p w:rsidR="006574FF" w:rsidRPr="00C806D0" w:rsidRDefault="00D22244" w:rsidP="004442E4">
            <w:pPr>
              <w:pStyle w:val="NoSpacing"/>
              <w:rPr>
                <w:sz w:val="20"/>
                <w:szCs w:val="20"/>
              </w:rPr>
            </w:pPr>
            <w:r w:rsidRPr="00C806D0">
              <w:rPr>
                <w:sz w:val="20"/>
                <w:szCs w:val="20"/>
              </w:rPr>
              <w:tab/>
            </w:r>
            <w:r w:rsidR="006574FF" w:rsidRPr="00C806D0">
              <w:rPr>
                <w:sz w:val="20"/>
                <w:szCs w:val="20"/>
              </w:rPr>
              <w:t>&gt;16 hours</w:t>
            </w:r>
          </w:p>
        </w:tc>
        <w:tc>
          <w:tcPr>
            <w:tcW w:w="943"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0.43 (0.3-0.6)</w:t>
            </w:r>
          </w:p>
        </w:tc>
        <w:tc>
          <w:tcPr>
            <w:tcW w:w="1539"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0.34 (0.0-0.6)</w:t>
            </w:r>
          </w:p>
        </w:tc>
        <w:tc>
          <w:tcPr>
            <w:tcW w:w="484" w:type="pct"/>
            <w:tcBorders>
              <w:top w:val="nil"/>
              <w:left w:val="nil"/>
              <w:bottom w:val="nil"/>
              <w:right w:val="nil"/>
            </w:tcBorders>
          </w:tcPr>
          <w:p w:rsidR="006574FF" w:rsidRPr="00C806D0" w:rsidRDefault="006574FF" w:rsidP="004442E4">
            <w:pPr>
              <w:pStyle w:val="NoSpacing"/>
              <w:jc w:val="center"/>
              <w:rPr>
                <w:sz w:val="20"/>
                <w:szCs w:val="20"/>
              </w:rPr>
            </w:pPr>
            <w:r w:rsidRPr="00C806D0">
              <w:rPr>
                <w:sz w:val="20"/>
                <w:szCs w:val="20"/>
              </w:rPr>
              <w:t>&lt;0.01</w:t>
            </w:r>
          </w:p>
          <w:p w:rsidR="006574FF" w:rsidRPr="00C806D0" w:rsidRDefault="006574FF" w:rsidP="004442E4">
            <w:pPr>
              <w:pStyle w:val="NoSpacing"/>
              <w:jc w:val="center"/>
              <w:rPr>
                <w:sz w:val="20"/>
                <w:szCs w:val="20"/>
              </w:rPr>
            </w:pPr>
            <w:r w:rsidRPr="00C806D0">
              <w:rPr>
                <w:sz w:val="20"/>
                <w:szCs w:val="20"/>
              </w:rPr>
              <w:t>[n=1,750]</w:t>
            </w:r>
          </w:p>
        </w:tc>
      </w:tr>
      <w:tr w:rsidR="006574FF" w:rsidRPr="00C806D0" w:rsidTr="004442E4">
        <w:trPr>
          <w:trHeight w:val="688"/>
          <w:jc w:val="center"/>
        </w:trPr>
        <w:tc>
          <w:tcPr>
            <w:tcW w:w="2034" w:type="pct"/>
            <w:tcBorders>
              <w:top w:val="nil"/>
              <w:left w:val="nil"/>
              <w:bottom w:val="single" w:sz="4" w:space="0" w:color="auto"/>
              <w:right w:val="nil"/>
            </w:tcBorders>
            <w:tcMar>
              <w:top w:w="72" w:type="dxa"/>
              <w:left w:w="144" w:type="dxa"/>
              <w:bottom w:w="72" w:type="dxa"/>
              <w:right w:w="144" w:type="dxa"/>
            </w:tcMar>
          </w:tcPr>
          <w:p w:rsidR="006574FF" w:rsidRPr="00C806D0" w:rsidRDefault="006574FF" w:rsidP="004442E4">
            <w:pPr>
              <w:pStyle w:val="NoSpacing"/>
              <w:rPr>
                <w:sz w:val="20"/>
                <w:szCs w:val="20"/>
              </w:rPr>
            </w:pPr>
            <w:r w:rsidRPr="00C806D0">
              <w:rPr>
                <w:sz w:val="20"/>
                <w:szCs w:val="20"/>
              </w:rPr>
              <w:t xml:space="preserve">Mortality (%, 95% CI)* </w:t>
            </w:r>
          </w:p>
          <w:p w:rsidR="006574FF" w:rsidRPr="00C806D0" w:rsidRDefault="006574FF" w:rsidP="004442E4">
            <w:pPr>
              <w:pStyle w:val="NoSpacing"/>
              <w:rPr>
                <w:sz w:val="20"/>
                <w:szCs w:val="20"/>
              </w:rPr>
            </w:pPr>
          </w:p>
          <w:p w:rsidR="006574FF" w:rsidRPr="00C806D0" w:rsidRDefault="006574FF" w:rsidP="004442E4">
            <w:pPr>
              <w:pStyle w:val="NoSpacing"/>
              <w:rPr>
                <w:sz w:val="20"/>
                <w:szCs w:val="20"/>
              </w:rPr>
            </w:pPr>
          </w:p>
        </w:tc>
        <w:tc>
          <w:tcPr>
            <w:tcW w:w="943" w:type="pct"/>
            <w:tcBorders>
              <w:top w:val="nil"/>
              <w:left w:val="nil"/>
              <w:bottom w:val="single" w:sz="4" w:space="0" w:color="auto"/>
              <w:right w:val="nil"/>
            </w:tcBorders>
          </w:tcPr>
          <w:p w:rsidR="006574FF" w:rsidRPr="00C806D0" w:rsidRDefault="006574FF" w:rsidP="004442E4">
            <w:pPr>
              <w:pStyle w:val="NoSpacing"/>
              <w:jc w:val="center"/>
              <w:rPr>
                <w:sz w:val="20"/>
                <w:szCs w:val="20"/>
              </w:rPr>
            </w:pPr>
            <w:r w:rsidRPr="00C806D0">
              <w:rPr>
                <w:sz w:val="20"/>
                <w:szCs w:val="20"/>
              </w:rPr>
              <w:t>18.7 (17.7-19.7)</w:t>
            </w:r>
          </w:p>
        </w:tc>
        <w:tc>
          <w:tcPr>
            <w:tcW w:w="1539" w:type="pct"/>
            <w:tcBorders>
              <w:top w:val="nil"/>
              <w:left w:val="nil"/>
              <w:bottom w:val="single" w:sz="4" w:space="0" w:color="auto"/>
              <w:right w:val="nil"/>
            </w:tcBorders>
          </w:tcPr>
          <w:p w:rsidR="006574FF" w:rsidRPr="00C806D0" w:rsidRDefault="006574FF" w:rsidP="004442E4">
            <w:pPr>
              <w:pStyle w:val="NoSpacing"/>
              <w:jc w:val="center"/>
              <w:rPr>
                <w:sz w:val="20"/>
                <w:szCs w:val="20"/>
              </w:rPr>
            </w:pPr>
            <w:r w:rsidRPr="00C806D0">
              <w:rPr>
                <w:sz w:val="20"/>
                <w:szCs w:val="20"/>
              </w:rPr>
              <w:t>16.0 (15.1-17.0)</w:t>
            </w:r>
          </w:p>
          <w:p w:rsidR="006574FF" w:rsidRPr="00C806D0" w:rsidRDefault="006574FF" w:rsidP="004442E4">
            <w:pPr>
              <w:pStyle w:val="NoSpacing"/>
              <w:jc w:val="center"/>
              <w:rPr>
                <w:sz w:val="20"/>
                <w:szCs w:val="20"/>
              </w:rPr>
            </w:pPr>
            <w:r w:rsidRPr="00C806D0">
              <w:rPr>
                <w:sz w:val="20"/>
                <w:szCs w:val="20"/>
              </w:rPr>
              <w:t>[n=5,505]</w:t>
            </w:r>
          </w:p>
        </w:tc>
        <w:tc>
          <w:tcPr>
            <w:tcW w:w="484" w:type="pct"/>
            <w:tcBorders>
              <w:top w:val="nil"/>
              <w:left w:val="nil"/>
              <w:bottom w:val="single" w:sz="4" w:space="0" w:color="auto"/>
              <w:right w:val="nil"/>
            </w:tcBorders>
          </w:tcPr>
          <w:p w:rsidR="006574FF" w:rsidRPr="00C806D0" w:rsidRDefault="006574FF" w:rsidP="004442E4">
            <w:pPr>
              <w:pStyle w:val="NoSpacing"/>
              <w:jc w:val="center"/>
              <w:rPr>
                <w:sz w:val="20"/>
                <w:szCs w:val="20"/>
              </w:rPr>
            </w:pPr>
            <w:r w:rsidRPr="00C806D0">
              <w:rPr>
                <w:sz w:val="20"/>
                <w:szCs w:val="20"/>
              </w:rPr>
              <w:t>&lt;0.01</w:t>
            </w:r>
          </w:p>
        </w:tc>
      </w:tr>
    </w:tbl>
    <w:p w:rsidR="006574FF" w:rsidRPr="00C806D0" w:rsidRDefault="006574FF" w:rsidP="006574FF">
      <w:r w:rsidRPr="00C806D0">
        <w:rPr>
          <w:sz w:val="20"/>
          <w:szCs w:val="20"/>
        </w:rPr>
        <w:t>*complete case analysis unless sample size otherwise stated.</w:t>
      </w:r>
    </w:p>
    <w:p w:rsidR="006574FF" w:rsidRPr="00C806D0" w:rsidRDefault="006574FF" w:rsidP="006574FF">
      <w:pPr>
        <w:rPr>
          <w:szCs w:val="19"/>
        </w:rPr>
      </w:pPr>
      <w:r w:rsidRPr="00C806D0">
        <w:rPr>
          <w:szCs w:val="19"/>
        </w:rPr>
        <w:lastRenderedPageBreak/>
        <w:t>Qualitatively similar results were seen after multiple imputation of missing covariate data; with improved survival for patients transferred to SNCs, but no obvious relationship between time of transfer and mortality (Table D10, n=13,460). This was also the case was the sample was restricted to patients treated in core TARN hospitals in both complete case (data not shown) and multiple imputation analyses (Table D10, n=8,021).</w:t>
      </w:r>
    </w:p>
    <w:p w:rsidR="006574FF" w:rsidRPr="00C806D0" w:rsidRDefault="006574FF" w:rsidP="006574FF">
      <w:pPr>
        <w:rPr>
          <w:szCs w:val="19"/>
        </w:rPr>
      </w:pPr>
    </w:p>
    <w:p w:rsidR="006574FF" w:rsidRPr="00C806D0" w:rsidRDefault="006574FF" w:rsidP="006574FF">
      <w:pPr>
        <w:rPr>
          <w:szCs w:val="19"/>
        </w:rPr>
      </w:pPr>
      <w:r w:rsidRPr="00C806D0">
        <w:t xml:space="preserve">Scenario sensitivity analyses, simulating ‘missing not at random’ mechanisms for missing outcomes differed dramatically from the primary analysis results (Table D10, </w:t>
      </w:r>
      <w:r w:rsidRPr="00C806D0">
        <w:rPr>
          <w:szCs w:val="19"/>
        </w:rPr>
        <w:t xml:space="preserve">multiple imputation sample, n=13,460). Assuming that all transferred patients with missing outcomes who arrived in SNCs within 8 hours survived, while other patients with incomplete mortality data </w:t>
      </w:r>
      <w:r w:rsidR="00D22244" w:rsidRPr="00C806D0">
        <w:rPr>
          <w:szCs w:val="19"/>
        </w:rPr>
        <w:t xml:space="preserve">had </w:t>
      </w:r>
      <w:r w:rsidRPr="00C806D0">
        <w:rPr>
          <w:szCs w:val="19"/>
        </w:rPr>
        <w:t xml:space="preserve">died, suggested a dose-response relationship between early transfer and survival was possible. The opposite pattern was observed when these assumptions were reversed </w:t>
      </w:r>
      <w:r w:rsidRPr="00C806D0">
        <w:t xml:space="preserve">(Table D10, </w:t>
      </w:r>
      <w:r w:rsidRPr="00C806D0">
        <w:rPr>
          <w:szCs w:val="19"/>
        </w:rPr>
        <w:t xml:space="preserve">multiple imputation sample, n=13,460). </w:t>
      </w:r>
    </w:p>
    <w:p w:rsidR="006574FF" w:rsidRPr="00C806D0" w:rsidRDefault="006574FF" w:rsidP="006574FF"/>
    <w:p w:rsidR="006574FF" w:rsidRPr="00C806D0" w:rsidRDefault="006574FF" w:rsidP="006574FF">
      <w:pPr>
        <w:rPr>
          <w:szCs w:val="19"/>
        </w:rPr>
      </w:pPr>
      <w:r w:rsidRPr="00C806D0">
        <w:rPr>
          <w:szCs w:val="19"/>
        </w:rPr>
        <w:t xml:space="preserve">Interestingly, omission of possible mediating variables (ISS, Marshall </w:t>
      </w:r>
      <w:r w:rsidR="00D22244" w:rsidRPr="00C806D0">
        <w:rPr>
          <w:szCs w:val="19"/>
        </w:rPr>
        <w:t>S</w:t>
      </w:r>
      <w:r w:rsidRPr="00C806D0">
        <w:rPr>
          <w:szCs w:val="19"/>
        </w:rPr>
        <w:t>core, traumatic subarachnoid haemorrhage, and intraventricular haemorrhage) resulted in the odds ratio for very early secondary transfer &lt;4 hours becoming close to unity. Odds ratio point estimates for later secondary transfer time categories were slightly less favourable but still approximated those from the primary analysis (n=13,460</w:t>
      </w:r>
      <w:r w:rsidR="00D22244" w:rsidRPr="00C806D0">
        <w:rPr>
          <w:szCs w:val="19"/>
        </w:rPr>
        <w:t>,</w:t>
      </w:r>
      <w:r w:rsidRPr="00C806D0">
        <w:rPr>
          <w:szCs w:val="19"/>
        </w:rPr>
        <w:t xml:space="preserve"> Table D10).</w:t>
      </w:r>
    </w:p>
    <w:p w:rsidR="006574FF" w:rsidRPr="00C806D0" w:rsidRDefault="006574FF" w:rsidP="006574FF">
      <w:pPr>
        <w:rPr>
          <w:szCs w:val="19"/>
        </w:rPr>
      </w:pPr>
    </w:p>
    <w:p w:rsidR="006574FF" w:rsidRPr="00C806D0" w:rsidRDefault="006574FF" w:rsidP="006574FF">
      <w:pPr>
        <w:rPr>
          <w:szCs w:val="19"/>
        </w:rPr>
      </w:pPr>
      <w:r w:rsidRPr="00C806D0">
        <w:rPr>
          <w:szCs w:val="19"/>
        </w:rPr>
        <w:t xml:space="preserve">Subgroup analyses examining patients with isolated TBI and multiple trauma demonstrated similar results to the primary analysis, that did not vary across strata (Table D10). </w:t>
      </w:r>
      <w:r w:rsidR="00F86988" w:rsidRPr="00C806D0">
        <w:rPr>
          <w:szCs w:val="19"/>
        </w:rPr>
        <w:t>A comparable pattern was also observed in the subgroup of patients with significant TBI requiring e</w:t>
      </w:r>
      <w:r w:rsidR="00847363" w:rsidRPr="00C806D0">
        <w:rPr>
          <w:szCs w:val="19"/>
        </w:rPr>
        <w:t>mergency craniotomy</w:t>
      </w:r>
      <w:r w:rsidR="00F86988" w:rsidRPr="00C806D0">
        <w:rPr>
          <w:szCs w:val="19"/>
        </w:rPr>
        <w:t xml:space="preserve">. For patients transferred to SNCs for neurosurgery between 4-8 hours there was a suggeston of imporved outcomes compared to earlier transfer within 4 hours of injury (4-8 hours transfer time category odds ratio 0.52, 95% CI 0.2-1.3). Outcomes then appeared to worsen with more prolonged transfer delays for emergency craniotomy (8-16 hours transfer time category odds ratio 1.02, 95% CI 0.3-3.2). However this analysis was underpowered and the 95% confidence intervals for prolonged transfer times were consistent with either </w:t>
      </w:r>
      <w:r w:rsidR="009577A2" w:rsidRPr="00C806D0">
        <w:rPr>
          <w:szCs w:val="19"/>
        </w:rPr>
        <w:t xml:space="preserve">a </w:t>
      </w:r>
      <w:r w:rsidR="00F86988" w:rsidRPr="00C806D0">
        <w:rPr>
          <w:szCs w:val="19"/>
        </w:rPr>
        <w:t xml:space="preserve">clinically significant </w:t>
      </w:r>
      <w:r w:rsidR="009577A2" w:rsidRPr="00C806D0">
        <w:rPr>
          <w:szCs w:val="19"/>
        </w:rPr>
        <w:t>survival</w:t>
      </w:r>
      <w:r w:rsidR="00F86988" w:rsidRPr="00C806D0">
        <w:rPr>
          <w:szCs w:val="19"/>
        </w:rPr>
        <w:t xml:space="preserve"> </w:t>
      </w:r>
      <w:r w:rsidR="009577A2" w:rsidRPr="00C806D0">
        <w:rPr>
          <w:szCs w:val="19"/>
        </w:rPr>
        <w:t xml:space="preserve">benefit </w:t>
      </w:r>
      <w:r w:rsidR="00F86988" w:rsidRPr="00C806D0">
        <w:rPr>
          <w:szCs w:val="19"/>
        </w:rPr>
        <w:t xml:space="preserve">or </w:t>
      </w:r>
      <w:r w:rsidR="009577A2" w:rsidRPr="00C806D0">
        <w:rPr>
          <w:szCs w:val="19"/>
        </w:rPr>
        <w:t>increased mortality</w:t>
      </w:r>
      <w:r w:rsidR="00F86988" w:rsidRPr="00C806D0">
        <w:rPr>
          <w:szCs w:val="19"/>
        </w:rPr>
        <w:t xml:space="preserve">. Furthermore, </w:t>
      </w:r>
      <w:r w:rsidR="009577A2" w:rsidRPr="00C806D0">
        <w:rPr>
          <w:szCs w:val="19"/>
        </w:rPr>
        <w:t xml:space="preserve">these subgroup </w:t>
      </w:r>
      <w:r w:rsidR="00F86988" w:rsidRPr="00C806D0">
        <w:rPr>
          <w:szCs w:val="19"/>
        </w:rPr>
        <w:t xml:space="preserve">results should be interpreted with caution secondary to the relatively high levels of missing data. </w:t>
      </w:r>
      <w:r w:rsidRPr="00C806D0">
        <w:rPr>
          <w:szCs w:val="19"/>
        </w:rPr>
        <w:t>Table D10 summarises the results of secondary analyses examining the association between secondary transfer time to SNCs and mortality.</w:t>
      </w:r>
    </w:p>
    <w:p w:rsidR="00A74D0A" w:rsidRPr="00C806D0" w:rsidRDefault="00A74D0A" w:rsidP="006574FF">
      <w:pPr>
        <w:rPr>
          <w:szCs w:val="19"/>
        </w:rPr>
      </w:pPr>
    </w:p>
    <w:p w:rsidR="00A74D0A" w:rsidRPr="00C806D0" w:rsidRDefault="00A74D0A" w:rsidP="006574FF">
      <w:pPr>
        <w:rPr>
          <w:szCs w:val="19"/>
        </w:rPr>
      </w:pPr>
    </w:p>
    <w:p w:rsidR="00F86988" w:rsidRPr="00C806D0" w:rsidRDefault="00F86988" w:rsidP="006574FF">
      <w:pPr>
        <w:rPr>
          <w:szCs w:val="19"/>
        </w:rPr>
      </w:pPr>
    </w:p>
    <w:p w:rsidR="006574FF" w:rsidRPr="00C806D0" w:rsidRDefault="006574FF" w:rsidP="006574FF">
      <w:pPr>
        <w:rPr>
          <w:rFonts w:ascii="Calibri" w:hAnsi="Calibri"/>
          <w:b/>
        </w:rPr>
      </w:pPr>
      <w:r w:rsidRPr="00C806D0">
        <w:rPr>
          <w:rFonts w:ascii="Calibri" w:hAnsi="Calibri"/>
          <w:b/>
        </w:rPr>
        <w:lastRenderedPageBreak/>
        <w:t>Table D10. Summary of results from primary and secondary analyses examining the association between secondary transfer time to SNC care and mortality.</w:t>
      </w:r>
    </w:p>
    <w:p w:rsidR="006574FF" w:rsidRPr="00C806D0" w:rsidRDefault="006574FF" w:rsidP="006574FF">
      <w:pPr>
        <w:rPr>
          <w:rFonts w:ascii="Calibri" w:hAnsi="Calibri"/>
          <w:b/>
          <w:sz w:val="20"/>
          <w:szCs w:val="20"/>
        </w:rPr>
      </w:pPr>
    </w:p>
    <w:tbl>
      <w:tblPr>
        <w:tblStyle w:val="LightShading1"/>
        <w:tblW w:w="5000" w:type="pct"/>
        <w:tblLook w:val="0620" w:firstRow="1" w:lastRow="0" w:firstColumn="0" w:lastColumn="0" w:noHBand="1" w:noVBand="1"/>
      </w:tblPr>
      <w:tblGrid>
        <w:gridCol w:w="3482"/>
        <w:gridCol w:w="1080"/>
        <w:gridCol w:w="1080"/>
        <w:gridCol w:w="1193"/>
        <w:gridCol w:w="942"/>
        <w:gridCol w:w="943"/>
      </w:tblGrid>
      <w:tr w:rsidR="006574FF" w:rsidRPr="00C806D0" w:rsidTr="004442E4">
        <w:trPr>
          <w:cnfStyle w:val="100000000000" w:firstRow="1" w:lastRow="0" w:firstColumn="0" w:lastColumn="0" w:oddVBand="0" w:evenVBand="0" w:oddHBand="0" w:evenHBand="0" w:firstRowFirstColumn="0" w:firstRowLastColumn="0" w:lastRowFirstColumn="0" w:lastRowLastColumn="0"/>
          <w:trHeight w:val="398"/>
        </w:trPr>
        <w:tc>
          <w:tcPr>
            <w:tcW w:w="1998" w:type="pct"/>
            <w:tcBorders>
              <w:top w:val="single" w:sz="4" w:space="0" w:color="auto"/>
              <w:bottom w:val="nil"/>
            </w:tcBorders>
          </w:tcPr>
          <w:p w:rsidR="006574FF" w:rsidRPr="00C806D0" w:rsidRDefault="006574FF" w:rsidP="004442E4">
            <w:pPr>
              <w:pStyle w:val="NoSpacing"/>
              <w:rPr>
                <w:rFonts w:ascii="Calibri" w:hAnsi="Calibri"/>
                <w:b w:val="0"/>
                <w:sz w:val="19"/>
                <w:szCs w:val="19"/>
              </w:rPr>
            </w:pPr>
          </w:p>
        </w:tc>
        <w:tc>
          <w:tcPr>
            <w:tcW w:w="3002" w:type="pct"/>
            <w:gridSpan w:val="5"/>
            <w:tcBorders>
              <w:top w:val="single" w:sz="4" w:space="0" w:color="auto"/>
              <w:bottom w:val="nil"/>
            </w:tcBorders>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Secondary transfer timing category</w:t>
            </w:r>
          </w:p>
        </w:tc>
      </w:tr>
      <w:tr w:rsidR="006574FF" w:rsidRPr="00C806D0" w:rsidTr="004442E4">
        <w:trPr>
          <w:trHeight w:val="398"/>
        </w:trPr>
        <w:tc>
          <w:tcPr>
            <w:tcW w:w="1998" w:type="pct"/>
            <w:tcBorders>
              <w:top w:val="nil"/>
              <w:bottom w:val="single" w:sz="4" w:space="0" w:color="auto"/>
            </w:tcBorders>
          </w:tcPr>
          <w:p w:rsidR="006574FF" w:rsidRPr="00C806D0" w:rsidRDefault="006574FF" w:rsidP="004442E4">
            <w:pPr>
              <w:pStyle w:val="NoSpacing"/>
              <w:rPr>
                <w:rFonts w:ascii="Calibri" w:hAnsi="Calibri"/>
                <w:b/>
                <w:sz w:val="19"/>
                <w:szCs w:val="19"/>
              </w:rPr>
            </w:pPr>
          </w:p>
        </w:tc>
        <w:tc>
          <w:tcPr>
            <w:tcW w:w="619" w:type="pct"/>
            <w:tcBorders>
              <w:top w:val="nil"/>
              <w:bottom w:val="single" w:sz="4" w:space="0" w:color="auto"/>
            </w:tcBorders>
          </w:tcPr>
          <w:p w:rsidR="006574FF" w:rsidRPr="00C806D0" w:rsidRDefault="006574FF" w:rsidP="004442E4">
            <w:pPr>
              <w:pStyle w:val="NoSpacing"/>
              <w:jc w:val="center"/>
              <w:rPr>
                <w:rFonts w:ascii="Calibri" w:hAnsi="Calibri"/>
                <w:b/>
                <w:sz w:val="19"/>
                <w:szCs w:val="19"/>
              </w:rPr>
            </w:pPr>
            <w:r w:rsidRPr="00C806D0">
              <w:rPr>
                <w:rFonts w:ascii="Calibri" w:hAnsi="Calibri"/>
                <w:b/>
                <w:sz w:val="19"/>
                <w:szCs w:val="19"/>
              </w:rPr>
              <w:t>No transfer</w:t>
            </w:r>
          </w:p>
        </w:tc>
        <w:tc>
          <w:tcPr>
            <w:tcW w:w="615" w:type="pct"/>
            <w:tcBorders>
              <w:top w:val="nil"/>
              <w:bottom w:val="single" w:sz="4" w:space="0" w:color="auto"/>
            </w:tcBorders>
          </w:tcPr>
          <w:p w:rsidR="006574FF" w:rsidRPr="00C806D0" w:rsidRDefault="006574FF" w:rsidP="004442E4">
            <w:pPr>
              <w:pStyle w:val="NoSpacing"/>
              <w:jc w:val="center"/>
              <w:rPr>
                <w:rFonts w:ascii="Calibri" w:hAnsi="Calibri"/>
                <w:b/>
                <w:sz w:val="19"/>
                <w:szCs w:val="19"/>
              </w:rPr>
            </w:pPr>
            <w:r w:rsidRPr="00C806D0">
              <w:rPr>
                <w:rFonts w:ascii="Calibri" w:hAnsi="Calibri"/>
                <w:b/>
                <w:sz w:val="19"/>
                <w:szCs w:val="19"/>
              </w:rPr>
              <w:t>&lt;4 hours</w:t>
            </w:r>
          </w:p>
        </w:tc>
        <w:tc>
          <w:tcPr>
            <w:tcW w:w="685" w:type="pct"/>
            <w:tcBorders>
              <w:top w:val="nil"/>
              <w:bottom w:val="single" w:sz="4" w:space="0" w:color="auto"/>
            </w:tcBorders>
          </w:tcPr>
          <w:p w:rsidR="006574FF" w:rsidRPr="00C806D0" w:rsidRDefault="006574FF" w:rsidP="004442E4">
            <w:pPr>
              <w:pStyle w:val="NoSpacing"/>
              <w:jc w:val="center"/>
              <w:rPr>
                <w:rFonts w:ascii="Calibri" w:hAnsi="Calibri"/>
                <w:b/>
                <w:sz w:val="19"/>
                <w:szCs w:val="19"/>
              </w:rPr>
            </w:pPr>
            <w:r w:rsidRPr="00C806D0">
              <w:rPr>
                <w:rFonts w:ascii="Calibri" w:hAnsi="Calibri"/>
                <w:b/>
                <w:sz w:val="19"/>
                <w:szCs w:val="19"/>
              </w:rPr>
              <w:t>4- 8 hours</w:t>
            </w:r>
          </w:p>
        </w:tc>
        <w:tc>
          <w:tcPr>
            <w:tcW w:w="541" w:type="pct"/>
            <w:tcBorders>
              <w:top w:val="nil"/>
              <w:bottom w:val="single" w:sz="4" w:space="0" w:color="auto"/>
            </w:tcBorders>
          </w:tcPr>
          <w:p w:rsidR="006574FF" w:rsidRPr="00C806D0" w:rsidRDefault="006574FF" w:rsidP="004442E4">
            <w:pPr>
              <w:pStyle w:val="NoSpacing"/>
              <w:jc w:val="center"/>
              <w:rPr>
                <w:rFonts w:ascii="Calibri" w:hAnsi="Calibri"/>
                <w:b/>
                <w:sz w:val="19"/>
                <w:szCs w:val="19"/>
              </w:rPr>
            </w:pPr>
            <w:r w:rsidRPr="00C806D0">
              <w:rPr>
                <w:rFonts w:ascii="Calibri" w:hAnsi="Calibri"/>
                <w:b/>
                <w:sz w:val="19"/>
                <w:szCs w:val="19"/>
              </w:rPr>
              <w:t>8-16 hours</w:t>
            </w:r>
          </w:p>
        </w:tc>
        <w:tc>
          <w:tcPr>
            <w:tcW w:w="542" w:type="pct"/>
            <w:tcBorders>
              <w:top w:val="nil"/>
              <w:bottom w:val="single" w:sz="4" w:space="0" w:color="auto"/>
            </w:tcBorders>
          </w:tcPr>
          <w:p w:rsidR="006574FF" w:rsidRPr="00C806D0" w:rsidRDefault="006574FF" w:rsidP="004442E4">
            <w:pPr>
              <w:pStyle w:val="NoSpacing"/>
              <w:jc w:val="center"/>
              <w:rPr>
                <w:rFonts w:ascii="Calibri" w:hAnsi="Calibri"/>
                <w:b/>
                <w:sz w:val="19"/>
                <w:szCs w:val="19"/>
              </w:rPr>
            </w:pPr>
            <w:r w:rsidRPr="00C806D0">
              <w:rPr>
                <w:rFonts w:ascii="Calibri" w:hAnsi="Calibri"/>
                <w:b/>
                <w:sz w:val="19"/>
                <w:szCs w:val="19"/>
              </w:rPr>
              <w:t>&gt;16 hours</w:t>
            </w:r>
          </w:p>
        </w:tc>
      </w:tr>
      <w:tr w:rsidR="006574FF" w:rsidRPr="00C806D0" w:rsidTr="004442E4">
        <w:trPr>
          <w:trHeight w:val="493"/>
        </w:trPr>
        <w:tc>
          <w:tcPr>
            <w:tcW w:w="1998" w:type="pct"/>
          </w:tcPr>
          <w:p w:rsidR="006574FF" w:rsidRPr="00C806D0" w:rsidRDefault="006574FF" w:rsidP="004442E4">
            <w:pPr>
              <w:pStyle w:val="NoSpacing"/>
              <w:rPr>
                <w:rFonts w:ascii="Calibri" w:hAnsi="Calibri"/>
                <w:sz w:val="19"/>
                <w:szCs w:val="19"/>
              </w:rPr>
            </w:pPr>
            <w:r w:rsidRPr="00C806D0">
              <w:rPr>
                <w:rFonts w:ascii="Calibri" w:hAnsi="Calibri"/>
                <w:b/>
                <w:sz w:val="19"/>
                <w:szCs w:val="19"/>
              </w:rPr>
              <w:t>Primary regression model</w:t>
            </w:r>
          </w:p>
        </w:tc>
        <w:tc>
          <w:tcPr>
            <w:tcW w:w="619" w:type="pct"/>
          </w:tcPr>
          <w:p w:rsidR="006574FF" w:rsidRPr="00C806D0" w:rsidRDefault="006574FF" w:rsidP="004442E4">
            <w:pPr>
              <w:pStyle w:val="NoSpacing"/>
              <w:jc w:val="center"/>
              <w:rPr>
                <w:rFonts w:ascii="Calibri" w:hAnsi="Calibri"/>
                <w:sz w:val="19"/>
                <w:szCs w:val="19"/>
              </w:rPr>
            </w:pPr>
          </w:p>
        </w:tc>
        <w:tc>
          <w:tcPr>
            <w:tcW w:w="615" w:type="pct"/>
          </w:tcPr>
          <w:p w:rsidR="006574FF" w:rsidRPr="00C806D0" w:rsidRDefault="006574FF" w:rsidP="004442E4">
            <w:pPr>
              <w:pStyle w:val="NoSpacing"/>
              <w:jc w:val="center"/>
              <w:rPr>
                <w:rFonts w:ascii="Calibri" w:hAnsi="Calibri"/>
                <w:sz w:val="19"/>
                <w:szCs w:val="19"/>
              </w:rPr>
            </w:pPr>
          </w:p>
        </w:tc>
        <w:tc>
          <w:tcPr>
            <w:tcW w:w="685" w:type="pct"/>
          </w:tcPr>
          <w:p w:rsidR="006574FF" w:rsidRPr="00C806D0" w:rsidRDefault="006574FF" w:rsidP="004442E4">
            <w:pPr>
              <w:pStyle w:val="NoSpacing"/>
              <w:jc w:val="center"/>
              <w:rPr>
                <w:rFonts w:ascii="Calibri" w:hAnsi="Calibri"/>
                <w:sz w:val="19"/>
                <w:szCs w:val="19"/>
              </w:rPr>
            </w:pPr>
          </w:p>
        </w:tc>
        <w:tc>
          <w:tcPr>
            <w:tcW w:w="541" w:type="pct"/>
          </w:tcPr>
          <w:p w:rsidR="006574FF" w:rsidRPr="00C806D0" w:rsidRDefault="006574FF" w:rsidP="004442E4">
            <w:pPr>
              <w:pStyle w:val="NoSpacing"/>
              <w:jc w:val="center"/>
              <w:rPr>
                <w:rFonts w:ascii="Calibri" w:hAnsi="Calibri"/>
                <w:sz w:val="19"/>
                <w:szCs w:val="19"/>
              </w:rPr>
            </w:pPr>
          </w:p>
        </w:tc>
        <w:tc>
          <w:tcPr>
            <w:tcW w:w="542" w:type="pct"/>
          </w:tcPr>
          <w:p w:rsidR="006574FF" w:rsidRPr="00C806D0" w:rsidRDefault="006574FF" w:rsidP="004442E4">
            <w:pPr>
              <w:pStyle w:val="NoSpacing"/>
              <w:jc w:val="center"/>
              <w:rPr>
                <w:rFonts w:ascii="Calibri" w:hAnsi="Calibri"/>
                <w:sz w:val="19"/>
                <w:szCs w:val="19"/>
              </w:rPr>
            </w:pPr>
          </w:p>
        </w:tc>
      </w:tr>
      <w:tr w:rsidR="006574FF" w:rsidRPr="00C806D0" w:rsidTr="004442E4">
        <w:trPr>
          <w:trHeight w:val="493"/>
        </w:trPr>
        <w:tc>
          <w:tcPr>
            <w:tcW w:w="1998" w:type="pct"/>
          </w:tcPr>
          <w:p w:rsidR="006574FF" w:rsidRPr="00C806D0" w:rsidRDefault="006574FF" w:rsidP="004442E4">
            <w:pPr>
              <w:pStyle w:val="NoSpacing"/>
              <w:rPr>
                <w:rFonts w:ascii="Calibri" w:hAnsi="Calibri"/>
                <w:sz w:val="19"/>
                <w:szCs w:val="19"/>
              </w:rPr>
            </w:pPr>
            <w:r w:rsidRPr="00C806D0">
              <w:rPr>
                <w:rFonts w:ascii="Calibri" w:hAnsi="Calibri"/>
                <w:sz w:val="19"/>
                <w:szCs w:val="19"/>
              </w:rPr>
              <w:t>Complete case</w:t>
            </w:r>
          </w:p>
          <w:p w:rsidR="006574FF" w:rsidRPr="00C806D0" w:rsidRDefault="006574FF" w:rsidP="004442E4">
            <w:pPr>
              <w:pStyle w:val="NoSpacing"/>
              <w:rPr>
                <w:rFonts w:ascii="Calibri" w:hAnsi="Calibri"/>
                <w:sz w:val="19"/>
                <w:szCs w:val="19"/>
              </w:rPr>
            </w:pPr>
            <w:r w:rsidRPr="00C806D0">
              <w:rPr>
                <w:rFonts w:ascii="Calibri" w:hAnsi="Calibri"/>
                <w:sz w:val="19"/>
                <w:szCs w:val="19"/>
              </w:rPr>
              <w:t>(n=6,006)</w:t>
            </w:r>
          </w:p>
          <w:p w:rsidR="006574FF" w:rsidRPr="00C806D0" w:rsidRDefault="006574FF" w:rsidP="004442E4">
            <w:pPr>
              <w:pStyle w:val="NoSpacing"/>
              <w:rPr>
                <w:rFonts w:ascii="Calibri" w:hAnsi="Calibri"/>
                <w:sz w:val="19"/>
                <w:szCs w:val="19"/>
              </w:rPr>
            </w:pPr>
          </w:p>
        </w:tc>
        <w:tc>
          <w:tcPr>
            <w:tcW w:w="619"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(reference)</w:t>
            </w:r>
          </w:p>
        </w:tc>
        <w:tc>
          <w:tcPr>
            <w:tcW w:w="61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0.40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(0.1-1.2)</w:t>
            </w:r>
          </w:p>
        </w:tc>
        <w:tc>
          <w:tcPr>
            <w:tcW w:w="68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0.21</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(0.1-0.4)</w:t>
            </w:r>
          </w:p>
        </w:tc>
        <w:tc>
          <w:tcPr>
            <w:tcW w:w="541"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0.30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(0.2-0.6)</w:t>
            </w:r>
          </w:p>
        </w:tc>
        <w:tc>
          <w:tcPr>
            <w:tcW w:w="542"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0.57</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(0.1-2.2)</w:t>
            </w:r>
          </w:p>
        </w:tc>
      </w:tr>
      <w:tr w:rsidR="006574FF" w:rsidRPr="00C806D0" w:rsidTr="004442E4">
        <w:trPr>
          <w:trHeight w:val="493"/>
        </w:trPr>
        <w:tc>
          <w:tcPr>
            <w:tcW w:w="1998" w:type="pct"/>
          </w:tcPr>
          <w:p w:rsidR="006574FF" w:rsidRPr="00C806D0" w:rsidRDefault="006574FF" w:rsidP="004442E4">
            <w:pPr>
              <w:pStyle w:val="NoSpacing"/>
              <w:rPr>
                <w:rFonts w:ascii="Calibri" w:hAnsi="Calibri"/>
                <w:sz w:val="19"/>
                <w:szCs w:val="19"/>
              </w:rPr>
            </w:pPr>
            <w:r w:rsidRPr="00C806D0">
              <w:rPr>
                <w:rFonts w:ascii="Calibri" w:hAnsi="Calibri"/>
                <w:sz w:val="19"/>
                <w:szCs w:val="19"/>
              </w:rPr>
              <w:t>Multiple imputation</w:t>
            </w:r>
          </w:p>
          <w:p w:rsidR="006574FF" w:rsidRPr="00C806D0" w:rsidRDefault="006574FF" w:rsidP="004442E4">
            <w:pPr>
              <w:pStyle w:val="NoSpacing"/>
              <w:rPr>
                <w:rFonts w:ascii="Calibri" w:hAnsi="Calibri"/>
                <w:sz w:val="19"/>
                <w:szCs w:val="19"/>
              </w:rPr>
            </w:pPr>
            <w:r w:rsidRPr="00C806D0">
              <w:rPr>
                <w:rFonts w:ascii="Calibri" w:hAnsi="Calibri"/>
                <w:sz w:val="19"/>
                <w:szCs w:val="19"/>
              </w:rPr>
              <w:t>(n= 13,460)</w:t>
            </w:r>
          </w:p>
          <w:p w:rsidR="006574FF" w:rsidRPr="00C806D0" w:rsidRDefault="006574FF" w:rsidP="004442E4">
            <w:pPr>
              <w:pStyle w:val="NoSpacing"/>
              <w:rPr>
                <w:rFonts w:ascii="Calibri" w:hAnsi="Calibri"/>
                <w:sz w:val="19"/>
                <w:szCs w:val="19"/>
              </w:rPr>
            </w:pPr>
          </w:p>
        </w:tc>
        <w:tc>
          <w:tcPr>
            <w:tcW w:w="619"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(reference)</w:t>
            </w:r>
          </w:p>
        </w:tc>
        <w:tc>
          <w:tcPr>
            <w:tcW w:w="61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0.69</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(0.2-2.5)</w:t>
            </w:r>
          </w:p>
        </w:tc>
        <w:tc>
          <w:tcPr>
            <w:tcW w:w="68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0.31</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(0.2-0.6)</w:t>
            </w:r>
          </w:p>
        </w:tc>
        <w:tc>
          <w:tcPr>
            <w:tcW w:w="541"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0.37</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(0.2-0.7)</w:t>
            </w:r>
          </w:p>
        </w:tc>
        <w:tc>
          <w:tcPr>
            <w:tcW w:w="542"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0.40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(0.1-1.4)</w:t>
            </w:r>
          </w:p>
        </w:tc>
      </w:tr>
      <w:tr w:rsidR="006574FF" w:rsidRPr="00C806D0" w:rsidTr="004442E4">
        <w:trPr>
          <w:trHeight w:val="493"/>
        </w:trPr>
        <w:tc>
          <w:tcPr>
            <w:tcW w:w="1998" w:type="pct"/>
          </w:tcPr>
          <w:p w:rsidR="006574FF" w:rsidRPr="00C806D0" w:rsidRDefault="006574FF" w:rsidP="004442E4">
            <w:pPr>
              <w:pStyle w:val="NoSpacing"/>
              <w:rPr>
                <w:rFonts w:ascii="Calibri" w:hAnsi="Calibri"/>
                <w:sz w:val="19"/>
                <w:szCs w:val="19"/>
              </w:rPr>
            </w:pPr>
            <w:r w:rsidRPr="00C806D0">
              <w:rPr>
                <w:rFonts w:ascii="Calibri" w:hAnsi="Calibri"/>
                <w:sz w:val="19"/>
                <w:szCs w:val="19"/>
              </w:rPr>
              <w:t>‘Best case’ outcomes sensitivity analysis</w:t>
            </w:r>
          </w:p>
          <w:p w:rsidR="006574FF" w:rsidRPr="00C806D0" w:rsidRDefault="006574FF" w:rsidP="004442E4">
            <w:pPr>
              <w:pStyle w:val="NoSpacing"/>
              <w:rPr>
                <w:rFonts w:ascii="Calibri" w:hAnsi="Calibri"/>
                <w:sz w:val="19"/>
                <w:szCs w:val="19"/>
              </w:rPr>
            </w:pPr>
            <w:r w:rsidRPr="00C806D0">
              <w:rPr>
                <w:rFonts w:ascii="Calibri" w:hAnsi="Calibri"/>
                <w:sz w:val="19"/>
                <w:szCs w:val="19"/>
              </w:rPr>
              <w:t>(Multiple imputation, n= 13,460)</w:t>
            </w:r>
          </w:p>
          <w:p w:rsidR="006574FF" w:rsidRPr="00C806D0" w:rsidRDefault="006574FF" w:rsidP="004442E4">
            <w:pPr>
              <w:pStyle w:val="NoSpacing"/>
              <w:rPr>
                <w:rFonts w:ascii="Calibri" w:hAnsi="Calibri"/>
                <w:sz w:val="19"/>
                <w:szCs w:val="19"/>
              </w:rPr>
            </w:pPr>
          </w:p>
        </w:tc>
        <w:tc>
          <w:tcPr>
            <w:tcW w:w="619"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(reference)</w:t>
            </w:r>
          </w:p>
        </w:tc>
        <w:tc>
          <w:tcPr>
            <w:tcW w:w="61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0.19</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(0.1-0.4)</w:t>
            </w:r>
          </w:p>
        </w:tc>
        <w:tc>
          <w:tcPr>
            <w:tcW w:w="68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0.11</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(0.1-0.2)</w:t>
            </w:r>
          </w:p>
        </w:tc>
        <w:tc>
          <w:tcPr>
            <w:tcW w:w="541"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1.8</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(1.3-2.4)</w:t>
            </w:r>
          </w:p>
        </w:tc>
        <w:tc>
          <w:tcPr>
            <w:tcW w:w="542"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2.1</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(1.1-4.3)</w:t>
            </w:r>
          </w:p>
        </w:tc>
      </w:tr>
      <w:tr w:rsidR="006574FF" w:rsidRPr="00C806D0" w:rsidTr="004442E4">
        <w:trPr>
          <w:trHeight w:val="493"/>
        </w:trPr>
        <w:tc>
          <w:tcPr>
            <w:tcW w:w="1998" w:type="pct"/>
          </w:tcPr>
          <w:p w:rsidR="006574FF" w:rsidRPr="00C806D0" w:rsidRDefault="006574FF" w:rsidP="004442E4">
            <w:pPr>
              <w:pStyle w:val="NoSpacing"/>
              <w:rPr>
                <w:rFonts w:ascii="Calibri" w:hAnsi="Calibri"/>
                <w:sz w:val="19"/>
                <w:szCs w:val="19"/>
              </w:rPr>
            </w:pPr>
            <w:r w:rsidRPr="00C806D0">
              <w:rPr>
                <w:rFonts w:ascii="Calibri" w:hAnsi="Calibri"/>
                <w:sz w:val="19"/>
                <w:szCs w:val="19"/>
              </w:rPr>
              <w:t>‘Worst case’ outcomes sensitivity analysis</w:t>
            </w:r>
          </w:p>
          <w:p w:rsidR="006574FF" w:rsidRPr="00C806D0" w:rsidRDefault="006574FF" w:rsidP="004442E4">
            <w:pPr>
              <w:pStyle w:val="NoSpacing"/>
              <w:rPr>
                <w:rFonts w:ascii="Calibri" w:hAnsi="Calibri"/>
                <w:sz w:val="19"/>
                <w:szCs w:val="19"/>
              </w:rPr>
            </w:pPr>
            <w:r w:rsidRPr="00C806D0">
              <w:rPr>
                <w:rFonts w:ascii="Calibri" w:hAnsi="Calibri"/>
                <w:sz w:val="19"/>
                <w:szCs w:val="19"/>
              </w:rPr>
              <w:t>(Multiple imputation, n= 13,460)</w:t>
            </w:r>
          </w:p>
          <w:p w:rsidR="006574FF" w:rsidRPr="00C806D0" w:rsidRDefault="006574FF" w:rsidP="004442E4">
            <w:pPr>
              <w:pStyle w:val="NoSpacing"/>
              <w:rPr>
                <w:rFonts w:ascii="Calibri" w:hAnsi="Calibri"/>
                <w:sz w:val="19"/>
                <w:szCs w:val="19"/>
              </w:rPr>
            </w:pPr>
          </w:p>
        </w:tc>
        <w:tc>
          <w:tcPr>
            <w:tcW w:w="619"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(reference)</w:t>
            </w:r>
          </w:p>
        </w:tc>
        <w:tc>
          <w:tcPr>
            <w:tcW w:w="61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6.12</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(3.1-12.1)</w:t>
            </w:r>
          </w:p>
        </w:tc>
        <w:tc>
          <w:tcPr>
            <w:tcW w:w="68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3.6</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(2.5-5.1)</w:t>
            </w:r>
          </w:p>
        </w:tc>
        <w:tc>
          <w:tcPr>
            <w:tcW w:w="541"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0.28</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(0.1-0.6)</w:t>
            </w:r>
          </w:p>
        </w:tc>
        <w:tc>
          <w:tcPr>
            <w:tcW w:w="542"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0.24</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(0.0-1.4)</w:t>
            </w:r>
          </w:p>
        </w:tc>
      </w:tr>
      <w:tr w:rsidR="006574FF" w:rsidRPr="00C806D0" w:rsidTr="004442E4">
        <w:trPr>
          <w:trHeight w:val="493"/>
        </w:trPr>
        <w:tc>
          <w:tcPr>
            <w:tcW w:w="1998" w:type="pct"/>
          </w:tcPr>
          <w:p w:rsidR="006574FF" w:rsidRPr="00C806D0" w:rsidRDefault="006574FF" w:rsidP="004442E4">
            <w:pPr>
              <w:pStyle w:val="NoSpacing"/>
              <w:rPr>
                <w:rFonts w:ascii="Calibri" w:hAnsi="Calibri"/>
                <w:sz w:val="19"/>
                <w:szCs w:val="19"/>
              </w:rPr>
            </w:pPr>
            <w:r w:rsidRPr="00C806D0">
              <w:rPr>
                <w:rFonts w:ascii="Calibri" w:hAnsi="Calibri"/>
                <w:sz w:val="19"/>
                <w:szCs w:val="19"/>
              </w:rPr>
              <w:t>Core hospitals only</w:t>
            </w:r>
          </w:p>
          <w:p w:rsidR="006574FF" w:rsidRPr="00C806D0" w:rsidRDefault="006574FF" w:rsidP="004442E4">
            <w:pPr>
              <w:pStyle w:val="NoSpacing"/>
              <w:rPr>
                <w:rFonts w:ascii="Calibri" w:hAnsi="Calibri"/>
                <w:sz w:val="19"/>
                <w:szCs w:val="19"/>
              </w:rPr>
            </w:pPr>
            <w:r w:rsidRPr="00C806D0">
              <w:rPr>
                <w:rFonts w:ascii="Calibri" w:hAnsi="Calibri"/>
                <w:sz w:val="19"/>
                <w:szCs w:val="19"/>
              </w:rPr>
              <w:t>(Multiple imputation, n= 8,021)</w:t>
            </w:r>
          </w:p>
          <w:p w:rsidR="006574FF" w:rsidRPr="00C806D0" w:rsidRDefault="006574FF" w:rsidP="004442E4">
            <w:pPr>
              <w:pStyle w:val="NoSpacing"/>
              <w:rPr>
                <w:rFonts w:ascii="Calibri" w:hAnsi="Calibri"/>
                <w:sz w:val="19"/>
                <w:szCs w:val="19"/>
              </w:rPr>
            </w:pPr>
          </w:p>
        </w:tc>
        <w:tc>
          <w:tcPr>
            <w:tcW w:w="619"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(reference)</w:t>
            </w:r>
          </w:p>
        </w:tc>
        <w:tc>
          <w:tcPr>
            <w:tcW w:w="61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0.67</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(0.2-2.1)</w:t>
            </w:r>
          </w:p>
        </w:tc>
        <w:tc>
          <w:tcPr>
            <w:tcW w:w="68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0.29</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(0.1-0.6)</w:t>
            </w:r>
          </w:p>
        </w:tc>
        <w:tc>
          <w:tcPr>
            <w:tcW w:w="541"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0.39</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(0.3-0.6)</w:t>
            </w:r>
          </w:p>
        </w:tc>
        <w:tc>
          <w:tcPr>
            <w:tcW w:w="542"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0.42</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(0.1-1.6)</w:t>
            </w:r>
          </w:p>
        </w:tc>
      </w:tr>
      <w:tr w:rsidR="006574FF" w:rsidRPr="00C806D0" w:rsidTr="004442E4">
        <w:trPr>
          <w:trHeight w:val="493"/>
        </w:trPr>
        <w:tc>
          <w:tcPr>
            <w:tcW w:w="1998" w:type="pct"/>
          </w:tcPr>
          <w:p w:rsidR="006574FF" w:rsidRPr="00C806D0" w:rsidRDefault="006574FF" w:rsidP="004442E4">
            <w:pPr>
              <w:pStyle w:val="NoSpacing"/>
              <w:rPr>
                <w:rFonts w:ascii="Calibri" w:hAnsi="Calibri"/>
                <w:b/>
                <w:sz w:val="19"/>
                <w:szCs w:val="19"/>
              </w:rPr>
            </w:pPr>
            <w:r w:rsidRPr="00C806D0">
              <w:rPr>
                <w:rFonts w:ascii="Calibri" w:hAnsi="Calibri"/>
                <w:b/>
                <w:sz w:val="19"/>
                <w:szCs w:val="19"/>
              </w:rPr>
              <w:t>Subgroup analyses</w:t>
            </w:r>
          </w:p>
        </w:tc>
        <w:tc>
          <w:tcPr>
            <w:tcW w:w="619" w:type="pct"/>
          </w:tcPr>
          <w:p w:rsidR="006574FF" w:rsidRPr="00C806D0" w:rsidRDefault="006574FF" w:rsidP="004442E4">
            <w:pPr>
              <w:pStyle w:val="NoSpacing"/>
              <w:jc w:val="center"/>
              <w:rPr>
                <w:rFonts w:ascii="Calibri" w:hAnsi="Calibri"/>
                <w:sz w:val="19"/>
                <w:szCs w:val="19"/>
              </w:rPr>
            </w:pPr>
          </w:p>
        </w:tc>
        <w:tc>
          <w:tcPr>
            <w:tcW w:w="615" w:type="pct"/>
          </w:tcPr>
          <w:p w:rsidR="006574FF" w:rsidRPr="00C806D0" w:rsidRDefault="006574FF" w:rsidP="004442E4">
            <w:pPr>
              <w:pStyle w:val="NoSpacing"/>
              <w:jc w:val="center"/>
              <w:rPr>
                <w:rFonts w:ascii="Calibri" w:hAnsi="Calibri"/>
                <w:sz w:val="19"/>
                <w:szCs w:val="19"/>
              </w:rPr>
            </w:pPr>
          </w:p>
        </w:tc>
        <w:tc>
          <w:tcPr>
            <w:tcW w:w="685" w:type="pct"/>
          </w:tcPr>
          <w:p w:rsidR="006574FF" w:rsidRPr="00C806D0" w:rsidRDefault="006574FF" w:rsidP="004442E4">
            <w:pPr>
              <w:pStyle w:val="NoSpacing"/>
              <w:jc w:val="center"/>
              <w:rPr>
                <w:rFonts w:ascii="Calibri" w:hAnsi="Calibri"/>
                <w:sz w:val="19"/>
                <w:szCs w:val="19"/>
              </w:rPr>
            </w:pPr>
          </w:p>
        </w:tc>
        <w:tc>
          <w:tcPr>
            <w:tcW w:w="541" w:type="pct"/>
          </w:tcPr>
          <w:p w:rsidR="006574FF" w:rsidRPr="00C806D0" w:rsidRDefault="006574FF" w:rsidP="004442E4">
            <w:pPr>
              <w:pStyle w:val="NoSpacing"/>
              <w:jc w:val="center"/>
              <w:rPr>
                <w:rFonts w:ascii="Calibri" w:hAnsi="Calibri"/>
                <w:sz w:val="19"/>
                <w:szCs w:val="19"/>
              </w:rPr>
            </w:pPr>
          </w:p>
        </w:tc>
        <w:tc>
          <w:tcPr>
            <w:tcW w:w="542" w:type="pct"/>
          </w:tcPr>
          <w:p w:rsidR="006574FF" w:rsidRPr="00C806D0" w:rsidRDefault="006574FF" w:rsidP="004442E4">
            <w:pPr>
              <w:pStyle w:val="NoSpacing"/>
              <w:jc w:val="center"/>
              <w:rPr>
                <w:rFonts w:ascii="Calibri" w:hAnsi="Calibri"/>
                <w:sz w:val="19"/>
                <w:szCs w:val="19"/>
              </w:rPr>
            </w:pPr>
          </w:p>
        </w:tc>
      </w:tr>
      <w:tr w:rsidR="006574FF" w:rsidRPr="00C806D0" w:rsidTr="004442E4">
        <w:trPr>
          <w:trHeight w:val="493"/>
        </w:trPr>
        <w:tc>
          <w:tcPr>
            <w:tcW w:w="1998" w:type="pct"/>
          </w:tcPr>
          <w:p w:rsidR="006574FF" w:rsidRPr="00C806D0" w:rsidRDefault="006574FF" w:rsidP="004442E4">
            <w:pPr>
              <w:pStyle w:val="NoSpacing"/>
              <w:rPr>
                <w:rFonts w:ascii="Calibri" w:hAnsi="Calibri"/>
                <w:sz w:val="19"/>
                <w:szCs w:val="19"/>
              </w:rPr>
            </w:pPr>
            <w:r w:rsidRPr="00C806D0">
              <w:rPr>
                <w:rFonts w:ascii="Calibri" w:hAnsi="Calibri"/>
                <w:sz w:val="19"/>
                <w:szCs w:val="19"/>
              </w:rPr>
              <w:t>Isolated TBI</w:t>
            </w:r>
          </w:p>
          <w:p w:rsidR="006574FF" w:rsidRPr="00C806D0" w:rsidRDefault="006574FF" w:rsidP="004442E4">
            <w:pPr>
              <w:pStyle w:val="NoSpacing"/>
              <w:rPr>
                <w:rFonts w:ascii="Calibri" w:hAnsi="Calibri"/>
                <w:sz w:val="19"/>
                <w:szCs w:val="19"/>
              </w:rPr>
            </w:pPr>
            <w:r w:rsidRPr="00C806D0">
              <w:rPr>
                <w:rFonts w:ascii="Calibri" w:hAnsi="Calibri"/>
                <w:sz w:val="19"/>
                <w:szCs w:val="19"/>
              </w:rPr>
              <w:t>(Multiple imputation, n= 11,016)</w:t>
            </w:r>
          </w:p>
          <w:p w:rsidR="006574FF" w:rsidRPr="00C806D0" w:rsidRDefault="006574FF" w:rsidP="004442E4">
            <w:pPr>
              <w:pStyle w:val="NoSpacing"/>
              <w:rPr>
                <w:rFonts w:ascii="Calibri" w:hAnsi="Calibri"/>
                <w:sz w:val="19"/>
                <w:szCs w:val="19"/>
              </w:rPr>
            </w:pPr>
          </w:p>
        </w:tc>
        <w:tc>
          <w:tcPr>
            <w:tcW w:w="619"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(reference)</w:t>
            </w:r>
          </w:p>
        </w:tc>
        <w:tc>
          <w:tcPr>
            <w:tcW w:w="61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0.72</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(0.2-2.5)</w:t>
            </w:r>
          </w:p>
        </w:tc>
        <w:tc>
          <w:tcPr>
            <w:tcW w:w="68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0.34</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(0.2-0.7)</w:t>
            </w:r>
          </w:p>
        </w:tc>
        <w:tc>
          <w:tcPr>
            <w:tcW w:w="541"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0.40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(0.2-0.7)</w:t>
            </w:r>
          </w:p>
        </w:tc>
        <w:tc>
          <w:tcPr>
            <w:tcW w:w="542"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0.40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(0.1-2.0)</w:t>
            </w:r>
          </w:p>
        </w:tc>
      </w:tr>
      <w:tr w:rsidR="006574FF" w:rsidRPr="00C806D0" w:rsidTr="004442E4">
        <w:trPr>
          <w:trHeight w:val="493"/>
        </w:trPr>
        <w:tc>
          <w:tcPr>
            <w:tcW w:w="1998" w:type="pct"/>
          </w:tcPr>
          <w:p w:rsidR="006574FF" w:rsidRPr="00C806D0" w:rsidRDefault="006574FF" w:rsidP="004442E4">
            <w:pPr>
              <w:pStyle w:val="NoSpacing"/>
              <w:rPr>
                <w:rFonts w:ascii="Calibri" w:hAnsi="Calibri"/>
                <w:sz w:val="19"/>
                <w:szCs w:val="19"/>
              </w:rPr>
            </w:pPr>
            <w:r w:rsidRPr="00C806D0">
              <w:rPr>
                <w:rFonts w:ascii="Calibri" w:hAnsi="Calibri"/>
                <w:sz w:val="19"/>
                <w:szCs w:val="19"/>
              </w:rPr>
              <w:t xml:space="preserve">TBI with major </w:t>
            </w:r>
            <w:r w:rsidR="002A16B4" w:rsidRPr="00C806D0">
              <w:rPr>
                <w:rFonts w:ascii="Calibri" w:hAnsi="Calibri"/>
                <w:sz w:val="19"/>
                <w:szCs w:val="19"/>
              </w:rPr>
              <w:t>extracranial</w:t>
            </w:r>
            <w:r w:rsidRPr="00C806D0">
              <w:rPr>
                <w:rFonts w:ascii="Calibri" w:hAnsi="Calibri"/>
                <w:sz w:val="19"/>
                <w:szCs w:val="19"/>
              </w:rPr>
              <w:t xml:space="preserve"> injury</w:t>
            </w:r>
          </w:p>
          <w:p w:rsidR="006574FF" w:rsidRPr="00C806D0" w:rsidRDefault="006574FF" w:rsidP="004442E4">
            <w:pPr>
              <w:pStyle w:val="NoSpacing"/>
              <w:rPr>
                <w:rFonts w:ascii="Calibri" w:hAnsi="Calibri"/>
                <w:sz w:val="19"/>
                <w:szCs w:val="19"/>
              </w:rPr>
            </w:pPr>
            <w:r w:rsidRPr="00C806D0">
              <w:rPr>
                <w:rFonts w:ascii="Calibri" w:hAnsi="Calibri"/>
                <w:sz w:val="19"/>
                <w:szCs w:val="19"/>
              </w:rPr>
              <w:t>(Multiple imputation, n= 2,444)</w:t>
            </w:r>
          </w:p>
          <w:p w:rsidR="006574FF" w:rsidRPr="00C806D0" w:rsidRDefault="006574FF" w:rsidP="004442E4">
            <w:pPr>
              <w:pStyle w:val="NoSpacing"/>
              <w:rPr>
                <w:rFonts w:ascii="Calibri" w:hAnsi="Calibri"/>
                <w:sz w:val="19"/>
                <w:szCs w:val="19"/>
              </w:rPr>
            </w:pPr>
          </w:p>
        </w:tc>
        <w:tc>
          <w:tcPr>
            <w:tcW w:w="619"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(reference)</w:t>
            </w:r>
          </w:p>
        </w:tc>
        <w:tc>
          <w:tcPr>
            <w:tcW w:w="61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0.64</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(0.1-3.9)</w:t>
            </w:r>
          </w:p>
        </w:tc>
        <w:tc>
          <w:tcPr>
            <w:tcW w:w="68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0.24</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(0.1-0.5)</w:t>
            </w:r>
          </w:p>
        </w:tc>
        <w:tc>
          <w:tcPr>
            <w:tcW w:w="541"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0.29</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(0.1-0.8)</w:t>
            </w:r>
          </w:p>
          <w:p w:rsidR="006574FF" w:rsidRPr="00C806D0" w:rsidRDefault="006574FF" w:rsidP="004442E4">
            <w:pPr>
              <w:pStyle w:val="NoSpacing"/>
              <w:jc w:val="center"/>
              <w:rPr>
                <w:rFonts w:ascii="Calibri" w:hAnsi="Calibri"/>
                <w:sz w:val="19"/>
                <w:szCs w:val="19"/>
              </w:rPr>
            </w:pPr>
          </w:p>
        </w:tc>
        <w:tc>
          <w:tcPr>
            <w:tcW w:w="542"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0.38</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(0.1-2.2)</w:t>
            </w:r>
          </w:p>
        </w:tc>
      </w:tr>
      <w:tr w:rsidR="00F86988" w:rsidRPr="00C806D0" w:rsidTr="004442E4">
        <w:trPr>
          <w:trHeight w:val="493"/>
        </w:trPr>
        <w:tc>
          <w:tcPr>
            <w:tcW w:w="1998" w:type="pct"/>
          </w:tcPr>
          <w:p w:rsidR="00F86988" w:rsidRPr="00C806D0" w:rsidRDefault="00F86988" w:rsidP="00F86988">
            <w:pPr>
              <w:pStyle w:val="NoSpacing"/>
              <w:rPr>
                <w:rFonts w:ascii="Calibri" w:hAnsi="Calibri"/>
                <w:sz w:val="19"/>
                <w:szCs w:val="19"/>
              </w:rPr>
            </w:pPr>
            <w:r w:rsidRPr="00C806D0">
              <w:rPr>
                <w:rFonts w:ascii="Calibri" w:hAnsi="Calibri"/>
                <w:sz w:val="19"/>
                <w:szCs w:val="19"/>
              </w:rPr>
              <w:t>TBI requiring emergency craniotomy</w:t>
            </w:r>
          </w:p>
          <w:p w:rsidR="00F86988" w:rsidRPr="00C806D0" w:rsidRDefault="00F86988" w:rsidP="00F86988">
            <w:pPr>
              <w:pStyle w:val="NoSpacing"/>
              <w:rPr>
                <w:rFonts w:ascii="Calibri" w:hAnsi="Calibri"/>
                <w:sz w:val="19"/>
                <w:szCs w:val="19"/>
              </w:rPr>
            </w:pPr>
            <w:r w:rsidRPr="00C806D0">
              <w:rPr>
                <w:rFonts w:ascii="Calibri" w:hAnsi="Calibri"/>
                <w:sz w:val="19"/>
                <w:szCs w:val="19"/>
              </w:rPr>
              <w:t>(n= 256)</w:t>
            </w:r>
          </w:p>
          <w:p w:rsidR="00F86988" w:rsidRPr="00C806D0" w:rsidRDefault="00F86988" w:rsidP="00F86988">
            <w:pPr>
              <w:pStyle w:val="NoSpacing"/>
              <w:rPr>
                <w:rFonts w:ascii="Calibri" w:hAnsi="Calibri"/>
                <w:sz w:val="19"/>
                <w:szCs w:val="19"/>
              </w:rPr>
            </w:pPr>
          </w:p>
        </w:tc>
        <w:tc>
          <w:tcPr>
            <w:tcW w:w="619" w:type="pct"/>
          </w:tcPr>
          <w:p w:rsidR="00F86988" w:rsidRPr="00C806D0" w:rsidRDefault="00F86988" w:rsidP="00F86988">
            <w:pPr>
              <w:pStyle w:val="NoSpacing"/>
              <w:jc w:val="center"/>
              <w:rPr>
                <w:rFonts w:ascii="Calibri" w:hAnsi="Calibri"/>
                <w:sz w:val="19"/>
                <w:szCs w:val="19"/>
              </w:rPr>
            </w:pPr>
            <w:r w:rsidRPr="00C806D0">
              <w:rPr>
                <w:rFonts w:ascii="Calibri" w:hAnsi="Calibri"/>
                <w:sz w:val="19"/>
                <w:szCs w:val="19"/>
              </w:rPr>
              <w:t>NA*</w:t>
            </w:r>
          </w:p>
        </w:tc>
        <w:tc>
          <w:tcPr>
            <w:tcW w:w="615" w:type="pct"/>
          </w:tcPr>
          <w:p w:rsidR="00F86988" w:rsidRPr="00C806D0" w:rsidRDefault="00F86988" w:rsidP="00F86988">
            <w:pPr>
              <w:pStyle w:val="NoSpacing"/>
              <w:jc w:val="center"/>
              <w:rPr>
                <w:rFonts w:ascii="Calibri" w:hAnsi="Calibri"/>
                <w:sz w:val="19"/>
                <w:szCs w:val="19"/>
              </w:rPr>
            </w:pPr>
            <w:r w:rsidRPr="00C806D0">
              <w:rPr>
                <w:rFonts w:ascii="Calibri" w:hAnsi="Calibri"/>
                <w:sz w:val="19"/>
                <w:szCs w:val="19"/>
              </w:rPr>
              <w:t>1.0</w:t>
            </w:r>
          </w:p>
          <w:p w:rsidR="00F86988" w:rsidRPr="00C806D0" w:rsidRDefault="00F86988" w:rsidP="00F86988">
            <w:pPr>
              <w:pStyle w:val="NoSpacing"/>
              <w:jc w:val="center"/>
              <w:rPr>
                <w:rFonts w:ascii="Calibri" w:hAnsi="Calibri"/>
                <w:sz w:val="19"/>
                <w:szCs w:val="19"/>
              </w:rPr>
            </w:pPr>
            <w:r w:rsidRPr="00C806D0">
              <w:rPr>
                <w:rFonts w:ascii="Calibri" w:hAnsi="Calibri"/>
                <w:sz w:val="19"/>
                <w:szCs w:val="19"/>
              </w:rPr>
              <w:t>(reference)</w:t>
            </w:r>
          </w:p>
        </w:tc>
        <w:tc>
          <w:tcPr>
            <w:tcW w:w="685" w:type="pct"/>
          </w:tcPr>
          <w:p w:rsidR="00F86988" w:rsidRPr="00C806D0" w:rsidRDefault="00F86988" w:rsidP="00F86988">
            <w:pPr>
              <w:pStyle w:val="NoSpacing"/>
              <w:jc w:val="center"/>
              <w:rPr>
                <w:rFonts w:ascii="Calibri" w:hAnsi="Calibri"/>
                <w:sz w:val="19"/>
                <w:szCs w:val="19"/>
              </w:rPr>
            </w:pPr>
            <w:r w:rsidRPr="00C806D0">
              <w:rPr>
                <w:rFonts w:ascii="Calibri" w:hAnsi="Calibri"/>
                <w:sz w:val="19"/>
                <w:szCs w:val="19"/>
              </w:rPr>
              <w:t>0.52</w:t>
            </w:r>
          </w:p>
          <w:p w:rsidR="00F86988" w:rsidRPr="00C806D0" w:rsidRDefault="00F86988" w:rsidP="00F86988">
            <w:pPr>
              <w:pStyle w:val="NoSpacing"/>
              <w:jc w:val="center"/>
              <w:rPr>
                <w:rFonts w:ascii="Calibri" w:hAnsi="Calibri"/>
                <w:sz w:val="19"/>
                <w:szCs w:val="19"/>
              </w:rPr>
            </w:pPr>
            <w:r w:rsidRPr="00C806D0">
              <w:rPr>
                <w:rFonts w:ascii="Calibri" w:hAnsi="Calibri"/>
                <w:sz w:val="19"/>
                <w:szCs w:val="19"/>
              </w:rPr>
              <w:t>(0.2-1.3)</w:t>
            </w:r>
          </w:p>
        </w:tc>
        <w:tc>
          <w:tcPr>
            <w:tcW w:w="541" w:type="pct"/>
          </w:tcPr>
          <w:p w:rsidR="00F86988" w:rsidRPr="00C806D0" w:rsidRDefault="00F86988" w:rsidP="00F86988">
            <w:pPr>
              <w:pStyle w:val="NoSpacing"/>
              <w:jc w:val="center"/>
              <w:rPr>
                <w:rFonts w:ascii="Calibri" w:hAnsi="Calibri"/>
                <w:sz w:val="19"/>
                <w:szCs w:val="19"/>
              </w:rPr>
            </w:pPr>
            <w:r w:rsidRPr="00C806D0">
              <w:rPr>
                <w:rFonts w:ascii="Calibri" w:hAnsi="Calibri"/>
                <w:sz w:val="19"/>
                <w:szCs w:val="19"/>
              </w:rPr>
              <w:t>1.02</w:t>
            </w:r>
          </w:p>
          <w:p w:rsidR="00F86988" w:rsidRPr="00C806D0" w:rsidRDefault="00F86988" w:rsidP="00F86988">
            <w:pPr>
              <w:pStyle w:val="NoSpacing"/>
              <w:jc w:val="center"/>
              <w:rPr>
                <w:rFonts w:ascii="Calibri" w:hAnsi="Calibri"/>
                <w:sz w:val="19"/>
                <w:szCs w:val="19"/>
              </w:rPr>
            </w:pPr>
            <w:r w:rsidRPr="00C806D0">
              <w:rPr>
                <w:rFonts w:ascii="Calibri" w:hAnsi="Calibri"/>
                <w:sz w:val="19"/>
                <w:szCs w:val="19"/>
              </w:rPr>
              <w:t>(0.3-3.2)</w:t>
            </w:r>
          </w:p>
        </w:tc>
        <w:tc>
          <w:tcPr>
            <w:tcW w:w="542" w:type="pct"/>
          </w:tcPr>
          <w:p w:rsidR="00F86988" w:rsidRPr="00C806D0" w:rsidRDefault="00F86988" w:rsidP="00F86988">
            <w:pPr>
              <w:pStyle w:val="NoSpacing"/>
              <w:jc w:val="center"/>
              <w:rPr>
                <w:rFonts w:ascii="Calibri" w:hAnsi="Calibri"/>
                <w:sz w:val="19"/>
                <w:szCs w:val="19"/>
              </w:rPr>
            </w:pPr>
            <w:r w:rsidRPr="00C806D0">
              <w:rPr>
                <w:rFonts w:ascii="Calibri" w:hAnsi="Calibri"/>
                <w:sz w:val="19"/>
                <w:szCs w:val="19"/>
              </w:rPr>
              <w:t>-†</w:t>
            </w:r>
          </w:p>
        </w:tc>
      </w:tr>
      <w:tr w:rsidR="006574FF" w:rsidRPr="00C806D0" w:rsidTr="004442E4">
        <w:trPr>
          <w:trHeight w:val="493"/>
        </w:trPr>
        <w:tc>
          <w:tcPr>
            <w:tcW w:w="1998" w:type="pct"/>
          </w:tcPr>
          <w:p w:rsidR="006574FF" w:rsidRPr="00C806D0" w:rsidRDefault="006574FF" w:rsidP="004442E4">
            <w:pPr>
              <w:pStyle w:val="NoSpacing"/>
              <w:rPr>
                <w:rFonts w:ascii="Calibri" w:hAnsi="Calibri"/>
                <w:b/>
                <w:sz w:val="19"/>
                <w:szCs w:val="19"/>
              </w:rPr>
            </w:pPr>
            <w:r w:rsidRPr="00C806D0">
              <w:rPr>
                <w:rFonts w:ascii="Calibri" w:hAnsi="Calibri"/>
                <w:b/>
                <w:sz w:val="19"/>
                <w:szCs w:val="19"/>
              </w:rPr>
              <w:t>Alternative model specification</w:t>
            </w:r>
          </w:p>
        </w:tc>
        <w:tc>
          <w:tcPr>
            <w:tcW w:w="619" w:type="pct"/>
          </w:tcPr>
          <w:p w:rsidR="006574FF" w:rsidRPr="00C806D0" w:rsidRDefault="006574FF" w:rsidP="004442E4">
            <w:pPr>
              <w:pStyle w:val="NoSpacing"/>
              <w:jc w:val="center"/>
              <w:rPr>
                <w:rFonts w:ascii="Calibri" w:hAnsi="Calibri"/>
                <w:sz w:val="19"/>
                <w:szCs w:val="19"/>
              </w:rPr>
            </w:pPr>
          </w:p>
        </w:tc>
        <w:tc>
          <w:tcPr>
            <w:tcW w:w="615" w:type="pct"/>
          </w:tcPr>
          <w:p w:rsidR="006574FF" w:rsidRPr="00C806D0" w:rsidRDefault="006574FF" w:rsidP="004442E4">
            <w:pPr>
              <w:pStyle w:val="NoSpacing"/>
              <w:jc w:val="center"/>
              <w:rPr>
                <w:rFonts w:ascii="Calibri" w:hAnsi="Calibri"/>
                <w:sz w:val="19"/>
                <w:szCs w:val="19"/>
              </w:rPr>
            </w:pPr>
          </w:p>
        </w:tc>
        <w:tc>
          <w:tcPr>
            <w:tcW w:w="685" w:type="pct"/>
          </w:tcPr>
          <w:p w:rsidR="006574FF" w:rsidRPr="00C806D0" w:rsidRDefault="006574FF" w:rsidP="004442E4">
            <w:pPr>
              <w:pStyle w:val="NoSpacing"/>
              <w:jc w:val="center"/>
              <w:rPr>
                <w:rFonts w:ascii="Calibri" w:hAnsi="Calibri"/>
                <w:sz w:val="19"/>
                <w:szCs w:val="19"/>
              </w:rPr>
            </w:pPr>
          </w:p>
        </w:tc>
        <w:tc>
          <w:tcPr>
            <w:tcW w:w="541" w:type="pct"/>
          </w:tcPr>
          <w:p w:rsidR="006574FF" w:rsidRPr="00C806D0" w:rsidRDefault="006574FF" w:rsidP="004442E4">
            <w:pPr>
              <w:pStyle w:val="NoSpacing"/>
              <w:jc w:val="center"/>
              <w:rPr>
                <w:rFonts w:ascii="Calibri" w:hAnsi="Calibri"/>
                <w:sz w:val="19"/>
                <w:szCs w:val="19"/>
              </w:rPr>
            </w:pPr>
          </w:p>
        </w:tc>
        <w:tc>
          <w:tcPr>
            <w:tcW w:w="542" w:type="pct"/>
          </w:tcPr>
          <w:p w:rsidR="006574FF" w:rsidRPr="00C806D0" w:rsidRDefault="006574FF" w:rsidP="004442E4">
            <w:pPr>
              <w:pStyle w:val="NoSpacing"/>
              <w:jc w:val="center"/>
              <w:rPr>
                <w:rFonts w:ascii="Calibri" w:hAnsi="Calibri"/>
                <w:sz w:val="19"/>
                <w:szCs w:val="19"/>
              </w:rPr>
            </w:pPr>
          </w:p>
        </w:tc>
      </w:tr>
      <w:tr w:rsidR="006574FF" w:rsidRPr="00C806D0" w:rsidTr="004442E4">
        <w:trPr>
          <w:trHeight w:val="493"/>
        </w:trPr>
        <w:tc>
          <w:tcPr>
            <w:tcW w:w="1998" w:type="pct"/>
          </w:tcPr>
          <w:p w:rsidR="006574FF" w:rsidRPr="00C806D0" w:rsidRDefault="006574FF" w:rsidP="004442E4">
            <w:pPr>
              <w:pStyle w:val="NoSpacing"/>
              <w:rPr>
                <w:rFonts w:ascii="Calibri" w:hAnsi="Calibri"/>
                <w:sz w:val="19"/>
                <w:szCs w:val="19"/>
              </w:rPr>
            </w:pPr>
            <w:r w:rsidRPr="00C806D0">
              <w:rPr>
                <w:rFonts w:ascii="Calibri" w:hAnsi="Calibri"/>
                <w:sz w:val="19"/>
                <w:szCs w:val="19"/>
              </w:rPr>
              <w:t xml:space="preserve">ISS and Marshall score removed </w:t>
            </w:r>
          </w:p>
          <w:p w:rsidR="006574FF" w:rsidRPr="00C806D0" w:rsidRDefault="006574FF" w:rsidP="004442E4">
            <w:pPr>
              <w:pStyle w:val="NoSpacing"/>
              <w:rPr>
                <w:rFonts w:ascii="Calibri" w:hAnsi="Calibri"/>
                <w:sz w:val="19"/>
                <w:szCs w:val="19"/>
              </w:rPr>
            </w:pPr>
            <w:r w:rsidRPr="00C806D0">
              <w:rPr>
                <w:rFonts w:ascii="Calibri" w:hAnsi="Calibri"/>
                <w:sz w:val="19"/>
                <w:szCs w:val="19"/>
              </w:rPr>
              <w:t>(Multiple imputation, n= 13,460)</w:t>
            </w:r>
          </w:p>
        </w:tc>
        <w:tc>
          <w:tcPr>
            <w:tcW w:w="619"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1.0</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(reference)</w:t>
            </w:r>
          </w:p>
        </w:tc>
        <w:tc>
          <w:tcPr>
            <w:tcW w:w="61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1.05</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(0.3-4.2)</w:t>
            </w:r>
          </w:p>
        </w:tc>
        <w:tc>
          <w:tcPr>
            <w:tcW w:w="685"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0.46</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(0.2-0.9)</w:t>
            </w:r>
          </w:p>
        </w:tc>
        <w:tc>
          <w:tcPr>
            <w:tcW w:w="541"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0.57</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(0.3-1.1)</w:t>
            </w:r>
          </w:p>
        </w:tc>
        <w:tc>
          <w:tcPr>
            <w:tcW w:w="542" w:type="pct"/>
          </w:tcPr>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0.51</w:t>
            </w:r>
          </w:p>
          <w:p w:rsidR="006574FF" w:rsidRPr="00C806D0" w:rsidRDefault="006574FF" w:rsidP="004442E4">
            <w:pPr>
              <w:pStyle w:val="NoSpacing"/>
              <w:jc w:val="center"/>
              <w:rPr>
                <w:rFonts w:ascii="Calibri" w:hAnsi="Calibri"/>
                <w:sz w:val="19"/>
                <w:szCs w:val="19"/>
              </w:rPr>
            </w:pPr>
            <w:r w:rsidRPr="00C806D0">
              <w:rPr>
                <w:rFonts w:ascii="Calibri" w:hAnsi="Calibri"/>
                <w:sz w:val="19"/>
                <w:szCs w:val="19"/>
              </w:rPr>
              <w:t>(0.1-2.1)</w:t>
            </w:r>
          </w:p>
        </w:tc>
      </w:tr>
    </w:tbl>
    <w:p w:rsidR="006574FF" w:rsidRPr="00C806D0" w:rsidRDefault="006574FF" w:rsidP="006574FF">
      <w:pPr>
        <w:rPr>
          <w:b/>
          <w:sz w:val="20"/>
          <w:szCs w:val="20"/>
        </w:rPr>
      </w:pPr>
      <w:r w:rsidRPr="00C806D0">
        <w:rPr>
          <w:sz w:val="20"/>
          <w:szCs w:val="20"/>
        </w:rPr>
        <w:t>O</w:t>
      </w:r>
      <w:r w:rsidRPr="00C806D0">
        <w:rPr>
          <w:rFonts w:ascii="Calibri" w:hAnsi="Calibri"/>
          <w:sz w:val="20"/>
          <w:szCs w:val="20"/>
        </w:rPr>
        <w:t>dds ratios &lt;1 favourable indicate decreased mortality.</w:t>
      </w:r>
    </w:p>
    <w:p w:rsidR="00F86988" w:rsidRPr="00C806D0" w:rsidRDefault="00F86988" w:rsidP="00F86988">
      <w:pPr>
        <w:rPr>
          <w:b/>
          <w:sz w:val="20"/>
          <w:szCs w:val="20"/>
        </w:rPr>
      </w:pPr>
      <w:r w:rsidRPr="00C806D0">
        <w:rPr>
          <w:rFonts w:ascii="Calibri" w:hAnsi="Calibri"/>
          <w:sz w:val="20"/>
          <w:szCs w:val="20"/>
        </w:rPr>
        <w:t xml:space="preserve">*All patients requiring emergency craniotomy </w:t>
      </w:r>
      <w:r w:rsidR="00806CF8" w:rsidRPr="00C806D0">
        <w:rPr>
          <w:rFonts w:ascii="Calibri" w:hAnsi="Calibri"/>
          <w:sz w:val="20"/>
          <w:szCs w:val="20"/>
        </w:rPr>
        <w:t xml:space="preserve">will undergo </w:t>
      </w:r>
      <w:r w:rsidRPr="00C806D0">
        <w:rPr>
          <w:rFonts w:ascii="Calibri" w:hAnsi="Calibri"/>
          <w:sz w:val="20"/>
          <w:szCs w:val="20"/>
        </w:rPr>
        <w:t>secondary transfer to a SNC. †4 patients were transferred after 16 hours, of whom all died, preventing inclusion in logistic regression analysis secondary to low cell count.</w:t>
      </w:r>
    </w:p>
    <w:p w:rsidR="006574FF" w:rsidRPr="00C806D0" w:rsidRDefault="006574FF" w:rsidP="006574FF"/>
    <w:p w:rsidR="00F86988" w:rsidRPr="00C806D0" w:rsidRDefault="00F86988" w:rsidP="006574FF"/>
    <w:p w:rsidR="006574FF" w:rsidRPr="00C806D0" w:rsidRDefault="006574FF" w:rsidP="006574FF">
      <w:pPr>
        <w:rPr>
          <w:szCs w:val="19"/>
        </w:rPr>
      </w:pPr>
    </w:p>
    <w:p w:rsidR="006574FF" w:rsidRPr="00C806D0" w:rsidRDefault="006574FF" w:rsidP="006574FF">
      <w:pPr>
        <w:rPr>
          <w:szCs w:val="19"/>
        </w:rPr>
      </w:pPr>
    </w:p>
    <w:p w:rsidR="006574FF" w:rsidRPr="00C806D0" w:rsidRDefault="006574FF" w:rsidP="006574FF">
      <w:pPr>
        <w:rPr>
          <w:szCs w:val="19"/>
        </w:rPr>
      </w:pPr>
    </w:p>
    <w:p w:rsidR="006574FF" w:rsidRPr="00C806D0" w:rsidRDefault="006574FF" w:rsidP="006574FF">
      <w:pPr>
        <w:rPr>
          <w:szCs w:val="19"/>
        </w:rPr>
      </w:pPr>
    </w:p>
    <w:p w:rsidR="006574FF" w:rsidRPr="00C806D0" w:rsidRDefault="006574FF" w:rsidP="006574FF">
      <w:pPr>
        <w:pStyle w:val="Heading2"/>
      </w:pPr>
      <w:r w:rsidRPr="00C806D0">
        <w:lastRenderedPageBreak/>
        <w:t>references</w:t>
      </w:r>
    </w:p>
    <w:p w:rsidR="006D4D62" w:rsidRPr="00C806D0" w:rsidRDefault="006D4D62" w:rsidP="006D4D62">
      <w:pPr>
        <w:spacing w:line="240" w:lineRule="auto"/>
        <w:ind w:left="720" w:hanging="720"/>
        <w:rPr>
          <w:rFonts w:ascii="Calibri" w:hAnsi="Calibri"/>
          <w:noProof/>
        </w:rPr>
      </w:pPr>
      <w:bookmarkStart w:id="62" w:name="_ENREF_4_1"/>
      <w:r w:rsidRPr="00C806D0">
        <w:rPr>
          <w:rFonts w:ascii="Calibri" w:hAnsi="Calibri"/>
          <w:noProof/>
        </w:rPr>
        <w:t>1.</w:t>
      </w:r>
      <w:r w:rsidRPr="00C806D0">
        <w:rPr>
          <w:rFonts w:ascii="Calibri" w:hAnsi="Calibri"/>
          <w:noProof/>
        </w:rPr>
        <w:tab/>
        <w:t xml:space="preserve">Rothman KJ, Greenland S, Lash TL: </w:t>
      </w:r>
      <w:r w:rsidRPr="00C806D0">
        <w:rPr>
          <w:rFonts w:ascii="Calibri" w:hAnsi="Calibri"/>
          <w:b/>
          <w:noProof/>
        </w:rPr>
        <w:t>Modern epidemiology</w:t>
      </w:r>
      <w:r w:rsidRPr="00C806D0">
        <w:rPr>
          <w:rFonts w:ascii="Calibri" w:hAnsi="Calibri"/>
          <w:noProof/>
        </w:rPr>
        <w:t>, 3rd ed. edn. Philadelphia, Pa. ; London: Lippincott Williams &amp; Wilkins; 2008.</w:t>
      </w:r>
      <w:bookmarkEnd w:id="62"/>
    </w:p>
    <w:p w:rsidR="006D4D62" w:rsidRPr="00C806D0" w:rsidRDefault="006D4D62" w:rsidP="006D4D62">
      <w:pPr>
        <w:spacing w:line="240" w:lineRule="auto"/>
        <w:ind w:left="720" w:hanging="720"/>
        <w:rPr>
          <w:rFonts w:ascii="Calibri" w:hAnsi="Calibri"/>
          <w:noProof/>
        </w:rPr>
      </w:pPr>
      <w:bookmarkStart w:id="63" w:name="_ENREF_4_2"/>
      <w:r w:rsidRPr="00C806D0">
        <w:rPr>
          <w:rFonts w:ascii="Calibri" w:hAnsi="Calibri"/>
          <w:noProof/>
        </w:rPr>
        <w:t>2.</w:t>
      </w:r>
      <w:r w:rsidRPr="00C806D0">
        <w:rPr>
          <w:rFonts w:ascii="Calibri" w:hAnsi="Calibri"/>
          <w:noProof/>
        </w:rPr>
        <w:tab/>
        <w:t xml:space="preserve">Szklo M, Nieto FJ: </w:t>
      </w:r>
      <w:r w:rsidRPr="00C806D0">
        <w:rPr>
          <w:rFonts w:ascii="Calibri" w:hAnsi="Calibri"/>
          <w:b/>
          <w:noProof/>
        </w:rPr>
        <w:t>Epidemiology : beyond the basics</w:t>
      </w:r>
      <w:r w:rsidRPr="00C806D0">
        <w:rPr>
          <w:rFonts w:ascii="Calibri" w:hAnsi="Calibri"/>
          <w:noProof/>
        </w:rPr>
        <w:t>, 2nd ed. edn. Sudbury, Mass.: Jones and Bartlett Publishers; 2007.</w:t>
      </w:r>
      <w:bookmarkEnd w:id="63"/>
    </w:p>
    <w:p w:rsidR="006D4D62" w:rsidRPr="00C806D0" w:rsidRDefault="006D4D62" w:rsidP="006D4D62">
      <w:pPr>
        <w:spacing w:line="240" w:lineRule="auto"/>
        <w:ind w:left="720" w:hanging="720"/>
        <w:rPr>
          <w:rFonts w:ascii="Calibri" w:hAnsi="Calibri"/>
          <w:noProof/>
        </w:rPr>
      </w:pPr>
      <w:bookmarkStart w:id="64" w:name="_ENREF_4_3"/>
      <w:r w:rsidRPr="00C806D0">
        <w:rPr>
          <w:rFonts w:ascii="Calibri" w:hAnsi="Calibri"/>
          <w:noProof/>
        </w:rPr>
        <w:t>3.</w:t>
      </w:r>
      <w:r w:rsidRPr="00C806D0">
        <w:rPr>
          <w:rFonts w:ascii="Calibri" w:hAnsi="Calibri"/>
          <w:noProof/>
        </w:rPr>
        <w:tab/>
        <w:t xml:space="preserve">Ghajar J: </w:t>
      </w:r>
      <w:r w:rsidRPr="00C806D0">
        <w:rPr>
          <w:rFonts w:ascii="Calibri" w:hAnsi="Calibri"/>
          <w:b/>
          <w:noProof/>
        </w:rPr>
        <w:t>Traumatic brain injury</w:t>
      </w:r>
      <w:r w:rsidRPr="00C806D0">
        <w:rPr>
          <w:rFonts w:ascii="Calibri" w:hAnsi="Calibri"/>
          <w:noProof/>
        </w:rPr>
        <w:t xml:space="preserve">. </w:t>
      </w:r>
      <w:r w:rsidRPr="00C806D0">
        <w:rPr>
          <w:rFonts w:ascii="Calibri" w:hAnsi="Calibri"/>
          <w:i/>
          <w:noProof/>
        </w:rPr>
        <w:t xml:space="preserve">Lancet </w:t>
      </w:r>
      <w:r w:rsidRPr="00C806D0">
        <w:rPr>
          <w:rFonts w:ascii="Calibri" w:hAnsi="Calibri"/>
          <w:noProof/>
        </w:rPr>
        <w:t xml:space="preserve">2000, </w:t>
      </w:r>
      <w:r w:rsidRPr="00C806D0">
        <w:rPr>
          <w:rFonts w:ascii="Calibri" w:hAnsi="Calibri"/>
          <w:b/>
          <w:noProof/>
        </w:rPr>
        <w:t>356</w:t>
      </w:r>
      <w:r w:rsidRPr="00C806D0">
        <w:rPr>
          <w:rFonts w:ascii="Calibri" w:hAnsi="Calibri"/>
          <w:noProof/>
        </w:rPr>
        <w:t>(9233):923-929.</w:t>
      </w:r>
      <w:bookmarkEnd w:id="64"/>
    </w:p>
    <w:p w:rsidR="006D4D62" w:rsidRPr="00C806D0" w:rsidRDefault="006D4D62" w:rsidP="006D4D62">
      <w:pPr>
        <w:spacing w:line="240" w:lineRule="auto"/>
        <w:ind w:left="720" w:hanging="720"/>
        <w:rPr>
          <w:rFonts w:ascii="Calibri" w:hAnsi="Calibri"/>
          <w:noProof/>
        </w:rPr>
      </w:pPr>
      <w:bookmarkStart w:id="65" w:name="_ENREF_4_4"/>
      <w:r w:rsidRPr="00C806D0">
        <w:rPr>
          <w:rFonts w:ascii="Calibri" w:hAnsi="Calibri"/>
          <w:noProof/>
        </w:rPr>
        <w:t>4.</w:t>
      </w:r>
      <w:r w:rsidRPr="00C806D0">
        <w:rPr>
          <w:rFonts w:ascii="Calibri" w:hAnsi="Calibri"/>
          <w:noProof/>
        </w:rPr>
        <w:tab/>
        <w:t xml:space="preserve">Maas AI, Stocchetti N, Bullock R: </w:t>
      </w:r>
      <w:r w:rsidRPr="00C806D0">
        <w:rPr>
          <w:rFonts w:ascii="Calibri" w:hAnsi="Calibri"/>
          <w:b/>
          <w:noProof/>
        </w:rPr>
        <w:t>Moderate and severe traumatic brain injury in adults</w:t>
      </w:r>
      <w:r w:rsidRPr="00C806D0">
        <w:rPr>
          <w:rFonts w:ascii="Calibri" w:hAnsi="Calibri"/>
          <w:noProof/>
        </w:rPr>
        <w:t xml:space="preserve">. </w:t>
      </w:r>
      <w:r w:rsidRPr="00C806D0">
        <w:rPr>
          <w:rFonts w:ascii="Calibri" w:hAnsi="Calibri"/>
          <w:i/>
          <w:noProof/>
        </w:rPr>
        <w:t xml:space="preserve">The Lancet Neurology </w:t>
      </w:r>
      <w:r w:rsidRPr="00C806D0">
        <w:rPr>
          <w:rFonts w:ascii="Calibri" w:hAnsi="Calibri"/>
          <w:noProof/>
        </w:rPr>
        <w:t xml:space="preserve">2008, </w:t>
      </w:r>
      <w:r w:rsidRPr="00C806D0">
        <w:rPr>
          <w:rFonts w:ascii="Calibri" w:hAnsi="Calibri"/>
          <w:b/>
          <w:noProof/>
        </w:rPr>
        <w:t>7</w:t>
      </w:r>
      <w:r w:rsidRPr="00C806D0">
        <w:rPr>
          <w:rFonts w:ascii="Calibri" w:hAnsi="Calibri"/>
          <w:noProof/>
        </w:rPr>
        <w:t>(8):728-741.</w:t>
      </w:r>
      <w:bookmarkEnd w:id="65"/>
    </w:p>
    <w:p w:rsidR="006D4D62" w:rsidRPr="00C806D0" w:rsidRDefault="006D4D62" w:rsidP="006D4D62">
      <w:pPr>
        <w:spacing w:line="240" w:lineRule="auto"/>
        <w:ind w:left="720" w:hanging="720"/>
        <w:rPr>
          <w:rFonts w:ascii="Calibri" w:hAnsi="Calibri"/>
          <w:noProof/>
        </w:rPr>
      </w:pPr>
      <w:bookmarkStart w:id="66" w:name="_ENREF_4_5"/>
      <w:r w:rsidRPr="00C806D0">
        <w:rPr>
          <w:rFonts w:ascii="Calibri" w:hAnsi="Calibri"/>
          <w:noProof/>
        </w:rPr>
        <w:t>5.</w:t>
      </w:r>
      <w:r w:rsidRPr="00C806D0">
        <w:rPr>
          <w:rFonts w:ascii="Calibri" w:hAnsi="Calibri"/>
          <w:noProof/>
        </w:rPr>
        <w:tab/>
        <w:t xml:space="preserve">Moppett IK: </w:t>
      </w:r>
      <w:r w:rsidRPr="00C806D0">
        <w:rPr>
          <w:rFonts w:ascii="Calibri" w:hAnsi="Calibri"/>
          <w:b/>
          <w:noProof/>
        </w:rPr>
        <w:t>Traumatic brain injury: assessment, resuscitation and early management</w:t>
      </w:r>
      <w:r w:rsidRPr="00C806D0">
        <w:rPr>
          <w:rFonts w:ascii="Calibri" w:hAnsi="Calibri"/>
          <w:noProof/>
        </w:rPr>
        <w:t xml:space="preserve">. </w:t>
      </w:r>
      <w:r w:rsidRPr="00C806D0">
        <w:rPr>
          <w:rFonts w:ascii="Calibri" w:hAnsi="Calibri"/>
          <w:i/>
          <w:noProof/>
        </w:rPr>
        <w:t xml:space="preserve">British journal of anaesthesia </w:t>
      </w:r>
      <w:r w:rsidRPr="00C806D0">
        <w:rPr>
          <w:rFonts w:ascii="Calibri" w:hAnsi="Calibri"/>
          <w:noProof/>
        </w:rPr>
        <w:t xml:space="preserve">2007, </w:t>
      </w:r>
      <w:r w:rsidRPr="00C806D0">
        <w:rPr>
          <w:rFonts w:ascii="Calibri" w:hAnsi="Calibri"/>
          <w:b/>
          <w:noProof/>
        </w:rPr>
        <w:t>99</w:t>
      </w:r>
      <w:r w:rsidRPr="00C806D0">
        <w:rPr>
          <w:rFonts w:ascii="Calibri" w:hAnsi="Calibri"/>
          <w:noProof/>
        </w:rPr>
        <w:t>(1):18-31.</w:t>
      </w:r>
      <w:bookmarkEnd w:id="66"/>
    </w:p>
    <w:p w:rsidR="006D4D62" w:rsidRPr="00C806D0" w:rsidRDefault="006D4D62" w:rsidP="006D4D62">
      <w:pPr>
        <w:spacing w:line="240" w:lineRule="auto"/>
        <w:ind w:left="720" w:hanging="720"/>
        <w:rPr>
          <w:rFonts w:ascii="Calibri" w:hAnsi="Calibri"/>
          <w:noProof/>
        </w:rPr>
      </w:pPr>
      <w:bookmarkStart w:id="67" w:name="_ENREF_4_6"/>
      <w:r w:rsidRPr="00C806D0">
        <w:rPr>
          <w:rFonts w:ascii="Calibri" w:hAnsi="Calibri"/>
          <w:noProof/>
        </w:rPr>
        <w:t>6.</w:t>
      </w:r>
      <w:r w:rsidRPr="00C806D0">
        <w:rPr>
          <w:rFonts w:ascii="Calibri" w:hAnsi="Calibri"/>
          <w:noProof/>
        </w:rPr>
        <w:tab/>
        <w:t xml:space="preserve">Perel P, Edwards P, Wentz R, Roberts I: </w:t>
      </w:r>
      <w:r w:rsidRPr="00C806D0">
        <w:rPr>
          <w:rFonts w:ascii="Calibri" w:hAnsi="Calibri"/>
          <w:b/>
          <w:noProof/>
        </w:rPr>
        <w:t>Systematic review of prognostic models in traumatic brain injury</w:t>
      </w:r>
      <w:r w:rsidRPr="00C806D0">
        <w:rPr>
          <w:rFonts w:ascii="Calibri" w:hAnsi="Calibri"/>
          <w:noProof/>
        </w:rPr>
        <w:t xml:space="preserve">. </w:t>
      </w:r>
      <w:r w:rsidRPr="00C806D0">
        <w:rPr>
          <w:rFonts w:ascii="Calibri" w:hAnsi="Calibri"/>
          <w:i/>
          <w:noProof/>
        </w:rPr>
        <w:t xml:space="preserve">BMC Med Inform Decis Mak </w:t>
      </w:r>
      <w:r w:rsidRPr="00C806D0">
        <w:rPr>
          <w:rFonts w:ascii="Calibri" w:hAnsi="Calibri"/>
          <w:noProof/>
        </w:rPr>
        <w:t xml:space="preserve">2006, </w:t>
      </w:r>
      <w:r w:rsidRPr="00C806D0">
        <w:rPr>
          <w:rFonts w:ascii="Calibri" w:hAnsi="Calibri"/>
          <w:b/>
          <w:noProof/>
        </w:rPr>
        <w:t>6</w:t>
      </w:r>
      <w:r w:rsidRPr="00C806D0">
        <w:rPr>
          <w:rFonts w:ascii="Calibri" w:hAnsi="Calibri"/>
          <w:noProof/>
        </w:rPr>
        <w:t>:38.</w:t>
      </w:r>
      <w:bookmarkEnd w:id="67"/>
    </w:p>
    <w:p w:rsidR="006D4D62" w:rsidRPr="00C806D0" w:rsidRDefault="006D4D62" w:rsidP="006D4D62">
      <w:pPr>
        <w:spacing w:line="240" w:lineRule="auto"/>
        <w:ind w:left="720" w:hanging="720"/>
        <w:rPr>
          <w:rFonts w:ascii="Calibri" w:hAnsi="Calibri"/>
          <w:noProof/>
        </w:rPr>
      </w:pPr>
      <w:bookmarkStart w:id="68" w:name="_ENREF_4_7"/>
      <w:r w:rsidRPr="00C806D0">
        <w:rPr>
          <w:rFonts w:ascii="Calibri" w:hAnsi="Calibri"/>
          <w:noProof/>
        </w:rPr>
        <w:t>7.</w:t>
      </w:r>
      <w:r w:rsidRPr="00C806D0">
        <w:rPr>
          <w:rFonts w:ascii="Calibri" w:hAnsi="Calibri"/>
          <w:noProof/>
        </w:rPr>
        <w:tab/>
        <w:t xml:space="preserve">Greenland S, Pearl J, Robins JM: </w:t>
      </w:r>
      <w:r w:rsidRPr="00C806D0">
        <w:rPr>
          <w:rFonts w:ascii="Calibri" w:hAnsi="Calibri"/>
          <w:b/>
          <w:noProof/>
        </w:rPr>
        <w:t>Causal diagrams for epidemiologic research</w:t>
      </w:r>
      <w:r w:rsidRPr="00C806D0">
        <w:rPr>
          <w:rFonts w:ascii="Calibri" w:hAnsi="Calibri"/>
          <w:noProof/>
        </w:rPr>
        <w:t xml:space="preserve">. </w:t>
      </w:r>
      <w:r w:rsidRPr="00C806D0">
        <w:rPr>
          <w:rFonts w:ascii="Calibri" w:hAnsi="Calibri"/>
          <w:i/>
          <w:noProof/>
        </w:rPr>
        <w:t xml:space="preserve">Epidemiology (Cambridge, Mass) </w:t>
      </w:r>
      <w:r w:rsidRPr="00C806D0">
        <w:rPr>
          <w:rFonts w:ascii="Calibri" w:hAnsi="Calibri"/>
          <w:noProof/>
        </w:rPr>
        <w:t xml:space="preserve">1999, </w:t>
      </w:r>
      <w:r w:rsidRPr="00C806D0">
        <w:rPr>
          <w:rFonts w:ascii="Calibri" w:hAnsi="Calibri"/>
          <w:b/>
          <w:noProof/>
        </w:rPr>
        <w:t>10</w:t>
      </w:r>
      <w:r w:rsidRPr="00C806D0">
        <w:rPr>
          <w:rFonts w:ascii="Calibri" w:hAnsi="Calibri"/>
          <w:noProof/>
        </w:rPr>
        <w:t>(1):37-48.</w:t>
      </w:r>
      <w:bookmarkEnd w:id="68"/>
    </w:p>
    <w:p w:rsidR="006D4D62" w:rsidRPr="00C806D0" w:rsidRDefault="006D4D62" w:rsidP="006D4D62">
      <w:pPr>
        <w:spacing w:line="240" w:lineRule="auto"/>
        <w:ind w:left="720" w:hanging="720"/>
        <w:rPr>
          <w:rFonts w:ascii="Calibri" w:hAnsi="Calibri"/>
          <w:noProof/>
        </w:rPr>
      </w:pPr>
      <w:bookmarkStart w:id="69" w:name="_ENREF_4_8"/>
      <w:r w:rsidRPr="00C806D0">
        <w:rPr>
          <w:rFonts w:ascii="Calibri" w:hAnsi="Calibri"/>
          <w:noProof/>
        </w:rPr>
        <w:t>8.</w:t>
      </w:r>
      <w:r w:rsidRPr="00C806D0">
        <w:rPr>
          <w:rFonts w:ascii="Calibri" w:hAnsi="Calibri"/>
          <w:noProof/>
        </w:rPr>
        <w:tab/>
        <w:t xml:space="preserve">Warrell DA, Cox TM, Firth JD: </w:t>
      </w:r>
      <w:r w:rsidRPr="00C806D0">
        <w:rPr>
          <w:rFonts w:ascii="Calibri" w:hAnsi="Calibri"/>
          <w:b/>
          <w:noProof/>
        </w:rPr>
        <w:t>Oxford textbook of medicine</w:t>
      </w:r>
      <w:r w:rsidRPr="00C806D0">
        <w:rPr>
          <w:rFonts w:ascii="Calibri" w:hAnsi="Calibri"/>
          <w:noProof/>
        </w:rPr>
        <w:t>, 5th ed. / edited by David A. Warrell, Timothy M. Cox, John D. Firth ; sub-editor Immunological mechanisms and disorders of the skin, Graham S. Ogg. edn. Oxford: Oxford University Press; 2010.</w:t>
      </w:r>
      <w:bookmarkEnd w:id="69"/>
    </w:p>
    <w:p w:rsidR="006D4D62" w:rsidRPr="00C806D0" w:rsidRDefault="006D4D62" w:rsidP="006D4D62">
      <w:pPr>
        <w:spacing w:line="240" w:lineRule="auto"/>
        <w:ind w:left="720" w:hanging="720"/>
        <w:rPr>
          <w:rFonts w:ascii="Calibri" w:hAnsi="Calibri"/>
          <w:noProof/>
        </w:rPr>
      </w:pPr>
      <w:bookmarkStart w:id="70" w:name="_ENREF_4_9"/>
      <w:r w:rsidRPr="00C806D0">
        <w:rPr>
          <w:rFonts w:ascii="Calibri" w:hAnsi="Calibri"/>
          <w:noProof/>
        </w:rPr>
        <w:t>9.</w:t>
      </w:r>
      <w:r w:rsidRPr="00C806D0">
        <w:rPr>
          <w:rFonts w:ascii="Calibri" w:hAnsi="Calibri"/>
          <w:noProof/>
        </w:rPr>
        <w:tab/>
        <w:t xml:space="preserve">Cleveland W: </w:t>
      </w:r>
      <w:r w:rsidR="00621613" w:rsidRPr="00C806D0">
        <w:rPr>
          <w:rFonts w:ascii="Calibri" w:hAnsi="Calibri"/>
          <w:b/>
          <w:noProof/>
        </w:rPr>
        <w:t xml:space="preserve">LOWESS: A Program for Smoothing </w:t>
      </w:r>
      <w:r w:rsidRPr="00C806D0">
        <w:rPr>
          <w:rFonts w:ascii="Calibri" w:hAnsi="Calibri"/>
          <w:b/>
          <w:noProof/>
        </w:rPr>
        <w:t>Scatterplots by R</w:t>
      </w:r>
      <w:r w:rsidR="00621613" w:rsidRPr="00C806D0">
        <w:rPr>
          <w:rFonts w:ascii="Calibri" w:hAnsi="Calibri"/>
          <w:b/>
          <w:noProof/>
        </w:rPr>
        <w:t xml:space="preserve">obust </w:t>
      </w:r>
      <w:r w:rsidRPr="00C806D0">
        <w:rPr>
          <w:rFonts w:ascii="Calibri" w:hAnsi="Calibri"/>
          <w:b/>
          <w:noProof/>
        </w:rPr>
        <w:t>L</w:t>
      </w:r>
      <w:r w:rsidR="00621613" w:rsidRPr="00C806D0">
        <w:rPr>
          <w:rFonts w:ascii="Calibri" w:hAnsi="Calibri"/>
          <w:b/>
          <w:noProof/>
        </w:rPr>
        <w:t>ocally Weighted R</w:t>
      </w:r>
      <w:r w:rsidRPr="00C806D0">
        <w:rPr>
          <w:rFonts w:ascii="Calibri" w:hAnsi="Calibri"/>
          <w:b/>
          <w:noProof/>
        </w:rPr>
        <w:t>egression</w:t>
      </w:r>
      <w:r w:rsidRPr="00C806D0">
        <w:rPr>
          <w:rFonts w:ascii="Calibri" w:hAnsi="Calibri"/>
          <w:noProof/>
        </w:rPr>
        <w:t xml:space="preserve">. </w:t>
      </w:r>
      <w:r w:rsidRPr="00C806D0">
        <w:rPr>
          <w:rFonts w:ascii="Calibri" w:hAnsi="Calibri"/>
          <w:i/>
          <w:noProof/>
        </w:rPr>
        <w:t xml:space="preserve">The American Statistician </w:t>
      </w:r>
      <w:r w:rsidRPr="00C806D0">
        <w:rPr>
          <w:rFonts w:ascii="Calibri" w:hAnsi="Calibri"/>
          <w:noProof/>
        </w:rPr>
        <w:t xml:space="preserve">1981, </w:t>
      </w:r>
      <w:r w:rsidRPr="00C806D0">
        <w:rPr>
          <w:rFonts w:ascii="Calibri" w:hAnsi="Calibri"/>
          <w:b/>
          <w:noProof/>
        </w:rPr>
        <w:t>35</w:t>
      </w:r>
      <w:r w:rsidRPr="00C806D0">
        <w:rPr>
          <w:rFonts w:ascii="Calibri" w:hAnsi="Calibri"/>
          <w:noProof/>
        </w:rPr>
        <w:t>(1).</w:t>
      </w:r>
      <w:bookmarkEnd w:id="70"/>
    </w:p>
    <w:p w:rsidR="006D4D62" w:rsidRPr="00C806D0" w:rsidRDefault="006D4D62" w:rsidP="006D4D62">
      <w:pPr>
        <w:spacing w:line="240" w:lineRule="auto"/>
        <w:ind w:left="720" w:hanging="720"/>
        <w:rPr>
          <w:rFonts w:ascii="Calibri" w:hAnsi="Calibri"/>
          <w:noProof/>
        </w:rPr>
      </w:pPr>
      <w:bookmarkStart w:id="71" w:name="_ENREF_4_10"/>
      <w:r w:rsidRPr="00C806D0">
        <w:rPr>
          <w:rFonts w:ascii="Calibri" w:hAnsi="Calibri"/>
          <w:noProof/>
        </w:rPr>
        <w:t>10.</w:t>
      </w:r>
      <w:r w:rsidRPr="00C806D0">
        <w:rPr>
          <w:rFonts w:ascii="Calibri" w:hAnsi="Calibri"/>
          <w:noProof/>
        </w:rPr>
        <w:tab/>
        <w:t xml:space="preserve">Kleinbaum DG, Klein M: </w:t>
      </w:r>
      <w:r w:rsidRPr="00C806D0">
        <w:rPr>
          <w:rFonts w:ascii="Calibri" w:hAnsi="Calibri"/>
          <w:b/>
          <w:noProof/>
        </w:rPr>
        <w:t>Logistic regression : a self-learning text</w:t>
      </w:r>
      <w:r w:rsidRPr="00C806D0">
        <w:rPr>
          <w:rFonts w:ascii="Calibri" w:hAnsi="Calibri"/>
          <w:noProof/>
        </w:rPr>
        <w:t>, 2nd ed. edn. New York, NY: Springer-Verlag; 2002.</w:t>
      </w:r>
      <w:bookmarkEnd w:id="71"/>
    </w:p>
    <w:p w:rsidR="006D4D62" w:rsidRPr="00C806D0" w:rsidRDefault="006D4D62" w:rsidP="006D4D62">
      <w:pPr>
        <w:spacing w:line="240" w:lineRule="auto"/>
        <w:ind w:left="720" w:hanging="720"/>
        <w:rPr>
          <w:rFonts w:ascii="Calibri" w:hAnsi="Calibri"/>
          <w:noProof/>
        </w:rPr>
      </w:pPr>
      <w:bookmarkStart w:id="72" w:name="_ENREF_4_11"/>
      <w:r w:rsidRPr="00C806D0">
        <w:rPr>
          <w:rFonts w:ascii="Calibri" w:hAnsi="Calibri"/>
          <w:noProof/>
        </w:rPr>
        <w:t>11.</w:t>
      </w:r>
      <w:r w:rsidRPr="00C806D0">
        <w:rPr>
          <w:rFonts w:ascii="Calibri" w:hAnsi="Calibri"/>
          <w:noProof/>
        </w:rPr>
        <w:tab/>
        <w:t xml:space="preserve">Wears RL: </w:t>
      </w:r>
      <w:r w:rsidRPr="00C806D0">
        <w:rPr>
          <w:rFonts w:ascii="Calibri" w:hAnsi="Calibri"/>
          <w:b/>
          <w:noProof/>
        </w:rPr>
        <w:t>Advanced statistics: statistical methods for analyzing cluster and cluster-randomized data</w:t>
      </w:r>
      <w:r w:rsidRPr="00C806D0">
        <w:rPr>
          <w:rFonts w:ascii="Calibri" w:hAnsi="Calibri"/>
          <w:noProof/>
        </w:rPr>
        <w:t xml:space="preserve">. </w:t>
      </w:r>
      <w:r w:rsidRPr="00C806D0">
        <w:rPr>
          <w:rFonts w:ascii="Calibri" w:hAnsi="Calibri"/>
          <w:i/>
          <w:noProof/>
        </w:rPr>
        <w:t xml:space="preserve">Academic emergency medicine : official journal of the Society for Academic Emergency Medicine </w:t>
      </w:r>
      <w:r w:rsidRPr="00C806D0">
        <w:rPr>
          <w:rFonts w:ascii="Calibri" w:hAnsi="Calibri"/>
          <w:noProof/>
        </w:rPr>
        <w:t xml:space="preserve">2002, </w:t>
      </w:r>
      <w:r w:rsidRPr="00C806D0">
        <w:rPr>
          <w:rFonts w:ascii="Calibri" w:hAnsi="Calibri"/>
          <w:b/>
          <w:noProof/>
        </w:rPr>
        <w:t>9</w:t>
      </w:r>
      <w:r w:rsidRPr="00C806D0">
        <w:rPr>
          <w:rFonts w:ascii="Calibri" w:hAnsi="Calibri"/>
          <w:noProof/>
        </w:rPr>
        <w:t>(4):330-341.</w:t>
      </w:r>
      <w:bookmarkEnd w:id="72"/>
    </w:p>
    <w:p w:rsidR="006D4D62" w:rsidRPr="00C806D0" w:rsidRDefault="006D4D62" w:rsidP="006D4D62">
      <w:pPr>
        <w:spacing w:line="240" w:lineRule="auto"/>
        <w:ind w:left="720" w:hanging="720"/>
        <w:rPr>
          <w:rFonts w:ascii="Calibri" w:hAnsi="Calibri"/>
          <w:noProof/>
        </w:rPr>
      </w:pPr>
      <w:bookmarkStart w:id="73" w:name="_ENREF_4_12"/>
      <w:r w:rsidRPr="00C806D0">
        <w:rPr>
          <w:rFonts w:ascii="Calibri" w:hAnsi="Calibri"/>
          <w:noProof/>
        </w:rPr>
        <w:t>12.</w:t>
      </w:r>
      <w:r w:rsidRPr="00C806D0">
        <w:rPr>
          <w:rFonts w:ascii="Calibri" w:hAnsi="Calibri"/>
          <w:noProof/>
        </w:rPr>
        <w:tab/>
        <w:t xml:space="preserve">Hosmer DW, Lemeshow S, Sturdivant RX: </w:t>
      </w:r>
      <w:r w:rsidRPr="00C806D0">
        <w:rPr>
          <w:rFonts w:ascii="Calibri" w:hAnsi="Calibri"/>
          <w:b/>
          <w:noProof/>
        </w:rPr>
        <w:t>Applied logistic regression</w:t>
      </w:r>
      <w:r w:rsidRPr="00C806D0">
        <w:rPr>
          <w:rFonts w:ascii="Calibri" w:hAnsi="Calibri"/>
          <w:noProof/>
        </w:rPr>
        <w:t>, 3rd ed. edn. Hoboken: Wiley; 2013.</w:t>
      </w:r>
      <w:bookmarkEnd w:id="73"/>
    </w:p>
    <w:p w:rsidR="006D4D62" w:rsidRPr="00C806D0" w:rsidRDefault="006D4D62" w:rsidP="006D4D62">
      <w:pPr>
        <w:spacing w:line="240" w:lineRule="auto"/>
        <w:ind w:left="720" w:hanging="720"/>
        <w:rPr>
          <w:rFonts w:ascii="Calibri" w:hAnsi="Calibri"/>
          <w:noProof/>
        </w:rPr>
      </w:pPr>
      <w:bookmarkStart w:id="74" w:name="_ENREF_4_13"/>
      <w:r w:rsidRPr="00C806D0">
        <w:rPr>
          <w:rFonts w:ascii="Calibri" w:hAnsi="Calibri"/>
          <w:noProof/>
        </w:rPr>
        <w:t>13.</w:t>
      </w:r>
      <w:r w:rsidRPr="00C806D0">
        <w:rPr>
          <w:rFonts w:ascii="Calibri" w:hAnsi="Calibri"/>
          <w:noProof/>
        </w:rPr>
        <w:tab/>
        <w:t xml:space="preserve">Pregibon D: </w:t>
      </w:r>
      <w:r w:rsidRPr="00C806D0">
        <w:rPr>
          <w:rFonts w:ascii="Calibri" w:hAnsi="Calibri"/>
          <w:b/>
          <w:noProof/>
        </w:rPr>
        <w:t>Logistic Regression Diagnostics</w:t>
      </w:r>
      <w:r w:rsidRPr="00C806D0">
        <w:rPr>
          <w:rFonts w:ascii="Calibri" w:hAnsi="Calibri"/>
          <w:noProof/>
        </w:rPr>
        <w:t>. 1981:705-724.</w:t>
      </w:r>
      <w:bookmarkEnd w:id="74"/>
    </w:p>
    <w:p w:rsidR="006D4D62" w:rsidRPr="00C806D0" w:rsidRDefault="006D4D62" w:rsidP="006D4D62">
      <w:pPr>
        <w:spacing w:line="240" w:lineRule="auto"/>
        <w:ind w:left="720" w:hanging="720"/>
        <w:rPr>
          <w:rFonts w:ascii="Calibri" w:hAnsi="Calibri"/>
          <w:noProof/>
        </w:rPr>
      </w:pPr>
      <w:bookmarkStart w:id="75" w:name="_ENREF_4_14"/>
      <w:r w:rsidRPr="00C806D0">
        <w:rPr>
          <w:rFonts w:ascii="Calibri" w:hAnsi="Calibri"/>
          <w:noProof/>
        </w:rPr>
        <w:t>14.</w:t>
      </w:r>
      <w:r w:rsidRPr="00C806D0">
        <w:rPr>
          <w:rFonts w:ascii="Calibri" w:hAnsi="Calibri"/>
          <w:noProof/>
        </w:rPr>
        <w:tab/>
        <w:t xml:space="preserve">Harrell FE: </w:t>
      </w:r>
      <w:r w:rsidRPr="00C806D0">
        <w:rPr>
          <w:rFonts w:ascii="Calibri" w:hAnsi="Calibri"/>
          <w:b/>
          <w:noProof/>
        </w:rPr>
        <w:t>Regression modeling strategies : with applications to linear models, logistic regression, and survival analysis</w:t>
      </w:r>
      <w:r w:rsidRPr="00C806D0">
        <w:rPr>
          <w:rFonts w:ascii="Calibri" w:hAnsi="Calibri"/>
          <w:noProof/>
        </w:rPr>
        <w:t>. New York ; London: Springer; 2001.</w:t>
      </w:r>
      <w:bookmarkEnd w:id="75"/>
    </w:p>
    <w:p w:rsidR="006D4D62" w:rsidRPr="00C806D0" w:rsidRDefault="006D4D62" w:rsidP="006D4D62">
      <w:pPr>
        <w:spacing w:line="240" w:lineRule="auto"/>
        <w:ind w:left="720" w:hanging="720"/>
        <w:rPr>
          <w:rFonts w:ascii="Calibri" w:hAnsi="Calibri"/>
          <w:noProof/>
        </w:rPr>
      </w:pPr>
      <w:bookmarkStart w:id="76" w:name="_ENREF_4_15"/>
      <w:r w:rsidRPr="00C806D0">
        <w:rPr>
          <w:rFonts w:ascii="Calibri" w:hAnsi="Calibri"/>
          <w:noProof/>
        </w:rPr>
        <w:t>15.</w:t>
      </w:r>
      <w:r w:rsidRPr="00C806D0">
        <w:rPr>
          <w:rFonts w:ascii="Calibri" w:hAnsi="Calibri"/>
          <w:noProof/>
        </w:rPr>
        <w:tab/>
        <w:t xml:space="preserve">Austin PC: </w:t>
      </w:r>
      <w:r w:rsidRPr="00C806D0">
        <w:rPr>
          <w:rFonts w:ascii="Calibri" w:hAnsi="Calibri"/>
          <w:b/>
          <w:noProof/>
        </w:rPr>
        <w:t>An Introduction to Propensity Score Methods for Reducing the Effects of Confounding in Observational Studies</w:t>
      </w:r>
      <w:r w:rsidRPr="00C806D0">
        <w:rPr>
          <w:rFonts w:ascii="Calibri" w:hAnsi="Calibri"/>
          <w:noProof/>
        </w:rPr>
        <w:t xml:space="preserve">. </w:t>
      </w:r>
      <w:r w:rsidRPr="00C806D0">
        <w:rPr>
          <w:rFonts w:ascii="Calibri" w:hAnsi="Calibri"/>
          <w:i/>
          <w:noProof/>
        </w:rPr>
        <w:t xml:space="preserve">Multivariate behavioral research </w:t>
      </w:r>
      <w:r w:rsidRPr="00C806D0">
        <w:rPr>
          <w:rFonts w:ascii="Calibri" w:hAnsi="Calibri"/>
          <w:noProof/>
        </w:rPr>
        <w:t xml:space="preserve">2011, </w:t>
      </w:r>
      <w:r w:rsidRPr="00C806D0">
        <w:rPr>
          <w:rFonts w:ascii="Calibri" w:hAnsi="Calibri"/>
          <w:b/>
          <w:noProof/>
        </w:rPr>
        <w:t>46</w:t>
      </w:r>
      <w:r w:rsidRPr="00C806D0">
        <w:rPr>
          <w:rFonts w:ascii="Calibri" w:hAnsi="Calibri"/>
          <w:noProof/>
        </w:rPr>
        <w:t>(3):399-424.</w:t>
      </w:r>
      <w:bookmarkEnd w:id="76"/>
    </w:p>
    <w:p w:rsidR="006D4D62" w:rsidRPr="00C806D0" w:rsidRDefault="006D4D62" w:rsidP="006D4D62">
      <w:pPr>
        <w:spacing w:line="240" w:lineRule="auto"/>
        <w:ind w:left="720" w:hanging="720"/>
        <w:rPr>
          <w:rFonts w:ascii="Calibri" w:hAnsi="Calibri"/>
          <w:noProof/>
        </w:rPr>
      </w:pPr>
      <w:bookmarkStart w:id="77" w:name="_ENREF_4_16"/>
      <w:r w:rsidRPr="00C806D0">
        <w:rPr>
          <w:rFonts w:ascii="Calibri" w:hAnsi="Calibri"/>
          <w:noProof/>
        </w:rPr>
        <w:t>16.</w:t>
      </w:r>
      <w:r w:rsidRPr="00C806D0">
        <w:rPr>
          <w:rFonts w:ascii="Calibri" w:hAnsi="Calibri"/>
          <w:noProof/>
        </w:rPr>
        <w:tab/>
        <w:t xml:space="preserve">Guo S, Fraser MW: </w:t>
      </w:r>
      <w:r w:rsidRPr="00C806D0">
        <w:rPr>
          <w:rFonts w:ascii="Calibri" w:hAnsi="Calibri"/>
          <w:b/>
          <w:noProof/>
        </w:rPr>
        <w:t>Propensity score analysis : statistical methods and applications</w:t>
      </w:r>
      <w:r w:rsidRPr="00C806D0">
        <w:rPr>
          <w:rFonts w:ascii="Calibri" w:hAnsi="Calibri"/>
          <w:noProof/>
        </w:rPr>
        <w:t>. Los Angeles ; London: SAGE; 2010.</w:t>
      </w:r>
      <w:bookmarkEnd w:id="77"/>
    </w:p>
    <w:p w:rsidR="006D4D62" w:rsidRPr="00C806D0" w:rsidRDefault="006D4D62" w:rsidP="006D4D62">
      <w:pPr>
        <w:spacing w:line="240" w:lineRule="auto"/>
        <w:ind w:left="720" w:hanging="720"/>
        <w:rPr>
          <w:rFonts w:ascii="Calibri" w:hAnsi="Calibri"/>
          <w:noProof/>
        </w:rPr>
      </w:pPr>
      <w:bookmarkStart w:id="78" w:name="_ENREF_4_17"/>
      <w:r w:rsidRPr="00C806D0">
        <w:rPr>
          <w:rFonts w:ascii="Calibri" w:hAnsi="Calibri"/>
          <w:noProof/>
        </w:rPr>
        <w:t>17.</w:t>
      </w:r>
      <w:r w:rsidRPr="00C806D0">
        <w:rPr>
          <w:rFonts w:ascii="Calibri" w:hAnsi="Calibri"/>
          <w:noProof/>
        </w:rPr>
        <w:tab/>
        <w:t xml:space="preserve">Williamson E, Morley R, Lucas A, Carpenter J: </w:t>
      </w:r>
      <w:r w:rsidRPr="00C806D0">
        <w:rPr>
          <w:rFonts w:ascii="Calibri" w:hAnsi="Calibri"/>
          <w:b/>
          <w:noProof/>
        </w:rPr>
        <w:t>Propensity scores: from naive enthusiasm to intuitive understanding</w:t>
      </w:r>
      <w:r w:rsidRPr="00C806D0">
        <w:rPr>
          <w:rFonts w:ascii="Calibri" w:hAnsi="Calibri"/>
          <w:noProof/>
        </w:rPr>
        <w:t xml:space="preserve">. </w:t>
      </w:r>
      <w:r w:rsidRPr="00C806D0">
        <w:rPr>
          <w:rFonts w:ascii="Calibri" w:hAnsi="Calibri"/>
          <w:i/>
          <w:noProof/>
        </w:rPr>
        <w:t xml:space="preserve">Statistical methods in medical research </w:t>
      </w:r>
      <w:r w:rsidRPr="00C806D0">
        <w:rPr>
          <w:rFonts w:ascii="Calibri" w:hAnsi="Calibri"/>
          <w:noProof/>
        </w:rPr>
        <w:t xml:space="preserve">2012, </w:t>
      </w:r>
      <w:r w:rsidRPr="00C806D0">
        <w:rPr>
          <w:rFonts w:ascii="Calibri" w:hAnsi="Calibri"/>
          <w:b/>
          <w:noProof/>
        </w:rPr>
        <w:t>21</w:t>
      </w:r>
      <w:r w:rsidRPr="00C806D0">
        <w:rPr>
          <w:rFonts w:ascii="Calibri" w:hAnsi="Calibri"/>
          <w:noProof/>
        </w:rPr>
        <w:t>(3):273-293.</w:t>
      </w:r>
      <w:bookmarkEnd w:id="78"/>
    </w:p>
    <w:p w:rsidR="006D4D62" w:rsidRPr="00C806D0" w:rsidRDefault="006D4D62" w:rsidP="006D4D62">
      <w:pPr>
        <w:spacing w:line="240" w:lineRule="auto"/>
        <w:ind w:left="720" w:hanging="720"/>
        <w:rPr>
          <w:rFonts w:ascii="Calibri" w:hAnsi="Calibri"/>
          <w:noProof/>
        </w:rPr>
      </w:pPr>
      <w:bookmarkStart w:id="79" w:name="_ENREF_4_18"/>
      <w:r w:rsidRPr="00C806D0">
        <w:rPr>
          <w:rFonts w:ascii="Calibri" w:hAnsi="Calibri"/>
          <w:noProof/>
        </w:rPr>
        <w:t>18.</w:t>
      </w:r>
      <w:r w:rsidRPr="00C806D0">
        <w:rPr>
          <w:rFonts w:ascii="Calibri" w:hAnsi="Calibri"/>
          <w:noProof/>
        </w:rPr>
        <w:tab/>
        <w:t xml:space="preserve">Austin PC: </w:t>
      </w:r>
      <w:r w:rsidRPr="00C806D0">
        <w:rPr>
          <w:rFonts w:ascii="Calibri" w:hAnsi="Calibri"/>
          <w:b/>
          <w:noProof/>
        </w:rPr>
        <w:t>Propensity-score matching in the cardiovascular surgery literature from 2004 to 2006: a systematic review and suggestions for improvement</w:t>
      </w:r>
      <w:r w:rsidRPr="00C806D0">
        <w:rPr>
          <w:rFonts w:ascii="Calibri" w:hAnsi="Calibri"/>
          <w:noProof/>
        </w:rPr>
        <w:t xml:space="preserve">. </w:t>
      </w:r>
      <w:r w:rsidRPr="00C806D0">
        <w:rPr>
          <w:rFonts w:ascii="Calibri" w:hAnsi="Calibri"/>
          <w:i/>
          <w:noProof/>
        </w:rPr>
        <w:t xml:space="preserve">The Journal of thoracic and cardiovascular surgery </w:t>
      </w:r>
      <w:r w:rsidRPr="00C806D0">
        <w:rPr>
          <w:rFonts w:ascii="Calibri" w:hAnsi="Calibri"/>
          <w:noProof/>
        </w:rPr>
        <w:t xml:space="preserve">2007, </w:t>
      </w:r>
      <w:r w:rsidRPr="00C806D0">
        <w:rPr>
          <w:rFonts w:ascii="Calibri" w:hAnsi="Calibri"/>
          <w:b/>
          <w:noProof/>
        </w:rPr>
        <w:t>134</w:t>
      </w:r>
      <w:r w:rsidRPr="00C806D0">
        <w:rPr>
          <w:rFonts w:ascii="Calibri" w:hAnsi="Calibri"/>
          <w:noProof/>
        </w:rPr>
        <w:t>(5):1128-1135.</w:t>
      </w:r>
      <w:bookmarkEnd w:id="79"/>
    </w:p>
    <w:p w:rsidR="006D4D62" w:rsidRPr="00C806D0" w:rsidRDefault="006D4D62" w:rsidP="006D4D62">
      <w:pPr>
        <w:spacing w:line="240" w:lineRule="auto"/>
        <w:ind w:left="720" w:hanging="720"/>
        <w:rPr>
          <w:rFonts w:ascii="Calibri" w:hAnsi="Calibri"/>
          <w:noProof/>
        </w:rPr>
      </w:pPr>
      <w:bookmarkStart w:id="80" w:name="_ENREF_4_19"/>
      <w:r w:rsidRPr="00C806D0">
        <w:rPr>
          <w:rFonts w:ascii="Calibri" w:hAnsi="Calibri"/>
          <w:noProof/>
        </w:rPr>
        <w:t>19.</w:t>
      </w:r>
      <w:r w:rsidRPr="00C806D0">
        <w:rPr>
          <w:rFonts w:ascii="Calibri" w:hAnsi="Calibri"/>
          <w:noProof/>
        </w:rPr>
        <w:tab/>
        <w:t xml:space="preserve">Austin PC: </w:t>
      </w:r>
      <w:r w:rsidRPr="00C806D0">
        <w:rPr>
          <w:rFonts w:ascii="Calibri" w:hAnsi="Calibri"/>
          <w:b/>
          <w:noProof/>
        </w:rPr>
        <w:t>Comparing paired vs non-paired statistical methods of analyses when making inferences about absolute risk reductions in propensity-score matched samples</w:t>
      </w:r>
      <w:r w:rsidRPr="00C806D0">
        <w:rPr>
          <w:rFonts w:ascii="Calibri" w:hAnsi="Calibri"/>
          <w:noProof/>
        </w:rPr>
        <w:t xml:space="preserve">. </w:t>
      </w:r>
      <w:r w:rsidRPr="00C806D0">
        <w:rPr>
          <w:rFonts w:ascii="Calibri" w:hAnsi="Calibri"/>
          <w:i/>
          <w:noProof/>
        </w:rPr>
        <w:t xml:space="preserve">Statistics in medicine </w:t>
      </w:r>
      <w:r w:rsidRPr="00C806D0">
        <w:rPr>
          <w:rFonts w:ascii="Calibri" w:hAnsi="Calibri"/>
          <w:noProof/>
        </w:rPr>
        <w:t xml:space="preserve">2011, </w:t>
      </w:r>
      <w:r w:rsidRPr="00C806D0">
        <w:rPr>
          <w:rFonts w:ascii="Calibri" w:hAnsi="Calibri"/>
          <w:b/>
          <w:noProof/>
        </w:rPr>
        <w:t>30</w:t>
      </w:r>
      <w:r w:rsidRPr="00C806D0">
        <w:rPr>
          <w:rFonts w:ascii="Calibri" w:hAnsi="Calibri"/>
          <w:noProof/>
        </w:rPr>
        <w:t>(11):1292-1301.</w:t>
      </w:r>
      <w:bookmarkEnd w:id="80"/>
    </w:p>
    <w:p w:rsidR="006D4D62" w:rsidRPr="00C806D0" w:rsidRDefault="006D4D62" w:rsidP="006D4D62">
      <w:pPr>
        <w:spacing w:line="240" w:lineRule="auto"/>
        <w:ind w:left="720" w:hanging="720"/>
        <w:rPr>
          <w:rFonts w:ascii="Calibri" w:hAnsi="Calibri"/>
          <w:noProof/>
        </w:rPr>
      </w:pPr>
      <w:bookmarkStart w:id="81" w:name="_ENREF_4_20"/>
      <w:r w:rsidRPr="00C806D0">
        <w:rPr>
          <w:rFonts w:ascii="Calibri" w:hAnsi="Calibri"/>
          <w:noProof/>
        </w:rPr>
        <w:t>20.</w:t>
      </w:r>
      <w:r w:rsidRPr="00C806D0">
        <w:rPr>
          <w:rFonts w:ascii="Calibri" w:hAnsi="Calibri"/>
          <w:noProof/>
        </w:rPr>
        <w:tab/>
        <w:t xml:space="preserve">Schafer JL: </w:t>
      </w:r>
      <w:r w:rsidRPr="00C806D0">
        <w:rPr>
          <w:rFonts w:ascii="Calibri" w:hAnsi="Calibri"/>
          <w:b/>
          <w:noProof/>
        </w:rPr>
        <w:t>Multiple imputation: a primer</w:t>
      </w:r>
      <w:r w:rsidRPr="00C806D0">
        <w:rPr>
          <w:rFonts w:ascii="Calibri" w:hAnsi="Calibri"/>
          <w:noProof/>
        </w:rPr>
        <w:t xml:space="preserve">. </w:t>
      </w:r>
      <w:r w:rsidRPr="00C806D0">
        <w:rPr>
          <w:rFonts w:ascii="Calibri" w:hAnsi="Calibri"/>
          <w:i/>
          <w:noProof/>
        </w:rPr>
        <w:t xml:space="preserve">Statistical methods in medical research </w:t>
      </w:r>
      <w:r w:rsidRPr="00C806D0">
        <w:rPr>
          <w:rFonts w:ascii="Calibri" w:hAnsi="Calibri"/>
          <w:noProof/>
        </w:rPr>
        <w:t xml:space="preserve">1999, </w:t>
      </w:r>
      <w:r w:rsidRPr="00C806D0">
        <w:rPr>
          <w:rFonts w:ascii="Calibri" w:hAnsi="Calibri"/>
          <w:b/>
          <w:noProof/>
        </w:rPr>
        <w:t>8</w:t>
      </w:r>
      <w:r w:rsidRPr="00C806D0">
        <w:rPr>
          <w:rFonts w:ascii="Calibri" w:hAnsi="Calibri"/>
          <w:noProof/>
        </w:rPr>
        <w:t>(1):3-15.</w:t>
      </w:r>
      <w:bookmarkEnd w:id="81"/>
    </w:p>
    <w:p w:rsidR="006D4D62" w:rsidRPr="00C806D0" w:rsidRDefault="006D4D62" w:rsidP="006D4D62">
      <w:pPr>
        <w:spacing w:line="240" w:lineRule="auto"/>
        <w:ind w:left="720" w:hanging="720"/>
        <w:rPr>
          <w:rFonts w:ascii="Calibri" w:hAnsi="Calibri"/>
          <w:noProof/>
        </w:rPr>
      </w:pPr>
      <w:bookmarkStart w:id="82" w:name="_ENREF_4_21"/>
      <w:r w:rsidRPr="00C806D0">
        <w:rPr>
          <w:rFonts w:ascii="Calibri" w:hAnsi="Calibri"/>
          <w:noProof/>
        </w:rPr>
        <w:t>21.</w:t>
      </w:r>
      <w:r w:rsidRPr="00C806D0">
        <w:rPr>
          <w:rFonts w:ascii="Calibri" w:hAnsi="Calibri"/>
          <w:noProof/>
        </w:rPr>
        <w:tab/>
      </w:r>
      <w:r w:rsidRPr="00C806D0">
        <w:rPr>
          <w:rFonts w:ascii="Calibri" w:hAnsi="Calibri"/>
          <w:b/>
          <w:noProof/>
        </w:rPr>
        <w:t xml:space="preserve">Hospital Episode Statistics </w:t>
      </w:r>
      <w:r w:rsidRPr="00C806D0">
        <w:rPr>
          <w:rFonts w:ascii="Calibri" w:hAnsi="Calibri"/>
          <w:noProof/>
        </w:rPr>
        <w:t>[http://www.hesonline.nhs.uk ]</w:t>
      </w:r>
      <w:bookmarkEnd w:id="82"/>
    </w:p>
    <w:p w:rsidR="006D4D62" w:rsidRPr="00C806D0" w:rsidRDefault="006D4D62" w:rsidP="006D4D62">
      <w:pPr>
        <w:spacing w:line="240" w:lineRule="auto"/>
        <w:rPr>
          <w:rFonts w:ascii="Calibri" w:hAnsi="Calibri"/>
          <w:noProof/>
        </w:rPr>
      </w:pPr>
    </w:p>
    <w:p w:rsidR="00D368BB" w:rsidRPr="00C806D0" w:rsidRDefault="00D368BB" w:rsidP="006574FF"/>
    <w:p w:rsidR="006574FF" w:rsidRPr="00C806D0" w:rsidRDefault="006574FF" w:rsidP="006574FF">
      <w:pPr>
        <w:sectPr w:rsidR="006574FF" w:rsidRPr="00C806D0" w:rsidSect="00E31429">
          <w:pgSz w:w="11906" w:h="16838"/>
          <w:pgMar w:top="1134" w:right="1134" w:bottom="1134" w:left="2268" w:header="708" w:footer="708" w:gutter="0"/>
          <w:cols w:space="708"/>
          <w:docGrid w:linePitch="360"/>
        </w:sectPr>
      </w:pPr>
    </w:p>
    <w:p w:rsidR="008E0D4A" w:rsidRPr="00C806D0" w:rsidRDefault="008E0D4A" w:rsidP="008E0D4A">
      <w:pPr>
        <w:pStyle w:val="Heading1"/>
      </w:pPr>
      <w:r w:rsidRPr="00C806D0">
        <w:lastRenderedPageBreak/>
        <w:t>Appendix E: THE RELATIONSHIP BETWEEN PREHOspITAL ANd EMERGENCY DEPARTMENT PHYSIOLOGY IN PATIENTS WITH SIGNIFICANT traumatic brain injury</w:t>
      </w:r>
    </w:p>
    <w:p w:rsidR="008E0D4A" w:rsidRPr="00C806D0" w:rsidRDefault="008E0D4A" w:rsidP="008E0D4A">
      <w:pPr>
        <w:pStyle w:val="Heading2"/>
        <w:ind w:left="0" w:firstLine="0"/>
      </w:pPr>
      <w:r w:rsidRPr="00C806D0">
        <w:t>supplementary methodological information</w:t>
      </w:r>
    </w:p>
    <w:p w:rsidR="008E0D4A" w:rsidRPr="00C806D0" w:rsidRDefault="008E0D4A" w:rsidP="008E0D4A">
      <w:pPr>
        <w:pStyle w:val="Heading3"/>
        <w:spacing w:before="240"/>
      </w:pPr>
      <w:r w:rsidRPr="00C806D0">
        <w:t xml:space="preserve">Statistical assessment of agreement </w:t>
      </w:r>
    </w:p>
    <w:p w:rsidR="008E0D4A" w:rsidRPr="00C806D0" w:rsidRDefault="008E0D4A" w:rsidP="008E0D4A">
      <w:r w:rsidRPr="00C806D0">
        <w:t xml:space="preserve">Comparison of prehospital and emergency department physiology is a challenging statistical problem. Firstly, on the one hand, the prehospital and emergency department readings for each vital sign are clearly related, and could be assumed to be measuring the same underlying physiological quantity. Secondly, on the other hand, the temporal differences in assessment, dynamic changes in clinical condition and potential influence of treatments might suggest that measurements from each setting should alternatively be considered as distinct variables. </w:t>
      </w:r>
    </w:p>
    <w:p w:rsidR="008E0D4A" w:rsidRPr="00C806D0" w:rsidRDefault="008E0D4A" w:rsidP="008E0D4A"/>
    <w:p w:rsidR="008E0D4A" w:rsidRPr="00C806D0" w:rsidRDefault="008E0D4A" w:rsidP="008E0D4A">
      <w:r w:rsidRPr="00C806D0">
        <w:t>The first viewpoint is consistent with assessing reproducibility; the examination of variation in repeated measurements made on a subject under changing conditions.</w:t>
      </w:r>
      <w:r w:rsidRPr="00C806D0">
        <w:rPr>
          <w:noProof/>
          <w:vertAlign w:val="superscript"/>
        </w:rPr>
        <w:t>[</w:t>
      </w:r>
      <w:r w:rsidR="006D4D62" w:rsidRPr="00C806D0">
        <w:rPr>
          <w:noProof/>
          <w:vertAlign w:val="superscript"/>
        </w:rPr>
        <w:t>1</w:t>
      </w:r>
      <w:r w:rsidRPr="00C806D0">
        <w:rPr>
          <w:noProof/>
          <w:vertAlign w:val="superscript"/>
        </w:rPr>
        <w:t>]</w:t>
      </w:r>
      <w:r w:rsidRPr="00C806D0">
        <w:t xml:space="preserve"> Investigation of agreement, i.e. how close two measurements on the same subject are, within this paradigm will address the question of whether prehospital values can appropriately be substituted for ED measurements in outcome prediction models or clinical studies.</w:t>
      </w:r>
      <w:r w:rsidRPr="00C806D0">
        <w:rPr>
          <w:noProof/>
          <w:vertAlign w:val="superscript"/>
        </w:rPr>
        <w:t>[</w:t>
      </w:r>
      <w:r w:rsidR="006D4D62" w:rsidRPr="00C806D0">
        <w:rPr>
          <w:noProof/>
          <w:vertAlign w:val="superscript"/>
        </w:rPr>
        <w:t>1</w:t>
      </w:r>
      <w:r w:rsidRPr="00C806D0">
        <w:rPr>
          <w:noProof/>
          <w:vertAlign w:val="superscript"/>
        </w:rPr>
        <w:t xml:space="preserve">, </w:t>
      </w:r>
      <w:r w:rsidR="006D4D62" w:rsidRPr="00C806D0">
        <w:rPr>
          <w:noProof/>
          <w:vertAlign w:val="superscript"/>
        </w:rPr>
        <w:t>2</w:t>
      </w:r>
      <w:r w:rsidRPr="00C806D0">
        <w:rPr>
          <w:noProof/>
          <w:vertAlign w:val="superscript"/>
        </w:rPr>
        <w:t>]</w:t>
      </w:r>
      <w:r w:rsidRPr="00C806D0">
        <w:t xml:space="preserve"> Furthermore, assessing agreement also provides an approach to answer the wider question of to what extent prehospital and ED values differ. In contrast, assessing reliability, which relates the size of intra-subject measurement errors to the variability of the underlying quantity between subjects, is a less appropriate method for assessing reproducibility in this context.</w:t>
      </w:r>
      <w:r w:rsidRPr="00C806D0">
        <w:rPr>
          <w:noProof/>
          <w:vertAlign w:val="superscript"/>
        </w:rPr>
        <w:t>[</w:t>
      </w:r>
      <w:r w:rsidR="006D4D62" w:rsidRPr="00C806D0">
        <w:rPr>
          <w:noProof/>
          <w:vertAlign w:val="superscript"/>
        </w:rPr>
        <w:t>1</w:t>
      </w:r>
      <w:r w:rsidRPr="00C806D0">
        <w:rPr>
          <w:noProof/>
          <w:vertAlign w:val="superscript"/>
        </w:rPr>
        <w:t xml:space="preserve">, </w:t>
      </w:r>
      <w:r w:rsidR="006D4D62" w:rsidRPr="00C806D0">
        <w:rPr>
          <w:noProof/>
          <w:vertAlign w:val="superscript"/>
        </w:rPr>
        <w:t>2</w:t>
      </w:r>
      <w:r w:rsidRPr="00C806D0">
        <w:rPr>
          <w:noProof/>
          <w:vertAlign w:val="superscript"/>
        </w:rPr>
        <w:t>]</w:t>
      </w:r>
      <w:r w:rsidRPr="00C806D0">
        <w:t xml:space="preserve"> The clear ordering of field and ED measurements, the focus of the current study on whether vital signs in these two settings differ, ambiguities in the clinical interpretation of dimensionless values between 0 and 1, and the conceptual difficulty of classifying differences in vital sign values as measurement errors, all argue against the use of reliability metrics such as intra-class correlation coefficients.</w:t>
      </w:r>
      <w:r w:rsidRPr="00C806D0">
        <w:rPr>
          <w:noProof/>
          <w:vertAlign w:val="superscript"/>
        </w:rPr>
        <w:t>[</w:t>
      </w:r>
      <w:r w:rsidR="006D4D62" w:rsidRPr="00C806D0">
        <w:rPr>
          <w:noProof/>
          <w:vertAlign w:val="superscript"/>
        </w:rPr>
        <w:t>1-3</w:t>
      </w:r>
      <w:r w:rsidRPr="00C806D0">
        <w:rPr>
          <w:noProof/>
          <w:vertAlign w:val="superscript"/>
        </w:rPr>
        <w:t>]</w:t>
      </w:r>
    </w:p>
    <w:p w:rsidR="008E0D4A" w:rsidRPr="00C806D0" w:rsidRDefault="008E0D4A" w:rsidP="008E0D4A"/>
    <w:p w:rsidR="008E0D4A" w:rsidRPr="00C806D0" w:rsidRDefault="008E0D4A" w:rsidP="008E0D4A">
      <w:r w:rsidRPr="00C806D0">
        <w:t>Alternatively, in a second viewpoint, prehospital and emergency department physiology could be examined as separate, although paired, variables; allowing measurement of the strength of linear association using correlation coefficients.</w:t>
      </w:r>
      <w:r w:rsidRPr="00C806D0">
        <w:rPr>
          <w:noProof/>
          <w:vertAlign w:val="superscript"/>
        </w:rPr>
        <w:t>[</w:t>
      </w:r>
      <w:r w:rsidR="006D4D62" w:rsidRPr="00C806D0">
        <w:rPr>
          <w:noProof/>
          <w:vertAlign w:val="superscript"/>
        </w:rPr>
        <w:t>1-3</w:t>
      </w:r>
      <w:r w:rsidRPr="00C806D0">
        <w:rPr>
          <w:noProof/>
          <w:vertAlign w:val="superscript"/>
        </w:rPr>
        <w:t>]</w:t>
      </w:r>
      <w:r w:rsidRPr="00C806D0">
        <w:t xml:space="preserve"> Although the Pearson’s correlation coefficient measures how close paired values are to a straight line, it does not assess agreement between measurements. For example if ED measurements were exactly three times higher than prehospital recordings there would be perfect correlation, but a large difference between them. Furthermore, correlation is dependent on the range and variability </w:t>
      </w:r>
      <w:r w:rsidRPr="00C806D0">
        <w:lastRenderedPageBreak/>
        <w:t>of the sample data and will increase as these become greater. Therefore despite providing some useful information on the relationship between prehospital and ED vital signs correlation coefficients alone do not fully address the stated research objectives.</w:t>
      </w:r>
      <w:r w:rsidRPr="00C806D0">
        <w:rPr>
          <w:noProof/>
          <w:vertAlign w:val="superscript"/>
        </w:rPr>
        <w:t>[</w:t>
      </w:r>
      <w:r w:rsidR="006D4D62" w:rsidRPr="00C806D0">
        <w:rPr>
          <w:noProof/>
          <w:vertAlign w:val="superscript"/>
        </w:rPr>
        <w:t>2</w:t>
      </w:r>
      <w:r w:rsidRPr="00C806D0">
        <w:rPr>
          <w:noProof/>
          <w:vertAlign w:val="superscript"/>
        </w:rPr>
        <w:t xml:space="preserve">, </w:t>
      </w:r>
      <w:r w:rsidR="006D4D62" w:rsidRPr="00C806D0">
        <w:rPr>
          <w:noProof/>
          <w:vertAlign w:val="superscript"/>
        </w:rPr>
        <w:t>4</w:t>
      </w:r>
      <w:r w:rsidRPr="00C806D0">
        <w:rPr>
          <w:noProof/>
          <w:vertAlign w:val="superscript"/>
        </w:rPr>
        <w:t xml:space="preserve">, </w:t>
      </w:r>
      <w:r w:rsidR="006D4D62" w:rsidRPr="00C806D0">
        <w:rPr>
          <w:noProof/>
          <w:vertAlign w:val="superscript"/>
        </w:rPr>
        <w:t>5</w:t>
      </w:r>
      <w:r w:rsidRPr="00C806D0">
        <w:rPr>
          <w:noProof/>
          <w:vertAlign w:val="superscript"/>
        </w:rPr>
        <w:t>]</w:t>
      </w:r>
      <w:r w:rsidRPr="00C806D0">
        <w:t xml:space="preserve"> </w:t>
      </w:r>
    </w:p>
    <w:p w:rsidR="008E0D4A" w:rsidRPr="00C806D0" w:rsidRDefault="008E0D4A" w:rsidP="008E0D4A"/>
    <w:p w:rsidR="008E0D4A" w:rsidRPr="00C806D0" w:rsidRDefault="008E0D4A" w:rsidP="008E0D4A">
      <w:r w:rsidRPr="00C806D0">
        <w:t>Overall, assessment of agreement will therefore provide the most useful information on the association of prehospital and ED physiology. Agreement between prehospital and ED vital signs was assessed using the limits of agreement approach and concordance correlation coefficients for continuous vital signs;</w:t>
      </w:r>
      <w:r w:rsidRPr="00C806D0">
        <w:rPr>
          <w:noProof/>
          <w:vertAlign w:val="superscript"/>
        </w:rPr>
        <w:t>[</w:t>
      </w:r>
      <w:r w:rsidR="006D4D62" w:rsidRPr="00C806D0">
        <w:rPr>
          <w:noProof/>
          <w:vertAlign w:val="superscript"/>
        </w:rPr>
        <w:t>4</w:t>
      </w:r>
      <w:r w:rsidRPr="00C806D0">
        <w:rPr>
          <w:noProof/>
          <w:vertAlign w:val="superscript"/>
        </w:rPr>
        <w:t xml:space="preserve">, </w:t>
      </w:r>
      <w:r w:rsidR="006D4D62" w:rsidRPr="00C806D0">
        <w:rPr>
          <w:noProof/>
          <w:vertAlign w:val="superscript"/>
        </w:rPr>
        <w:t>6</w:t>
      </w:r>
      <w:r w:rsidRPr="00C806D0">
        <w:rPr>
          <w:noProof/>
          <w:vertAlign w:val="superscript"/>
        </w:rPr>
        <w:t>]</w:t>
      </w:r>
      <w:r w:rsidRPr="00C806D0">
        <w:t xml:space="preserve"> and percentage total agreement and weighted kappa statistics used for ordinal variables.</w:t>
      </w:r>
      <w:r w:rsidRPr="00C806D0">
        <w:rPr>
          <w:noProof/>
          <w:vertAlign w:val="superscript"/>
        </w:rPr>
        <w:t>[</w:t>
      </w:r>
      <w:r w:rsidR="006D4D62" w:rsidRPr="00C806D0">
        <w:rPr>
          <w:noProof/>
          <w:vertAlign w:val="superscript"/>
        </w:rPr>
        <w:t>2</w:t>
      </w:r>
      <w:r w:rsidRPr="00C806D0">
        <w:rPr>
          <w:noProof/>
          <w:vertAlign w:val="superscript"/>
        </w:rPr>
        <w:t xml:space="preserve">, </w:t>
      </w:r>
      <w:r w:rsidR="006D4D62" w:rsidRPr="00C806D0">
        <w:rPr>
          <w:noProof/>
          <w:vertAlign w:val="superscript"/>
        </w:rPr>
        <w:t>7</w:t>
      </w:r>
      <w:r w:rsidRPr="00C806D0">
        <w:rPr>
          <w:noProof/>
          <w:vertAlign w:val="superscript"/>
        </w:rPr>
        <w:t>]</w:t>
      </w:r>
    </w:p>
    <w:p w:rsidR="008E0D4A" w:rsidRPr="00C806D0" w:rsidRDefault="008E0D4A" w:rsidP="008E0D4A"/>
    <w:p w:rsidR="008E0D4A" w:rsidRPr="00C806D0" w:rsidRDefault="008E0D4A" w:rsidP="008E0D4A">
      <w:r w:rsidRPr="00C806D0">
        <w:t xml:space="preserve"> The limits of agreement technique estimates two unique </w:t>
      </w:r>
      <w:r w:rsidRPr="00C806D0">
        <w:rPr>
          <w:rFonts w:ascii="Calibri" w:hAnsi="Calibri"/>
        </w:rPr>
        <w:t xml:space="preserve">aspects of agreement: how well continuous prehospital and ED vital signs agree on average, by computing the mean of paired difference across all individuals; and how well the measurements agree for individual cases, by examining the variability of the individual differences. 95% limits of agreement, quantifying the range of values that can be expected to include differences for 95% of subjects, were estimated parametrically by adding and subtracting 1.96 multiplied by the standard deviation of the individual differences to the overall mean difference. Calculated limits of agreement were then </w:t>
      </w:r>
      <w:r w:rsidR="00335B1F" w:rsidRPr="00C806D0">
        <w:rPr>
          <w:rFonts w:ascii="Calibri" w:hAnsi="Calibri"/>
        </w:rPr>
        <w:t>compared with</w:t>
      </w:r>
      <w:r w:rsidRPr="00C806D0">
        <w:rPr>
          <w:rFonts w:ascii="Calibri" w:hAnsi="Calibri"/>
        </w:rPr>
        <w:t xml:space="preserve"> pre-specified values required for prehospital and ED vital sign recordings to be considered ‘interchangeable’.</w:t>
      </w:r>
      <w:r w:rsidRPr="00C806D0">
        <w:rPr>
          <w:rFonts w:ascii="Calibri" w:hAnsi="Calibri"/>
          <w:noProof/>
          <w:vertAlign w:val="superscript"/>
        </w:rPr>
        <w:t>[</w:t>
      </w:r>
      <w:r w:rsidR="006D4D62" w:rsidRPr="00C806D0">
        <w:rPr>
          <w:rFonts w:ascii="Calibri" w:hAnsi="Calibri"/>
          <w:noProof/>
          <w:vertAlign w:val="superscript"/>
        </w:rPr>
        <w:t>4</w:t>
      </w:r>
      <w:r w:rsidRPr="00C806D0">
        <w:rPr>
          <w:rFonts w:ascii="Calibri" w:hAnsi="Calibri"/>
          <w:noProof/>
          <w:vertAlign w:val="superscript"/>
        </w:rPr>
        <w:t>]</w:t>
      </w:r>
      <w:r w:rsidRPr="00C806D0">
        <w:rPr>
          <w:rFonts w:ascii="Calibri" w:hAnsi="Calibri"/>
        </w:rPr>
        <w:t xml:space="preserve"> These clinically acceptable vital sign ranges for ‘interchangeability’ were based on normal ranges for each vital sign and changes likely to alter clinical management. The </w:t>
      </w:r>
      <w:r w:rsidRPr="00C806D0">
        <w:rPr>
          <w:rFonts w:ascii="Calibri" w:hAnsi="Calibri"/>
          <w:i/>
        </w:rPr>
        <w:t>a priori</w:t>
      </w:r>
      <w:r w:rsidRPr="00C806D0">
        <w:rPr>
          <w:i/>
        </w:rPr>
        <w:t xml:space="preserve"> </w:t>
      </w:r>
      <w:r w:rsidRPr="00C806D0">
        <w:t>ranges were as follows: SBP: ±20mmHg, PR: ±20 bpm, RR: ± 10 bpm, and Sats: ±5 % points.</w:t>
      </w:r>
      <w:r w:rsidRPr="00C806D0">
        <w:rPr>
          <w:noProof/>
          <w:vertAlign w:val="superscript"/>
        </w:rPr>
        <w:t>[</w:t>
      </w:r>
      <w:r w:rsidR="006D4D62" w:rsidRPr="00C806D0">
        <w:rPr>
          <w:noProof/>
          <w:vertAlign w:val="superscript"/>
        </w:rPr>
        <w:t>8</w:t>
      </w:r>
      <w:r w:rsidRPr="00C806D0">
        <w:rPr>
          <w:noProof/>
          <w:vertAlign w:val="superscript"/>
        </w:rPr>
        <w:t>]</w:t>
      </w:r>
    </w:p>
    <w:p w:rsidR="008E0D4A" w:rsidRPr="00C806D0" w:rsidRDefault="008E0D4A" w:rsidP="008E0D4A"/>
    <w:p w:rsidR="008E0D4A" w:rsidRPr="00C806D0" w:rsidRDefault="008E0D4A" w:rsidP="008E0D4A">
      <w:pPr>
        <w:rPr>
          <w:rFonts w:ascii="Calibri" w:hAnsi="Calibri"/>
        </w:rPr>
      </w:pPr>
      <w:r w:rsidRPr="00C806D0">
        <w:rPr>
          <w:rFonts w:ascii="Calibri" w:hAnsi="Calibri"/>
        </w:rPr>
        <w:t>Average agreement and the 95% limits of agreement were calculated for each interval vital sign, along with their standard error and 95% confidence intervals. A t-test against the null hypothesis of no difference in average agreement was also conducted. Two main assumptions are required for these calculations: that the discrepancies between field and ED measurements are independent of the magnitude of the vital sign being measured; and that the distribution of differences is normally distributed.</w:t>
      </w:r>
      <w:r w:rsidRPr="00C806D0">
        <w:rPr>
          <w:rFonts w:ascii="Calibri" w:hAnsi="Calibri"/>
          <w:noProof/>
          <w:vertAlign w:val="superscript"/>
        </w:rPr>
        <w:t>[</w:t>
      </w:r>
      <w:r w:rsidR="006D4D62" w:rsidRPr="00C806D0">
        <w:rPr>
          <w:rFonts w:ascii="Calibri" w:hAnsi="Calibri"/>
          <w:noProof/>
          <w:vertAlign w:val="superscript"/>
        </w:rPr>
        <w:t>4</w:t>
      </w:r>
      <w:r w:rsidRPr="00C806D0">
        <w:rPr>
          <w:rFonts w:ascii="Calibri" w:hAnsi="Calibri"/>
          <w:noProof/>
          <w:vertAlign w:val="superscript"/>
        </w:rPr>
        <w:t>]</w:t>
      </w:r>
      <w:r w:rsidRPr="00C806D0">
        <w:rPr>
          <w:rFonts w:ascii="Calibri" w:hAnsi="Calibri"/>
        </w:rPr>
        <w:t xml:space="preserve">  The first assumption was checked by inspection of Bland-Altman plots,</w:t>
      </w:r>
      <w:r w:rsidRPr="00C806D0">
        <w:rPr>
          <w:rFonts w:ascii="Calibri" w:hAnsi="Calibri"/>
          <w:noProof/>
          <w:vertAlign w:val="superscript"/>
        </w:rPr>
        <w:t>[</w:t>
      </w:r>
      <w:r w:rsidR="006D4D62" w:rsidRPr="00C806D0">
        <w:rPr>
          <w:rFonts w:ascii="Calibri" w:hAnsi="Calibri"/>
          <w:noProof/>
          <w:vertAlign w:val="superscript"/>
        </w:rPr>
        <w:t>9</w:t>
      </w:r>
      <w:r w:rsidRPr="00C806D0">
        <w:rPr>
          <w:rFonts w:ascii="Calibri" w:hAnsi="Calibri"/>
          <w:noProof/>
          <w:vertAlign w:val="superscript"/>
        </w:rPr>
        <w:t>]</w:t>
      </w:r>
      <w:r w:rsidRPr="00C806D0">
        <w:rPr>
          <w:rFonts w:ascii="Calibri" w:hAnsi="Calibri"/>
        </w:rPr>
        <w:t xml:space="preserve"> graphing individual differences in vital signs against the mean of the individual measurements. The second assumption was evaluated by visual assessment of histograms and quantile-quantile plots of individual paired differences for each vital sign.</w:t>
      </w:r>
    </w:p>
    <w:p w:rsidR="008E0D4A" w:rsidRPr="00C806D0" w:rsidRDefault="008E0D4A" w:rsidP="008E0D4A">
      <w:pPr>
        <w:rPr>
          <w:rFonts w:ascii="Calibri" w:hAnsi="Calibri"/>
        </w:rPr>
      </w:pPr>
    </w:p>
    <w:p w:rsidR="008E0D4A" w:rsidRPr="00C806D0" w:rsidRDefault="008E0D4A" w:rsidP="008E0D4A">
      <w:pPr>
        <w:rPr>
          <w:rFonts w:ascii="Calibri" w:hAnsi="Calibri"/>
        </w:rPr>
      </w:pPr>
      <w:r w:rsidRPr="00C806D0">
        <w:rPr>
          <w:rFonts w:ascii="Calibri" w:hAnsi="Calibri"/>
        </w:rPr>
        <w:t>In the event of that average agreement was not constant, i.e. it depended on the magnitude of the measurement, a regression of difference in vital signs on the mean value was performed to model any relationship.</w:t>
      </w:r>
      <w:r w:rsidRPr="00C806D0">
        <w:rPr>
          <w:rFonts w:ascii="Calibri" w:hAnsi="Calibri"/>
          <w:noProof/>
          <w:vertAlign w:val="superscript"/>
        </w:rPr>
        <w:t>[</w:t>
      </w:r>
      <w:r w:rsidR="006D4D62" w:rsidRPr="00C806D0">
        <w:rPr>
          <w:rFonts w:ascii="Calibri" w:hAnsi="Calibri"/>
          <w:noProof/>
          <w:vertAlign w:val="superscript"/>
        </w:rPr>
        <w:t>4</w:t>
      </w:r>
      <w:r w:rsidRPr="00C806D0">
        <w:rPr>
          <w:rFonts w:ascii="Calibri" w:hAnsi="Calibri"/>
          <w:noProof/>
          <w:vertAlign w:val="superscript"/>
        </w:rPr>
        <w:t>]</w:t>
      </w:r>
      <w:r w:rsidRPr="00C806D0">
        <w:rPr>
          <w:rFonts w:ascii="Calibri" w:hAnsi="Calibri"/>
        </w:rPr>
        <w:t xml:space="preserve"> This procedure requires that within subject variance is equal for both </w:t>
      </w:r>
      <w:r w:rsidRPr="00C806D0">
        <w:rPr>
          <w:rFonts w:ascii="Calibri" w:hAnsi="Calibri"/>
        </w:rPr>
        <w:lastRenderedPageBreak/>
        <w:t xml:space="preserve">prehospital and ED measurements. As only one value was available for each prehospital and ED vital sign measurement it was unfortunately not possible to test this assumption. To account for any heteroscedascity, i.e. a relationship </w:t>
      </w:r>
      <w:r w:rsidR="004C1D31" w:rsidRPr="00C806D0">
        <w:rPr>
          <w:rFonts w:ascii="Calibri" w:hAnsi="Calibri"/>
        </w:rPr>
        <w:t xml:space="preserve">exists </w:t>
      </w:r>
      <w:r w:rsidRPr="00C806D0">
        <w:rPr>
          <w:rFonts w:ascii="Calibri" w:hAnsi="Calibri"/>
        </w:rPr>
        <w:t xml:space="preserve">between the standard deviation of the paired differences and the magnitude of each vital sign, residuals about this regression line were then used to effect a further regression of absolute residuals on the mean vital sign value. Multiplying the regression coefficients by </w:t>
      </w:r>
      <m:oMath>
        <m:rad>
          <m:radPr>
            <m:degHide m:val="1"/>
            <m:ctrlPr>
              <w:rPr>
                <w:rFonts w:ascii="Cambria Math" w:hAnsi="Cambria Math"/>
                <w:i/>
              </w:rPr>
            </m:ctrlPr>
          </m:radPr>
          <m:deg/>
          <m:e>
            <m:r>
              <w:rPr>
                <w:rFonts w:ascii="Cambria Math" w:hAnsi="Cambria Math"/>
              </w:rPr>
              <m:t>π/2</m:t>
            </m:r>
          </m:e>
        </m:rad>
      </m:oMath>
      <w:r w:rsidRPr="00C806D0">
        <w:rPr>
          <w:rFonts w:ascii="Calibri" w:hAnsi="Calibri"/>
          <w:color w:val="FF0000"/>
        </w:rPr>
        <w:t xml:space="preserve"> </w:t>
      </w:r>
      <w:r w:rsidRPr="00C806D0">
        <w:rPr>
          <w:rFonts w:ascii="Calibri" w:hAnsi="Calibri"/>
        </w:rPr>
        <w:t>gives a final equation to predict the standard deviation of the differences.</w:t>
      </w:r>
      <w:r w:rsidRPr="00C806D0">
        <w:rPr>
          <w:rFonts w:ascii="Calibri" w:hAnsi="Calibri"/>
          <w:noProof/>
          <w:vertAlign w:val="superscript"/>
        </w:rPr>
        <w:t>[</w:t>
      </w:r>
      <w:r w:rsidR="006D4D62" w:rsidRPr="00C806D0">
        <w:rPr>
          <w:rFonts w:ascii="Calibri" w:hAnsi="Calibri"/>
          <w:noProof/>
          <w:vertAlign w:val="superscript"/>
        </w:rPr>
        <w:t>4</w:t>
      </w:r>
      <w:r w:rsidRPr="00C806D0">
        <w:rPr>
          <w:rFonts w:ascii="Calibri" w:hAnsi="Calibri"/>
          <w:noProof/>
          <w:vertAlign w:val="superscript"/>
        </w:rPr>
        <w:t>]</w:t>
      </w:r>
    </w:p>
    <w:p w:rsidR="008E0D4A" w:rsidRPr="00C806D0" w:rsidRDefault="008E0D4A" w:rsidP="008E0D4A">
      <w:pPr>
        <w:rPr>
          <w:rFonts w:ascii="Calibri" w:hAnsi="Calibri"/>
        </w:rPr>
      </w:pPr>
    </w:p>
    <w:p w:rsidR="008E0D4A" w:rsidRPr="00C806D0" w:rsidRDefault="008E0D4A" w:rsidP="008E0D4A">
      <w:pPr>
        <w:rPr>
          <w:rFonts w:ascii="Calibri" w:hAnsi="Calibri"/>
        </w:rPr>
      </w:pPr>
      <w:r w:rsidRPr="00C806D0">
        <w:rPr>
          <w:rFonts w:ascii="Calibri" w:hAnsi="Calibri"/>
        </w:rPr>
        <w:t>The concordance correlation coefficient (</w:t>
      </w:r>
      <w:r w:rsidRPr="00C806D0">
        <w:rPr>
          <w:rFonts w:ascii="Calibri" w:eastAsia="Times New Roman" w:hAnsi="Calibri" w:cs="Arial"/>
          <w:i/>
          <w:iCs/>
          <w:color w:val="000000"/>
          <w:lang w:eastAsia="en-GB"/>
        </w:rPr>
        <w:t>ρ</w:t>
      </w:r>
      <w:r w:rsidRPr="00C806D0">
        <w:rPr>
          <w:rFonts w:ascii="Calibri" w:eastAsia="Times New Roman" w:hAnsi="Calibri" w:cs="Arial"/>
          <w:color w:val="000000"/>
          <w:vertAlign w:val="subscript"/>
          <w:lang w:eastAsia="en-GB"/>
        </w:rPr>
        <w:t>c</w:t>
      </w:r>
      <w:r w:rsidRPr="00C806D0">
        <w:rPr>
          <w:rFonts w:ascii="Calibri" w:hAnsi="Calibri"/>
        </w:rPr>
        <w:t>, also known as Lin’s concordance coefficient) estimates agreement by evaluating how close paired interval measurements are to the 45° line of perfect concordance on a scatter plot.</w:t>
      </w:r>
      <w:r w:rsidRPr="00C806D0">
        <w:rPr>
          <w:rFonts w:ascii="Calibri" w:hAnsi="Calibri"/>
          <w:noProof/>
          <w:vertAlign w:val="superscript"/>
        </w:rPr>
        <w:t>[</w:t>
      </w:r>
      <w:r w:rsidR="006D4D62" w:rsidRPr="00C806D0">
        <w:rPr>
          <w:rFonts w:ascii="Calibri" w:hAnsi="Calibri"/>
          <w:noProof/>
          <w:vertAlign w:val="superscript"/>
        </w:rPr>
        <w:t>6</w:t>
      </w:r>
      <w:r w:rsidRPr="00C806D0">
        <w:rPr>
          <w:rFonts w:ascii="Calibri" w:hAnsi="Calibri"/>
          <w:noProof/>
          <w:vertAlign w:val="superscript"/>
        </w:rPr>
        <w:t xml:space="preserve">, </w:t>
      </w:r>
      <w:r w:rsidR="006D4D62" w:rsidRPr="00C806D0">
        <w:rPr>
          <w:rFonts w:ascii="Calibri" w:hAnsi="Calibri"/>
          <w:noProof/>
          <w:vertAlign w:val="superscript"/>
        </w:rPr>
        <w:t>10</w:t>
      </w:r>
      <w:r w:rsidRPr="00C806D0">
        <w:rPr>
          <w:rFonts w:ascii="Calibri" w:hAnsi="Calibri"/>
          <w:noProof/>
          <w:vertAlign w:val="superscript"/>
        </w:rPr>
        <w:t>]</w:t>
      </w:r>
      <w:r w:rsidRPr="00C806D0">
        <w:rPr>
          <w:rFonts w:ascii="Calibri" w:hAnsi="Calibri"/>
        </w:rPr>
        <w:t xml:space="preserve"> The degree of congruence is determined by the closeness of the reduced major axis to the 45° line (accuracy),</w:t>
      </w:r>
      <w:r w:rsidRPr="00C806D0">
        <w:rPr>
          <w:rFonts w:ascii="Calibri" w:hAnsi="Calibri"/>
          <w:noProof/>
          <w:vertAlign w:val="superscript"/>
        </w:rPr>
        <w:t>[</w:t>
      </w:r>
      <w:r w:rsidR="006D4D62" w:rsidRPr="00C806D0">
        <w:rPr>
          <w:rFonts w:ascii="Calibri" w:hAnsi="Calibri"/>
          <w:noProof/>
          <w:vertAlign w:val="superscript"/>
        </w:rPr>
        <w:t>11</w:t>
      </w:r>
      <w:r w:rsidRPr="00C806D0">
        <w:rPr>
          <w:rFonts w:ascii="Calibri" w:hAnsi="Calibri"/>
          <w:noProof/>
          <w:vertAlign w:val="superscript"/>
        </w:rPr>
        <w:t>]</w:t>
      </w:r>
      <w:r w:rsidRPr="00C806D0">
        <w:rPr>
          <w:rFonts w:ascii="Calibri" w:hAnsi="Calibri"/>
        </w:rPr>
        <w:t xml:space="preserve"> and the proximity of data to this best-fit regression line (precision). A single summary figure is calculated for the level of agreement ranging from -1 (perfect negative agreement) to </w:t>
      </w:r>
      <w:r w:rsidR="004C1D31" w:rsidRPr="00C806D0">
        <w:rPr>
          <w:rFonts w:ascii="Calibri" w:hAnsi="Calibri"/>
        </w:rPr>
        <w:t>+</w:t>
      </w:r>
      <w:r w:rsidRPr="00C806D0">
        <w:rPr>
          <w:rFonts w:ascii="Calibri" w:hAnsi="Calibri"/>
        </w:rPr>
        <w:t xml:space="preserve">1 (perfect positive agreement), with 0 indicating no agreement. A descriptive strength of agreement scale for values of </w:t>
      </w:r>
      <w:r w:rsidRPr="00C806D0">
        <w:rPr>
          <w:rFonts w:ascii="Calibri" w:eastAsia="Times New Roman" w:hAnsi="Calibri" w:cs="Arial"/>
          <w:i/>
          <w:iCs/>
          <w:color w:val="000000"/>
          <w:lang w:eastAsia="en-GB"/>
        </w:rPr>
        <w:t>ρ</w:t>
      </w:r>
      <w:r w:rsidRPr="00C806D0">
        <w:rPr>
          <w:rFonts w:ascii="Calibri" w:eastAsia="Times New Roman" w:hAnsi="Calibri" w:cs="Arial"/>
          <w:color w:val="000000"/>
          <w:vertAlign w:val="subscript"/>
          <w:lang w:eastAsia="en-GB"/>
        </w:rPr>
        <w:t>c</w:t>
      </w:r>
      <w:r w:rsidRPr="00C806D0">
        <w:rPr>
          <w:rFonts w:ascii="Calibri" w:hAnsi="Calibri"/>
        </w:rPr>
        <w:t xml:space="preserve"> has been suggested by McBride (2005): &lt;0.90, poor; 0.90-0.95, moderate; </w:t>
      </w:r>
      <w:r w:rsidR="004C1D31" w:rsidRPr="00C806D0">
        <w:rPr>
          <w:rFonts w:ascii="Calibri" w:hAnsi="Calibri"/>
        </w:rPr>
        <w:t>0.95-0.99, substantial; &gt;0.99</w:t>
      </w:r>
      <w:r w:rsidRPr="00C806D0">
        <w:rPr>
          <w:rFonts w:ascii="Calibri" w:hAnsi="Calibri"/>
        </w:rPr>
        <w:t>, almost perfect.</w:t>
      </w:r>
      <w:r w:rsidRPr="00C806D0">
        <w:rPr>
          <w:rFonts w:ascii="Calibri" w:hAnsi="Calibri"/>
          <w:noProof/>
          <w:vertAlign w:val="superscript"/>
        </w:rPr>
        <w:t>[</w:t>
      </w:r>
      <w:r w:rsidR="006D4D62" w:rsidRPr="00C806D0">
        <w:rPr>
          <w:rFonts w:ascii="Calibri" w:hAnsi="Calibri"/>
          <w:noProof/>
          <w:vertAlign w:val="superscript"/>
        </w:rPr>
        <w:t>12</w:t>
      </w:r>
      <w:r w:rsidRPr="00C806D0">
        <w:rPr>
          <w:rFonts w:ascii="Calibri" w:hAnsi="Calibri"/>
          <w:noProof/>
          <w:vertAlign w:val="superscript"/>
        </w:rPr>
        <w:t>]</w:t>
      </w:r>
      <w:r w:rsidRPr="00C806D0">
        <w:rPr>
          <w:rFonts w:ascii="Calibri" w:hAnsi="Calibri"/>
        </w:rPr>
        <w:t xml:space="preserve"> Additionally, </w:t>
      </w:r>
      <w:r w:rsidRPr="00C806D0">
        <w:rPr>
          <w:rFonts w:ascii="Calibri" w:eastAsia="Times New Roman" w:hAnsi="Calibri" w:cs="Arial"/>
          <w:i/>
          <w:iCs/>
          <w:color w:val="000000"/>
          <w:lang w:eastAsia="en-GB"/>
        </w:rPr>
        <w:t>ρ</w:t>
      </w:r>
      <w:r w:rsidRPr="00C806D0">
        <w:rPr>
          <w:rFonts w:ascii="Calibri" w:eastAsia="Times New Roman" w:hAnsi="Calibri" w:cs="Arial"/>
          <w:color w:val="000000"/>
          <w:vertAlign w:val="subscript"/>
          <w:lang w:eastAsia="en-GB"/>
        </w:rPr>
        <w:t xml:space="preserve">c </w:t>
      </w:r>
      <w:r w:rsidRPr="00C806D0">
        <w:rPr>
          <w:rFonts w:ascii="Calibri" w:eastAsia="Times New Roman" w:hAnsi="Calibri" w:cs="Arial"/>
          <w:color w:val="000000"/>
          <w:lang w:eastAsia="en-GB"/>
        </w:rPr>
        <w:t xml:space="preserve">can be expressed in terms of its constituent components: a </w:t>
      </w:r>
      <w:r w:rsidRPr="00C806D0">
        <w:t>bias correction factor that measures how far the best-fit line deviates from the 45° line through the origin;</w:t>
      </w:r>
      <w:r w:rsidRPr="00C806D0">
        <w:rPr>
          <w:rFonts w:ascii="Calibri" w:eastAsia="Times New Roman" w:hAnsi="Calibri"/>
          <w:lang w:eastAsia="en-GB"/>
        </w:rPr>
        <w:t xml:space="preserve"> and the Pearson’s correlation coefficient measuring how far measurement deviate from the best-fit line.</w:t>
      </w:r>
      <w:r w:rsidRPr="00C806D0">
        <w:rPr>
          <w:rFonts w:ascii="Calibri" w:eastAsia="Times New Roman" w:hAnsi="Calibri"/>
          <w:noProof/>
          <w:vertAlign w:val="superscript"/>
          <w:lang w:eastAsia="en-GB"/>
        </w:rPr>
        <w:t>[</w:t>
      </w:r>
      <w:r w:rsidR="006D4D62" w:rsidRPr="00C806D0">
        <w:rPr>
          <w:rFonts w:ascii="Calibri" w:eastAsia="Times New Roman" w:hAnsi="Calibri"/>
          <w:noProof/>
          <w:vertAlign w:val="superscript"/>
          <w:lang w:eastAsia="en-GB"/>
        </w:rPr>
        <w:t>6</w:t>
      </w:r>
      <w:r w:rsidRPr="00C806D0">
        <w:rPr>
          <w:rFonts w:ascii="Calibri" w:eastAsia="Times New Roman" w:hAnsi="Calibri"/>
          <w:noProof/>
          <w:vertAlign w:val="superscript"/>
          <w:lang w:eastAsia="en-GB"/>
        </w:rPr>
        <w:t>]</w:t>
      </w:r>
      <w:r w:rsidRPr="00C806D0">
        <w:rPr>
          <w:rFonts w:ascii="Calibri" w:eastAsia="Times New Roman" w:hAnsi="Calibri"/>
          <w:lang w:eastAsia="en-GB"/>
        </w:rPr>
        <w:t xml:space="preserve"> </w:t>
      </w:r>
    </w:p>
    <w:p w:rsidR="008E0D4A" w:rsidRPr="00C806D0" w:rsidRDefault="008E0D4A" w:rsidP="008E0D4A">
      <w:pPr>
        <w:rPr>
          <w:rFonts w:ascii="Calibri" w:hAnsi="Calibri"/>
        </w:rPr>
      </w:pPr>
    </w:p>
    <w:p w:rsidR="008E0D4A" w:rsidRPr="00C806D0" w:rsidRDefault="008E0D4A" w:rsidP="008E0D4A">
      <w:pPr>
        <w:rPr>
          <w:rFonts w:ascii="Calibri" w:hAnsi="Calibri"/>
        </w:rPr>
      </w:pPr>
      <w:r w:rsidRPr="00C806D0">
        <w:rPr>
          <w:rFonts w:ascii="Calibri" w:hAnsi="Calibri"/>
        </w:rPr>
        <w:t>The GCS is an ordinal measurement scale and evaluating agreement using a limit of agreement or concordance correlation appraoch designed for interval data is not appropriate.</w:t>
      </w:r>
      <w:r w:rsidRPr="00C806D0">
        <w:rPr>
          <w:rFonts w:ascii="Calibri" w:hAnsi="Calibri"/>
          <w:noProof/>
          <w:vertAlign w:val="superscript"/>
        </w:rPr>
        <w:t>[</w:t>
      </w:r>
      <w:r w:rsidR="006D4D62" w:rsidRPr="00C806D0">
        <w:rPr>
          <w:rFonts w:ascii="Calibri" w:hAnsi="Calibri"/>
          <w:noProof/>
          <w:vertAlign w:val="superscript"/>
        </w:rPr>
        <w:t>1</w:t>
      </w:r>
      <w:r w:rsidRPr="00C806D0">
        <w:rPr>
          <w:rFonts w:ascii="Calibri" w:hAnsi="Calibri"/>
          <w:noProof/>
          <w:vertAlign w:val="superscript"/>
        </w:rPr>
        <w:t>]</w:t>
      </w:r>
      <w:r w:rsidRPr="00C806D0">
        <w:rPr>
          <w:rFonts w:ascii="Calibri" w:hAnsi="Calibri"/>
        </w:rPr>
        <w:t xml:space="preserve"> Percentage agreement for each GCS value was therefore examined descriptively and the overall proportion of agreement calculated. Total agreement is computationally simple with a natural interpretation; however it is influenced by the distribution of results and if there is a preponderance of cases with scores at the extremes of the GCS scale high agreement could occur by chance.</w:t>
      </w:r>
      <w:r w:rsidRPr="00C806D0">
        <w:rPr>
          <w:rFonts w:ascii="Calibri" w:hAnsi="Calibri"/>
          <w:noProof/>
          <w:vertAlign w:val="superscript"/>
        </w:rPr>
        <w:t>[</w:t>
      </w:r>
      <w:r w:rsidR="006D4D62" w:rsidRPr="00C806D0">
        <w:rPr>
          <w:rFonts w:ascii="Calibri" w:hAnsi="Calibri"/>
          <w:noProof/>
          <w:vertAlign w:val="superscript"/>
        </w:rPr>
        <w:t>2</w:t>
      </w:r>
      <w:r w:rsidRPr="00C806D0">
        <w:rPr>
          <w:rFonts w:ascii="Calibri" w:hAnsi="Calibri"/>
          <w:noProof/>
          <w:vertAlign w:val="superscript"/>
        </w:rPr>
        <w:t>]</w:t>
      </w:r>
      <w:r w:rsidRPr="00C806D0">
        <w:rPr>
          <w:rFonts w:ascii="Calibri" w:hAnsi="Calibri"/>
        </w:rPr>
        <w:t xml:space="preserve"> Consequently Cohen’s kappa coefficient was also calculated, computing the proportion of agreement above that expected by chance alone given the marginal distributions. To account for the extent of differences between prehospital and ED GCS agreement weights were also applied, resulting in calculation of a weighted kappa statistic giving higher assessment of agreement when smaller differences in GCS were apparent. Linear weights (as implemented in STATA 12.1) were implemented for the following reasons: to allow comparison to previous studies; the importance of differences was considered to increase in an additive rather than a multiplicative fashion; to avoid the limitations of standard quadratic weights which will behave as a measure of reliability rather than agreement. Bootstrapping </w:t>
      </w:r>
      <w:r w:rsidRPr="00C806D0">
        <w:rPr>
          <w:rFonts w:ascii="Calibri" w:hAnsi="Calibri"/>
        </w:rPr>
        <w:lastRenderedPageBreak/>
        <w:t>with 1,000 replicates of full samples with replacement s was used to derive 95% confidence intervals for the Cohen’s kappa and weighted kappa statistic using the percentile method. Fleiss’ criteria were used for assessing magnitude of agreement of Cohen’s kappa: 0.0-0.4 poor; 0.41-0.60 fair; 0.61-0.75 good; &gt;0.75 excellent.</w:t>
      </w:r>
      <w:r w:rsidR="00B91B5D" w:rsidRPr="00C806D0">
        <w:rPr>
          <w:rFonts w:ascii="Calibri" w:hAnsi="Calibri"/>
          <w:noProof/>
          <w:vertAlign w:val="superscript"/>
        </w:rPr>
        <w:t>[</w:t>
      </w:r>
      <w:r w:rsidR="006D4D62" w:rsidRPr="00C806D0">
        <w:rPr>
          <w:rFonts w:ascii="Calibri" w:hAnsi="Calibri"/>
          <w:noProof/>
          <w:vertAlign w:val="superscript"/>
        </w:rPr>
        <w:t>13</w:t>
      </w:r>
      <w:r w:rsidR="00B91B5D" w:rsidRPr="00C806D0">
        <w:rPr>
          <w:rFonts w:ascii="Calibri" w:hAnsi="Calibri"/>
          <w:noProof/>
          <w:vertAlign w:val="superscript"/>
        </w:rPr>
        <w:t>]</w:t>
      </w:r>
      <w:r w:rsidRPr="00C806D0">
        <w:rPr>
          <w:rFonts w:ascii="Calibri" w:hAnsi="Calibri"/>
        </w:rPr>
        <w:t xml:space="preserve"> Weighted kappa statistics will vary depending on the choice of weights and interpretation is therefore more subjective. Based on authoritative recommendations a value of 0.7 was considered to represent fair agreement.</w:t>
      </w:r>
      <w:r w:rsidRPr="00C806D0">
        <w:rPr>
          <w:rFonts w:ascii="Calibri" w:hAnsi="Calibri"/>
          <w:noProof/>
          <w:vertAlign w:val="superscript"/>
        </w:rPr>
        <w:t>[</w:t>
      </w:r>
      <w:r w:rsidR="006D4D62" w:rsidRPr="00C806D0">
        <w:rPr>
          <w:rFonts w:ascii="Calibri" w:hAnsi="Calibri"/>
          <w:noProof/>
          <w:vertAlign w:val="superscript"/>
        </w:rPr>
        <w:t>7</w:t>
      </w:r>
      <w:r w:rsidRPr="00C806D0">
        <w:rPr>
          <w:rFonts w:ascii="Calibri" w:hAnsi="Calibri"/>
          <w:noProof/>
          <w:vertAlign w:val="superscript"/>
        </w:rPr>
        <w:t>]</w:t>
      </w:r>
    </w:p>
    <w:p w:rsidR="008E0D4A" w:rsidRPr="00C806D0" w:rsidRDefault="008E0D4A" w:rsidP="008E0D4A">
      <w:pPr>
        <w:pStyle w:val="Heading2"/>
        <w:ind w:left="0" w:firstLine="0"/>
      </w:pPr>
      <w:r w:rsidRPr="00C806D0">
        <w:t>supplementary results</w:t>
      </w:r>
    </w:p>
    <w:p w:rsidR="008E0D4A" w:rsidRPr="00C806D0" w:rsidRDefault="008E0D4A" w:rsidP="008E0D4A">
      <w:pPr>
        <w:pStyle w:val="Heading3"/>
        <w:spacing w:before="240"/>
      </w:pPr>
      <w:r w:rsidRPr="00C806D0">
        <w:t>Retrospective cohort study examining changes in prehospital and ED vital signs using TARN data</w:t>
      </w:r>
    </w:p>
    <w:p w:rsidR="008E0D4A" w:rsidRPr="00C806D0" w:rsidRDefault="008E0D4A" w:rsidP="008E0D4A">
      <w:pPr>
        <w:pStyle w:val="Heading4"/>
      </w:pPr>
      <w:r w:rsidRPr="00C806D0">
        <w:t>Missing data</w:t>
      </w:r>
    </w:p>
    <w:p w:rsidR="008E0D4A" w:rsidRPr="00C806D0" w:rsidRDefault="008E0D4A" w:rsidP="008E0D4A">
      <w:r w:rsidRPr="00C806D0">
        <w:t xml:space="preserve">Some 7,149 patients were directly admitted to SNCs and were eligible for inclusion. Appreciable levels of data were missing for each vital sign as shown in Table E1.  Levels of missing data for prehospital values ranged from 36.1% for prehospital pulse rate to 45.1% for prehospital oxygen saturations. ED parameters were more complete with the proportion of missing data varying from 8.0% for systolic blood pressure to 28.7% for respiratory rate. </w:t>
      </w:r>
    </w:p>
    <w:p w:rsidR="008E0D4A" w:rsidRPr="00C806D0" w:rsidRDefault="008E0D4A" w:rsidP="008E0D4A"/>
    <w:p w:rsidR="008E0D4A" w:rsidRPr="00C806D0" w:rsidRDefault="008E0D4A" w:rsidP="008E0D4A">
      <w:pPr>
        <w:rPr>
          <w:b/>
        </w:rPr>
      </w:pPr>
      <w:r w:rsidRPr="00C806D0">
        <w:rPr>
          <w:b/>
        </w:rPr>
        <w:t>Table E1. Levels of missing data for each vital sign parameter.</w:t>
      </w:r>
    </w:p>
    <w:tbl>
      <w:tblPr>
        <w:tblStyle w:val="LightShading1"/>
        <w:tblW w:w="5000" w:type="pct"/>
        <w:tblLook w:val="0620" w:firstRow="1" w:lastRow="0" w:firstColumn="0" w:lastColumn="0" w:noHBand="1" w:noVBand="1"/>
      </w:tblPr>
      <w:tblGrid>
        <w:gridCol w:w="2350"/>
        <w:gridCol w:w="1931"/>
        <w:gridCol w:w="1495"/>
        <w:gridCol w:w="2944"/>
      </w:tblGrid>
      <w:tr w:rsidR="008E0D4A" w:rsidRPr="00C806D0" w:rsidTr="004442E4">
        <w:trPr>
          <w:cnfStyle w:val="100000000000" w:firstRow="1" w:lastRow="0" w:firstColumn="0" w:lastColumn="0" w:oddVBand="0" w:evenVBand="0" w:oddHBand="0" w:evenHBand="0" w:firstRowFirstColumn="0" w:firstRowLastColumn="0" w:lastRowFirstColumn="0" w:lastRowLastColumn="0"/>
          <w:trHeight w:val="398"/>
        </w:trPr>
        <w:tc>
          <w:tcPr>
            <w:tcW w:w="1348" w:type="pct"/>
          </w:tcPr>
          <w:p w:rsidR="008E0D4A" w:rsidRPr="00C806D0" w:rsidRDefault="008E0D4A" w:rsidP="004442E4">
            <w:pPr>
              <w:pStyle w:val="NoSpacing"/>
              <w:rPr>
                <w:rFonts w:ascii="Calibri" w:hAnsi="Calibri"/>
              </w:rPr>
            </w:pPr>
          </w:p>
        </w:tc>
        <w:tc>
          <w:tcPr>
            <w:tcW w:w="3652" w:type="pct"/>
            <w:gridSpan w:val="3"/>
          </w:tcPr>
          <w:p w:rsidR="008E0D4A" w:rsidRPr="00C806D0" w:rsidRDefault="008E0D4A" w:rsidP="004442E4">
            <w:pPr>
              <w:pStyle w:val="NoSpacing"/>
              <w:jc w:val="center"/>
              <w:rPr>
                <w:rFonts w:ascii="Calibri" w:hAnsi="Calibri"/>
                <w:b w:val="0"/>
              </w:rPr>
            </w:pPr>
            <w:r w:rsidRPr="00C806D0">
              <w:rPr>
                <w:rFonts w:ascii="Calibri" w:hAnsi="Calibri"/>
              </w:rPr>
              <w:t>Missing data</w:t>
            </w:r>
          </w:p>
        </w:tc>
      </w:tr>
      <w:tr w:rsidR="008E0D4A" w:rsidRPr="00C806D0" w:rsidTr="004442E4">
        <w:trPr>
          <w:trHeight w:val="398"/>
        </w:trPr>
        <w:tc>
          <w:tcPr>
            <w:tcW w:w="1348" w:type="pct"/>
          </w:tcPr>
          <w:p w:rsidR="008E0D4A" w:rsidRPr="00C806D0" w:rsidRDefault="008E0D4A" w:rsidP="004442E4">
            <w:pPr>
              <w:pStyle w:val="NoSpacing"/>
              <w:rPr>
                <w:rFonts w:ascii="Calibri" w:hAnsi="Calibri"/>
              </w:rPr>
            </w:pPr>
          </w:p>
        </w:tc>
        <w:tc>
          <w:tcPr>
            <w:tcW w:w="1107" w:type="pct"/>
          </w:tcPr>
          <w:p w:rsidR="008E0D4A" w:rsidRPr="00C806D0" w:rsidRDefault="008E0D4A" w:rsidP="004442E4">
            <w:pPr>
              <w:pStyle w:val="NoSpacing"/>
              <w:jc w:val="center"/>
              <w:rPr>
                <w:rFonts w:ascii="Calibri" w:hAnsi="Calibri"/>
                <w:b/>
              </w:rPr>
            </w:pPr>
            <w:r w:rsidRPr="00C806D0">
              <w:rPr>
                <w:rFonts w:ascii="Calibri" w:hAnsi="Calibri"/>
                <w:b/>
              </w:rPr>
              <w:t>Prehospital value</w:t>
            </w:r>
          </w:p>
        </w:tc>
        <w:tc>
          <w:tcPr>
            <w:tcW w:w="857" w:type="pct"/>
          </w:tcPr>
          <w:p w:rsidR="008E0D4A" w:rsidRPr="00C806D0" w:rsidRDefault="008E0D4A" w:rsidP="004442E4">
            <w:pPr>
              <w:pStyle w:val="NoSpacing"/>
              <w:jc w:val="center"/>
              <w:rPr>
                <w:rFonts w:ascii="Calibri" w:hAnsi="Calibri"/>
                <w:b/>
              </w:rPr>
            </w:pPr>
            <w:r w:rsidRPr="00C806D0">
              <w:rPr>
                <w:rFonts w:ascii="Calibri" w:hAnsi="Calibri"/>
                <w:b/>
              </w:rPr>
              <w:t>ED value</w:t>
            </w:r>
          </w:p>
        </w:tc>
        <w:tc>
          <w:tcPr>
            <w:tcW w:w="1688" w:type="pct"/>
          </w:tcPr>
          <w:p w:rsidR="008E0D4A" w:rsidRPr="00C806D0" w:rsidRDefault="008E0D4A" w:rsidP="004442E4">
            <w:pPr>
              <w:pStyle w:val="NoSpacing"/>
              <w:jc w:val="center"/>
              <w:rPr>
                <w:rFonts w:ascii="Calibri" w:hAnsi="Calibri"/>
                <w:b/>
              </w:rPr>
            </w:pPr>
            <w:r w:rsidRPr="00C806D0">
              <w:rPr>
                <w:rFonts w:ascii="Calibri" w:hAnsi="Calibri"/>
                <w:b/>
              </w:rPr>
              <w:t>Prehospital and/or ED value</w:t>
            </w:r>
          </w:p>
        </w:tc>
      </w:tr>
      <w:tr w:rsidR="008E0D4A" w:rsidRPr="00C806D0" w:rsidTr="004442E4">
        <w:trPr>
          <w:trHeight w:val="398"/>
        </w:trPr>
        <w:tc>
          <w:tcPr>
            <w:tcW w:w="1348" w:type="pct"/>
          </w:tcPr>
          <w:p w:rsidR="008E0D4A" w:rsidRPr="00C806D0" w:rsidRDefault="008E0D4A" w:rsidP="004442E4">
            <w:pPr>
              <w:pStyle w:val="NoSpacing"/>
              <w:rPr>
                <w:rFonts w:ascii="Calibri" w:hAnsi="Calibri"/>
              </w:rPr>
            </w:pPr>
          </w:p>
        </w:tc>
        <w:tc>
          <w:tcPr>
            <w:tcW w:w="1107" w:type="pct"/>
          </w:tcPr>
          <w:p w:rsidR="008E0D4A" w:rsidRPr="00C806D0" w:rsidRDefault="008E0D4A" w:rsidP="004442E4">
            <w:pPr>
              <w:pStyle w:val="NoSpacing"/>
              <w:jc w:val="center"/>
              <w:rPr>
                <w:rFonts w:ascii="Calibri" w:hAnsi="Calibri"/>
                <w:b/>
              </w:rPr>
            </w:pPr>
            <w:r w:rsidRPr="00C806D0">
              <w:rPr>
                <w:rFonts w:ascii="Calibri" w:hAnsi="Calibri"/>
                <w:b/>
              </w:rPr>
              <w:t>n, (%)</w:t>
            </w:r>
          </w:p>
        </w:tc>
        <w:tc>
          <w:tcPr>
            <w:tcW w:w="857" w:type="pct"/>
          </w:tcPr>
          <w:p w:rsidR="008E0D4A" w:rsidRPr="00C806D0" w:rsidRDefault="008E0D4A" w:rsidP="004442E4">
            <w:pPr>
              <w:pStyle w:val="NoSpacing"/>
              <w:jc w:val="center"/>
              <w:rPr>
                <w:rFonts w:ascii="Calibri" w:hAnsi="Calibri"/>
                <w:b/>
              </w:rPr>
            </w:pPr>
            <w:r w:rsidRPr="00C806D0">
              <w:rPr>
                <w:rFonts w:ascii="Calibri" w:hAnsi="Calibri"/>
                <w:b/>
              </w:rPr>
              <w:t>n, (%)</w:t>
            </w:r>
          </w:p>
        </w:tc>
        <w:tc>
          <w:tcPr>
            <w:tcW w:w="1688" w:type="pct"/>
          </w:tcPr>
          <w:p w:rsidR="008E0D4A" w:rsidRPr="00C806D0" w:rsidRDefault="008E0D4A" w:rsidP="004442E4">
            <w:pPr>
              <w:pStyle w:val="NoSpacing"/>
              <w:jc w:val="center"/>
              <w:rPr>
                <w:rFonts w:ascii="Calibri" w:hAnsi="Calibri"/>
                <w:b/>
              </w:rPr>
            </w:pPr>
            <w:r w:rsidRPr="00C806D0">
              <w:rPr>
                <w:rFonts w:ascii="Calibri" w:hAnsi="Calibri"/>
                <w:b/>
              </w:rPr>
              <w:t>n, (%)</w:t>
            </w:r>
          </w:p>
        </w:tc>
      </w:tr>
      <w:tr w:rsidR="008E0D4A" w:rsidRPr="00C806D0" w:rsidTr="004442E4">
        <w:trPr>
          <w:trHeight w:val="611"/>
        </w:trPr>
        <w:tc>
          <w:tcPr>
            <w:tcW w:w="1348" w:type="pct"/>
          </w:tcPr>
          <w:p w:rsidR="008E0D4A" w:rsidRPr="00C806D0" w:rsidRDefault="008E0D4A" w:rsidP="004442E4">
            <w:pPr>
              <w:pStyle w:val="NoSpacing"/>
              <w:rPr>
                <w:rFonts w:ascii="Calibri" w:hAnsi="Calibri"/>
              </w:rPr>
            </w:pPr>
            <w:r w:rsidRPr="00C806D0">
              <w:rPr>
                <w:rFonts w:ascii="Calibri" w:hAnsi="Calibri"/>
              </w:rPr>
              <w:t xml:space="preserve">Systolic blood pressure </w:t>
            </w:r>
          </w:p>
        </w:tc>
        <w:tc>
          <w:tcPr>
            <w:tcW w:w="1107" w:type="pct"/>
          </w:tcPr>
          <w:p w:rsidR="008E0D4A" w:rsidRPr="00C806D0" w:rsidRDefault="008E0D4A" w:rsidP="004442E4">
            <w:pPr>
              <w:pStyle w:val="NoSpacing"/>
              <w:jc w:val="center"/>
              <w:rPr>
                <w:rFonts w:ascii="Calibri" w:hAnsi="Calibri"/>
              </w:rPr>
            </w:pPr>
            <w:r w:rsidRPr="00C806D0">
              <w:rPr>
                <w:rFonts w:ascii="Calibri" w:hAnsi="Calibri"/>
              </w:rPr>
              <w:t>3,026 (42.3%)</w:t>
            </w:r>
          </w:p>
        </w:tc>
        <w:tc>
          <w:tcPr>
            <w:tcW w:w="857" w:type="pct"/>
          </w:tcPr>
          <w:p w:rsidR="008E0D4A" w:rsidRPr="00C806D0" w:rsidRDefault="008E0D4A" w:rsidP="004442E4">
            <w:pPr>
              <w:pStyle w:val="NoSpacing"/>
              <w:jc w:val="center"/>
              <w:rPr>
                <w:rFonts w:ascii="Calibri" w:hAnsi="Calibri"/>
              </w:rPr>
            </w:pPr>
            <w:r w:rsidRPr="00C806D0">
              <w:rPr>
                <w:rFonts w:ascii="Calibri" w:hAnsi="Calibri"/>
              </w:rPr>
              <w:t>573 (8.0%)</w:t>
            </w:r>
          </w:p>
        </w:tc>
        <w:tc>
          <w:tcPr>
            <w:tcW w:w="1688" w:type="pct"/>
          </w:tcPr>
          <w:p w:rsidR="008E0D4A" w:rsidRPr="00C806D0" w:rsidRDefault="008E0D4A" w:rsidP="004442E4">
            <w:pPr>
              <w:pStyle w:val="NoSpacing"/>
              <w:jc w:val="center"/>
              <w:rPr>
                <w:rFonts w:ascii="Calibri" w:hAnsi="Calibri"/>
              </w:rPr>
            </w:pPr>
            <w:r w:rsidRPr="00C806D0">
              <w:rPr>
                <w:rFonts w:ascii="Calibri" w:hAnsi="Calibri"/>
              </w:rPr>
              <w:t>3,279 (45.8%)</w:t>
            </w:r>
          </w:p>
        </w:tc>
      </w:tr>
      <w:tr w:rsidR="008E0D4A" w:rsidRPr="00C806D0" w:rsidTr="004442E4">
        <w:trPr>
          <w:trHeight w:val="592"/>
        </w:trPr>
        <w:tc>
          <w:tcPr>
            <w:tcW w:w="1348" w:type="pct"/>
          </w:tcPr>
          <w:p w:rsidR="008E0D4A" w:rsidRPr="00C806D0" w:rsidRDefault="008E0D4A" w:rsidP="004442E4">
            <w:pPr>
              <w:pStyle w:val="NoSpacing"/>
              <w:rPr>
                <w:rFonts w:ascii="Calibri" w:hAnsi="Calibri"/>
              </w:rPr>
            </w:pPr>
            <w:r w:rsidRPr="00C806D0">
              <w:rPr>
                <w:rFonts w:ascii="Calibri" w:hAnsi="Calibri"/>
              </w:rPr>
              <w:t>Pulse rate</w:t>
            </w:r>
          </w:p>
        </w:tc>
        <w:tc>
          <w:tcPr>
            <w:tcW w:w="1107" w:type="pct"/>
          </w:tcPr>
          <w:p w:rsidR="008E0D4A" w:rsidRPr="00C806D0" w:rsidRDefault="008E0D4A" w:rsidP="004442E4">
            <w:pPr>
              <w:pStyle w:val="NoSpacing"/>
              <w:jc w:val="center"/>
              <w:rPr>
                <w:rFonts w:ascii="Calibri" w:hAnsi="Calibri"/>
              </w:rPr>
            </w:pPr>
            <w:r w:rsidRPr="00C806D0">
              <w:rPr>
                <w:rFonts w:ascii="Calibri" w:hAnsi="Calibri"/>
              </w:rPr>
              <w:t>2,578 (36.1%)</w:t>
            </w:r>
          </w:p>
        </w:tc>
        <w:tc>
          <w:tcPr>
            <w:tcW w:w="857" w:type="pct"/>
          </w:tcPr>
          <w:p w:rsidR="008E0D4A" w:rsidRPr="00C806D0" w:rsidRDefault="008E0D4A" w:rsidP="004442E4">
            <w:pPr>
              <w:pStyle w:val="NoSpacing"/>
              <w:jc w:val="center"/>
              <w:rPr>
                <w:rFonts w:ascii="Calibri" w:hAnsi="Calibri"/>
              </w:rPr>
            </w:pPr>
            <w:r w:rsidRPr="00C806D0">
              <w:rPr>
                <w:rFonts w:ascii="Calibri" w:hAnsi="Calibri"/>
              </w:rPr>
              <w:t>598 (8.4%)</w:t>
            </w:r>
          </w:p>
        </w:tc>
        <w:tc>
          <w:tcPr>
            <w:tcW w:w="1688" w:type="pct"/>
          </w:tcPr>
          <w:p w:rsidR="008E0D4A" w:rsidRPr="00C806D0" w:rsidRDefault="008E0D4A" w:rsidP="004442E4">
            <w:pPr>
              <w:pStyle w:val="NoSpacing"/>
              <w:jc w:val="center"/>
              <w:rPr>
                <w:rFonts w:ascii="Calibri" w:hAnsi="Calibri"/>
              </w:rPr>
            </w:pPr>
            <w:r w:rsidRPr="00C806D0">
              <w:rPr>
                <w:rFonts w:ascii="Calibri" w:hAnsi="Calibri"/>
              </w:rPr>
              <w:t>2,880 (40.3%)</w:t>
            </w:r>
          </w:p>
        </w:tc>
      </w:tr>
      <w:tr w:rsidR="008E0D4A" w:rsidRPr="00C806D0" w:rsidTr="004442E4">
        <w:trPr>
          <w:trHeight w:val="634"/>
        </w:trPr>
        <w:tc>
          <w:tcPr>
            <w:tcW w:w="1348" w:type="pct"/>
          </w:tcPr>
          <w:p w:rsidR="008E0D4A" w:rsidRPr="00C806D0" w:rsidRDefault="008E0D4A" w:rsidP="004442E4">
            <w:pPr>
              <w:pStyle w:val="NoSpacing"/>
              <w:rPr>
                <w:rFonts w:ascii="Calibri" w:hAnsi="Calibri"/>
              </w:rPr>
            </w:pPr>
            <w:r w:rsidRPr="00C806D0">
              <w:rPr>
                <w:rFonts w:ascii="Calibri" w:hAnsi="Calibri"/>
              </w:rPr>
              <w:t>Respiratory rate</w:t>
            </w:r>
          </w:p>
        </w:tc>
        <w:tc>
          <w:tcPr>
            <w:tcW w:w="1107" w:type="pct"/>
          </w:tcPr>
          <w:p w:rsidR="008E0D4A" w:rsidRPr="00C806D0" w:rsidRDefault="008E0D4A" w:rsidP="004442E4">
            <w:pPr>
              <w:pStyle w:val="NoSpacing"/>
              <w:jc w:val="center"/>
              <w:rPr>
                <w:rFonts w:ascii="Calibri" w:hAnsi="Calibri"/>
              </w:rPr>
            </w:pPr>
            <w:r w:rsidRPr="00C806D0">
              <w:rPr>
                <w:rFonts w:ascii="Calibri" w:hAnsi="Calibri"/>
              </w:rPr>
              <w:t>2,865 (40.1%)</w:t>
            </w:r>
          </w:p>
        </w:tc>
        <w:tc>
          <w:tcPr>
            <w:tcW w:w="857" w:type="pct"/>
          </w:tcPr>
          <w:p w:rsidR="008E0D4A" w:rsidRPr="00C806D0" w:rsidRDefault="008E0D4A" w:rsidP="004442E4">
            <w:pPr>
              <w:pStyle w:val="NoSpacing"/>
              <w:jc w:val="center"/>
              <w:rPr>
                <w:rFonts w:ascii="Calibri" w:hAnsi="Calibri"/>
              </w:rPr>
            </w:pPr>
            <w:r w:rsidRPr="00C806D0">
              <w:rPr>
                <w:rFonts w:ascii="Calibri" w:hAnsi="Calibri"/>
              </w:rPr>
              <w:t>2,048 (28.7%)</w:t>
            </w:r>
          </w:p>
        </w:tc>
        <w:tc>
          <w:tcPr>
            <w:tcW w:w="1688" w:type="pct"/>
          </w:tcPr>
          <w:p w:rsidR="008E0D4A" w:rsidRPr="00C806D0" w:rsidRDefault="008E0D4A" w:rsidP="004442E4">
            <w:pPr>
              <w:pStyle w:val="NoSpacing"/>
              <w:jc w:val="center"/>
              <w:rPr>
                <w:rFonts w:ascii="Calibri" w:hAnsi="Calibri"/>
              </w:rPr>
            </w:pPr>
            <w:r w:rsidRPr="00C806D0">
              <w:rPr>
                <w:rFonts w:ascii="Calibri" w:hAnsi="Calibri"/>
              </w:rPr>
              <w:t>4,108 (57.5%)</w:t>
            </w:r>
          </w:p>
        </w:tc>
      </w:tr>
      <w:tr w:rsidR="008E0D4A" w:rsidRPr="00C806D0" w:rsidTr="004442E4">
        <w:trPr>
          <w:trHeight w:val="703"/>
        </w:trPr>
        <w:tc>
          <w:tcPr>
            <w:tcW w:w="1348" w:type="pct"/>
          </w:tcPr>
          <w:p w:rsidR="008E0D4A" w:rsidRPr="00C806D0" w:rsidRDefault="008E0D4A" w:rsidP="004442E4">
            <w:pPr>
              <w:pStyle w:val="NoSpacing"/>
              <w:rPr>
                <w:rFonts w:ascii="Calibri" w:hAnsi="Calibri"/>
              </w:rPr>
            </w:pPr>
            <w:r w:rsidRPr="00C806D0">
              <w:rPr>
                <w:rFonts w:ascii="Calibri" w:hAnsi="Calibri"/>
              </w:rPr>
              <w:t>Oxygen saturations</w:t>
            </w:r>
          </w:p>
        </w:tc>
        <w:tc>
          <w:tcPr>
            <w:tcW w:w="1107" w:type="pct"/>
          </w:tcPr>
          <w:p w:rsidR="008E0D4A" w:rsidRPr="00C806D0" w:rsidRDefault="008E0D4A" w:rsidP="004442E4">
            <w:pPr>
              <w:pStyle w:val="NoSpacing"/>
              <w:jc w:val="center"/>
              <w:rPr>
                <w:rFonts w:ascii="Calibri" w:hAnsi="Calibri"/>
              </w:rPr>
            </w:pPr>
            <w:r w:rsidRPr="00C806D0">
              <w:rPr>
                <w:rFonts w:ascii="Calibri" w:hAnsi="Calibri"/>
              </w:rPr>
              <w:t>3,227 (45.1%)</w:t>
            </w:r>
          </w:p>
        </w:tc>
        <w:tc>
          <w:tcPr>
            <w:tcW w:w="857" w:type="pct"/>
          </w:tcPr>
          <w:p w:rsidR="008E0D4A" w:rsidRPr="00C806D0" w:rsidRDefault="008E0D4A" w:rsidP="004442E4">
            <w:pPr>
              <w:pStyle w:val="NoSpacing"/>
              <w:jc w:val="center"/>
              <w:rPr>
                <w:rFonts w:ascii="Calibri" w:hAnsi="Calibri"/>
              </w:rPr>
            </w:pPr>
            <w:r w:rsidRPr="00C806D0">
              <w:rPr>
                <w:rFonts w:ascii="Calibri" w:hAnsi="Calibri"/>
              </w:rPr>
              <w:t>1,052 (14.7%)</w:t>
            </w:r>
          </w:p>
        </w:tc>
        <w:tc>
          <w:tcPr>
            <w:tcW w:w="1688" w:type="pct"/>
          </w:tcPr>
          <w:p w:rsidR="008E0D4A" w:rsidRPr="00C806D0" w:rsidRDefault="008E0D4A" w:rsidP="004442E4">
            <w:pPr>
              <w:pStyle w:val="NoSpacing"/>
              <w:jc w:val="center"/>
              <w:rPr>
                <w:rFonts w:ascii="Calibri" w:hAnsi="Calibri"/>
              </w:rPr>
            </w:pPr>
            <w:r w:rsidRPr="00C806D0">
              <w:rPr>
                <w:rFonts w:ascii="Calibri" w:hAnsi="Calibri"/>
              </w:rPr>
              <w:t>3,643 (51.0%)</w:t>
            </w:r>
          </w:p>
        </w:tc>
      </w:tr>
      <w:tr w:rsidR="008E0D4A" w:rsidRPr="00C806D0" w:rsidTr="004442E4">
        <w:trPr>
          <w:trHeight w:val="688"/>
        </w:trPr>
        <w:tc>
          <w:tcPr>
            <w:tcW w:w="1348" w:type="pct"/>
          </w:tcPr>
          <w:p w:rsidR="008E0D4A" w:rsidRPr="00C806D0" w:rsidRDefault="008E0D4A" w:rsidP="004442E4">
            <w:pPr>
              <w:pStyle w:val="NoSpacing"/>
              <w:rPr>
                <w:rFonts w:ascii="Calibri" w:hAnsi="Calibri"/>
              </w:rPr>
            </w:pPr>
            <w:r w:rsidRPr="00C806D0">
              <w:rPr>
                <w:rFonts w:ascii="Calibri" w:hAnsi="Calibri"/>
              </w:rPr>
              <w:t>GCS</w:t>
            </w:r>
          </w:p>
        </w:tc>
        <w:tc>
          <w:tcPr>
            <w:tcW w:w="1107" w:type="pct"/>
          </w:tcPr>
          <w:p w:rsidR="008E0D4A" w:rsidRPr="00C806D0" w:rsidRDefault="008E0D4A" w:rsidP="004442E4">
            <w:pPr>
              <w:pStyle w:val="NoSpacing"/>
              <w:jc w:val="center"/>
              <w:rPr>
                <w:rFonts w:ascii="Calibri" w:hAnsi="Calibri"/>
              </w:rPr>
            </w:pPr>
            <w:r w:rsidRPr="00C806D0">
              <w:rPr>
                <w:rFonts w:ascii="Calibri" w:hAnsi="Calibri"/>
              </w:rPr>
              <w:t>2,333 (32.6%)</w:t>
            </w:r>
          </w:p>
        </w:tc>
        <w:tc>
          <w:tcPr>
            <w:tcW w:w="857" w:type="pct"/>
          </w:tcPr>
          <w:p w:rsidR="008E0D4A" w:rsidRPr="00C806D0" w:rsidRDefault="008E0D4A" w:rsidP="004442E4">
            <w:pPr>
              <w:pStyle w:val="NoSpacing"/>
              <w:jc w:val="center"/>
              <w:rPr>
                <w:rFonts w:ascii="Calibri" w:hAnsi="Calibri"/>
              </w:rPr>
            </w:pPr>
            <w:r w:rsidRPr="00C806D0">
              <w:rPr>
                <w:rFonts w:ascii="Calibri" w:hAnsi="Calibri"/>
              </w:rPr>
              <w:t>1,905 (26.7%)</w:t>
            </w:r>
          </w:p>
        </w:tc>
        <w:tc>
          <w:tcPr>
            <w:tcW w:w="1688" w:type="pct"/>
          </w:tcPr>
          <w:p w:rsidR="008E0D4A" w:rsidRPr="00C806D0" w:rsidRDefault="008E0D4A" w:rsidP="004442E4">
            <w:pPr>
              <w:pStyle w:val="NoSpacing"/>
              <w:jc w:val="center"/>
              <w:rPr>
                <w:rFonts w:ascii="Calibri" w:hAnsi="Calibri"/>
              </w:rPr>
            </w:pPr>
            <w:r w:rsidRPr="00C806D0">
              <w:rPr>
                <w:rFonts w:ascii="Calibri" w:hAnsi="Calibri"/>
              </w:rPr>
              <w:t>3,904 (54.6%)</w:t>
            </w:r>
          </w:p>
        </w:tc>
      </w:tr>
    </w:tbl>
    <w:p w:rsidR="008E0D4A" w:rsidRPr="00C806D0" w:rsidRDefault="00B91B5D" w:rsidP="008E0D4A">
      <w:pPr>
        <w:rPr>
          <w:sz w:val="20"/>
          <w:szCs w:val="20"/>
        </w:rPr>
      </w:pPr>
      <w:r w:rsidRPr="00C806D0">
        <w:rPr>
          <w:sz w:val="20"/>
          <w:szCs w:val="20"/>
        </w:rPr>
        <w:t>Total eligible sample n=7,149.</w:t>
      </w:r>
    </w:p>
    <w:p w:rsidR="008E0D4A" w:rsidRPr="00C806D0" w:rsidRDefault="008E0D4A" w:rsidP="008E0D4A">
      <w:pPr>
        <w:pStyle w:val="Heading4"/>
      </w:pPr>
      <w:r w:rsidRPr="00C806D0">
        <w:t>Multiple imputation</w:t>
      </w:r>
    </w:p>
    <w:p w:rsidR="008E0D4A" w:rsidRPr="00C806D0" w:rsidRDefault="008E0D4A" w:rsidP="008E0D4A">
      <w:r w:rsidRPr="00C806D0">
        <w:t xml:space="preserve">As shown in Tables E2-E5, and Figures E1-E2, results were largely unchanged in sensitivity analyses following multiple imputation of missing data. The only material difference was the emergence of a possible trend between increased odds of deterioration and longer EMS </w:t>
      </w:r>
      <w:r w:rsidRPr="00C806D0">
        <w:lastRenderedPageBreak/>
        <w:t xml:space="preserve">interval in initially stable patients, although this did not reach statistical significance (Figure E1 and Table E5). Combining concordance correlation coefficients and level of agreement results is currently not possible in Stata after multiple imputation, but individual results were very similar to the base case when analyses were repeated separately in each imputed dataset (data not shown). </w:t>
      </w:r>
    </w:p>
    <w:p w:rsidR="008E0D4A" w:rsidRPr="00C806D0" w:rsidRDefault="008E0D4A" w:rsidP="008E0D4A">
      <w:pPr>
        <w:rPr>
          <w:b/>
        </w:rPr>
      </w:pPr>
    </w:p>
    <w:p w:rsidR="008E0D4A" w:rsidRPr="00C806D0" w:rsidRDefault="008E0D4A" w:rsidP="008E0D4A">
      <w:pPr>
        <w:rPr>
          <w:b/>
        </w:rPr>
      </w:pPr>
      <w:r w:rsidRPr="00C806D0">
        <w:rPr>
          <w:b/>
        </w:rPr>
        <w:t>Table E2. Measures of central tendency and spread for PH and ED parameters after multiple imputation of missing data.</w:t>
      </w:r>
    </w:p>
    <w:tbl>
      <w:tblPr>
        <w:tblW w:w="5000" w:type="pct"/>
        <w:tblCellMar>
          <w:left w:w="0" w:type="dxa"/>
          <w:right w:w="0" w:type="dxa"/>
        </w:tblCellMar>
        <w:tblLook w:val="00A0" w:firstRow="1" w:lastRow="0" w:firstColumn="1" w:lastColumn="0" w:noHBand="0" w:noVBand="0"/>
      </w:tblPr>
      <w:tblGrid>
        <w:gridCol w:w="3582"/>
        <w:gridCol w:w="1418"/>
        <w:gridCol w:w="1911"/>
        <w:gridCol w:w="1737"/>
      </w:tblGrid>
      <w:tr w:rsidR="008E0D4A" w:rsidRPr="00C806D0" w:rsidTr="004442E4">
        <w:trPr>
          <w:trHeight w:val="398"/>
        </w:trPr>
        <w:tc>
          <w:tcPr>
            <w:tcW w:w="2071" w:type="pct"/>
            <w:tcBorders>
              <w:top w:val="single" w:sz="4" w:space="0" w:color="auto"/>
              <w:bottom w:val="single" w:sz="8" w:space="0" w:color="000000"/>
            </w:tcBorders>
            <w:tcMar>
              <w:top w:w="72" w:type="dxa"/>
              <w:left w:w="144" w:type="dxa"/>
              <w:bottom w:w="72" w:type="dxa"/>
              <w:right w:w="144" w:type="dxa"/>
            </w:tcMar>
          </w:tcPr>
          <w:p w:rsidR="008E0D4A" w:rsidRPr="00C806D0" w:rsidRDefault="008E0D4A" w:rsidP="004442E4">
            <w:pPr>
              <w:pStyle w:val="NoSpacing"/>
            </w:pPr>
          </w:p>
        </w:tc>
        <w:tc>
          <w:tcPr>
            <w:tcW w:w="820" w:type="pct"/>
            <w:tcBorders>
              <w:top w:val="single" w:sz="4" w:space="0" w:color="auto"/>
              <w:bottom w:val="single" w:sz="8" w:space="0" w:color="000000"/>
              <w:right w:val="nil"/>
            </w:tcBorders>
          </w:tcPr>
          <w:p w:rsidR="008E0D4A" w:rsidRPr="00C806D0" w:rsidRDefault="008E0D4A" w:rsidP="004442E4">
            <w:pPr>
              <w:pStyle w:val="NoSpacing"/>
              <w:jc w:val="center"/>
              <w:rPr>
                <w:b/>
              </w:rPr>
            </w:pPr>
            <w:r w:rsidRPr="00C806D0">
              <w:rPr>
                <w:b/>
              </w:rPr>
              <w:t>n=</w:t>
            </w:r>
          </w:p>
        </w:tc>
        <w:tc>
          <w:tcPr>
            <w:tcW w:w="1105" w:type="pct"/>
            <w:tcBorders>
              <w:top w:val="single" w:sz="4" w:space="0" w:color="auto"/>
              <w:left w:val="nil"/>
              <w:bottom w:val="single" w:sz="8" w:space="0" w:color="000000"/>
            </w:tcBorders>
          </w:tcPr>
          <w:p w:rsidR="008E0D4A" w:rsidRPr="00C806D0" w:rsidRDefault="002A16B4" w:rsidP="004442E4">
            <w:pPr>
              <w:pStyle w:val="NoSpacing"/>
              <w:jc w:val="center"/>
              <w:rPr>
                <w:b/>
              </w:rPr>
            </w:pPr>
            <w:r w:rsidRPr="00C806D0">
              <w:rPr>
                <w:b/>
              </w:rPr>
              <w:t>Prehospital</w:t>
            </w:r>
            <w:r w:rsidR="008E0D4A" w:rsidRPr="00C806D0">
              <w:rPr>
                <w:b/>
              </w:rPr>
              <w:t xml:space="preserve"> value</w:t>
            </w:r>
          </w:p>
        </w:tc>
        <w:tc>
          <w:tcPr>
            <w:tcW w:w="1004" w:type="pct"/>
            <w:tcBorders>
              <w:top w:val="single" w:sz="4" w:space="0" w:color="auto"/>
              <w:left w:val="nil"/>
              <w:bottom w:val="single" w:sz="8" w:space="0" w:color="000000"/>
            </w:tcBorders>
          </w:tcPr>
          <w:p w:rsidR="008E0D4A" w:rsidRPr="00C806D0" w:rsidRDefault="008E0D4A" w:rsidP="004442E4">
            <w:pPr>
              <w:pStyle w:val="NoSpacing"/>
              <w:jc w:val="center"/>
              <w:rPr>
                <w:b/>
              </w:rPr>
            </w:pPr>
            <w:r w:rsidRPr="00C806D0">
              <w:rPr>
                <w:b/>
              </w:rPr>
              <w:t>ED value</w:t>
            </w:r>
          </w:p>
        </w:tc>
      </w:tr>
      <w:tr w:rsidR="008E0D4A" w:rsidRPr="00C806D0" w:rsidTr="004442E4">
        <w:trPr>
          <w:trHeight w:val="385"/>
        </w:trPr>
        <w:tc>
          <w:tcPr>
            <w:tcW w:w="2071" w:type="pct"/>
            <w:tcBorders>
              <w:top w:val="single" w:sz="8" w:space="0" w:color="000000"/>
            </w:tcBorders>
            <w:tcMar>
              <w:top w:w="72" w:type="dxa"/>
              <w:left w:w="144" w:type="dxa"/>
              <w:bottom w:w="72" w:type="dxa"/>
              <w:right w:w="144" w:type="dxa"/>
            </w:tcMar>
          </w:tcPr>
          <w:p w:rsidR="008E0D4A" w:rsidRPr="00C806D0" w:rsidRDefault="008E0D4A" w:rsidP="004442E4">
            <w:pPr>
              <w:pStyle w:val="NoSpacing"/>
            </w:pPr>
            <w:r w:rsidRPr="00C806D0">
              <w:t>Systolic blood pressure (mean, SD)</w:t>
            </w:r>
          </w:p>
        </w:tc>
        <w:tc>
          <w:tcPr>
            <w:tcW w:w="820" w:type="pct"/>
            <w:tcBorders>
              <w:top w:val="single" w:sz="8" w:space="0" w:color="000000"/>
              <w:right w:val="nil"/>
            </w:tcBorders>
          </w:tcPr>
          <w:p w:rsidR="008E0D4A" w:rsidRPr="00C806D0" w:rsidRDefault="008E0D4A" w:rsidP="004442E4">
            <w:pPr>
              <w:pStyle w:val="NoSpacing"/>
              <w:jc w:val="center"/>
            </w:pPr>
            <w:r w:rsidRPr="00C806D0">
              <w:t>7,149</w:t>
            </w:r>
          </w:p>
        </w:tc>
        <w:tc>
          <w:tcPr>
            <w:tcW w:w="1105" w:type="pct"/>
            <w:tcBorders>
              <w:top w:val="single" w:sz="8" w:space="0" w:color="000000"/>
              <w:left w:val="nil"/>
            </w:tcBorders>
          </w:tcPr>
          <w:p w:rsidR="008E0D4A" w:rsidRPr="00C806D0" w:rsidRDefault="008E0D4A" w:rsidP="004442E4">
            <w:pPr>
              <w:pStyle w:val="NoSpacing"/>
              <w:jc w:val="center"/>
            </w:pPr>
            <w:r w:rsidRPr="00C806D0">
              <w:t>136 mmHg (35.6)</w:t>
            </w:r>
          </w:p>
        </w:tc>
        <w:tc>
          <w:tcPr>
            <w:tcW w:w="1004" w:type="pct"/>
            <w:tcBorders>
              <w:top w:val="single" w:sz="8" w:space="0" w:color="000000"/>
              <w:left w:val="nil"/>
            </w:tcBorders>
          </w:tcPr>
          <w:p w:rsidR="008E0D4A" w:rsidRPr="00C806D0" w:rsidRDefault="008E0D4A" w:rsidP="004442E4">
            <w:pPr>
              <w:pStyle w:val="NoSpacing"/>
              <w:jc w:val="center"/>
            </w:pPr>
            <w:r w:rsidRPr="00C806D0">
              <w:t>138 mmHg (33.9)</w:t>
            </w:r>
          </w:p>
        </w:tc>
      </w:tr>
      <w:tr w:rsidR="008E0D4A" w:rsidRPr="00C806D0" w:rsidTr="004442E4">
        <w:trPr>
          <w:trHeight w:val="493"/>
        </w:trPr>
        <w:tc>
          <w:tcPr>
            <w:tcW w:w="2071" w:type="pct"/>
            <w:tcMar>
              <w:top w:w="72" w:type="dxa"/>
              <w:left w:w="144" w:type="dxa"/>
              <w:bottom w:w="72" w:type="dxa"/>
              <w:right w:w="144" w:type="dxa"/>
            </w:tcMar>
          </w:tcPr>
          <w:p w:rsidR="008E0D4A" w:rsidRPr="00C806D0" w:rsidRDefault="008E0D4A" w:rsidP="004442E4">
            <w:pPr>
              <w:pStyle w:val="NoSpacing"/>
            </w:pPr>
            <w:r w:rsidRPr="00C806D0">
              <w:t>Pulse rate (mean, SD)</w:t>
            </w:r>
          </w:p>
        </w:tc>
        <w:tc>
          <w:tcPr>
            <w:tcW w:w="820" w:type="pct"/>
            <w:tcBorders>
              <w:right w:val="nil"/>
            </w:tcBorders>
          </w:tcPr>
          <w:p w:rsidR="008E0D4A" w:rsidRPr="00C806D0" w:rsidRDefault="008E0D4A" w:rsidP="004442E4">
            <w:pPr>
              <w:pStyle w:val="NoSpacing"/>
              <w:jc w:val="center"/>
            </w:pPr>
            <w:r w:rsidRPr="00C806D0">
              <w:t>7,149</w:t>
            </w:r>
          </w:p>
        </w:tc>
        <w:tc>
          <w:tcPr>
            <w:tcW w:w="1105" w:type="pct"/>
            <w:tcBorders>
              <w:left w:val="nil"/>
            </w:tcBorders>
          </w:tcPr>
          <w:p w:rsidR="008E0D4A" w:rsidRPr="00C806D0" w:rsidRDefault="008E0D4A" w:rsidP="004442E4">
            <w:pPr>
              <w:pStyle w:val="NoSpacing"/>
              <w:jc w:val="center"/>
            </w:pPr>
            <w:r w:rsidRPr="00C806D0">
              <w:t>89 bpm (37.1)</w:t>
            </w:r>
          </w:p>
        </w:tc>
        <w:tc>
          <w:tcPr>
            <w:tcW w:w="1004" w:type="pct"/>
            <w:tcBorders>
              <w:left w:val="nil"/>
            </w:tcBorders>
          </w:tcPr>
          <w:p w:rsidR="008E0D4A" w:rsidRPr="00C806D0" w:rsidRDefault="008E0D4A" w:rsidP="004442E4">
            <w:pPr>
              <w:pStyle w:val="NoSpacing"/>
              <w:jc w:val="center"/>
            </w:pPr>
            <w:r w:rsidRPr="00C806D0">
              <w:t>89 bpm (25.6)</w:t>
            </w:r>
          </w:p>
        </w:tc>
      </w:tr>
      <w:tr w:rsidR="008E0D4A" w:rsidRPr="00C806D0" w:rsidTr="004442E4">
        <w:trPr>
          <w:trHeight w:val="634"/>
        </w:trPr>
        <w:tc>
          <w:tcPr>
            <w:tcW w:w="2071" w:type="pct"/>
            <w:tcMar>
              <w:top w:w="72" w:type="dxa"/>
              <w:left w:w="144" w:type="dxa"/>
              <w:bottom w:w="72" w:type="dxa"/>
              <w:right w:w="144" w:type="dxa"/>
            </w:tcMar>
          </w:tcPr>
          <w:p w:rsidR="008E0D4A" w:rsidRPr="00C806D0" w:rsidRDefault="008E0D4A" w:rsidP="004442E4">
            <w:pPr>
              <w:pStyle w:val="NoSpacing"/>
            </w:pPr>
            <w:r w:rsidRPr="00C806D0">
              <w:t>Respiratory rate (mean, SD)</w:t>
            </w:r>
          </w:p>
        </w:tc>
        <w:tc>
          <w:tcPr>
            <w:tcW w:w="820" w:type="pct"/>
            <w:tcBorders>
              <w:right w:val="nil"/>
            </w:tcBorders>
          </w:tcPr>
          <w:p w:rsidR="008E0D4A" w:rsidRPr="00C806D0" w:rsidRDefault="008E0D4A" w:rsidP="004442E4">
            <w:pPr>
              <w:pStyle w:val="NoSpacing"/>
              <w:jc w:val="center"/>
            </w:pPr>
            <w:r w:rsidRPr="00C806D0">
              <w:t>7,149</w:t>
            </w:r>
          </w:p>
        </w:tc>
        <w:tc>
          <w:tcPr>
            <w:tcW w:w="1105" w:type="pct"/>
            <w:tcBorders>
              <w:left w:val="nil"/>
            </w:tcBorders>
          </w:tcPr>
          <w:p w:rsidR="008E0D4A" w:rsidRPr="00C806D0" w:rsidRDefault="008E0D4A" w:rsidP="004442E4">
            <w:pPr>
              <w:pStyle w:val="NoSpacing"/>
              <w:jc w:val="center"/>
            </w:pPr>
            <w:r w:rsidRPr="00C806D0">
              <w:t>19 b/m (9.7)</w:t>
            </w:r>
          </w:p>
        </w:tc>
        <w:tc>
          <w:tcPr>
            <w:tcW w:w="1004" w:type="pct"/>
            <w:tcBorders>
              <w:left w:val="nil"/>
            </w:tcBorders>
          </w:tcPr>
          <w:p w:rsidR="008E0D4A" w:rsidRPr="00C806D0" w:rsidRDefault="008E0D4A" w:rsidP="004442E4">
            <w:pPr>
              <w:pStyle w:val="NoSpacing"/>
              <w:jc w:val="center"/>
            </w:pPr>
            <w:r w:rsidRPr="00C806D0">
              <w:t>19 b/m (11.4)</w:t>
            </w:r>
          </w:p>
        </w:tc>
      </w:tr>
      <w:tr w:rsidR="008E0D4A" w:rsidRPr="00C806D0" w:rsidTr="004442E4">
        <w:trPr>
          <w:trHeight w:val="703"/>
        </w:trPr>
        <w:tc>
          <w:tcPr>
            <w:tcW w:w="2071" w:type="pct"/>
            <w:tcMar>
              <w:top w:w="72" w:type="dxa"/>
              <w:left w:w="144" w:type="dxa"/>
              <w:bottom w:w="72" w:type="dxa"/>
              <w:right w:w="144" w:type="dxa"/>
            </w:tcMar>
          </w:tcPr>
          <w:p w:rsidR="008E0D4A" w:rsidRPr="00C806D0" w:rsidRDefault="008E0D4A" w:rsidP="004442E4">
            <w:pPr>
              <w:pStyle w:val="NoSpacing"/>
            </w:pPr>
            <w:r w:rsidRPr="00C806D0">
              <w:t>Oxygen saturations (median, IQR)</w:t>
            </w:r>
          </w:p>
        </w:tc>
        <w:tc>
          <w:tcPr>
            <w:tcW w:w="820" w:type="pct"/>
            <w:tcBorders>
              <w:right w:val="nil"/>
            </w:tcBorders>
          </w:tcPr>
          <w:p w:rsidR="008E0D4A" w:rsidRPr="00C806D0" w:rsidRDefault="008E0D4A" w:rsidP="004442E4">
            <w:pPr>
              <w:pStyle w:val="NoSpacing"/>
              <w:jc w:val="center"/>
            </w:pPr>
            <w:r w:rsidRPr="00C806D0">
              <w:t>7,149</w:t>
            </w:r>
          </w:p>
        </w:tc>
        <w:tc>
          <w:tcPr>
            <w:tcW w:w="1105" w:type="pct"/>
            <w:tcBorders>
              <w:left w:val="nil"/>
            </w:tcBorders>
          </w:tcPr>
          <w:p w:rsidR="008E0D4A" w:rsidRPr="00C806D0" w:rsidRDefault="008E0D4A" w:rsidP="004442E4">
            <w:pPr>
              <w:pStyle w:val="NoSpacing"/>
              <w:jc w:val="center"/>
            </w:pPr>
            <w:r w:rsidRPr="00C806D0">
              <w:t>97% (93-100)</w:t>
            </w:r>
          </w:p>
        </w:tc>
        <w:tc>
          <w:tcPr>
            <w:tcW w:w="1004" w:type="pct"/>
            <w:tcBorders>
              <w:left w:val="nil"/>
            </w:tcBorders>
          </w:tcPr>
          <w:p w:rsidR="008E0D4A" w:rsidRPr="00C806D0" w:rsidRDefault="008E0D4A" w:rsidP="004442E4">
            <w:pPr>
              <w:pStyle w:val="NoSpacing"/>
              <w:jc w:val="center"/>
            </w:pPr>
            <w:r w:rsidRPr="00C806D0">
              <w:t>99% (96-100)</w:t>
            </w:r>
          </w:p>
        </w:tc>
      </w:tr>
      <w:tr w:rsidR="008E0D4A" w:rsidRPr="00C806D0" w:rsidTr="004442E4">
        <w:trPr>
          <w:trHeight w:val="688"/>
        </w:trPr>
        <w:tc>
          <w:tcPr>
            <w:tcW w:w="2071" w:type="pct"/>
            <w:tcBorders>
              <w:bottom w:val="single" w:sz="4" w:space="0" w:color="auto"/>
            </w:tcBorders>
            <w:tcMar>
              <w:top w:w="72" w:type="dxa"/>
              <w:left w:w="144" w:type="dxa"/>
              <w:bottom w:w="72" w:type="dxa"/>
              <w:right w:w="144" w:type="dxa"/>
            </w:tcMar>
          </w:tcPr>
          <w:p w:rsidR="008E0D4A" w:rsidRPr="00C806D0" w:rsidRDefault="008E0D4A" w:rsidP="004442E4">
            <w:pPr>
              <w:pStyle w:val="NoSpacing"/>
            </w:pPr>
            <w:r w:rsidRPr="00C806D0">
              <w:t>Glasgow Coma Scale (median, IQR)</w:t>
            </w:r>
          </w:p>
        </w:tc>
        <w:tc>
          <w:tcPr>
            <w:tcW w:w="820" w:type="pct"/>
            <w:tcBorders>
              <w:bottom w:val="single" w:sz="4" w:space="0" w:color="auto"/>
              <w:right w:val="nil"/>
            </w:tcBorders>
          </w:tcPr>
          <w:p w:rsidR="008E0D4A" w:rsidRPr="00C806D0" w:rsidRDefault="008E0D4A" w:rsidP="004442E4">
            <w:pPr>
              <w:pStyle w:val="NoSpacing"/>
              <w:jc w:val="center"/>
            </w:pPr>
            <w:r w:rsidRPr="00C806D0">
              <w:t>7,149</w:t>
            </w:r>
          </w:p>
        </w:tc>
        <w:tc>
          <w:tcPr>
            <w:tcW w:w="1105" w:type="pct"/>
            <w:tcBorders>
              <w:left w:val="nil"/>
              <w:bottom w:val="single" w:sz="4" w:space="0" w:color="auto"/>
            </w:tcBorders>
          </w:tcPr>
          <w:p w:rsidR="008E0D4A" w:rsidRPr="00C806D0" w:rsidRDefault="008E0D4A" w:rsidP="004442E4">
            <w:pPr>
              <w:pStyle w:val="NoSpacing"/>
              <w:jc w:val="center"/>
            </w:pPr>
            <w:r w:rsidRPr="00C806D0">
              <w:t>13 (7-15)</w:t>
            </w:r>
          </w:p>
        </w:tc>
        <w:tc>
          <w:tcPr>
            <w:tcW w:w="1004" w:type="pct"/>
            <w:tcBorders>
              <w:left w:val="nil"/>
              <w:bottom w:val="single" w:sz="4" w:space="0" w:color="auto"/>
            </w:tcBorders>
          </w:tcPr>
          <w:p w:rsidR="008E0D4A" w:rsidRPr="00C806D0" w:rsidRDefault="008E0D4A" w:rsidP="004442E4">
            <w:pPr>
              <w:pStyle w:val="NoSpacing"/>
              <w:jc w:val="center"/>
            </w:pPr>
            <w:r w:rsidRPr="00C806D0">
              <w:t>13 (7-15)</w:t>
            </w:r>
          </w:p>
        </w:tc>
      </w:tr>
    </w:tbl>
    <w:p w:rsidR="008E0D4A" w:rsidRPr="00C806D0" w:rsidRDefault="008E0D4A" w:rsidP="008E0D4A"/>
    <w:p w:rsidR="008E0D4A" w:rsidRPr="00C806D0" w:rsidRDefault="008E0D4A" w:rsidP="008E0D4A">
      <w:pPr>
        <w:rPr>
          <w:b/>
        </w:rPr>
      </w:pPr>
      <w:r w:rsidRPr="00C806D0">
        <w:rPr>
          <w:b/>
        </w:rPr>
        <w:t>Table E3. Correlation of PH and ED parameters after multiple imputation of missing data.</w:t>
      </w:r>
    </w:p>
    <w:tbl>
      <w:tblPr>
        <w:tblW w:w="5000" w:type="pct"/>
        <w:tblCellMar>
          <w:left w:w="0" w:type="dxa"/>
          <w:right w:w="0" w:type="dxa"/>
        </w:tblCellMar>
        <w:tblLook w:val="00A0" w:firstRow="1" w:lastRow="0" w:firstColumn="1" w:lastColumn="0" w:noHBand="0" w:noVBand="0"/>
      </w:tblPr>
      <w:tblGrid>
        <w:gridCol w:w="3511"/>
        <w:gridCol w:w="1391"/>
        <w:gridCol w:w="1873"/>
        <w:gridCol w:w="1873"/>
      </w:tblGrid>
      <w:tr w:rsidR="008E0D4A" w:rsidRPr="00C806D0" w:rsidTr="004442E4">
        <w:trPr>
          <w:trHeight w:val="398"/>
        </w:trPr>
        <w:tc>
          <w:tcPr>
            <w:tcW w:w="2030" w:type="pct"/>
            <w:tcBorders>
              <w:top w:val="single" w:sz="4" w:space="0" w:color="auto"/>
              <w:bottom w:val="single" w:sz="8" w:space="0" w:color="000000"/>
            </w:tcBorders>
            <w:tcMar>
              <w:top w:w="72" w:type="dxa"/>
              <w:left w:w="144" w:type="dxa"/>
              <w:bottom w:w="72" w:type="dxa"/>
              <w:right w:w="144" w:type="dxa"/>
            </w:tcMar>
          </w:tcPr>
          <w:p w:rsidR="008E0D4A" w:rsidRPr="00C806D0" w:rsidRDefault="008E0D4A" w:rsidP="004442E4">
            <w:pPr>
              <w:pStyle w:val="NoSpacing"/>
            </w:pPr>
          </w:p>
        </w:tc>
        <w:tc>
          <w:tcPr>
            <w:tcW w:w="804" w:type="pct"/>
            <w:tcBorders>
              <w:top w:val="single" w:sz="4" w:space="0" w:color="auto"/>
              <w:bottom w:val="single" w:sz="8" w:space="0" w:color="000000"/>
              <w:right w:val="nil"/>
            </w:tcBorders>
          </w:tcPr>
          <w:p w:rsidR="008E0D4A" w:rsidRPr="00C806D0" w:rsidRDefault="008E0D4A" w:rsidP="004442E4">
            <w:pPr>
              <w:pStyle w:val="NoSpacing"/>
              <w:jc w:val="center"/>
              <w:rPr>
                <w:b/>
              </w:rPr>
            </w:pPr>
            <w:r w:rsidRPr="00C806D0">
              <w:rPr>
                <w:b/>
              </w:rPr>
              <w:t>n=</w:t>
            </w:r>
          </w:p>
        </w:tc>
        <w:tc>
          <w:tcPr>
            <w:tcW w:w="1083" w:type="pct"/>
            <w:tcBorders>
              <w:top w:val="single" w:sz="4" w:space="0" w:color="auto"/>
              <w:left w:val="nil"/>
              <w:bottom w:val="single" w:sz="8" w:space="0" w:color="000000"/>
            </w:tcBorders>
          </w:tcPr>
          <w:p w:rsidR="008E0D4A" w:rsidRPr="00C806D0" w:rsidRDefault="008E0D4A" w:rsidP="004442E4">
            <w:pPr>
              <w:pStyle w:val="NoSpacing"/>
              <w:jc w:val="center"/>
              <w:rPr>
                <w:b/>
              </w:rPr>
            </w:pPr>
            <w:r w:rsidRPr="00C806D0">
              <w:rPr>
                <w:b/>
              </w:rPr>
              <w:t>R</w:t>
            </w:r>
            <w:r w:rsidRPr="00C806D0">
              <w:rPr>
                <w:b/>
                <w:vertAlign w:val="superscript"/>
              </w:rPr>
              <w:t>2</w:t>
            </w:r>
          </w:p>
        </w:tc>
        <w:tc>
          <w:tcPr>
            <w:tcW w:w="1083" w:type="pct"/>
            <w:tcBorders>
              <w:top w:val="single" w:sz="4" w:space="0" w:color="auto"/>
              <w:left w:val="nil"/>
              <w:bottom w:val="single" w:sz="8" w:space="0" w:color="000000"/>
            </w:tcBorders>
          </w:tcPr>
          <w:p w:rsidR="008E0D4A" w:rsidRPr="00C806D0" w:rsidRDefault="008E0D4A" w:rsidP="004442E4">
            <w:pPr>
              <w:pStyle w:val="NoSpacing"/>
              <w:jc w:val="center"/>
              <w:rPr>
                <w:b/>
              </w:rPr>
            </w:pPr>
            <w:r w:rsidRPr="00C806D0">
              <w:rPr>
                <w:b/>
              </w:rPr>
              <w:t>Spearman’s Rho</w:t>
            </w:r>
          </w:p>
        </w:tc>
      </w:tr>
      <w:tr w:rsidR="008E0D4A" w:rsidRPr="00C806D0" w:rsidTr="004442E4">
        <w:trPr>
          <w:trHeight w:val="385"/>
        </w:trPr>
        <w:tc>
          <w:tcPr>
            <w:tcW w:w="2030" w:type="pct"/>
            <w:tcBorders>
              <w:top w:val="single" w:sz="8" w:space="0" w:color="000000"/>
            </w:tcBorders>
            <w:tcMar>
              <w:top w:w="72" w:type="dxa"/>
              <w:left w:w="144" w:type="dxa"/>
              <w:bottom w:w="72" w:type="dxa"/>
              <w:right w:w="144" w:type="dxa"/>
            </w:tcMar>
          </w:tcPr>
          <w:p w:rsidR="008E0D4A" w:rsidRPr="00C806D0" w:rsidRDefault="008E0D4A" w:rsidP="004442E4">
            <w:pPr>
              <w:pStyle w:val="NoSpacing"/>
            </w:pPr>
            <w:r w:rsidRPr="00C806D0">
              <w:t xml:space="preserve">Systolic blood pressure </w:t>
            </w:r>
          </w:p>
        </w:tc>
        <w:tc>
          <w:tcPr>
            <w:tcW w:w="804" w:type="pct"/>
            <w:tcBorders>
              <w:top w:val="single" w:sz="8" w:space="0" w:color="000000"/>
              <w:right w:val="nil"/>
            </w:tcBorders>
          </w:tcPr>
          <w:p w:rsidR="008E0D4A" w:rsidRPr="00C806D0" w:rsidRDefault="008E0D4A" w:rsidP="004442E4">
            <w:pPr>
              <w:pStyle w:val="NoSpacing"/>
              <w:jc w:val="center"/>
            </w:pPr>
            <w:r w:rsidRPr="00C806D0">
              <w:t>7,149</w:t>
            </w:r>
          </w:p>
        </w:tc>
        <w:tc>
          <w:tcPr>
            <w:tcW w:w="1083" w:type="pct"/>
            <w:tcBorders>
              <w:top w:val="single" w:sz="8" w:space="0" w:color="000000"/>
              <w:left w:val="nil"/>
            </w:tcBorders>
          </w:tcPr>
          <w:p w:rsidR="008E0D4A" w:rsidRPr="00C806D0" w:rsidRDefault="008E0D4A" w:rsidP="004442E4">
            <w:pPr>
              <w:pStyle w:val="NoSpacing"/>
              <w:jc w:val="center"/>
            </w:pPr>
            <w:r w:rsidRPr="00C806D0">
              <w:t>0.27</w:t>
            </w:r>
          </w:p>
        </w:tc>
        <w:tc>
          <w:tcPr>
            <w:tcW w:w="1083" w:type="pct"/>
            <w:tcBorders>
              <w:top w:val="single" w:sz="8" w:space="0" w:color="000000"/>
              <w:left w:val="nil"/>
            </w:tcBorders>
          </w:tcPr>
          <w:p w:rsidR="008E0D4A" w:rsidRPr="00C806D0" w:rsidRDefault="008E0D4A" w:rsidP="004442E4">
            <w:pPr>
              <w:pStyle w:val="NoSpacing"/>
              <w:jc w:val="center"/>
            </w:pPr>
            <w:r w:rsidRPr="00C806D0">
              <w:t>-</w:t>
            </w:r>
          </w:p>
        </w:tc>
      </w:tr>
      <w:tr w:rsidR="008E0D4A" w:rsidRPr="00C806D0" w:rsidTr="004442E4">
        <w:trPr>
          <w:trHeight w:val="493"/>
        </w:trPr>
        <w:tc>
          <w:tcPr>
            <w:tcW w:w="2030" w:type="pct"/>
            <w:tcMar>
              <w:top w:w="72" w:type="dxa"/>
              <w:left w:w="144" w:type="dxa"/>
              <w:bottom w:w="72" w:type="dxa"/>
              <w:right w:w="144" w:type="dxa"/>
            </w:tcMar>
          </w:tcPr>
          <w:p w:rsidR="008E0D4A" w:rsidRPr="00C806D0" w:rsidRDefault="008E0D4A" w:rsidP="004442E4">
            <w:pPr>
              <w:pStyle w:val="NoSpacing"/>
            </w:pPr>
            <w:r w:rsidRPr="00C806D0">
              <w:t>Pulse rate (mean, SD)</w:t>
            </w:r>
          </w:p>
        </w:tc>
        <w:tc>
          <w:tcPr>
            <w:tcW w:w="804" w:type="pct"/>
            <w:tcBorders>
              <w:right w:val="nil"/>
            </w:tcBorders>
          </w:tcPr>
          <w:p w:rsidR="008E0D4A" w:rsidRPr="00C806D0" w:rsidRDefault="008E0D4A" w:rsidP="004442E4">
            <w:pPr>
              <w:pStyle w:val="NoSpacing"/>
              <w:jc w:val="center"/>
            </w:pPr>
            <w:r w:rsidRPr="00C806D0">
              <w:t>7,149</w:t>
            </w:r>
          </w:p>
        </w:tc>
        <w:tc>
          <w:tcPr>
            <w:tcW w:w="1083" w:type="pct"/>
            <w:tcBorders>
              <w:left w:val="nil"/>
            </w:tcBorders>
          </w:tcPr>
          <w:p w:rsidR="008E0D4A" w:rsidRPr="00C806D0" w:rsidRDefault="008E0D4A" w:rsidP="004442E4">
            <w:pPr>
              <w:pStyle w:val="NoSpacing"/>
              <w:jc w:val="center"/>
            </w:pPr>
            <w:r w:rsidRPr="00C806D0">
              <w:t>0.32</w:t>
            </w:r>
          </w:p>
        </w:tc>
        <w:tc>
          <w:tcPr>
            <w:tcW w:w="1083" w:type="pct"/>
            <w:tcBorders>
              <w:left w:val="nil"/>
            </w:tcBorders>
          </w:tcPr>
          <w:p w:rsidR="008E0D4A" w:rsidRPr="00C806D0" w:rsidRDefault="008E0D4A" w:rsidP="004442E4">
            <w:pPr>
              <w:pStyle w:val="NoSpacing"/>
              <w:jc w:val="center"/>
            </w:pPr>
            <w:r w:rsidRPr="00C806D0">
              <w:t>-</w:t>
            </w:r>
          </w:p>
        </w:tc>
      </w:tr>
      <w:tr w:rsidR="008E0D4A" w:rsidRPr="00C806D0" w:rsidTr="004442E4">
        <w:trPr>
          <w:trHeight w:val="634"/>
        </w:trPr>
        <w:tc>
          <w:tcPr>
            <w:tcW w:w="2030" w:type="pct"/>
            <w:tcMar>
              <w:top w:w="72" w:type="dxa"/>
              <w:left w:w="144" w:type="dxa"/>
              <w:bottom w:w="72" w:type="dxa"/>
              <w:right w:w="144" w:type="dxa"/>
            </w:tcMar>
          </w:tcPr>
          <w:p w:rsidR="008E0D4A" w:rsidRPr="00C806D0" w:rsidRDefault="008E0D4A" w:rsidP="004442E4">
            <w:pPr>
              <w:pStyle w:val="NoSpacing"/>
            </w:pPr>
            <w:r w:rsidRPr="00C806D0">
              <w:t>Respiratory rate (mean, SD)</w:t>
            </w:r>
          </w:p>
        </w:tc>
        <w:tc>
          <w:tcPr>
            <w:tcW w:w="804" w:type="pct"/>
            <w:tcBorders>
              <w:right w:val="nil"/>
            </w:tcBorders>
          </w:tcPr>
          <w:p w:rsidR="008E0D4A" w:rsidRPr="00C806D0" w:rsidRDefault="008E0D4A" w:rsidP="004442E4">
            <w:pPr>
              <w:pStyle w:val="NoSpacing"/>
              <w:jc w:val="center"/>
            </w:pPr>
            <w:r w:rsidRPr="00C806D0">
              <w:t>7,149</w:t>
            </w:r>
          </w:p>
        </w:tc>
        <w:tc>
          <w:tcPr>
            <w:tcW w:w="1083" w:type="pct"/>
            <w:tcBorders>
              <w:left w:val="nil"/>
            </w:tcBorders>
          </w:tcPr>
          <w:p w:rsidR="008E0D4A" w:rsidRPr="00C806D0" w:rsidRDefault="008E0D4A" w:rsidP="004442E4">
            <w:pPr>
              <w:pStyle w:val="NoSpacing"/>
              <w:jc w:val="center"/>
            </w:pPr>
            <w:r w:rsidRPr="00C806D0">
              <w:t>0.16</w:t>
            </w:r>
          </w:p>
        </w:tc>
        <w:tc>
          <w:tcPr>
            <w:tcW w:w="1083" w:type="pct"/>
            <w:tcBorders>
              <w:left w:val="nil"/>
            </w:tcBorders>
          </w:tcPr>
          <w:p w:rsidR="008E0D4A" w:rsidRPr="00C806D0" w:rsidRDefault="008E0D4A" w:rsidP="004442E4">
            <w:pPr>
              <w:pStyle w:val="NoSpacing"/>
              <w:jc w:val="center"/>
            </w:pPr>
            <w:r w:rsidRPr="00C806D0">
              <w:t>-</w:t>
            </w:r>
          </w:p>
        </w:tc>
      </w:tr>
      <w:tr w:rsidR="008E0D4A" w:rsidRPr="00C806D0" w:rsidTr="004442E4">
        <w:trPr>
          <w:trHeight w:val="703"/>
        </w:trPr>
        <w:tc>
          <w:tcPr>
            <w:tcW w:w="2030" w:type="pct"/>
            <w:tcMar>
              <w:top w:w="72" w:type="dxa"/>
              <w:left w:w="144" w:type="dxa"/>
              <w:bottom w:w="72" w:type="dxa"/>
              <w:right w:w="144" w:type="dxa"/>
            </w:tcMar>
          </w:tcPr>
          <w:p w:rsidR="008E0D4A" w:rsidRPr="00C806D0" w:rsidRDefault="008E0D4A" w:rsidP="004442E4">
            <w:pPr>
              <w:pStyle w:val="NoSpacing"/>
            </w:pPr>
            <w:r w:rsidRPr="00C806D0">
              <w:t>Oxygen saturations (median, IQR)</w:t>
            </w:r>
          </w:p>
        </w:tc>
        <w:tc>
          <w:tcPr>
            <w:tcW w:w="804" w:type="pct"/>
            <w:tcBorders>
              <w:right w:val="nil"/>
            </w:tcBorders>
          </w:tcPr>
          <w:p w:rsidR="008E0D4A" w:rsidRPr="00C806D0" w:rsidRDefault="008E0D4A" w:rsidP="004442E4">
            <w:pPr>
              <w:pStyle w:val="NoSpacing"/>
              <w:jc w:val="center"/>
            </w:pPr>
            <w:r w:rsidRPr="00C806D0">
              <w:t>7,149</w:t>
            </w:r>
          </w:p>
        </w:tc>
        <w:tc>
          <w:tcPr>
            <w:tcW w:w="1083" w:type="pct"/>
            <w:tcBorders>
              <w:left w:val="nil"/>
            </w:tcBorders>
          </w:tcPr>
          <w:p w:rsidR="008E0D4A" w:rsidRPr="00C806D0" w:rsidRDefault="008E0D4A" w:rsidP="004442E4">
            <w:pPr>
              <w:pStyle w:val="NoSpacing"/>
              <w:jc w:val="center"/>
            </w:pPr>
            <w:r w:rsidRPr="00C806D0">
              <w:t>-</w:t>
            </w:r>
          </w:p>
        </w:tc>
        <w:tc>
          <w:tcPr>
            <w:tcW w:w="1083" w:type="pct"/>
            <w:tcBorders>
              <w:left w:val="nil"/>
            </w:tcBorders>
          </w:tcPr>
          <w:p w:rsidR="008E0D4A" w:rsidRPr="00C806D0" w:rsidRDefault="008E0D4A" w:rsidP="004442E4">
            <w:pPr>
              <w:pStyle w:val="NoSpacing"/>
              <w:jc w:val="center"/>
            </w:pPr>
            <w:r w:rsidRPr="00C806D0">
              <w:t>0.21</w:t>
            </w:r>
          </w:p>
        </w:tc>
      </w:tr>
      <w:tr w:rsidR="008E0D4A" w:rsidRPr="00C806D0" w:rsidTr="004442E4">
        <w:trPr>
          <w:trHeight w:val="688"/>
        </w:trPr>
        <w:tc>
          <w:tcPr>
            <w:tcW w:w="2030" w:type="pct"/>
            <w:tcBorders>
              <w:bottom w:val="single" w:sz="4" w:space="0" w:color="auto"/>
            </w:tcBorders>
            <w:tcMar>
              <w:top w:w="72" w:type="dxa"/>
              <w:left w:w="144" w:type="dxa"/>
              <w:bottom w:w="72" w:type="dxa"/>
              <w:right w:w="144" w:type="dxa"/>
            </w:tcMar>
          </w:tcPr>
          <w:p w:rsidR="008E0D4A" w:rsidRPr="00C806D0" w:rsidRDefault="008E0D4A" w:rsidP="004442E4">
            <w:pPr>
              <w:pStyle w:val="NoSpacing"/>
            </w:pPr>
            <w:r w:rsidRPr="00C806D0">
              <w:t>Glasgow Coma Scale (median, IQR)</w:t>
            </w:r>
          </w:p>
        </w:tc>
        <w:tc>
          <w:tcPr>
            <w:tcW w:w="804" w:type="pct"/>
            <w:tcBorders>
              <w:bottom w:val="single" w:sz="4" w:space="0" w:color="auto"/>
              <w:right w:val="nil"/>
            </w:tcBorders>
          </w:tcPr>
          <w:p w:rsidR="008E0D4A" w:rsidRPr="00C806D0" w:rsidRDefault="008E0D4A" w:rsidP="004442E4">
            <w:pPr>
              <w:pStyle w:val="NoSpacing"/>
              <w:jc w:val="center"/>
            </w:pPr>
            <w:r w:rsidRPr="00C806D0">
              <w:t>7,149</w:t>
            </w:r>
          </w:p>
        </w:tc>
        <w:tc>
          <w:tcPr>
            <w:tcW w:w="1083" w:type="pct"/>
            <w:tcBorders>
              <w:left w:val="nil"/>
              <w:bottom w:val="single" w:sz="4" w:space="0" w:color="auto"/>
            </w:tcBorders>
          </w:tcPr>
          <w:p w:rsidR="008E0D4A" w:rsidRPr="00C806D0" w:rsidRDefault="008E0D4A" w:rsidP="004442E4">
            <w:pPr>
              <w:pStyle w:val="NoSpacing"/>
              <w:jc w:val="center"/>
            </w:pPr>
            <w:r w:rsidRPr="00C806D0">
              <w:t>-</w:t>
            </w:r>
          </w:p>
        </w:tc>
        <w:tc>
          <w:tcPr>
            <w:tcW w:w="1083" w:type="pct"/>
            <w:tcBorders>
              <w:left w:val="nil"/>
              <w:bottom w:val="single" w:sz="4" w:space="0" w:color="auto"/>
            </w:tcBorders>
          </w:tcPr>
          <w:p w:rsidR="008E0D4A" w:rsidRPr="00C806D0" w:rsidRDefault="008E0D4A" w:rsidP="004442E4">
            <w:pPr>
              <w:pStyle w:val="NoSpacing"/>
              <w:jc w:val="center"/>
            </w:pPr>
            <w:r w:rsidRPr="00C806D0">
              <w:t>0.78</w:t>
            </w:r>
          </w:p>
        </w:tc>
      </w:tr>
    </w:tbl>
    <w:p w:rsidR="008E0D4A" w:rsidRPr="00C806D0" w:rsidRDefault="008E0D4A" w:rsidP="008E0D4A">
      <w:pPr>
        <w:pStyle w:val="Heading1"/>
        <w:numPr>
          <w:ilvl w:val="0"/>
          <w:numId w:val="0"/>
        </w:numPr>
        <w:ind w:left="431"/>
        <w:jc w:val="left"/>
        <w:rPr>
          <w:szCs w:val="22"/>
        </w:rPr>
      </w:pPr>
      <w:r w:rsidRPr="00C806D0">
        <w:rPr>
          <w:noProof/>
          <w:szCs w:val="22"/>
          <w:lang w:val="en-US"/>
        </w:rPr>
        <w:lastRenderedPageBreak/>
        <w:drawing>
          <wp:inline distT="0" distB="0" distL="0" distR="0">
            <wp:extent cx="5731510" cy="3362960"/>
            <wp:effectExtent l="19050" t="0" r="2540" b="0"/>
            <wp:docPr id="15" name="Picture 2" descr="MI Adjusted change in vital sign EMS inter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 Adjusted change in vital sign EMS interval.JPG"/>
                    <pic:cNvPicPr/>
                  </pic:nvPicPr>
                  <pic:blipFill>
                    <a:blip r:embed="rId17" cstate="print"/>
                    <a:stretch>
                      <a:fillRect/>
                    </a:stretch>
                  </pic:blipFill>
                  <pic:spPr>
                    <a:xfrm>
                      <a:off x="0" y="0"/>
                      <a:ext cx="5731510" cy="3362960"/>
                    </a:xfrm>
                    <a:prstGeom prst="rect">
                      <a:avLst/>
                    </a:prstGeom>
                  </pic:spPr>
                </pic:pic>
              </a:graphicData>
            </a:graphic>
          </wp:inline>
        </w:drawing>
      </w:r>
    </w:p>
    <w:p w:rsidR="008E0D4A" w:rsidRPr="00C806D0" w:rsidRDefault="008E0D4A" w:rsidP="008E0D4A">
      <w:r w:rsidRPr="00C806D0">
        <w:rPr>
          <w:b/>
        </w:rPr>
        <w:t>Figure E1. Odds ratios for change in vital sign status for each category of EMS interval after multiple imputation</w:t>
      </w:r>
      <w:r w:rsidRPr="00C806D0">
        <w:t xml:space="preserve">. 20-40 minute EMS interval is the reference category. </w:t>
      </w:r>
    </w:p>
    <w:p w:rsidR="008E0D4A" w:rsidRPr="00C806D0" w:rsidRDefault="008E0D4A" w:rsidP="008E0D4A"/>
    <w:p w:rsidR="008E0D4A" w:rsidRPr="00C806D0" w:rsidRDefault="008E0D4A" w:rsidP="008E0D4A"/>
    <w:p w:rsidR="008E0D4A" w:rsidRPr="00C806D0" w:rsidRDefault="008E0D4A" w:rsidP="008E0D4A">
      <w:pPr>
        <w:rPr>
          <w:rFonts w:ascii="Calibri" w:hAnsi="Calibri"/>
          <w:b/>
        </w:rPr>
      </w:pPr>
      <w:r w:rsidRPr="00C806D0">
        <w:rPr>
          <w:b/>
        </w:rPr>
        <w:t>Table E4. Odds ratios for change in vital sign status for each category of EMS interval.</w:t>
      </w:r>
    </w:p>
    <w:tbl>
      <w:tblPr>
        <w:tblW w:w="4593" w:type="pct"/>
        <w:jc w:val="center"/>
        <w:tblCellMar>
          <w:left w:w="0" w:type="dxa"/>
          <w:right w:w="0" w:type="dxa"/>
        </w:tblCellMar>
        <w:tblLook w:val="00A0" w:firstRow="1" w:lastRow="0" w:firstColumn="1" w:lastColumn="0" w:noHBand="0" w:noVBand="0"/>
      </w:tblPr>
      <w:tblGrid>
        <w:gridCol w:w="1663"/>
        <w:gridCol w:w="753"/>
        <w:gridCol w:w="912"/>
        <w:gridCol w:w="912"/>
        <w:gridCol w:w="912"/>
        <w:gridCol w:w="912"/>
        <w:gridCol w:w="912"/>
        <w:gridCol w:w="820"/>
        <w:gridCol w:w="16"/>
      </w:tblGrid>
      <w:tr w:rsidR="008E0D4A" w:rsidRPr="00C806D0" w:rsidTr="004442E4">
        <w:trPr>
          <w:gridAfter w:val="1"/>
          <w:wAfter w:w="10" w:type="pct"/>
          <w:trHeight w:val="398"/>
          <w:jc w:val="center"/>
        </w:trPr>
        <w:tc>
          <w:tcPr>
            <w:tcW w:w="4990" w:type="pct"/>
            <w:gridSpan w:val="8"/>
            <w:tcBorders>
              <w:top w:val="single" w:sz="4" w:space="0" w:color="auto"/>
            </w:tcBorders>
          </w:tcPr>
          <w:p w:rsidR="008E0D4A" w:rsidRPr="00C806D0" w:rsidRDefault="008E0D4A" w:rsidP="004442E4">
            <w:pPr>
              <w:pStyle w:val="NoSpacing"/>
              <w:jc w:val="center"/>
              <w:rPr>
                <w:b/>
                <w:sz w:val="20"/>
                <w:szCs w:val="20"/>
              </w:rPr>
            </w:pPr>
            <w:r w:rsidRPr="00C806D0">
              <w:rPr>
                <w:b/>
                <w:sz w:val="20"/>
                <w:szCs w:val="20"/>
              </w:rPr>
              <w:t xml:space="preserve">                       EMS Interval category (minutes)</w:t>
            </w:r>
          </w:p>
        </w:tc>
      </w:tr>
      <w:tr w:rsidR="008E0D4A" w:rsidRPr="00C806D0" w:rsidTr="004442E4">
        <w:trPr>
          <w:trHeight w:val="398"/>
          <w:jc w:val="center"/>
        </w:trPr>
        <w:tc>
          <w:tcPr>
            <w:tcW w:w="1064" w:type="pct"/>
            <w:tcBorders>
              <w:left w:val="nil"/>
              <w:bottom w:val="single" w:sz="4" w:space="0" w:color="auto"/>
            </w:tcBorders>
          </w:tcPr>
          <w:p w:rsidR="008E0D4A" w:rsidRPr="00C806D0" w:rsidRDefault="008E0D4A" w:rsidP="004442E4">
            <w:pPr>
              <w:pStyle w:val="NoSpacing"/>
              <w:jc w:val="center"/>
              <w:rPr>
                <w:b/>
                <w:sz w:val="20"/>
                <w:szCs w:val="20"/>
              </w:rPr>
            </w:pPr>
          </w:p>
        </w:tc>
        <w:tc>
          <w:tcPr>
            <w:tcW w:w="481"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&lt;20</w:t>
            </w:r>
          </w:p>
        </w:tc>
        <w:tc>
          <w:tcPr>
            <w:tcW w:w="584"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20-40</w:t>
            </w:r>
          </w:p>
        </w:tc>
        <w:tc>
          <w:tcPr>
            <w:tcW w:w="584"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40-60</w:t>
            </w:r>
          </w:p>
        </w:tc>
        <w:tc>
          <w:tcPr>
            <w:tcW w:w="584"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60-80</w:t>
            </w:r>
          </w:p>
        </w:tc>
        <w:tc>
          <w:tcPr>
            <w:tcW w:w="584"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80-100</w:t>
            </w:r>
          </w:p>
        </w:tc>
        <w:tc>
          <w:tcPr>
            <w:tcW w:w="584"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100-120</w:t>
            </w:r>
          </w:p>
        </w:tc>
        <w:tc>
          <w:tcPr>
            <w:tcW w:w="536" w:type="pct"/>
            <w:gridSpan w:val="2"/>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&gt;120</w:t>
            </w:r>
          </w:p>
        </w:tc>
      </w:tr>
      <w:tr w:rsidR="008E0D4A" w:rsidRPr="00C806D0" w:rsidTr="004442E4">
        <w:trPr>
          <w:trHeight w:val="398"/>
          <w:jc w:val="center"/>
        </w:trPr>
        <w:tc>
          <w:tcPr>
            <w:tcW w:w="1064" w:type="pct"/>
            <w:tcBorders>
              <w:top w:val="single" w:sz="4" w:space="0" w:color="auto"/>
              <w:left w:val="nil"/>
              <w:bottom w:val="single" w:sz="4" w:space="0" w:color="auto"/>
            </w:tcBorders>
          </w:tcPr>
          <w:p w:rsidR="008E0D4A" w:rsidRPr="00C806D0" w:rsidRDefault="008E0D4A" w:rsidP="004442E4">
            <w:pPr>
              <w:pStyle w:val="NoSpacing"/>
              <w:rPr>
                <w:sz w:val="20"/>
                <w:szCs w:val="20"/>
              </w:rPr>
            </w:pPr>
          </w:p>
          <w:p w:rsidR="008E0D4A" w:rsidRPr="00C806D0" w:rsidRDefault="008E0D4A" w:rsidP="004442E4">
            <w:pPr>
              <w:pStyle w:val="NoSpacing"/>
              <w:rPr>
                <w:sz w:val="20"/>
                <w:szCs w:val="20"/>
              </w:rPr>
            </w:pPr>
            <w:r w:rsidRPr="00C806D0">
              <w:rPr>
                <w:sz w:val="20"/>
                <w:szCs w:val="20"/>
              </w:rPr>
              <w:t>Odds ratio for change in vital sign status (95% CI)</w:t>
            </w:r>
          </w:p>
          <w:p w:rsidR="008E0D4A" w:rsidRPr="00C806D0" w:rsidRDefault="008E0D4A" w:rsidP="004442E4">
            <w:pPr>
              <w:pStyle w:val="NoSpacing"/>
              <w:rPr>
                <w:sz w:val="20"/>
                <w:szCs w:val="20"/>
              </w:rPr>
            </w:pPr>
          </w:p>
        </w:tc>
        <w:tc>
          <w:tcPr>
            <w:tcW w:w="481"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 xml:space="preserve">0.79 </w:t>
            </w:r>
          </w:p>
          <w:p w:rsidR="008E0D4A" w:rsidRPr="00C806D0" w:rsidRDefault="008E0D4A" w:rsidP="004442E4">
            <w:pPr>
              <w:pStyle w:val="NoSpacing"/>
              <w:jc w:val="center"/>
              <w:rPr>
                <w:sz w:val="20"/>
                <w:szCs w:val="20"/>
              </w:rPr>
            </w:pPr>
            <w:r w:rsidRPr="00C806D0">
              <w:rPr>
                <w:sz w:val="20"/>
                <w:szCs w:val="20"/>
              </w:rPr>
              <w:t>(0.3-1.8)</w:t>
            </w:r>
          </w:p>
        </w:tc>
        <w:tc>
          <w:tcPr>
            <w:tcW w:w="584"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1.00</w:t>
            </w:r>
          </w:p>
          <w:p w:rsidR="008E0D4A" w:rsidRPr="00C806D0" w:rsidRDefault="008E0D4A" w:rsidP="004442E4">
            <w:pPr>
              <w:pStyle w:val="NoSpacing"/>
              <w:jc w:val="center"/>
              <w:rPr>
                <w:sz w:val="20"/>
                <w:szCs w:val="20"/>
              </w:rPr>
            </w:pPr>
          </w:p>
        </w:tc>
        <w:tc>
          <w:tcPr>
            <w:tcW w:w="584"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1.16</w:t>
            </w:r>
          </w:p>
          <w:p w:rsidR="008E0D4A" w:rsidRPr="00C806D0" w:rsidRDefault="008E0D4A" w:rsidP="004442E4">
            <w:pPr>
              <w:pStyle w:val="NoSpacing"/>
              <w:jc w:val="center"/>
              <w:rPr>
                <w:sz w:val="20"/>
                <w:szCs w:val="20"/>
              </w:rPr>
            </w:pPr>
            <w:r w:rsidRPr="00C806D0">
              <w:rPr>
                <w:sz w:val="20"/>
                <w:szCs w:val="20"/>
              </w:rPr>
              <w:t>(0.9-1.5)</w:t>
            </w:r>
          </w:p>
        </w:tc>
        <w:tc>
          <w:tcPr>
            <w:tcW w:w="584"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1.35</w:t>
            </w:r>
          </w:p>
          <w:p w:rsidR="008E0D4A" w:rsidRPr="00C806D0" w:rsidRDefault="008E0D4A" w:rsidP="004442E4">
            <w:pPr>
              <w:pStyle w:val="NoSpacing"/>
              <w:jc w:val="center"/>
              <w:rPr>
                <w:sz w:val="20"/>
                <w:szCs w:val="20"/>
              </w:rPr>
            </w:pPr>
            <w:r w:rsidRPr="00C806D0">
              <w:rPr>
                <w:sz w:val="20"/>
                <w:szCs w:val="20"/>
              </w:rPr>
              <w:t>(1.1-1.7)</w:t>
            </w:r>
          </w:p>
        </w:tc>
        <w:tc>
          <w:tcPr>
            <w:tcW w:w="584"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1.39</w:t>
            </w:r>
          </w:p>
          <w:p w:rsidR="008E0D4A" w:rsidRPr="00C806D0" w:rsidRDefault="008E0D4A" w:rsidP="004442E4">
            <w:pPr>
              <w:pStyle w:val="NoSpacing"/>
              <w:jc w:val="center"/>
              <w:rPr>
                <w:sz w:val="20"/>
                <w:szCs w:val="20"/>
              </w:rPr>
            </w:pPr>
            <w:r w:rsidRPr="00C806D0">
              <w:rPr>
                <w:sz w:val="20"/>
                <w:szCs w:val="20"/>
              </w:rPr>
              <w:t>(1.0-1.9)</w:t>
            </w:r>
          </w:p>
        </w:tc>
        <w:tc>
          <w:tcPr>
            <w:tcW w:w="584"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1.76</w:t>
            </w:r>
          </w:p>
          <w:p w:rsidR="008E0D4A" w:rsidRPr="00C806D0" w:rsidRDefault="008E0D4A" w:rsidP="004442E4">
            <w:pPr>
              <w:pStyle w:val="NoSpacing"/>
              <w:jc w:val="center"/>
              <w:rPr>
                <w:sz w:val="20"/>
                <w:szCs w:val="20"/>
              </w:rPr>
            </w:pPr>
            <w:r w:rsidRPr="00C806D0">
              <w:rPr>
                <w:sz w:val="20"/>
                <w:szCs w:val="20"/>
              </w:rPr>
              <w:t>(1.3-2.4)</w:t>
            </w:r>
          </w:p>
        </w:tc>
        <w:tc>
          <w:tcPr>
            <w:tcW w:w="536" w:type="pct"/>
            <w:gridSpan w:val="2"/>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1.85</w:t>
            </w:r>
          </w:p>
          <w:p w:rsidR="008E0D4A" w:rsidRPr="00C806D0" w:rsidRDefault="008E0D4A" w:rsidP="004442E4">
            <w:pPr>
              <w:pStyle w:val="NoSpacing"/>
              <w:jc w:val="center"/>
              <w:rPr>
                <w:sz w:val="20"/>
                <w:szCs w:val="20"/>
              </w:rPr>
            </w:pPr>
            <w:r w:rsidRPr="00C806D0">
              <w:rPr>
                <w:sz w:val="20"/>
                <w:szCs w:val="20"/>
              </w:rPr>
              <w:t>(1.2-2.9)</w:t>
            </w:r>
          </w:p>
        </w:tc>
      </w:tr>
    </w:tbl>
    <w:p w:rsidR="008E0D4A" w:rsidRPr="00C806D0" w:rsidRDefault="008E0D4A" w:rsidP="008E0D4A">
      <w:pPr>
        <w:rPr>
          <w:rFonts w:ascii="Calibri" w:hAnsi="Calibri"/>
          <w:sz w:val="20"/>
          <w:szCs w:val="20"/>
        </w:rPr>
      </w:pPr>
      <w:r w:rsidRPr="00C806D0">
        <w:rPr>
          <w:sz w:val="20"/>
          <w:szCs w:val="20"/>
        </w:rPr>
        <w:t>Adjusted estimates from multivariate logistic regression model. 20-40 minute EMS interval is the reference category. Multiple imputation of missing data n=7,149</w:t>
      </w:r>
      <w:r w:rsidRPr="00C806D0">
        <w:rPr>
          <w:rFonts w:ascii="Calibri" w:hAnsi="Calibri"/>
          <w:sz w:val="20"/>
          <w:szCs w:val="20"/>
        </w:rPr>
        <w:t>.</w:t>
      </w:r>
    </w:p>
    <w:p w:rsidR="008E0D4A" w:rsidRPr="00C806D0" w:rsidRDefault="008E0D4A" w:rsidP="008E0D4A">
      <w:pPr>
        <w:rPr>
          <w:rFonts w:ascii="Calibri" w:hAnsi="Calibri"/>
          <w:b/>
          <w:sz w:val="20"/>
          <w:szCs w:val="20"/>
        </w:rPr>
      </w:pPr>
    </w:p>
    <w:p w:rsidR="008E0D4A" w:rsidRPr="00C806D0" w:rsidRDefault="008E0D4A" w:rsidP="008E0D4A">
      <w:pPr>
        <w:jc w:val="center"/>
        <w:rPr>
          <w:b/>
        </w:rPr>
      </w:pPr>
      <w:r w:rsidRPr="00C806D0">
        <w:rPr>
          <w:b/>
          <w:noProof/>
          <w:lang w:val="en-US"/>
        </w:rPr>
        <w:lastRenderedPageBreak/>
        <w:drawing>
          <wp:inline distT="0" distB="0" distL="0" distR="0">
            <wp:extent cx="5400040" cy="3279140"/>
            <wp:effectExtent l="19050" t="0" r="0" b="0"/>
            <wp:docPr id="1" name="Picture 1" descr="Odds of change in vital sign status EMS interval MULTIPLE IMP initially stabl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ds of change in vital sign status EMS interval MULTIPLE IMP initially stable.tif.jpg"/>
                    <pic:cNvPicPr/>
                  </pic:nvPicPr>
                  <pic:blipFill>
                    <a:blip r:embed="rId18" cstate="print"/>
                    <a:stretch>
                      <a:fillRect/>
                    </a:stretch>
                  </pic:blipFill>
                  <pic:spPr>
                    <a:xfrm>
                      <a:off x="0" y="0"/>
                      <a:ext cx="5400040" cy="3279140"/>
                    </a:xfrm>
                    <a:prstGeom prst="rect">
                      <a:avLst/>
                    </a:prstGeom>
                  </pic:spPr>
                </pic:pic>
              </a:graphicData>
            </a:graphic>
          </wp:inline>
        </w:drawing>
      </w:r>
    </w:p>
    <w:p w:rsidR="008E0D4A" w:rsidRPr="00C806D0" w:rsidRDefault="008E0D4A" w:rsidP="008E0D4A">
      <w:pPr>
        <w:rPr>
          <w:b/>
        </w:rPr>
      </w:pPr>
      <w:r w:rsidRPr="00C806D0">
        <w:rPr>
          <w:b/>
        </w:rPr>
        <w:t>Figure E2. Adjusted odds ratios for deterioration in vital sign status from stable to unstable for each category of EMS interval, after multiple imputation of missing data</w:t>
      </w:r>
    </w:p>
    <w:p w:rsidR="008E0D4A" w:rsidRPr="00C806D0" w:rsidRDefault="008E0D4A" w:rsidP="008E0D4A">
      <w:pPr>
        <w:rPr>
          <w:i/>
        </w:rPr>
      </w:pPr>
    </w:p>
    <w:p w:rsidR="007F7392" w:rsidRPr="00C806D0" w:rsidRDefault="007F7392" w:rsidP="008E0D4A">
      <w:pPr>
        <w:rPr>
          <w:i/>
        </w:rPr>
      </w:pPr>
    </w:p>
    <w:p w:rsidR="008E0D4A" w:rsidRPr="00C806D0" w:rsidRDefault="008E0D4A" w:rsidP="008E0D4A">
      <w:pPr>
        <w:rPr>
          <w:rFonts w:ascii="Calibri" w:hAnsi="Calibri"/>
          <w:b/>
        </w:rPr>
      </w:pPr>
      <w:r w:rsidRPr="00C806D0">
        <w:rPr>
          <w:rFonts w:ascii="Calibri" w:hAnsi="Calibri"/>
          <w:b/>
        </w:rPr>
        <w:t xml:space="preserve">Table E5. Adjusted odds ratios for deterioration in vital sign status for each category of EMS interval after multiple imputation, for patients with initially stable prehospital vital sign status. </w:t>
      </w:r>
    </w:p>
    <w:tbl>
      <w:tblPr>
        <w:tblW w:w="4593" w:type="pct"/>
        <w:jc w:val="center"/>
        <w:tblCellMar>
          <w:left w:w="0" w:type="dxa"/>
          <w:right w:w="0" w:type="dxa"/>
        </w:tblCellMar>
        <w:tblLook w:val="00A0" w:firstRow="1" w:lastRow="0" w:firstColumn="1" w:lastColumn="0" w:noHBand="0" w:noVBand="0"/>
      </w:tblPr>
      <w:tblGrid>
        <w:gridCol w:w="1663"/>
        <w:gridCol w:w="753"/>
        <w:gridCol w:w="912"/>
        <w:gridCol w:w="912"/>
        <w:gridCol w:w="912"/>
        <w:gridCol w:w="912"/>
        <w:gridCol w:w="912"/>
        <w:gridCol w:w="820"/>
        <w:gridCol w:w="16"/>
      </w:tblGrid>
      <w:tr w:rsidR="008E0D4A" w:rsidRPr="00C806D0" w:rsidTr="004442E4">
        <w:trPr>
          <w:gridAfter w:val="1"/>
          <w:wAfter w:w="10" w:type="pct"/>
          <w:trHeight w:val="398"/>
          <w:jc w:val="center"/>
        </w:trPr>
        <w:tc>
          <w:tcPr>
            <w:tcW w:w="4990" w:type="pct"/>
            <w:gridSpan w:val="8"/>
            <w:tcBorders>
              <w:top w:val="single" w:sz="4" w:space="0" w:color="auto"/>
            </w:tcBorders>
          </w:tcPr>
          <w:p w:rsidR="008E0D4A" w:rsidRPr="00C806D0" w:rsidRDefault="008E0D4A" w:rsidP="004442E4">
            <w:pPr>
              <w:pStyle w:val="NoSpacing"/>
              <w:jc w:val="center"/>
              <w:rPr>
                <w:b/>
                <w:sz w:val="20"/>
                <w:szCs w:val="20"/>
              </w:rPr>
            </w:pPr>
            <w:r w:rsidRPr="00C806D0">
              <w:rPr>
                <w:b/>
                <w:sz w:val="20"/>
                <w:szCs w:val="20"/>
              </w:rPr>
              <w:t xml:space="preserve">                       EMS Interval category (minutes)</w:t>
            </w:r>
          </w:p>
        </w:tc>
      </w:tr>
      <w:tr w:rsidR="008E0D4A" w:rsidRPr="00C806D0" w:rsidTr="004442E4">
        <w:trPr>
          <w:trHeight w:val="398"/>
          <w:jc w:val="center"/>
        </w:trPr>
        <w:tc>
          <w:tcPr>
            <w:tcW w:w="1064" w:type="pct"/>
            <w:tcBorders>
              <w:left w:val="nil"/>
              <w:bottom w:val="single" w:sz="4" w:space="0" w:color="auto"/>
            </w:tcBorders>
          </w:tcPr>
          <w:p w:rsidR="008E0D4A" w:rsidRPr="00C806D0" w:rsidRDefault="008E0D4A" w:rsidP="004442E4">
            <w:pPr>
              <w:pStyle w:val="NoSpacing"/>
              <w:jc w:val="center"/>
              <w:rPr>
                <w:b/>
                <w:sz w:val="20"/>
                <w:szCs w:val="20"/>
              </w:rPr>
            </w:pPr>
          </w:p>
        </w:tc>
        <w:tc>
          <w:tcPr>
            <w:tcW w:w="481"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&lt;20</w:t>
            </w:r>
          </w:p>
        </w:tc>
        <w:tc>
          <w:tcPr>
            <w:tcW w:w="584"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20-40</w:t>
            </w:r>
          </w:p>
        </w:tc>
        <w:tc>
          <w:tcPr>
            <w:tcW w:w="584"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40-60</w:t>
            </w:r>
          </w:p>
        </w:tc>
        <w:tc>
          <w:tcPr>
            <w:tcW w:w="584"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60-80</w:t>
            </w:r>
          </w:p>
        </w:tc>
        <w:tc>
          <w:tcPr>
            <w:tcW w:w="584"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80-100</w:t>
            </w:r>
          </w:p>
        </w:tc>
        <w:tc>
          <w:tcPr>
            <w:tcW w:w="584" w:type="pct"/>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100-120</w:t>
            </w:r>
          </w:p>
        </w:tc>
        <w:tc>
          <w:tcPr>
            <w:tcW w:w="536" w:type="pct"/>
            <w:gridSpan w:val="2"/>
            <w:tcBorders>
              <w:left w:val="nil"/>
              <w:bottom w:val="single" w:sz="4" w:space="0" w:color="auto"/>
              <w:right w:val="nil"/>
            </w:tcBorders>
          </w:tcPr>
          <w:p w:rsidR="008E0D4A" w:rsidRPr="00C806D0" w:rsidRDefault="008E0D4A" w:rsidP="004442E4">
            <w:pPr>
              <w:pStyle w:val="NoSpacing"/>
              <w:jc w:val="center"/>
              <w:rPr>
                <w:b/>
                <w:sz w:val="20"/>
                <w:szCs w:val="20"/>
              </w:rPr>
            </w:pPr>
            <w:r w:rsidRPr="00C806D0">
              <w:rPr>
                <w:b/>
                <w:sz w:val="20"/>
                <w:szCs w:val="20"/>
              </w:rPr>
              <w:t>&gt;120</w:t>
            </w:r>
          </w:p>
        </w:tc>
      </w:tr>
      <w:tr w:rsidR="008E0D4A" w:rsidRPr="00C806D0" w:rsidTr="004442E4">
        <w:trPr>
          <w:trHeight w:val="398"/>
          <w:jc w:val="center"/>
        </w:trPr>
        <w:tc>
          <w:tcPr>
            <w:tcW w:w="1064" w:type="pct"/>
            <w:tcBorders>
              <w:top w:val="single" w:sz="4" w:space="0" w:color="auto"/>
              <w:left w:val="nil"/>
              <w:bottom w:val="single" w:sz="4" w:space="0" w:color="auto"/>
            </w:tcBorders>
          </w:tcPr>
          <w:p w:rsidR="008E0D4A" w:rsidRPr="00C806D0" w:rsidRDefault="008E0D4A" w:rsidP="004442E4">
            <w:pPr>
              <w:pStyle w:val="NoSpacing"/>
              <w:rPr>
                <w:sz w:val="20"/>
                <w:szCs w:val="20"/>
              </w:rPr>
            </w:pPr>
          </w:p>
          <w:p w:rsidR="008E0D4A" w:rsidRPr="00C806D0" w:rsidRDefault="008E0D4A" w:rsidP="004442E4">
            <w:pPr>
              <w:pStyle w:val="NoSpacing"/>
              <w:rPr>
                <w:sz w:val="20"/>
                <w:szCs w:val="20"/>
              </w:rPr>
            </w:pPr>
            <w:r w:rsidRPr="00C806D0">
              <w:rPr>
                <w:sz w:val="20"/>
                <w:szCs w:val="20"/>
              </w:rPr>
              <w:t>Odds ratio for change in vital sign status (95% CI)</w:t>
            </w:r>
          </w:p>
          <w:p w:rsidR="008E0D4A" w:rsidRPr="00C806D0" w:rsidRDefault="008E0D4A" w:rsidP="004442E4">
            <w:pPr>
              <w:pStyle w:val="NoSpacing"/>
              <w:rPr>
                <w:sz w:val="20"/>
                <w:szCs w:val="20"/>
              </w:rPr>
            </w:pPr>
          </w:p>
        </w:tc>
        <w:tc>
          <w:tcPr>
            <w:tcW w:w="481"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 xml:space="preserve">1.27 </w:t>
            </w:r>
          </w:p>
          <w:p w:rsidR="008E0D4A" w:rsidRPr="00C806D0" w:rsidRDefault="008E0D4A" w:rsidP="004442E4">
            <w:pPr>
              <w:pStyle w:val="NoSpacing"/>
              <w:jc w:val="center"/>
              <w:rPr>
                <w:sz w:val="20"/>
                <w:szCs w:val="20"/>
              </w:rPr>
            </w:pPr>
            <w:r w:rsidRPr="00C806D0">
              <w:rPr>
                <w:sz w:val="20"/>
                <w:szCs w:val="20"/>
              </w:rPr>
              <w:t>(0.7-2.5)</w:t>
            </w:r>
          </w:p>
        </w:tc>
        <w:tc>
          <w:tcPr>
            <w:tcW w:w="584"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1.00</w:t>
            </w:r>
          </w:p>
          <w:p w:rsidR="008E0D4A" w:rsidRPr="00C806D0" w:rsidRDefault="008E0D4A" w:rsidP="004442E4">
            <w:pPr>
              <w:pStyle w:val="NoSpacing"/>
              <w:jc w:val="center"/>
              <w:rPr>
                <w:sz w:val="20"/>
                <w:szCs w:val="20"/>
              </w:rPr>
            </w:pPr>
          </w:p>
        </w:tc>
        <w:tc>
          <w:tcPr>
            <w:tcW w:w="584"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1.11</w:t>
            </w:r>
          </w:p>
          <w:p w:rsidR="008E0D4A" w:rsidRPr="00C806D0" w:rsidRDefault="008E0D4A" w:rsidP="004442E4">
            <w:pPr>
              <w:pStyle w:val="NoSpacing"/>
              <w:jc w:val="center"/>
              <w:rPr>
                <w:sz w:val="20"/>
                <w:szCs w:val="20"/>
              </w:rPr>
            </w:pPr>
            <w:r w:rsidRPr="00C806D0">
              <w:rPr>
                <w:sz w:val="20"/>
                <w:szCs w:val="20"/>
              </w:rPr>
              <w:t>(0.7-1.7)</w:t>
            </w:r>
          </w:p>
        </w:tc>
        <w:tc>
          <w:tcPr>
            <w:tcW w:w="584"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1.43</w:t>
            </w:r>
          </w:p>
          <w:p w:rsidR="008E0D4A" w:rsidRPr="00C806D0" w:rsidRDefault="008E0D4A" w:rsidP="004442E4">
            <w:pPr>
              <w:pStyle w:val="NoSpacing"/>
              <w:jc w:val="center"/>
              <w:rPr>
                <w:sz w:val="20"/>
                <w:szCs w:val="20"/>
              </w:rPr>
            </w:pPr>
            <w:r w:rsidRPr="00C806D0">
              <w:rPr>
                <w:sz w:val="20"/>
                <w:szCs w:val="20"/>
              </w:rPr>
              <w:t>(0.9-2.1)</w:t>
            </w:r>
          </w:p>
        </w:tc>
        <w:tc>
          <w:tcPr>
            <w:tcW w:w="584"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1.44</w:t>
            </w:r>
          </w:p>
          <w:p w:rsidR="008E0D4A" w:rsidRPr="00C806D0" w:rsidRDefault="008E0D4A" w:rsidP="004442E4">
            <w:pPr>
              <w:pStyle w:val="NoSpacing"/>
              <w:jc w:val="center"/>
              <w:rPr>
                <w:sz w:val="20"/>
                <w:szCs w:val="20"/>
              </w:rPr>
            </w:pPr>
            <w:r w:rsidRPr="00C806D0">
              <w:rPr>
                <w:sz w:val="20"/>
                <w:szCs w:val="20"/>
              </w:rPr>
              <w:t>(1.0-2.0)</w:t>
            </w:r>
          </w:p>
        </w:tc>
        <w:tc>
          <w:tcPr>
            <w:tcW w:w="584" w:type="pct"/>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1.71</w:t>
            </w:r>
          </w:p>
          <w:p w:rsidR="008E0D4A" w:rsidRPr="00C806D0" w:rsidRDefault="008E0D4A" w:rsidP="004442E4">
            <w:pPr>
              <w:pStyle w:val="NoSpacing"/>
              <w:jc w:val="center"/>
              <w:rPr>
                <w:sz w:val="20"/>
                <w:szCs w:val="20"/>
              </w:rPr>
            </w:pPr>
            <w:r w:rsidRPr="00C806D0">
              <w:rPr>
                <w:sz w:val="20"/>
                <w:szCs w:val="20"/>
              </w:rPr>
              <w:t>(1.1-2.7)</w:t>
            </w:r>
          </w:p>
        </w:tc>
        <w:tc>
          <w:tcPr>
            <w:tcW w:w="536" w:type="pct"/>
            <w:gridSpan w:val="2"/>
            <w:tcBorders>
              <w:top w:val="single" w:sz="4" w:space="0" w:color="auto"/>
              <w:left w:val="nil"/>
              <w:bottom w:val="single" w:sz="4" w:space="0" w:color="auto"/>
              <w:right w:val="nil"/>
            </w:tcBorders>
          </w:tcPr>
          <w:p w:rsidR="008E0D4A" w:rsidRPr="00C806D0" w:rsidRDefault="008E0D4A" w:rsidP="004442E4">
            <w:pPr>
              <w:pStyle w:val="NoSpacing"/>
              <w:jc w:val="center"/>
              <w:rPr>
                <w:sz w:val="20"/>
                <w:szCs w:val="20"/>
              </w:rPr>
            </w:pPr>
          </w:p>
          <w:p w:rsidR="008E0D4A" w:rsidRPr="00C806D0" w:rsidRDefault="008E0D4A" w:rsidP="004442E4">
            <w:pPr>
              <w:pStyle w:val="NoSpacing"/>
              <w:jc w:val="center"/>
              <w:rPr>
                <w:sz w:val="20"/>
                <w:szCs w:val="20"/>
              </w:rPr>
            </w:pPr>
            <w:r w:rsidRPr="00C806D0">
              <w:rPr>
                <w:sz w:val="20"/>
                <w:szCs w:val="20"/>
              </w:rPr>
              <w:t>1.83</w:t>
            </w:r>
          </w:p>
          <w:p w:rsidR="008E0D4A" w:rsidRPr="00C806D0" w:rsidRDefault="008E0D4A" w:rsidP="004442E4">
            <w:pPr>
              <w:pStyle w:val="NoSpacing"/>
              <w:jc w:val="center"/>
              <w:rPr>
                <w:sz w:val="20"/>
                <w:szCs w:val="20"/>
              </w:rPr>
            </w:pPr>
            <w:r w:rsidRPr="00C806D0">
              <w:rPr>
                <w:sz w:val="20"/>
                <w:szCs w:val="20"/>
              </w:rPr>
              <w:t>(0.7-4.6)</w:t>
            </w:r>
          </w:p>
        </w:tc>
      </w:tr>
    </w:tbl>
    <w:p w:rsidR="008E0D4A" w:rsidRPr="00C806D0" w:rsidRDefault="008E0D4A" w:rsidP="008E0D4A">
      <w:pPr>
        <w:rPr>
          <w:rFonts w:ascii="Calibri" w:hAnsi="Calibri"/>
          <w:b/>
          <w:sz w:val="20"/>
          <w:szCs w:val="20"/>
        </w:rPr>
      </w:pPr>
      <w:r w:rsidRPr="00C806D0">
        <w:rPr>
          <w:sz w:val="20"/>
          <w:szCs w:val="20"/>
        </w:rPr>
        <w:t xml:space="preserve">Adjusted estimates from multivariate logistic regression model. 20-40 minute EMS interval is the reference category. </w:t>
      </w:r>
    </w:p>
    <w:p w:rsidR="008E0D4A" w:rsidRPr="00C806D0" w:rsidRDefault="008E0D4A" w:rsidP="008E0D4A">
      <w:pPr>
        <w:spacing w:line="240" w:lineRule="auto"/>
        <w:rPr>
          <w:rFonts w:ascii="Calibri" w:hAnsi="Calibri"/>
          <w:b/>
        </w:rPr>
      </w:pPr>
      <w:r w:rsidRPr="00C806D0">
        <w:rPr>
          <w:rFonts w:ascii="Calibri" w:hAnsi="Calibri"/>
          <w:b/>
        </w:rPr>
        <w:br w:type="page"/>
      </w:r>
    </w:p>
    <w:p w:rsidR="008E0D4A" w:rsidRPr="00C806D0" w:rsidRDefault="008E0D4A" w:rsidP="008E0D4A">
      <w:pPr>
        <w:pStyle w:val="Heading2"/>
      </w:pPr>
      <w:r w:rsidRPr="00C806D0">
        <w:lastRenderedPageBreak/>
        <w:t>references</w:t>
      </w:r>
    </w:p>
    <w:p w:rsidR="006D4D62" w:rsidRPr="00C806D0" w:rsidRDefault="006D4D62" w:rsidP="006D4D62">
      <w:pPr>
        <w:spacing w:line="240" w:lineRule="auto"/>
        <w:ind w:left="720" w:hanging="720"/>
        <w:rPr>
          <w:rFonts w:ascii="Calibri" w:hAnsi="Calibri"/>
          <w:noProof/>
        </w:rPr>
      </w:pPr>
      <w:bookmarkStart w:id="83" w:name="_ENREF_5_1"/>
      <w:r w:rsidRPr="00C806D0">
        <w:rPr>
          <w:rFonts w:ascii="Calibri" w:hAnsi="Calibri"/>
          <w:noProof/>
        </w:rPr>
        <w:t>1.</w:t>
      </w:r>
      <w:r w:rsidRPr="00C806D0">
        <w:rPr>
          <w:rFonts w:ascii="Calibri" w:hAnsi="Calibri"/>
          <w:noProof/>
        </w:rPr>
        <w:tab/>
        <w:t xml:space="preserve">Bartlett JW, Frost C: </w:t>
      </w:r>
      <w:r w:rsidRPr="00C806D0">
        <w:rPr>
          <w:rFonts w:ascii="Calibri" w:hAnsi="Calibri"/>
          <w:b/>
          <w:noProof/>
        </w:rPr>
        <w:t>Reliability, repeatability and reproducibility: analysis of measurement errors in continuous variables</w:t>
      </w:r>
      <w:r w:rsidRPr="00C806D0">
        <w:rPr>
          <w:rFonts w:ascii="Calibri" w:hAnsi="Calibri"/>
          <w:noProof/>
        </w:rPr>
        <w:t xml:space="preserve">. </w:t>
      </w:r>
      <w:r w:rsidRPr="00C806D0">
        <w:rPr>
          <w:rFonts w:ascii="Calibri" w:hAnsi="Calibri"/>
          <w:i/>
          <w:noProof/>
        </w:rPr>
        <w:t xml:space="preserve">Ultrasound in obstetrics &amp; gynecology : the official journal of the International Society of Ultrasound in Obstetrics and Gynecology </w:t>
      </w:r>
      <w:r w:rsidRPr="00C806D0">
        <w:rPr>
          <w:rFonts w:ascii="Calibri" w:hAnsi="Calibri"/>
          <w:noProof/>
        </w:rPr>
        <w:t xml:space="preserve">2008, </w:t>
      </w:r>
      <w:r w:rsidRPr="00C806D0">
        <w:rPr>
          <w:rFonts w:ascii="Calibri" w:hAnsi="Calibri"/>
          <w:b/>
          <w:noProof/>
        </w:rPr>
        <w:t>31</w:t>
      </w:r>
      <w:r w:rsidRPr="00C806D0">
        <w:rPr>
          <w:rFonts w:ascii="Calibri" w:hAnsi="Calibri"/>
          <w:noProof/>
        </w:rPr>
        <w:t>(4):466-475.</w:t>
      </w:r>
      <w:bookmarkEnd w:id="83"/>
    </w:p>
    <w:p w:rsidR="006D4D62" w:rsidRPr="00C806D0" w:rsidRDefault="006D4D62" w:rsidP="006D4D62">
      <w:pPr>
        <w:spacing w:line="240" w:lineRule="auto"/>
        <w:ind w:left="720" w:hanging="720"/>
        <w:rPr>
          <w:rFonts w:ascii="Calibri" w:hAnsi="Calibri"/>
          <w:noProof/>
        </w:rPr>
      </w:pPr>
      <w:bookmarkStart w:id="84" w:name="_ENREF_5_2"/>
      <w:r w:rsidRPr="00C806D0">
        <w:rPr>
          <w:rFonts w:ascii="Calibri" w:hAnsi="Calibri"/>
          <w:noProof/>
        </w:rPr>
        <w:t>2.</w:t>
      </w:r>
      <w:r w:rsidRPr="00C806D0">
        <w:rPr>
          <w:rFonts w:ascii="Calibri" w:hAnsi="Calibri"/>
          <w:noProof/>
        </w:rPr>
        <w:tab/>
        <w:t xml:space="preserve">Streiner DL, Norman GR: </w:t>
      </w:r>
      <w:r w:rsidRPr="00C806D0">
        <w:rPr>
          <w:rFonts w:ascii="Calibri" w:hAnsi="Calibri"/>
          <w:b/>
          <w:noProof/>
        </w:rPr>
        <w:t>Health measurement scales : a practical guide to their development and use</w:t>
      </w:r>
      <w:r w:rsidRPr="00C806D0">
        <w:rPr>
          <w:rFonts w:ascii="Calibri" w:hAnsi="Calibri"/>
          <w:noProof/>
        </w:rPr>
        <w:t>, 4th ed. edn. Oxford: Oxford University Press; 2008.</w:t>
      </w:r>
      <w:bookmarkEnd w:id="84"/>
    </w:p>
    <w:p w:rsidR="006D4D62" w:rsidRPr="00C806D0" w:rsidRDefault="006D4D62" w:rsidP="006D4D62">
      <w:pPr>
        <w:spacing w:line="240" w:lineRule="auto"/>
        <w:ind w:left="720" w:hanging="720"/>
        <w:rPr>
          <w:rFonts w:ascii="Calibri" w:hAnsi="Calibri"/>
          <w:noProof/>
        </w:rPr>
      </w:pPr>
      <w:bookmarkStart w:id="85" w:name="_ENREF_5_3"/>
      <w:r w:rsidRPr="00C806D0">
        <w:rPr>
          <w:rFonts w:ascii="Calibri" w:hAnsi="Calibri"/>
          <w:noProof/>
        </w:rPr>
        <w:t>3.</w:t>
      </w:r>
      <w:r w:rsidRPr="00C806D0">
        <w:rPr>
          <w:rFonts w:ascii="Calibri" w:hAnsi="Calibri"/>
          <w:noProof/>
        </w:rPr>
        <w:tab/>
        <w:t xml:space="preserve">Bland JM, Altman DG: </w:t>
      </w:r>
      <w:r w:rsidRPr="00C806D0">
        <w:rPr>
          <w:rFonts w:ascii="Calibri" w:hAnsi="Calibri"/>
          <w:b/>
          <w:noProof/>
        </w:rPr>
        <w:t>A note on the use of the intraclass correlation coefficient in the evaluation of agreement between two methods of measurement</w:t>
      </w:r>
      <w:r w:rsidRPr="00C806D0">
        <w:rPr>
          <w:rFonts w:ascii="Calibri" w:hAnsi="Calibri"/>
          <w:noProof/>
        </w:rPr>
        <w:t xml:space="preserve">. </w:t>
      </w:r>
      <w:r w:rsidRPr="00C806D0">
        <w:rPr>
          <w:rFonts w:ascii="Calibri" w:hAnsi="Calibri"/>
          <w:i/>
          <w:noProof/>
        </w:rPr>
        <w:t xml:space="preserve">Computers in biology and medicine </w:t>
      </w:r>
      <w:r w:rsidRPr="00C806D0">
        <w:rPr>
          <w:rFonts w:ascii="Calibri" w:hAnsi="Calibri"/>
          <w:noProof/>
        </w:rPr>
        <w:t xml:space="preserve">1990, </w:t>
      </w:r>
      <w:r w:rsidRPr="00C806D0">
        <w:rPr>
          <w:rFonts w:ascii="Calibri" w:hAnsi="Calibri"/>
          <w:b/>
          <w:noProof/>
        </w:rPr>
        <w:t>20</w:t>
      </w:r>
      <w:r w:rsidRPr="00C806D0">
        <w:rPr>
          <w:rFonts w:ascii="Calibri" w:hAnsi="Calibri"/>
          <w:noProof/>
        </w:rPr>
        <w:t>(5):337-340.</w:t>
      </w:r>
      <w:bookmarkEnd w:id="85"/>
    </w:p>
    <w:p w:rsidR="006D4D62" w:rsidRPr="00C806D0" w:rsidRDefault="006D4D62" w:rsidP="006D4D62">
      <w:pPr>
        <w:spacing w:line="240" w:lineRule="auto"/>
        <w:ind w:left="720" w:hanging="720"/>
        <w:rPr>
          <w:rFonts w:ascii="Calibri" w:hAnsi="Calibri"/>
          <w:noProof/>
        </w:rPr>
      </w:pPr>
      <w:bookmarkStart w:id="86" w:name="_ENREF_5_4"/>
      <w:r w:rsidRPr="00C806D0">
        <w:rPr>
          <w:rFonts w:ascii="Calibri" w:hAnsi="Calibri"/>
          <w:noProof/>
        </w:rPr>
        <w:t>4.</w:t>
      </w:r>
      <w:r w:rsidRPr="00C806D0">
        <w:rPr>
          <w:rFonts w:ascii="Calibri" w:hAnsi="Calibri"/>
          <w:noProof/>
        </w:rPr>
        <w:tab/>
        <w:t xml:space="preserve">Bland JM, Altman DG: </w:t>
      </w:r>
      <w:r w:rsidRPr="00C806D0">
        <w:rPr>
          <w:rFonts w:ascii="Calibri" w:hAnsi="Calibri"/>
          <w:b/>
          <w:noProof/>
        </w:rPr>
        <w:t>Measuring agreement in method comparison studies</w:t>
      </w:r>
      <w:r w:rsidRPr="00C806D0">
        <w:rPr>
          <w:rFonts w:ascii="Calibri" w:hAnsi="Calibri"/>
          <w:noProof/>
        </w:rPr>
        <w:t xml:space="preserve">. </w:t>
      </w:r>
      <w:r w:rsidRPr="00C806D0">
        <w:rPr>
          <w:rFonts w:ascii="Calibri" w:hAnsi="Calibri"/>
          <w:i/>
          <w:noProof/>
        </w:rPr>
        <w:t xml:space="preserve">Statistical methods in medical research </w:t>
      </w:r>
      <w:r w:rsidRPr="00C806D0">
        <w:rPr>
          <w:rFonts w:ascii="Calibri" w:hAnsi="Calibri"/>
          <w:noProof/>
        </w:rPr>
        <w:t xml:space="preserve">1999, </w:t>
      </w:r>
      <w:r w:rsidRPr="00C806D0">
        <w:rPr>
          <w:rFonts w:ascii="Calibri" w:hAnsi="Calibri"/>
          <w:b/>
          <w:noProof/>
        </w:rPr>
        <w:t>8</w:t>
      </w:r>
      <w:r w:rsidRPr="00C806D0">
        <w:rPr>
          <w:rFonts w:ascii="Calibri" w:hAnsi="Calibri"/>
          <w:noProof/>
        </w:rPr>
        <w:t>(2):135-160.</w:t>
      </w:r>
      <w:bookmarkEnd w:id="86"/>
    </w:p>
    <w:p w:rsidR="006D4D62" w:rsidRPr="00C806D0" w:rsidRDefault="006D4D62" w:rsidP="006D4D62">
      <w:pPr>
        <w:spacing w:line="240" w:lineRule="auto"/>
        <w:ind w:left="720" w:hanging="720"/>
        <w:rPr>
          <w:rFonts w:ascii="Calibri" w:hAnsi="Calibri"/>
          <w:noProof/>
        </w:rPr>
      </w:pPr>
      <w:bookmarkStart w:id="87" w:name="_ENREF_5_5"/>
      <w:r w:rsidRPr="00C806D0">
        <w:rPr>
          <w:rFonts w:ascii="Calibri" w:hAnsi="Calibri"/>
          <w:noProof/>
        </w:rPr>
        <w:t>5.</w:t>
      </w:r>
      <w:r w:rsidRPr="00C806D0">
        <w:rPr>
          <w:rFonts w:ascii="Calibri" w:hAnsi="Calibri"/>
          <w:noProof/>
        </w:rPr>
        <w:tab/>
        <w:t xml:space="preserve">McAlinden C, Khadka J, Pesudovs K: </w:t>
      </w:r>
      <w:r w:rsidRPr="00C806D0">
        <w:rPr>
          <w:rFonts w:ascii="Calibri" w:hAnsi="Calibri"/>
          <w:b/>
          <w:noProof/>
        </w:rPr>
        <w:t>Statistical methods for conducting agreement (comparison of clinical tests) and precision (repeatability or reproducibility) studies in optometry and ophthalmology</w:t>
      </w:r>
      <w:r w:rsidRPr="00C806D0">
        <w:rPr>
          <w:rFonts w:ascii="Calibri" w:hAnsi="Calibri"/>
          <w:noProof/>
        </w:rPr>
        <w:t xml:space="preserve">. </w:t>
      </w:r>
      <w:r w:rsidRPr="00C806D0">
        <w:rPr>
          <w:rFonts w:ascii="Calibri" w:hAnsi="Calibri"/>
          <w:i/>
          <w:noProof/>
        </w:rPr>
        <w:t xml:space="preserve">Ophthalmic &amp; physiological optics : the journal of the British College of Ophthalmic Opticians (Optometrists) </w:t>
      </w:r>
      <w:r w:rsidRPr="00C806D0">
        <w:rPr>
          <w:rFonts w:ascii="Calibri" w:hAnsi="Calibri"/>
          <w:noProof/>
        </w:rPr>
        <w:t xml:space="preserve">2011, </w:t>
      </w:r>
      <w:r w:rsidRPr="00C806D0">
        <w:rPr>
          <w:rFonts w:ascii="Calibri" w:hAnsi="Calibri"/>
          <w:b/>
          <w:noProof/>
        </w:rPr>
        <w:t>31</w:t>
      </w:r>
      <w:r w:rsidRPr="00C806D0">
        <w:rPr>
          <w:rFonts w:ascii="Calibri" w:hAnsi="Calibri"/>
          <w:noProof/>
        </w:rPr>
        <w:t>(4):330-338.</w:t>
      </w:r>
      <w:bookmarkEnd w:id="87"/>
    </w:p>
    <w:p w:rsidR="006D4D62" w:rsidRPr="00C806D0" w:rsidRDefault="006D4D62" w:rsidP="006D4D62">
      <w:pPr>
        <w:spacing w:line="240" w:lineRule="auto"/>
        <w:ind w:left="720" w:hanging="720"/>
        <w:rPr>
          <w:rFonts w:ascii="Calibri" w:hAnsi="Calibri"/>
          <w:noProof/>
        </w:rPr>
      </w:pPr>
      <w:bookmarkStart w:id="88" w:name="_ENREF_5_6"/>
      <w:r w:rsidRPr="00C806D0">
        <w:rPr>
          <w:rFonts w:ascii="Calibri" w:hAnsi="Calibri"/>
          <w:noProof/>
        </w:rPr>
        <w:t>6.</w:t>
      </w:r>
      <w:r w:rsidRPr="00C806D0">
        <w:rPr>
          <w:rFonts w:ascii="Calibri" w:hAnsi="Calibri"/>
          <w:noProof/>
        </w:rPr>
        <w:tab/>
        <w:t xml:space="preserve">Lin LI: </w:t>
      </w:r>
      <w:r w:rsidRPr="00C806D0">
        <w:rPr>
          <w:rFonts w:ascii="Calibri" w:hAnsi="Calibri"/>
          <w:b/>
          <w:noProof/>
        </w:rPr>
        <w:t>A concordance correlation coefficient to evaluate reproducibility</w:t>
      </w:r>
      <w:r w:rsidRPr="00C806D0">
        <w:rPr>
          <w:rFonts w:ascii="Calibri" w:hAnsi="Calibri"/>
          <w:noProof/>
        </w:rPr>
        <w:t xml:space="preserve">. </w:t>
      </w:r>
      <w:r w:rsidRPr="00C806D0">
        <w:rPr>
          <w:rFonts w:ascii="Calibri" w:hAnsi="Calibri"/>
          <w:i/>
          <w:noProof/>
        </w:rPr>
        <w:t xml:space="preserve">Biometrics </w:t>
      </w:r>
      <w:r w:rsidRPr="00C806D0">
        <w:rPr>
          <w:rFonts w:ascii="Calibri" w:hAnsi="Calibri"/>
          <w:noProof/>
        </w:rPr>
        <w:t xml:space="preserve">1989, </w:t>
      </w:r>
      <w:r w:rsidRPr="00C806D0">
        <w:rPr>
          <w:rFonts w:ascii="Calibri" w:hAnsi="Calibri"/>
          <w:b/>
          <w:noProof/>
        </w:rPr>
        <w:t>45</w:t>
      </w:r>
      <w:r w:rsidRPr="00C806D0">
        <w:rPr>
          <w:rFonts w:ascii="Calibri" w:hAnsi="Calibri"/>
          <w:noProof/>
        </w:rPr>
        <w:t>(1):255-268.</w:t>
      </w:r>
      <w:bookmarkEnd w:id="88"/>
    </w:p>
    <w:p w:rsidR="006D4D62" w:rsidRPr="00C806D0" w:rsidRDefault="006D4D62" w:rsidP="006D4D62">
      <w:pPr>
        <w:spacing w:line="240" w:lineRule="auto"/>
        <w:ind w:left="720" w:hanging="720"/>
        <w:rPr>
          <w:rFonts w:ascii="Calibri" w:hAnsi="Calibri"/>
          <w:noProof/>
        </w:rPr>
      </w:pPr>
      <w:bookmarkStart w:id="89" w:name="_ENREF_5_7"/>
      <w:r w:rsidRPr="00C806D0">
        <w:rPr>
          <w:rFonts w:ascii="Calibri" w:hAnsi="Calibri"/>
          <w:noProof/>
        </w:rPr>
        <w:t>7.</w:t>
      </w:r>
      <w:r w:rsidRPr="00C806D0">
        <w:rPr>
          <w:rFonts w:ascii="Calibri" w:hAnsi="Calibri"/>
          <w:noProof/>
        </w:rPr>
        <w:tab/>
        <w:t xml:space="preserve">Cohen J: </w:t>
      </w:r>
      <w:r w:rsidRPr="00C806D0">
        <w:rPr>
          <w:rFonts w:ascii="Calibri" w:hAnsi="Calibri"/>
          <w:b/>
          <w:noProof/>
        </w:rPr>
        <w:t>Weighted kappa: nominal scale agreement with provision for scaled disagreement or partial credit</w:t>
      </w:r>
      <w:r w:rsidRPr="00C806D0">
        <w:rPr>
          <w:rFonts w:ascii="Calibri" w:hAnsi="Calibri"/>
          <w:noProof/>
        </w:rPr>
        <w:t xml:space="preserve">. </w:t>
      </w:r>
      <w:r w:rsidRPr="00C806D0">
        <w:rPr>
          <w:rFonts w:ascii="Calibri" w:hAnsi="Calibri"/>
          <w:i/>
          <w:noProof/>
        </w:rPr>
        <w:t xml:space="preserve">Psychological bulletin </w:t>
      </w:r>
      <w:r w:rsidRPr="00C806D0">
        <w:rPr>
          <w:rFonts w:ascii="Calibri" w:hAnsi="Calibri"/>
          <w:noProof/>
        </w:rPr>
        <w:t xml:space="preserve">1968, </w:t>
      </w:r>
      <w:r w:rsidRPr="00C806D0">
        <w:rPr>
          <w:rFonts w:ascii="Calibri" w:hAnsi="Calibri"/>
          <w:b/>
          <w:noProof/>
        </w:rPr>
        <w:t>70</w:t>
      </w:r>
      <w:r w:rsidRPr="00C806D0">
        <w:rPr>
          <w:rFonts w:ascii="Calibri" w:hAnsi="Calibri"/>
          <w:noProof/>
        </w:rPr>
        <w:t>(4):213-220.</w:t>
      </w:r>
      <w:bookmarkEnd w:id="89"/>
    </w:p>
    <w:p w:rsidR="006D4D62" w:rsidRPr="00C806D0" w:rsidRDefault="006D4D62" w:rsidP="006D4D62">
      <w:pPr>
        <w:spacing w:line="240" w:lineRule="auto"/>
        <w:ind w:left="720" w:hanging="720"/>
        <w:rPr>
          <w:rFonts w:ascii="Calibri" w:hAnsi="Calibri"/>
          <w:noProof/>
        </w:rPr>
      </w:pPr>
      <w:bookmarkStart w:id="90" w:name="_ENREF_5_8"/>
      <w:r w:rsidRPr="00C806D0">
        <w:rPr>
          <w:rFonts w:ascii="Calibri" w:hAnsi="Calibri"/>
          <w:noProof/>
        </w:rPr>
        <w:t>8.</w:t>
      </w:r>
      <w:r w:rsidRPr="00C806D0">
        <w:rPr>
          <w:rFonts w:ascii="Calibri" w:hAnsi="Calibri"/>
          <w:noProof/>
        </w:rPr>
        <w:tab/>
        <w:t xml:space="preserve">American College of Surgeons. Committee on T: </w:t>
      </w:r>
      <w:r w:rsidRPr="00C806D0">
        <w:rPr>
          <w:rFonts w:ascii="Calibri" w:hAnsi="Calibri"/>
          <w:b/>
          <w:noProof/>
        </w:rPr>
        <w:t>Advanced Trauma Life Support program for doctors : ATLS manuals for coordinators &amp; faculty</w:t>
      </w:r>
      <w:r w:rsidRPr="00C806D0">
        <w:rPr>
          <w:rFonts w:ascii="Calibri" w:hAnsi="Calibri"/>
          <w:noProof/>
        </w:rPr>
        <w:t>, 8th edn. Chicago: American College of Surgeons; 2008.</w:t>
      </w:r>
      <w:bookmarkEnd w:id="90"/>
    </w:p>
    <w:p w:rsidR="006D4D62" w:rsidRPr="00C806D0" w:rsidRDefault="006D4D62" w:rsidP="006D4D62">
      <w:pPr>
        <w:spacing w:line="240" w:lineRule="auto"/>
        <w:ind w:left="720" w:hanging="720"/>
        <w:rPr>
          <w:rFonts w:ascii="Calibri" w:hAnsi="Calibri"/>
          <w:noProof/>
        </w:rPr>
      </w:pPr>
      <w:bookmarkStart w:id="91" w:name="_ENREF_5_9"/>
      <w:r w:rsidRPr="00C806D0">
        <w:rPr>
          <w:rFonts w:ascii="Calibri" w:hAnsi="Calibri"/>
          <w:noProof/>
        </w:rPr>
        <w:t>9.</w:t>
      </w:r>
      <w:r w:rsidRPr="00C806D0">
        <w:rPr>
          <w:rFonts w:ascii="Calibri" w:hAnsi="Calibri"/>
          <w:noProof/>
        </w:rPr>
        <w:tab/>
        <w:t xml:space="preserve">Hilson A: </w:t>
      </w:r>
      <w:r w:rsidRPr="00C806D0">
        <w:rPr>
          <w:rFonts w:ascii="Calibri" w:hAnsi="Calibri"/>
          <w:b/>
          <w:noProof/>
        </w:rPr>
        <w:t>Bland-Altman plot</w:t>
      </w:r>
      <w:r w:rsidRPr="00C806D0">
        <w:rPr>
          <w:rFonts w:ascii="Calibri" w:hAnsi="Calibri"/>
          <w:noProof/>
        </w:rPr>
        <w:t xml:space="preserve">. </w:t>
      </w:r>
      <w:r w:rsidRPr="00C806D0">
        <w:rPr>
          <w:rFonts w:ascii="Calibri" w:hAnsi="Calibri"/>
          <w:i/>
          <w:noProof/>
        </w:rPr>
        <w:t xml:space="preserve">Radiology </w:t>
      </w:r>
      <w:r w:rsidRPr="00C806D0">
        <w:rPr>
          <w:rFonts w:ascii="Calibri" w:hAnsi="Calibri"/>
          <w:noProof/>
        </w:rPr>
        <w:t xml:space="preserve">2004, </w:t>
      </w:r>
      <w:r w:rsidRPr="00C806D0">
        <w:rPr>
          <w:rFonts w:ascii="Calibri" w:hAnsi="Calibri"/>
          <w:b/>
          <w:noProof/>
        </w:rPr>
        <w:t>231</w:t>
      </w:r>
      <w:r w:rsidRPr="00C806D0">
        <w:rPr>
          <w:rFonts w:ascii="Calibri" w:hAnsi="Calibri"/>
          <w:noProof/>
        </w:rPr>
        <w:t>(2):604; author reply 604-605.</w:t>
      </w:r>
      <w:bookmarkEnd w:id="91"/>
    </w:p>
    <w:p w:rsidR="006D4D62" w:rsidRPr="00C806D0" w:rsidRDefault="006D4D62" w:rsidP="006D4D62">
      <w:pPr>
        <w:spacing w:line="240" w:lineRule="auto"/>
        <w:ind w:left="720" w:hanging="720"/>
        <w:rPr>
          <w:rFonts w:ascii="Calibri" w:hAnsi="Calibri"/>
          <w:noProof/>
        </w:rPr>
      </w:pPr>
      <w:bookmarkStart w:id="92" w:name="_ENREF_5_10"/>
      <w:r w:rsidRPr="00C806D0">
        <w:rPr>
          <w:rFonts w:ascii="Calibri" w:hAnsi="Calibri"/>
          <w:noProof/>
        </w:rPr>
        <w:t>10.</w:t>
      </w:r>
      <w:r w:rsidRPr="00C806D0">
        <w:rPr>
          <w:rFonts w:ascii="Calibri" w:hAnsi="Calibri"/>
          <w:noProof/>
        </w:rPr>
        <w:tab/>
        <w:t xml:space="preserve">Lin L, Torbeck LD: </w:t>
      </w:r>
      <w:r w:rsidRPr="00C806D0">
        <w:rPr>
          <w:rFonts w:ascii="Calibri" w:hAnsi="Calibri"/>
          <w:b/>
          <w:noProof/>
        </w:rPr>
        <w:t>Coefficient of accuracy and concordance correlation coefficient: new statistics for methods comparison</w:t>
      </w:r>
      <w:r w:rsidRPr="00C806D0">
        <w:rPr>
          <w:rFonts w:ascii="Calibri" w:hAnsi="Calibri"/>
          <w:noProof/>
        </w:rPr>
        <w:t xml:space="preserve">. </w:t>
      </w:r>
      <w:r w:rsidRPr="00C806D0">
        <w:rPr>
          <w:rFonts w:ascii="Calibri" w:hAnsi="Calibri"/>
          <w:i/>
          <w:noProof/>
        </w:rPr>
        <w:t xml:space="preserve">PDA journal of pharmaceutical science and technology / PDA </w:t>
      </w:r>
      <w:r w:rsidRPr="00C806D0">
        <w:rPr>
          <w:rFonts w:ascii="Calibri" w:hAnsi="Calibri"/>
          <w:noProof/>
        </w:rPr>
        <w:t xml:space="preserve">1998, </w:t>
      </w:r>
      <w:r w:rsidRPr="00C806D0">
        <w:rPr>
          <w:rFonts w:ascii="Calibri" w:hAnsi="Calibri"/>
          <w:b/>
          <w:noProof/>
        </w:rPr>
        <w:t>52</w:t>
      </w:r>
      <w:r w:rsidRPr="00C806D0">
        <w:rPr>
          <w:rFonts w:ascii="Calibri" w:hAnsi="Calibri"/>
          <w:noProof/>
        </w:rPr>
        <w:t>(2):55-59.</w:t>
      </w:r>
      <w:bookmarkEnd w:id="92"/>
    </w:p>
    <w:p w:rsidR="006D4D62" w:rsidRPr="00C806D0" w:rsidRDefault="006D4D62" w:rsidP="006D4D62">
      <w:pPr>
        <w:spacing w:line="240" w:lineRule="auto"/>
        <w:ind w:left="720" w:hanging="720"/>
        <w:rPr>
          <w:rFonts w:ascii="Calibri" w:hAnsi="Calibri"/>
          <w:noProof/>
        </w:rPr>
      </w:pPr>
      <w:bookmarkStart w:id="93" w:name="_ENREF_5_11"/>
      <w:r w:rsidRPr="00C806D0">
        <w:rPr>
          <w:rFonts w:ascii="Calibri" w:hAnsi="Calibri"/>
          <w:noProof/>
        </w:rPr>
        <w:t>11.</w:t>
      </w:r>
      <w:r w:rsidRPr="00C806D0">
        <w:rPr>
          <w:rFonts w:ascii="Calibri" w:hAnsi="Calibri"/>
          <w:noProof/>
        </w:rPr>
        <w:tab/>
        <w:t xml:space="preserve">Smith RJ: </w:t>
      </w:r>
      <w:r w:rsidRPr="00C806D0">
        <w:rPr>
          <w:rFonts w:ascii="Calibri" w:hAnsi="Calibri"/>
          <w:b/>
          <w:noProof/>
        </w:rPr>
        <w:t>Use and misuse of the reduced major axis for line-fitting</w:t>
      </w:r>
      <w:r w:rsidRPr="00C806D0">
        <w:rPr>
          <w:rFonts w:ascii="Calibri" w:hAnsi="Calibri"/>
          <w:noProof/>
        </w:rPr>
        <w:t xml:space="preserve">. </w:t>
      </w:r>
      <w:r w:rsidRPr="00C806D0">
        <w:rPr>
          <w:rFonts w:ascii="Calibri" w:hAnsi="Calibri"/>
          <w:i/>
          <w:noProof/>
        </w:rPr>
        <w:t xml:space="preserve">American journal of physical anthropology </w:t>
      </w:r>
      <w:r w:rsidRPr="00C806D0">
        <w:rPr>
          <w:rFonts w:ascii="Calibri" w:hAnsi="Calibri"/>
          <w:noProof/>
        </w:rPr>
        <w:t xml:space="preserve">2009, </w:t>
      </w:r>
      <w:r w:rsidRPr="00C806D0">
        <w:rPr>
          <w:rFonts w:ascii="Calibri" w:hAnsi="Calibri"/>
          <w:b/>
          <w:noProof/>
        </w:rPr>
        <w:t>140</w:t>
      </w:r>
      <w:r w:rsidRPr="00C806D0">
        <w:rPr>
          <w:rFonts w:ascii="Calibri" w:hAnsi="Calibri"/>
          <w:noProof/>
        </w:rPr>
        <w:t>(3):476-486.</w:t>
      </w:r>
      <w:bookmarkEnd w:id="93"/>
    </w:p>
    <w:p w:rsidR="006D4D62" w:rsidRPr="00C806D0" w:rsidRDefault="006D4D62" w:rsidP="006D4D62">
      <w:pPr>
        <w:spacing w:line="240" w:lineRule="auto"/>
        <w:ind w:left="720" w:hanging="720"/>
        <w:rPr>
          <w:rFonts w:ascii="Calibri" w:hAnsi="Calibri"/>
          <w:noProof/>
        </w:rPr>
      </w:pPr>
      <w:bookmarkStart w:id="94" w:name="_ENREF_5_12"/>
      <w:r w:rsidRPr="00C806D0">
        <w:rPr>
          <w:rFonts w:ascii="Calibri" w:hAnsi="Calibri"/>
          <w:noProof/>
        </w:rPr>
        <w:t>12.</w:t>
      </w:r>
      <w:r w:rsidRPr="00C806D0">
        <w:rPr>
          <w:rFonts w:ascii="Calibri" w:hAnsi="Calibri"/>
          <w:noProof/>
        </w:rPr>
        <w:tab/>
        <w:t xml:space="preserve">Petrie A, Watson PF: </w:t>
      </w:r>
      <w:r w:rsidRPr="00C806D0">
        <w:rPr>
          <w:rFonts w:ascii="Calibri" w:hAnsi="Calibri"/>
          <w:b/>
          <w:noProof/>
        </w:rPr>
        <w:t>Statistics for veterinary and animal science</w:t>
      </w:r>
      <w:r w:rsidRPr="00C806D0">
        <w:rPr>
          <w:rFonts w:ascii="Calibri" w:hAnsi="Calibri"/>
          <w:noProof/>
        </w:rPr>
        <w:t>, 2nd ed. edn. Oxford: Blackwell; 2006.</w:t>
      </w:r>
      <w:bookmarkEnd w:id="94"/>
    </w:p>
    <w:p w:rsidR="006D4D62" w:rsidRPr="00C806D0" w:rsidRDefault="006D4D62" w:rsidP="006D4D62">
      <w:pPr>
        <w:spacing w:line="240" w:lineRule="auto"/>
        <w:ind w:left="720" w:hanging="720"/>
        <w:rPr>
          <w:rFonts w:ascii="Calibri" w:hAnsi="Calibri"/>
          <w:noProof/>
        </w:rPr>
      </w:pPr>
      <w:bookmarkStart w:id="95" w:name="_ENREF_5_13"/>
      <w:r w:rsidRPr="00C806D0">
        <w:rPr>
          <w:rFonts w:ascii="Calibri" w:hAnsi="Calibri"/>
          <w:noProof/>
        </w:rPr>
        <w:t>13.</w:t>
      </w:r>
      <w:r w:rsidRPr="00C806D0">
        <w:rPr>
          <w:rFonts w:ascii="Calibri" w:hAnsi="Calibri"/>
          <w:noProof/>
        </w:rPr>
        <w:tab/>
        <w:t xml:space="preserve">Fleiss JL, Levin BA, Paik MC: </w:t>
      </w:r>
      <w:r w:rsidRPr="00C806D0">
        <w:rPr>
          <w:rFonts w:ascii="Calibri" w:hAnsi="Calibri"/>
          <w:b/>
          <w:noProof/>
        </w:rPr>
        <w:t>Statistical methods for rates and proportions</w:t>
      </w:r>
      <w:r w:rsidRPr="00C806D0">
        <w:rPr>
          <w:rFonts w:ascii="Calibri" w:hAnsi="Calibri"/>
          <w:noProof/>
        </w:rPr>
        <w:t>, 3rd ed. / Joseph L. Fleiss, Bruce Levin, Myunghee Cho Paik. edn. Hoboken, N.J. ; [Chichester]: Wiley-Interscience; 2003.</w:t>
      </w:r>
      <w:bookmarkEnd w:id="95"/>
    </w:p>
    <w:p w:rsidR="006D4D62" w:rsidRPr="00C806D0" w:rsidRDefault="006D4D62" w:rsidP="006D4D62">
      <w:pPr>
        <w:spacing w:line="240" w:lineRule="auto"/>
        <w:rPr>
          <w:rFonts w:ascii="Calibri" w:hAnsi="Calibri"/>
          <w:noProof/>
        </w:rPr>
      </w:pPr>
    </w:p>
    <w:p w:rsidR="008E0D4A" w:rsidRPr="00C806D0" w:rsidRDefault="008E0D4A" w:rsidP="008E0D4A"/>
    <w:p w:rsidR="008E0D4A" w:rsidRPr="00C806D0" w:rsidRDefault="008E0D4A" w:rsidP="006574FF">
      <w:pPr>
        <w:sectPr w:rsidR="008E0D4A" w:rsidRPr="00C806D0" w:rsidSect="00E31429">
          <w:pgSz w:w="11906" w:h="16838"/>
          <w:pgMar w:top="1134" w:right="1134" w:bottom="1134" w:left="2268" w:header="708" w:footer="708" w:gutter="0"/>
          <w:cols w:space="708"/>
          <w:docGrid w:linePitch="360"/>
        </w:sectPr>
      </w:pPr>
    </w:p>
    <w:p w:rsidR="004442E4" w:rsidRPr="00C806D0" w:rsidRDefault="004442E4" w:rsidP="004442E4">
      <w:pPr>
        <w:pStyle w:val="Heading1"/>
      </w:pPr>
      <w:r w:rsidRPr="00C806D0">
        <w:lastRenderedPageBreak/>
        <w:t>appendix F: Health state preference weights for glasgow outcome scale categories</w:t>
      </w:r>
    </w:p>
    <w:p w:rsidR="004442E4" w:rsidRPr="00C806D0" w:rsidRDefault="004442E4" w:rsidP="004442E4">
      <w:pPr>
        <w:pStyle w:val="Heading2"/>
      </w:pPr>
      <w:r w:rsidRPr="00C806D0">
        <w:t>Background on the measurement and valuation of Health state preference weights</w:t>
      </w:r>
    </w:p>
    <w:p w:rsidR="004442E4" w:rsidRPr="00C806D0" w:rsidRDefault="004512FF" w:rsidP="004442E4">
      <w:r w:rsidRPr="00C806D0">
        <w:t>Health state preference weights</w:t>
      </w:r>
      <w:r w:rsidR="004442E4" w:rsidRPr="00C806D0">
        <w:t xml:space="preserve"> are cardinal values measured on an interval scale anchored at 0 and 1, where 0 represents health states equivalent to death and 1 perfect health.</w:t>
      </w:r>
      <w:r w:rsidR="004442E4" w:rsidRPr="00C806D0">
        <w:rPr>
          <w:noProof/>
          <w:vertAlign w:val="superscript"/>
        </w:rPr>
        <w:t>[</w:t>
      </w:r>
      <w:r w:rsidR="006D4D62" w:rsidRPr="00C806D0">
        <w:rPr>
          <w:noProof/>
          <w:vertAlign w:val="superscript"/>
        </w:rPr>
        <w:t>1</w:t>
      </w:r>
      <w:r w:rsidR="004442E4" w:rsidRPr="00C806D0">
        <w:rPr>
          <w:noProof/>
          <w:vertAlign w:val="superscript"/>
        </w:rPr>
        <w:t>]</w:t>
      </w:r>
      <w:r w:rsidR="004442E4" w:rsidRPr="00C806D0">
        <w:t xml:space="preserve"> Values less than 0 are possible in the event of health outcomes considered worse than death e.g. ‘locked-in’ syndrome. Determination of HSPWs consists of two stages: firstly describing or measuring the appropriate health states; and secondly estimating preferences for the corresponding HRQOL.</w:t>
      </w:r>
      <w:r w:rsidR="004442E4" w:rsidRPr="00C806D0">
        <w:rPr>
          <w:noProof/>
          <w:vertAlign w:val="superscript"/>
        </w:rPr>
        <w:t>[</w:t>
      </w:r>
      <w:r w:rsidR="006D4D62" w:rsidRPr="00C806D0">
        <w:rPr>
          <w:noProof/>
          <w:vertAlign w:val="superscript"/>
        </w:rPr>
        <w:t>2</w:t>
      </w:r>
      <w:r w:rsidR="004442E4" w:rsidRPr="00C806D0">
        <w:rPr>
          <w:noProof/>
          <w:vertAlign w:val="superscript"/>
        </w:rPr>
        <w:t>]</w:t>
      </w:r>
    </w:p>
    <w:p w:rsidR="004442E4" w:rsidRPr="00C806D0" w:rsidRDefault="004442E4" w:rsidP="004442E4"/>
    <w:p w:rsidR="004442E4" w:rsidRPr="00C806D0" w:rsidRDefault="004442E4" w:rsidP="004442E4">
      <w:r w:rsidRPr="00C806D0">
        <w:t>Health states can be characterised by developing hypothetical descriptions of disease conditions to capture relevant dimensions and levels of the disease. Patients with the disease in question can also be used to measure real-life health states. This may be achieved by measuring a range of health attributes using a multi-attribute health description questionnaire, either generic or specific to a disease area. Alternatively individual health states may not be explicitly defined, but form the basis for directly eliciting preferences.</w:t>
      </w:r>
      <w:r w:rsidRPr="00C806D0">
        <w:rPr>
          <w:noProof/>
          <w:vertAlign w:val="superscript"/>
        </w:rPr>
        <w:t>[</w:t>
      </w:r>
      <w:r w:rsidR="006D4D62" w:rsidRPr="00C806D0">
        <w:rPr>
          <w:noProof/>
          <w:vertAlign w:val="superscript"/>
        </w:rPr>
        <w:t>3</w:t>
      </w:r>
      <w:r w:rsidRPr="00C806D0">
        <w:rPr>
          <w:noProof/>
          <w:vertAlign w:val="superscript"/>
        </w:rPr>
        <w:t>]</w:t>
      </w:r>
    </w:p>
    <w:p w:rsidR="004442E4" w:rsidRPr="00C806D0" w:rsidRDefault="004442E4" w:rsidP="004442E4"/>
    <w:p w:rsidR="004442E4" w:rsidRPr="00C806D0" w:rsidRDefault="004442E4" w:rsidP="004442E4">
      <w:r w:rsidRPr="00C806D0">
        <w:t>Where health states are defined by scenarios, or immediately assessed from an individual patient’s condition, preferences are determined directly by one of three main methods: standard gamble (SG), time trade off (TTO), or the visual analogue scale (VAS).</w:t>
      </w:r>
      <w:r w:rsidRPr="00C806D0">
        <w:rPr>
          <w:noProof/>
          <w:vertAlign w:val="superscript"/>
        </w:rPr>
        <w:t>[</w:t>
      </w:r>
      <w:r w:rsidR="006D4D62" w:rsidRPr="00C806D0">
        <w:rPr>
          <w:noProof/>
          <w:vertAlign w:val="superscript"/>
        </w:rPr>
        <w:t>4</w:t>
      </w:r>
      <w:r w:rsidRPr="00C806D0">
        <w:rPr>
          <w:noProof/>
          <w:vertAlign w:val="superscript"/>
        </w:rPr>
        <w:t>]</w:t>
      </w:r>
      <w:r w:rsidRPr="00C806D0">
        <w:t xml:space="preserve"> When health states are measured using multi-attribute questionnaires, preferences are assigned indirectly. Combinations of health attributes, defined by the questionnaires, are scored according to preferences determined from an algorithm previously derived from an external group using SG, TTO, or VAS.</w:t>
      </w:r>
      <w:r w:rsidRPr="00C806D0">
        <w:rPr>
          <w:noProof/>
          <w:vertAlign w:val="superscript"/>
        </w:rPr>
        <w:t>[</w:t>
      </w:r>
      <w:r w:rsidR="006D4D62" w:rsidRPr="00C806D0">
        <w:rPr>
          <w:noProof/>
          <w:vertAlign w:val="superscript"/>
        </w:rPr>
        <w:t>4</w:t>
      </w:r>
      <w:r w:rsidRPr="00C806D0">
        <w:rPr>
          <w:noProof/>
          <w:vertAlign w:val="superscript"/>
        </w:rPr>
        <w:t>]</w:t>
      </w:r>
      <w:r w:rsidRPr="00C806D0">
        <w:t xml:space="preserve"> </w:t>
      </w:r>
    </w:p>
    <w:p w:rsidR="004442E4" w:rsidRPr="00C806D0" w:rsidRDefault="004442E4" w:rsidP="004442E4"/>
    <w:p w:rsidR="004442E4" w:rsidRPr="00C806D0" w:rsidRDefault="004442E4" w:rsidP="004442E4">
      <w:r w:rsidRPr="00C806D0">
        <w:t>In SG subjects are presented with two alternatives: a certain outcome for the health state in question; or a gamble considering one better and one worse outcome possibility, conventionally full health and death respectively.</w:t>
      </w:r>
      <w:r w:rsidRPr="00C806D0">
        <w:rPr>
          <w:noProof/>
          <w:vertAlign w:val="superscript"/>
        </w:rPr>
        <w:t>[</w:t>
      </w:r>
      <w:r w:rsidR="006D4D62" w:rsidRPr="00C806D0">
        <w:rPr>
          <w:noProof/>
          <w:vertAlign w:val="superscript"/>
        </w:rPr>
        <w:t>5</w:t>
      </w:r>
      <w:r w:rsidRPr="00C806D0">
        <w:rPr>
          <w:noProof/>
          <w:vertAlign w:val="superscript"/>
        </w:rPr>
        <w:t>]</w:t>
      </w:r>
      <w:r w:rsidRPr="00C806D0">
        <w:t xml:space="preserve"> The probability of the better outcome, at which respondents are indifferent between remaining in the current health state for certain and taking the risky option, reflects their preference. Preferences in SG are dependent on the risk attitude of respondents, and are fully consistent with the axioms of rational individual behaviour described in Von Neumann and Morgenstern’s expected utility theory; they can thus correctly be described as utilities.</w:t>
      </w:r>
      <w:r w:rsidRPr="00C806D0">
        <w:rPr>
          <w:noProof/>
          <w:vertAlign w:val="superscript"/>
        </w:rPr>
        <w:t>[</w:t>
      </w:r>
      <w:r w:rsidR="006D4D62" w:rsidRPr="00C806D0">
        <w:rPr>
          <w:noProof/>
          <w:vertAlign w:val="superscript"/>
        </w:rPr>
        <w:t>6</w:t>
      </w:r>
      <w:r w:rsidRPr="00C806D0">
        <w:rPr>
          <w:noProof/>
          <w:vertAlign w:val="superscript"/>
        </w:rPr>
        <w:t>]</w:t>
      </w:r>
      <w:r w:rsidRPr="00C806D0">
        <w:t xml:space="preserve"> </w:t>
      </w:r>
    </w:p>
    <w:p w:rsidR="004442E4" w:rsidRPr="00C806D0" w:rsidRDefault="004442E4" w:rsidP="004442E4"/>
    <w:p w:rsidR="004442E4" w:rsidRPr="00C806D0" w:rsidRDefault="004442E4" w:rsidP="004442E4">
      <w:pPr>
        <w:rPr>
          <w:vertAlign w:val="superscript"/>
        </w:rPr>
      </w:pPr>
      <w:r w:rsidRPr="00C806D0">
        <w:t xml:space="preserve">In TTO, subjects are presented with an imperfect health state of defined duration and asked to indicate the amount of time in good health they feel is equivalent to this poorer disease condition. If the </w:t>
      </w:r>
      <w:r w:rsidR="004512FF" w:rsidRPr="00C806D0">
        <w:t>value of full health is set to one</w:t>
      </w:r>
      <w:r w:rsidRPr="00C806D0">
        <w:t xml:space="preserve">, the strength of preference is represented by the ratio of the two time periods. </w:t>
      </w:r>
      <w:r w:rsidRPr="00C806D0">
        <w:rPr>
          <w:noProof/>
          <w:vertAlign w:val="superscript"/>
        </w:rPr>
        <w:t>[</w:t>
      </w:r>
      <w:r w:rsidR="006D4D62" w:rsidRPr="00C806D0">
        <w:rPr>
          <w:noProof/>
          <w:vertAlign w:val="superscript"/>
        </w:rPr>
        <w:t>7</w:t>
      </w:r>
      <w:r w:rsidRPr="00C806D0">
        <w:rPr>
          <w:noProof/>
          <w:vertAlign w:val="superscript"/>
        </w:rPr>
        <w:t>]</w:t>
      </w:r>
      <w:r w:rsidRPr="00C806D0">
        <w:t xml:space="preserve"> TTO measures preferences under condition of certainty and strictly provide</w:t>
      </w:r>
      <w:r w:rsidR="004512FF" w:rsidRPr="00C806D0">
        <w:t>s</w:t>
      </w:r>
      <w:r w:rsidRPr="00C806D0">
        <w:t xml:space="preserve"> cardinal values rather than Von Neumann and Morgenstern utilities. Elicitation of preferences using VAS is conducted by using a line with anchors representing the best and worst possible health states.</w:t>
      </w:r>
      <w:r w:rsidRPr="00C806D0">
        <w:rPr>
          <w:noProof/>
          <w:vertAlign w:val="superscript"/>
        </w:rPr>
        <w:t>[</w:t>
      </w:r>
      <w:r w:rsidR="006D4D62" w:rsidRPr="00C806D0">
        <w:rPr>
          <w:noProof/>
          <w:vertAlign w:val="superscript"/>
        </w:rPr>
        <w:t>8</w:t>
      </w:r>
      <w:r w:rsidRPr="00C806D0">
        <w:rPr>
          <w:noProof/>
          <w:vertAlign w:val="superscript"/>
        </w:rPr>
        <w:t>]</w:t>
      </w:r>
      <w:r w:rsidRPr="00C806D0">
        <w:t xml:space="preserve"> Preferences for different health are indicted by marking the line, with intervals reflecting the relative strength of preference. Secondary to the lack of choice, and its grounding in psychometric rather than economic theory, VAS is less favoured for generating HSPWs than SG or TTO.</w:t>
      </w:r>
      <w:r w:rsidRPr="00C806D0">
        <w:rPr>
          <w:noProof/>
          <w:vertAlign w:val="superscript"/>
        </w:rPr>
        <w:t>[</w:t>
      </w:r>
      <w:r w:rsidR="006D4D62" w:rsidRPr="00C806D0">
        <w:rPr>
          <w:noProof/>
          <w:vertAlign w:val="superscript"/>
        </w:rPr>
        <w:t>9</w:t>
      </w:r>
      <w:r w:rsidRPr="00C806D0">
        <w:rPr>
          <w:noProof/>
          <w:vertAlign w:val="superscript"/>
        </w:rPr>
        <w:t>]</w:t>
      </w:r>
      <w:r w:rsidRPr="00C806D0">
        <w:rPr>
          <w:vertAlign w:val="superscript"/>
        </w:rPr>
        <w:t xml:space="preserve"> </w:t>
      </w:r>
    </w:p>
    <w:p w:rsidR="004442E4" w:rsidRPr="00C806D0" w:rsidRDefault="004442E4" w:rsidP="004442E4"/>
    <w:p w:rsidR="004442E4" w:rsidRPr="00C806D0" w:rsidRDefault="004442E4" w:rsidP="004442E4">
      <w:r w:rsidRPr="00C806D0">
        <w:t>Different populations can be used to define health states and elicit HRQOL preferences, with implications for the validity and comparability of HSPWs.</w:t>
      </w:r>
      <w:r w:rsidRPr="00C806D0">
        <w:rPr>
          <w:noProof/>
          <w:vertAlign w:val="superscript"/>
        </w:rPr>
        <w:t>[</w:t>
      </w:r>
      <w:r w:rsidR="006D4D62" w:rsidRPr="00C806D0">
        <w:rPr>
          <w:noProof/>
          <w:vertAlign w:val="superscript"/>
        </w:rPr>
        <w:t>10</w:t>
      </w:r>
      <w:r w:rsidRPr="00C806D0">
        <w:rPr>
          <w:noProof/>
          <w:vertAlign w:val="superscript"/>
        </w:rPr>
        <w:t>]</w:t>
      </w:r>
      <w:r w:rsidRPr="00C806D0">
        <w:t xml:space="preserve"> Patients or carers, are generally preferred for describing or measuring health states, as these groups have the most relevant experience and insight into specific health states.</w:t>
      </w:r>
      <w:r w:rsidRPr="00C806D0">
        <w:rPr>
          <w:noProof/>
          <w:vertAlign w:val="superscript"/>
        </w:rPr>
        <w:t>[</w:t>
      </w:r>
      <w:r w:rsidR="006D4D62" w:rsidRPr="00C806D0">
        <w:rPr>
          <w:noProof/>
          <w:vertAlign w:val="superscript"/>
        </w:rPr>
        <w:t>4</w:t>
      </w:r>
      <w:r w:rsidRPr="00C806D0">
        <w:rPr>
          <w:noProof/>
          <w:vertAlign w:val="superscript"/>
        </w:rPr>
        <w:t>]</w:t>
      </w:r>
      <w:r w:rsidRPr="00C806D0">
        <w:t xml:space="preserve"> For economic evaluations aiming to inform allocative and productive efficiency the general public, the main stakeholders in policy decisions, may be the most pertinent study population from whom to derive preferences.</w:t>
      </w:r>
      <w:r w:rsidRPr="00C806D0">
        <w:rPr>
          <w:noProof/>
          <w:vertAlign w:val="superscript"/>
        </w:rPr>
        <w:t>[</w:t>
      </w:r>
      <w:r w:rsidR="006D4D62" w:rsidRPr="00C806D0">
        <w:rPr>
          <w:noProof/>
          <w:vertAlign w:val="superscript"/>
        </w:rPr>
        <w:t>11</w:t>
      </w:r>
      <w:r w:rsidRPr="00C806D0">
        <w:rPr>
          <w:noProof/>
          <w:vertAlign w:val="superscript"/>
        </w:rPr>
        <w:t>]</w:t>
      </w:r>
      <w:r w:rsidRPr="00C806D0">
        <w:t xml:space="preserve">  </w:t>
      </w:r>
    </w:p>
    <w:p w:rsidR="004442E4" w:rsidRPr="00C806D0" w:rsidRDefault="004442E4" w:rsidP="004442E4"/>
    <w:p w:rsidR="00E244AD" w:rsidRPr="00C806D0" w:rsidRDefault="004442E4" w:rsidP="004442E4">
      <w:r w:rsidRPr="00C806D0">
        <w:t>In the absence of empirical data HSPWs can also be obtained by clinical experts using formal elicitation techniques rather than deriving preferences using the SG, TTO, or VAS. However, the validity of such estimates is highly questionable as experts will not have personally experienced the health state, there is no basis in economic theory, and elicited values are subject to many cognitive biases.</w:t>
      </w:r>
      <w:r w:rsidRPr="00C806D0">
        <w:rPr>
          <w:noProof/>
          <w:vertAlign w:val="superscript"/>
        </w:rPr>
        <w:t>[</w:t>
      </w:r>
      <w:r w:rsidR="006D4D62" w:rsidRPr="00C806D0">
        <w:rPr>
          <w:noProof/>
          <w:vertAlign w:val="superscript"/>
        </w:rPr>
        <w:t>12</w:t>
      </w:r>
      <w:r w:rsidRPr="00C806D0">
        <w:rPr>
          <w:noProof/>
          <w:vertAlign w:val="superscript"/>
        </w:rPr>
        <w:t>]</w:t>
      </w:r>
      <w:r w:rsidRPr="00C806D0">
        <w:t xml:space="preserve"> Alternatively, if an external data set exists containing both the health state in question and results from the desired preference-based multi-attribute health description measure, a statistical model can be developed to estimate the relationship between the two variables.</w:t>
      </w:r>
      <w:r w:rsidRPr="00C806D0">
        <w:rPr>
          <w:noProof/>
          <w:vertAlign w:val="superscript"/>
        </w:rPr>
        <w:t>[</w:t>
      </w:r>
      <w:r w:rsidR="006D4D62" w:rsidRPr="00C806D0">
        <w:rPr>
          <w:noProof/>
          <w:vertAlign w:val="superscript"/>
        </w:rPr>
        <w:t>13</w:t>
      </w:r>
      <w:r w:rsidRPr="00C806D0">
        <w:rPr>
          <w:noProof/>
          <w:vertAlign w:val="superscript"/>
        </w:rPr>
        <w:t>]</w:t>
      </w:r>
      <w:r w:rsidRPr="00C806D0">
        <w:t xml:space="preserve"> This process is commonly performed in economic analyses and has been termed ‘mapping’, ‘cross-walking’, or ‘transfer to utility’. The methods for obtaining HSPWs are summarised in Table F1.</w:t>
      </w:r>
    </w:p>
    <w:p w:rsidR="00E244AD" w:rsidRPr="00C806D0" w:rsidRDefault="00E244AD">
      <w:pPr>
        <w:spacing w:line="240" w:lineRule="auto"/>
      </w:pPr>
      <w:r w:rsidRPr="00C806D0">
        <w:br w:type="page"/>
      </w:r>
    </w:p>
    <w:p w:rsidR="006F2FC6" w:rsidRPr="00C806D0" w:rsidRDefault="006F2FC6" w:rsidP="004442E4">
      <w:pPr>
        <w:pStyle w:val="ListParagraph"/>
        <w:ind w:left="360"/>
        <w:rPr>
          <w:b/>
        </w:rPr>
        <w:sectPr w:rsidR="006F2FC6" w:rsidRPr="00C806D0" w:rsidSect="00E31429">
          <w:footerReference w:type="default" r:id="rId19"/>
          <w:pgSz w:w="11906" w:h="16838"/>
          <w:pgMar w:top="1134" w:right="1134" w:bottom="1134" w:left="2268" w:header="709" w:footer="709" w:gutter="0"/>
          <w:cols w:space="708"/>
          <w:docGrid w:linePitch="360"/>
        </w:sectPr>
      </w:pPr>
    </w:p>
    <w:p w:rsidR="004442E4" w:rsidRPr="00C806D0" w:rsidRDefault="004442E4" w:rsidP="004442E4">
      <w:pPr>
        <w:pStyle w:val="ListParagraph"/>
        <w:ind w:left="360"/>
        <w:rPr>
          <w:b/>
        </w:rPr>
      </w:pPr>
      <w:r w:rsidRPr="00C806D0">
        <w:rPr>
          <w:b/>
        </w:rPr>
        <w:lastRenderedPageBreak/>
        <w:t>Table F1. Summary of methods for obtaining health state preference weights.</w:t>
      </w:r>
    </w:p>
    <w:tbl>
      <w:tblPr>
        <w:tblStyle w:val="TableGrid"/>
        <w:tblW w:w="0" w:type="auto"/>
        <w:tblLook w:val="04A0" w:firstRow="1" w:lastRow="0" w:firstColumn="1" w:lastColumn="0" w:noHBand="0" w:noVBand="1"/>
      </w:tblPr>
      <w:tblGrid>
        <w:gridCol w:w="3160"/>
        <w:gridCol w:w="2031"/>
        <w:gridCol w:w="2124"/>
        <w:gridCol w:w="1747"/>
        <w:gridCol w:w="5724"/>
      </w:tblGrid>
      <w:tr w:rsidR="004442E4" w:rsidRPr="00C806D0" w:rsidTr="004442E4">
        <w:tc>
          <w:tcPr>
            <w:tcW w:w="0" w:type="auto"/>
            <w:tcBorders>
              <w:left w:val="nil"/>
              <w:bottom w:val="single" w:sz="4" w:space="0" w:color="auto"/>
              <w:right w:val="nil"/>
            </w:tcBorders>
          </w:tcPr>
          <w:p w:rsidR="004442E4" w:rsidRPr="00C806D0" w:rsidRDefault="004442E4" w:rsidP="004442E4">
            <w:pPr>
              <w:pStyle w:val="NoSpacing"/>
              <w:rPr>
                <w:b/>
                <w:sz w:val="15"/>
                <w:szCs w:val="15"/>
              </w:rPr>
            </w:pPr>
            <w:r w:rsidRPr="00C806D0">
              <w:rPr>
                <w:b/>
                <w:sz w:val="15"/>
                <w:szCs w:val="15"/>
              </w:rPr>
              <w:t>Approach to obtaining HSPWs</w:t>
            </w:r>
          </w:p>
        </w:tc>
        <w:tc>
          <w:tcPr>
            <w:tcW w:w="0" w:type="auto"/>
            <w:tcBorders>
              <w:left w:val="nil"/>
              <w:bottom w:val="single" w:sz="4" w:space="0" w:color="auto"/>
              <w:right w:val="nil"/>
            </w:tcBorders>
          </w:tcPr>
          <w:p w:rsidR="004442E4" w:rsidRPr="00C806D0" w:rsidRDefault="004442E4" w:rsidP="004442E4">
            <w:pPr>
              <w:pStyle w:val="NoSpacing"/>
              <w:rPr>
                <w:b/>
                <w:sz w:val="15"/>
                <w:szCs w:val="15"/>
              </w:rPr>
            </w:pPr>
            <w:r w:rsidRPr="00C806D0">
              <w:rPr>
                <w:b/>
                <w:sz w:val="15"/>
                <w:szCs w:val="15"/>
              </w:rPr>
              <w:t>Population in which health state is measured/described</w:t>
            </w:r>
          </w:p>
        </w:tc>
        <w:tc>
          <w:tcPr>
            <w:tcW w:w="0" w:type="auto"/>
            <w:tcBorders>
              <w:left w:val="nil"/>
              <w:bottom w:val="single" w:sz="4" w:space="0" w:color="auto"/>
              <w:right w:val="nil"/>
            </w:tcBorders>
          </w:tcPr>
          <w:p w:rsidR="004442E4" w:rsidRPr="00C806D0" w:rsidRDefault="004442E4" w:rsidP="004442E4">
            <w:pPr>
              <w:pStyle w:val="NoSpacing"/>
              <w:rPr>
                <w:b/>
                <w:sz w:val="15"/>
                <w:szCs w:val="15"/>
              </w:rPr>
            </w:pPr>
            <w:r w:rsidRPr="00C806D0">
              <w:rPr>
                <w:b/>
                <w:sz w:val="15"/>
                <w:szCs w:val="15"/>
              </w:rPr>
              <w:t>Method used to describe/measure health state</w:t>
            </w:r>
          </w:p>
        </w:tc>
        <w:tc>
          <w:tcPr>
            <w:tcW w:w="0" w:type="auto"/>
            <w:tcBorders>
              <w:left w:val="nil"/>
              <w:bottom w:val="single" w:sz="4" w:space="0" w:color="auto"/>
              <w:right w:val="nil"/>
            </w:tcBorders>
          </w:tcPr>
          <w:p w:rsidR="004442E4" w:rsidRPr="00C806D0" w:rsidRDefault="004442E4" w:rsidP="004442E4">
            <w:pPr>
              <w:pStyle w:val="NoSpacing"/>
              <w:rPr>
                <w:b/>
                <w:sz w:val="15"/>
                <w:szCs w:val="15"/>
              </w:rPr>
            </w:pPr>
            <w:r w:rsidRPr="00C806D0">
              <w:rPr>
                <w:b/>
                <w:sz w:val="15"/>
                <w:szCs w:val="15"/>
              </w:rPr>
              <w:t>Population providing preferences for health state</w:t>
            </w:r>
          </w:p>
        </w:tc>
        <w:tc>
          <w:tcPr>
            <w:tcW w:w="0" w:type="auto"/>
            <w:tcBorders>
              <w:left w:val="nil"/>
              <w:bottom w:val="single" w:sz="4" w:space="0" w:color="auto"/>
              <w:right w:val="nil"/>
            </w:tcBorders>
          </w:tcPr>
          <w:p w:rsidR="004442E4" w:rsidRPr="00C806D0" w:rsidRDefault="004442E4" w:rsidP="004442E4">
            <w:pPr>
              <w:pStyle w:val="NoSpacing"/>
              <w:rPr>
                <w:b/>
                <w:sz w:val="15"/>
                <w:szCs w:val="15"/>
              </w:rPr>
            </w:pPr>
            <w:r w:rsidRPr="00C806D0">
              <w:rPr>
                <w:b/>
                <w:sz w:val="15"/>
                <w:szCs w:val="15"/>
              </w:rPr>
              <w:t>Method used to determine preferences for HRQOL of health state</w:t>
            </w:r>
          </w:p>
        </w:tc>
      </w:tr>
      <w:tr w:rsidR="004442E4" w:rsidRPr="00C806D0" w:rsidTr="004442E4">
        <w:tc>
          <w:tcPr>
            <w:tcW w:w="0" w:type="auto"/>
            <w:tcBorders>
              <w:left w:val="nil"/>
              <w:bottom w:val="nil"/>
              <w:right w:val="nil"/>
            </w:tcBorders>
          </w:tcPr>
          <w:p w:rsidR="004442E4" w:rsidRPr="00C806D0" w:rsidRDefault="004442E4" w:rsidP="004442E4">
            <w:pPr>
              <w:pStyle w:val="NoSpacing"/>
              <w:rPr>
                <w:sz w:val="15"/>
                <w:szCs w:val="15"/>
              </w:rPr>
            </w:pPr>
            <w:r w:rsidRPr="00C806D0">
              <w:rPr>
                <w:sz w:val="15"/>
                <w:szCs w:val="15"/>
              </w:rPr>
              <w:t>Expert elicitation of HSPWs</w:t>
            </w:r>
          </w:p>
          <w:p w:rsidR="004442E4" w:rsidRPr="00C806D0" w:rsidRDefault="004442E4" w:rsidP="004442E4">
            <w:pPr>
              <w:pStyle w:val="NoSpacing"/>
              <w:rPr>
                <w:sz w:val="15"/>
                <w:szCs w:val="15"/>
              </w:rPr>
            </w:pPr>
          </w:p>
        </w:tc>
        <w:tc>
          <w:tcPr>
            <w:tcW w:w="0" w:type="auto"/>
            <w:tcBorders>
              <w:left w:val="nil"/>
              <w:bottom w:val="nil"/>
              <w:right w:val="nil"/>
            </w:tcBorders>
          </w:tcPr>
          <w:p w:rsidR="004442E4" w:rsidRPr="00C806D0" w:rsidRDefault="004442E4" w:rsidP="004442E4">
            <w:pPr>
              <w:pStyle w:val="NoSpacing"/>
              <w:rPr>
                <w:sz w:val="15"/>
                <w:szCs w:val="15"/>
              </w:rPr>
            </w:pPr>
            <w:r w:rsidRPr="00C806D0">
              <w:rPr>
                <w:sz w:val="15"/>
                <w:szCs w:val="15"/>
              </w:rPr>
              <w:t>N/A</w:t>
            </w:r>
          </w:p>
        </w:tc>
        <w:tc>
          <w:tcPr>
            <w:tcW w:w="0" w:type="auto"/>
            <w:tcBorders>
              <w:left w:val="nil"/>
              <w:bottom w:val="nil"/>
              <w:right w:val="nil"/>
            </w:tcBorders>
          </w:tcPr>
          <w:p w:rsidR="004442E4" w:rsidRPr="00C806D0" w:rsidRDefault="004442E4" w:rsidP="004442E4">
            <w:pPr>
              <w:pStyle w:val="NoSpacing"/>
              <w:rPr>
                <w:sz w:val="15"/>
                <w:szCs w:val="15"/>
              </w:rPr>
            </w:pPr>
            <w:r w:rsidRPr="00C806D0">
              <w:rPr>
                <w:sz w:val="15"/>
                <w:szCs w:val="15"/>
              </w:rPr>
              <w:t>Descriptive scenario</w:t>
            </w:r>
          </w:p>
        </w:tc>
        <w:tc>
          <w:tcPr>
            <w:tcW w:w="0" w:type="auto"/>
            <w:tcBorders>
              <w:left w:val="nil"/>
              <w:bottom w:val="nil"/>
              <w:right w:val="nil"/>
            </w:tcBorders>
          </w:tcPr>
          <w:p w:rsidR="004442E4" w:rsidRPr="00C806D0" w:rsidRDefault="004442E4" w:rsidP="004442E4">
            <w:pPr>
              <w:pStyle w:val="NoSpacing"/>
              <w:rPr>
                <w:sz w:val="15"/>
                <w:szCs w:val="15"/>
              </w:rPr>
            </w:pPr>
            <w:r w:rsidRPr="00C806D0">
              <w:rPr>
                <w:sz w:val="15"/>
                <w:szCs w:val="15"/>
              </w:rPr>
              <w:t>Experts in disease area</w:t>
            </w:r>
          </w:p>
        </w:tc>
        <w:tc>
          <w:tcPr>
            <w:tcW w:w="0" w:type="auto"/>
            <w:tcBorders>
              <w:left w:val="nil"/>
              <w:bottom w:val="nil"/>
              <w:right w:val="nil"/>
            </w:tcBorders>
          </w:tcPr>
          <w:p w:rsidR="004442E4" w:rsidRPr="00C806D0" w:rsidRDefault="004442E4" w:rsidP="004442E4">
            <w:pPr>
              <w:pStyle w:val="NoSpacing"/>
              <w:rPr>
                <w:sz w:val="15"/>
                <w:szCs w:val="15"/>
              </w:rPr>
            </w:pPr>
            <w:r w:rsidRPr="00C806D0">
              <w:rPr>
                <w:sz w:val="15"/>
                <w:szCs w:val="15"/>
              </w:rPr>
              <w:t>Formal elicitation technique e.g. SHELF, to provide point estimat</w:t>
            </w:r>
            <w:r w:rsidR="004512FF" w:rsidRPr="00C806D0">
              <w:rPr>
                <w:sz w:val="15"/>
                <w:szCs w:val="15"/>
              </w:rPr>
              <w:t xml:space="preserve">e and measure of uncertainty for </w:t>
            </w:r>
            <w:r w:rsidRPr="00C806D0">
              <w:rPr>
                <w:sz w:val="15"/>
                <w:szCs w:val="15"/>
              </w:rPr>
              <w:t>HSPW</w:t>
            </w:r>
          </w:p>
          <w:p w:rsidR="004442E4" w:rsidRPr="00C806D0" w:rsidRDefault="004442E4" w:rsidP="004442E4">
            <w:pPr>
              <w:pStyle w:val="NoSpacing"/>
              <w:rPr>
                <w:sz w:val="15"/>
                <w:szCs w:val="15"/>
              </w:rPr>
            </w:pPr>
          </w:p>
        </w:tc>
      </w:tr>
      <w:tr w:rsidR="004442E4" w:rsidRPr="00C806D0" w:rsidTr="004442E4">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Direct determination of preferences using hypothetical clinical scenarios</w:t>
            </w: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N/A</w:t>
            </w:r>
          </w:p>
          <w:p w:rsidR="004442E4" w:rsidRPr="00C806D0" w:rsidRDefault="004442E4" w:rsidP="004442E4">
            <w:pPr>
              <w:pStyle w:val="NoSpacing"/>
              <w:rPr>
                <w:sz w:val="15"/>
                <w:szCs w:val="15"/>
              </w:rPr>
            </w:pP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Descriptive scenario</w:t>
            </w: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Patients/carers, general public, or health professionals</w:t>
            </w:r>
          </w:p>
          <w:p w:rsidR="004442E4" w:rsidRPr="00C806D0" w:rsidRDefault="004442E4" w:rsidP="004442E4">
            <w:pPr>
              <w:pStyle w:val="NoSpacing"/>
              <w:rPr>
                <w:sz w:val="15"/>
                <w:szCs w:val="15"/>
              </w:rPr>
            </w:pP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Direct valuation (VAS, TTO, SG)</w:t>
            </w:r>
          </w:p>
          <w:p w:rsidR="004442E4" w:rsidRPr="00C806D0" w:rsidRDefault="004442E4" w:rsidP="004442E4">
            <w:pPr>
              <w:pStyle w:val="NoSpacing"/>
              <w:rPr>
                <w:sz w:val="15"/>
                <w:szCs w:val="15"/>
              </w:rPr>
            </w:pPr>
          </w:p>
        </w:tc>
      </w:tr>
      <w:tr w:rsidR="004442E4" w:rsidRPr="00C806D0" w:rsidTr="004442E4">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Direct determination of preferences using actual health states of patients</w:t>
            </w: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Patients</w:t>
            </w: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N/A</w:t>
            </w: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Patients/carers, health professionals</w:t>
            </w:r>
          </w:p>
          <w:p w:rsidR="004442E4" w:rsidRPr="00C806D0" w:rsidRDefault="004442E4" w:rsidP="004442E4">
            <w:pPr>
              <w:pStyle w:val="NoSpacing"/>
              <w:rPr>
                <w:sz w:val="15"/>
                <w:szCs w:val="15"/>
              </w:rPr>
            </w:pP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Direct valuation (VAS, TTO, SG)</w:t>
            </w:r>
          </w:p>
          <w:p w:rsidR="004442E4" w:rsidRPr="00C806D0" w:rsidRDefault="004442E4" w:rsidP="004442E4">
            <w:pPr>
              <w:pStyle w:val="NoSpacing"/>
              <w:rPr>
                <w:sz w:val="15"/>
                <w:szCs w:val="15"/>
              </w:rPr>
            </w:pPr>
          </w:p>
        </w:tc>
      </w:tr>
      <w:tr w:rsidR="004442E4" w:rsidRPr="00C806D0" w:rsidTr="004442E4">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Indirect determination of preferences for health states measured using generic multi-attribute preference based health description instrument</w:t>
            </w:r>
          </w:p>
          <w:p w:rsidR="004442E4" w:rsidRPr="00C806D0" w:rsidRDefault="004442E4" w:rsidP="004442E4">
            <w:pPr>
              <w:pStyle w:val="NoSpacing"/>
              <w:rPr>
                <w:sz w:val="15"/>
                <w:szCs w:val="15"/>
              </w:rPr>
            </w:pP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 xml:space="preserve">Patients, carers </w:t>
            </w: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Generic multi-attribute health description instrument e.g. EQ5D</w:t>
            </w: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Patients/ carers, or general public</w:t>
            </w: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Indirect valuation: Valuation algorithm derived from external population (using TTO/SG for limited number of described health states) applied to measured health profile.</w:t>
            </w:r>
          </w:p>
          <w:p w:rsidR="004442E4" w:rsidRPr="00C806D0" w:rsidRDefault="004442E4" w:rsidP="004442E4">
            <w:pPr>
              <w:pStyle w:val="NoSpacing"/>
              <w:rPr>
                <w:sz w:val="15"/>
                <w:szCs w:val="15"/>
              </w:rPr>
            </w:pPr>
          </w:p>
        </w:tc>
      </w:tr>
      <w:tr w:rsidR="004442E4" w:rsidRPr="00C806D0" w:rsidTr="004442E4">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Indirect determination of preferences for health states measured using disease specific multi-attribute preference based health description instrument</w:t>
            </w:r>
          </w:p>
          <w:p w:rsidR="004442E4" w:rsidRPr="00C806D0" w:rsidRDefault="004442E4" w:rsidP="004442E4">
            <w:pPr>
              <w:pStyle w:val="NoSpacing"/>
              <w:rPr>
                <w:sz w:val="15"/>
                <w:szCs w:val="15"/>
              </w:rPr>
            </w:pP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 xml:space="preserve">Patients, carers </w:t>
            </w: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 xml:space="preserve">Disease  specific multi-attribute health description instrument </w:t>
            </w: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Patients/carers, or general public</w:t>
            </w: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p>
        </w:tc>
        <w:tc>
          <w:tcPr>
            <w:tcW w:w="0" w:type="auto"/>
            <w:tcBorders>
              <w:top w:val="nil"/>
              <w:left w:val="nil"/>
              <w:bottom w:val="nil"/>
              <w:right w:val="nil"/>
            </w:tcBorders>
          </w:tcPr>
          <w:p w:rsidR="004442E4" w:rsidRPr="00C806D0" w:rsidRDefault="004442E4" w:rsidP="004442E4">
            <w:pPr>
              <w:pStyle w:val="NoSpacing"/>
              <w:rPr>
                <w:sz w:val="15"/>
                <w:szCs w:val="15"/>
              </w:rPr>
            </w:pPr>
            <w:r w:rsidRPr="00C806D0">
              <w:rPr>
                <w:sz w:val="15"/>
                <w:szCs w:val="15"/>
              </w:rPr>
              <w:t>Indirect valuation: Valuation algorithm derived from external population (using TTO/SG for limited number of described health states) applied to measured health states.</w:t>
            </w:r>
          </w:p>
        </w:tc>
      </w:tr>
      <w:tr w:rsidR="004442E4" w:rsidRPr="00C806D0" w:rsidTr="004442E4">
        <w:tc>
          <w:tcPr>
            <w:tcW w:w="0" w:type="auto"/>
            <w:tcBorders>
              <w:top w:val="nil"/>
              <w:left w:val="nil"/>
              <w:bottom w:val="single" w:sz="4" w:space="0" w:color="auto"/>
              <w:right w:val="nil"/>
            </w:tcBorders>
          </w:tcPr>
          <w:p w:rsidR="004442E4" w:rsidRPr="00C806D0" w:rsidRDefault="004442E4" w:rsidP="004442E4">
            <w:pPr>
              <w:pStyle w:val="NoSpacing"/>
              <w:rPr>
                <w:sz w:val="15"/>
                <w:szCs w:val="15"/>
              </w:rPr>
            </w:pPr>
            <w:r w:rsidRPr="00C806D0">
              <w:rPr>
                <w:sz w:val="15"/>
                <w:szCs w:val="15"/>
              </w:rPr>
              <w:t>Indirect determination of preferences for health states measured using HRQOL instrument mapped to generic multi-attribute health description instrument</w:t>
            </w: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r w:rsidRPr="00C806D0">
              <w:rPr>
                <w:sz w:val="15"/>
                <w:szCs w:val="15"/>
              </w:rPr>
              <w:t xml:space="preserve"> </w:t>
            </w:r>
          </w:p>
        </w:tc>
        <w:tc>
          <w:tcPr>
            <w:tcW w:w="0" w:type="auto"/>
            <w:tcBorders>
              <w:top w:val="nil"/>
              <w:left w:val="nil"/>
              <w:bottom w:val="single" w:sz="4" w:space="0" w:color="auto"/>
              <w:right w:val="nil"/>
            </w:tcBorders>
          </w:tcPr>
          <w:p w:rsidR="004442E4" w:rsidRPr="00C806D0" w:rsidRDefault="004442E4" w:rsidP="004442E4">
            <w:pPr>
              <w:pStyle w:val="NoSpacing"/>
              <w:rPr>
                <w:sz w:val="15"/>
                <w:szCs w:val="15"/>
              </w:rPr>
            </w:pPr>
            <w:r w:rsidRPr="00C806D0">
              <w:rPr>
                <w:sz w:val="15"/>
                <w:szCs w:val="15"/>
              </w:rPr>
              <w:t>Patients, carers</w:t>
            </w:r>
          </w:p>
        </w:tc>
        <w:tc>
          <w:tcPr>
            <w:tcW w:w="0" w:type="auto"/>
            <w:tcBorders>
              <w:top w:val="nil"/>
              <w:left w:val="nil"/>
              <w:bottom w:val="single" w:sz="4" w:space="0" w:color="auto"/>
              <w:right w:val="nil"/>
            </w:tcBorders>
          </w:tcPr>
          <w:p w:rsidR="004442E4" w:rsidRPr="00C806D0" w:rsidRDefault="004442E4" w:rsidP="004442E4">
            <w:pPr>
              <w:pStyle w:val="NoSpacing"/>
              <w:rPr>
                <w:sz w:val="15"/>
                <w:szCs w:val="15"/>
              </w:rPr>
            </w:pPr>
            <w:r w:rsidRPr="00C806D0">
              <w:rPr>
                <w:sz w:val="15"/>
                <w:szCs w:val="15"/>
              </w:rPr>
              <w:t>Generic preference-based multi-attribute health description instrument</w:t>
            </w: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r w:rsidRPr="00C806D0">
              <w:rPr>
                <w:sz w:val="15"/>
                <w:szCs w:val="15"/>
              </w:rPr>
              <w:t xml:space="preserve">HRQOL instrument </w:t>
            </w:r>
          </w:p>
        </w:tc>
        <w:tc>
          <w:tcPr>
            <w:tcW w:w="0" w:type="auto"/>
            <w:tcBorders>
              <w:top w:val="nil"/>
              <w:left w:val="nil"/>
              <w:bottom w:val="single" w:sz="4" w:space="0" w:color="auto"/>
              <w:right w:val="nil"/>
            </w:tcBorders>
          </w:tcPr>
          <w:p w:rsidR="004442E4" w:rsidRPr="00C806D0" w:rsidRDefault="004442E4" w:rsidP="004442E4">
            <w:pPr>
              <w:pStyle w:val="NoSpacing"/>
              <w:rPr>
                <w:sz w:val="15"/>
                <w:szCs w:val="15"/>
              </w:rPr>
            </w:pPr>
            <w:r w:rsidRPr="00C806D0">
              <w:rPr>
                <w:sz w:val="15"/>
                <w:szCs w:val="15"/>
              </w:rPr>
              <w:t>Patients/carers, or general public</w:t>
            </w:r>
          </w:p>
          <w:p w:rsidR="004442E4" w:rsidRPr="00C806D0" w:rsidRDefault="004442E4" w:rsidP="004442E4">
            <w:pPr>
              <w:pStyle w:val="NoSpacing"/>
              <w:rPr>
                <w:sz w:val="15"/>
                <w:szCs w:val="15"/>
              </w:rPr>
            </w:pPr>
          </w:p>
        </w:tc>
        <w:tc>
          <w:tcPr>
            <w:tcW w:w="0" w:type="auto"/>
            <w:tcBorders>
              <w:top w:val="nil"/>
              <w:left w:val="nil"/>
              <w:bottom w:val="single" w:sz="4" w:space="0" w:color="auto"/>
              <w:right w:val="nil"/>
            </w:tcBorders>
          </w:tcPr>
          <w:p w:rsidR="004442E4" w:rsidRPr="00C806D0" w:rsidRDefault="004442E4" w:rsidP="004442E4">
            <w:pPr>
              <w:pStyle w:val="NoSpacing"/>
              <w:rPr>
                <w:sz w:val="15"/>
                <w:szCs w:val="15"/>
              </w:rPr>
            </w:pPr>
            <w:r w:rsidRPr="00C806D0">
              <w:rPr>
                <w:sz w:val="15"/>
                <w:szCs w:val="15"/>
              </w:rPr>
              <w:sym w:font="Wingdings" w:char="F09F"/>
            </w:r>
            <w:r w:rsidRPr="00C806D0">
              <w:rPr>
                <w:sz w:val="15"/>
                <w:szCs w:val="15"/>
              </w:rPr>
              <w:t>Response mapping: health state described by disease specific HRQOL instrument given equivalent generic preference-based instrument health profile, based on either:</w:t>
            </w:r>
          </w:p>
          <w:p w:rsidR="004512FF" w:rsidRPr="00C806D0" w:rsidRDefault="004512FF" w:rsidP="004442E4">
            <w:pPr>
              <w:pStyle w:val="NoSpacing"/>
              <w:rPr>
                <w:sz w:val="15"/>
                <w:szCs w:val="15"/>
              </w:rPr>
            </w:pPr>
          </w:p>
          <w:p w:rsidR="004442E4" w:rsidRPr="00C806D0" w:rsidRDefault="004512FF" w:rsidP="004512FF">
            <w:pPr>
              <w:pStyle w:val="NoSpacing"/>
              <w:rPr>
                <w:sz w:val="15"/>
                <w:szCs w:val="15"/>
              </w:rPr>
            </w:pPr>
            <w:r w:rsidRPr="00C806D0">
              <w:rPr>
                <w:sz w:val="15"/>
                <w:szCs w:val="15"/>
              </w:rPr>
              <w:tab/>
            </w:r>
            <w:r w:rsidRPr="00C806D0">
              <w:rPr>
                <w:sz w:val="15"/>
                <w:szCs w:val="15"/>
              </w:rPr>
              <w:sym w:font="Wingdings" w:char="F09F"/>
            </w:r>
            <w:r w:rsidRPr="00C806D0">
              <w:rPr>
                <w:sz w:val="15"/>
                <w:szCs w:val="15"/>
              </w:rPr>
              <w:t xml:space="preserve"> </w:t>
            </w:r>
            <w:r w:rsidR="004442E4" w:rsidRPr="00C806D0">
              <w:rPr>
                <w:sz w:val="15"/>
                <w:szCs w:val="15"/>
              </w:rPr>
              <w:t xml:space="preserve">Judgement: Health state assigned by expert to specific domains of generic </w:t>
            </w:r>
            <w:r w:rsidRPr="00C806D0">
              <w:rPr>
                <w:sz w:val="15"/>
                <w:szCs w:val="15"/>
              </w:rPr>
              <w:tab/>
            </w:r>
            <w:r w:rsidR="004442E4" w:rsidRPr="00C806D0">
              <w:rPr>
                <w:sz w:val="15"/>
                <w:szCs w:val="15"/>
              </w:rPr>
              <w:t>preference based instrument.</w:t>
            </w:r>
          </w:p>
          <w:p w:rsidR="004442E4" w:rsidRPr="00C806D0" w:rsidRDefault="004512FF" w:rsidP="004512FF">
            <w:pPr>
              <w:pStyle w:val="NoSpacing"/>
              <w:ind w:left="720"/>
              <w:rPr>
                <w:sz w:val="15"/>
                <w:szCs w:val="15"/>
              </w:rPr>
            </w:pPr>
            <w:r w:rsidRPr="00C806D0">
              <w:rPr>
                <w:sz w:val="15"/>
                <w:szCs w:val="15"/>
              </w:rPr>
              <w:sym w:font="Wingdings" w:char="F09F"/>
            </w:r>
            <w:r w:rsidRPr="00C806D0">
              <w:rPr>
                <w:sz w:val="15"/>
                <w:szCs w:val="15"/>
              </w:rPr>
              <w:t xml:space="preserve"> </w:t>
            </w:r>
            <w:r w:rsidR="004442E4" w:rsidRPr="00C806D0">
              <w:rPr>
                <w:sz w:val="15"/>
                <w:szCs w:val="15"/>
              </w:rPr>
              <w:t xml:space="preserve">Empirical modelling: Both HRQOL and generic instrument administered to same population. Statistical model then developed to provide mapping function to predict equivalent health profile in generic preference-based multi-attribute health description instrument from HRQOL score. </w:t>
            </w: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r w:rsidRPr="00C806D0">
              <w:rPr>
                <w:sz w:val="15"/>
                <w:szCs w:val="15"/>
              </w:rPr>
              <w:t>Preference weights then assigned using generic instrument’s scoring algorithm as normal.</w:t>
            </w: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p>
          <w:p w:rsidR="004442E4" w:rsidRPr="00C806D0" w:rsidRDefault="004442E4" w:rsidP="004442E4">
            <w:pPr>
              <w:pStyle w:val="NoSpacing"/>
              <w:rPr>
                <w:sz w:val="15"/>
                <w:szCs w:val="15"/>
              </w:rPr>
            </w:pPr>
            <w:r w:rsidRPr="00C806D0">
              <w:rPr>
                <w:sz w:val="15"/>
                <w:szCs w:val="15"/>
              </w:rPr>
              <w:sym w:font="Wingdings" w:char="F09F"/>
            </w:r>
            <w:r w:rsidRPr="00C806D0">
              <w:rPr>
                <w:sz w:val="15"/>
                <w:szCs w:val="15"/>
              </w:rPr>
              <w:t>Index score mapping: Mapping of health state described by disease specific HRQOL instrument to give equivalent generic instrument index score by empirical modelling.</w:t>
            </w:r>
          </w:p>
          <w:p w:rsidR="004442E4" w:rsidRPr="00C806D0" w:rsidRDefault="004442E4" w:rsidP="004442E4">
            <w:pPr>
              <w:pStyle w:val="NoSpacing"/>
              <w:rPr>
                <w:sz w:val="15"/>
                <w:szCs w:val="15"/>
              </w:rPr>
            </w:pPr>
          </w:p>
        </w:tc>
      </w:tr>
    </w:tbl>
    <w:p w:rsidR="006F2FC6" w:rsidRPr="00C806D0" w:rsidRDefault="006F2FC6" w:rsidP="004442E4">
      <w:pPr>
        <w:pStyle w:val="Heading2"/>
        <w:sectPr w:rsidR="006F2FC6" w:rsidRPr="00C806D0" w:rsidSect="006F2FC6">
          <w:pgSz w:w="16838" w:h="11906" w:orient="landscape"/>
          <w:pgMar w:top="2268" w:right="1134" w:bottom="1134" w:left="1134" w:header="709" w:footer="709" w:gutter="0"/>
          <w:cols w:space="708"/>
          <w:docGrid w:linePitch="360"/>
        </w:sectPr>
      </w:pPr>
    </w:p>
    <w:p w:rsidR="004442E4" w:rsidRPr="00C806D0" w:rsidRDefault="004442E4" w:rsidP="004442E4">
      <w:pPr>
        <w:pStyle w:val="Heading2"/>
      </w:pPr>
      <w:r w:rsidRPr="00C806D0">
        <w:lastRenderedPageBreak/>
        <w:t>additional methodological information</w:t>
      </w:r>
    </w:p>
    <w:p w:rsidR="004442E4" w:rsidRPr="00C806D0" w:rsidRDefault="004442E4" w:rsidP="006F2FC6">
      <w:pPr>
        <w:pStyle w:val="Heading3"/>
        <w:rPr>
          <w:rStyle w:val="Heading3Char"/>
          <w:b/>
          <w:bCs/>
        </w:rPr>
      </w:pPr>
      <w:r w:rsidRPr="00C806D0">
        <w:rPr>
          <w:rStyle w:val="Heading3Char"/>
          <w:b/>
          <w:bCs/>
        </w:rPr>
        <w:t>EQ5D classification and scoring algorithm</w:t>
      </w:r>
    </w:p>
    <w:p w:rsidR="004442E4" w:rsidRPr="00C806D0" w:rsidRDefault="004442E4" w:rsidP="004442E4">
      <w:pPr>
        <w:rPr>
          <w:rStyle w:val="Heading3Char"/>
          <w:b w:val="0"/>
        </w:rPr>
      </w:pPr>
      <w:r w:rsidRPr="00C806D0">
        <w:rPr>
          <w:b/>
        </w:rPr>
        <w:t>Table F2</w:t>
      </w:r>
      <w:r w:rsidRPr="00C806D0">
        <w:t xml:space="preserve">. </w:t>
      </w:r>
      <w:r w:rsidRPr="00C806D0">
        <w:rPr>
          <w:rStyle w:val="Heading3Char"/>
        </w:rPr>
        <w:t>EQ5D classification and scoring algorithm</w:t>
      </w:r>
      <w:r w:rsidR="00B65AAF" w:rsidRPr="00C806D0">
        <w:rPr>
          <w:rStyle w:val="Heading3Char"/>
        </w:rPr>
        <w:t>.</w:t>
      </w:r>
      <w:r w:rsidR="00D368BB" w:rsidRPr="00C806D0">
        <w:rPr>
          <w:rStyle w:val="Heading3Char"/>
          <w:noProof/>
          <w:vertAlign w:val="superscript"/>
        </w:rPr>
        <w:t>[</w:t>
      </w:r>
      <w:r w:rsidR="006D4D62" w:rsidRPr="00C806D0">
        <w:rPr>
          <w:rStyle w:val="Heading3Char"/>
          <w:noProof/>
          <w:vertAlign w:val="superscript"/>
        </w:rPr>
        <w:t>3</w:t>
      </w:r>
      <w:r w:rsidR="00D368BB" w:rsidRPr="00C806D0">
        <w:rPr>
          <w:rStyle w:val="Heading3Char"/>
          <w:noProof/>
          <w:vertAlign w:val="superscript"/>
        </w:rPr>
        <w:t>]</w:t>
      </w:r>
    </w:p>
    <w:tbl>
      <w:tblPr>
        <w:tblStyle w:val="LightShading1"/>
        <w:tblW w:w="5000" w:type="pct"/>
        <w:tblLook w:val="0620" w:firstRow="1" w:lastRow="0" w:firstColumn="0" w:lastColumn="0" w:noHBand="1" w:noVBand="1"/>
      </w:tblPr>
      <w:tblGrid>
        <w:gridCol w:w="1843"/>
        <w:gridCol w:w="651"/>
        <w:gridCol w:w="3361"/>
        <w:gridCol w:w="2126"/>
        <w:gridCol w:w="739"/>
      </w:tblGrid>
      <w:tr w:rsidR="004442E4" w:rsidRPr="00C806D0" w:rsidTr="004442E4">
        <w:trPr>
          <w:cnfStyle w:val="100000000000" w:firstRow="1" w:lastRow="0" w:firstColumn="0" w:lastColumn="0" w:oddVBand="0" w:evenVBand="0" w:oddHBand="0" w:evenHBand="0" w:firstRowFirstColumn="0" w:firstRowLastColumn="0" w:lastRowFirstColumn="0" w:lastRowLastColumn="0"/>
        </w:trPr>
        <w:tc>
          <w:tcPr>
            <w:tcW w:w="1057" w:type="pct"/>
          </w:tcPr>
          <w:p w:rsidR="004442E4" w:rsidRPr="00C806D0" w:rsidRDefault="004442E4" w:rsidP="004442E4">
            <w:pPr>
              <w:rPr>
                <w:sz w:val="19"/>
                <w:szCs w:val="19"/>
              </w:rPr>
            </w:pPr>
            <w:r w:rsidRPr="00C806D0">
              <w:rPr>
                <w:sz w:val="19"/>
                <w:szCs w:val="19"/>
              </w:rPr>
              <w:t>Dimension</w:t>
            </w:r>
          </w:p>
        </w:tc>
        <w:tc>
          <w:tcPr>
            <w:tcW w:w="373" w:type="pct"/>
          </w:tcPr>
          <w:p w:rsidR="004442E4" w:rsidRPr="00C806D0" w:rsidRDefault="004442E4" w:rsidP="004442E4">
            <w:pPr>
              <w:rPr>
                <w:sz w:val="19"/>
                <w:szCs w:val="19"/>
              </w:rPr>
            </w:pPr>
            <w:r w:rsidRPr="00C806D0">
              <w:rPr>
                <w:sz w:val="19"/>
                <w:szCs w:val="19"/>
              </w:rPr>
              <w:t>Level</w:t>
            </w:r>
          </w:p>
        </w:tc>
        <w:tc>
          <w:tcPr>
            <w:tcW w:w="1927" w:type="pct"/>
          </w:tcPr>
          <w:p w:rsidR="004442E4" w:rsidRPr="00C806D0" w:rsidRDefault="004442E4" w:rsidP="004442E4">
            <w:pPr>
              <w:rPr>
                <w:sz w:val="19"/>
                <w:szCs w:val="19"/>
              </w:rPr>
            </w:pPr>
            <w:r w:rsidRPr="00C806D0">
              <w:rPr>
                <w:sz w:val="19"/>
                <w:szCs w:val="19"/>
              </w:rPr>
              <w:t>Description</w:t>
            </w:r>
          </w:p>
        </w:tc>
        <w:tc>
          <w:tcPr>
            <w:tcW w:w="1219" w:type="pct"/>
          </w:tcPr>
          <w:p w:rsidR="004442E4" w:rsidRPr="00C806D0" w:rsidRDefault="004442E4" w:rsidP="004442E4">
            <w:pPr>
              <w:jc w:val="center"/>
              <w:rPr>
                <w:sz w:val="19"/>
                <w:szCs w:val="19"/>
              </w:rPr>
            </w:pPr>
            <w:r w:rsidRPr="00C806D0">
              <w:rPr>
                <w:sz w:val="19"/>
                <w:szCs w:val="19"/>
              </w:rPr>
              <w:t>Scoring algorithm</w:t>
            </w:r>
          </w:p>
        </w:tc>
        <w:tc>
          <w:tcPr>
            <w:tcW w:w="424" w:type="pct"/>
          </w:tcPr>
          <w:p w:rsidR="004442E4" w:rsidRPr="00C806D0" w:rsidRDefault="004442E4" w:rsidP="004442E4">
            <w:pPr>
              <w:jc w:val="center"/>
              <w:rPr>
                <w:sz w:val="19"/>
                <w:szCs w:val="19"/>
              </w:rPr>
            </w:pP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p>
        </w:tc>
        <w:tc>
          <w:tcPr>
            <w:tcW w:w="1927" w:type="pct"/>
          </w:tcPr>
          <w:p w:rsidR="004442E4" w:rsidRPr="00C806D0" w:rsidRDefault="004442E4" w:rsidP="004442E4">
            <w:pPr>
              <w:rPr>
                <w:sz w:val="19"/>
                <w:szCs w:val="19"/>
              </w:rPr>
            </w:pPr>
          </w:p>
        </w:tc>
        <w:tc>
          <w:tcPr>
            <w:tcW w:w="1219" w:type="pct"/>
          </w:tcPr>
          <w:p w:rsidR="004442E4" w:rsidRPr="00C806D0" w:rsidRDefault="004442E4" w:rsidP="004442E4">
            <w:pPr>
              <w:rPr>
                <w:sz w:val="19"/>
                <w:szCs w:val="19"/>
              </w:rPr>
            </w:pPr>
            <w:r w:rsidRPr="00C806D0">
              <w:rPr>
                <w:sz w:val="19"/>
                <w:szCs w:val="19"/>
              </w:rPr>
              <w:t>Full health:</w:t>
            </w:r>
          </w:p>
        </w:tc>
        <w:tc>
          <w:tcPr>
            <w:tcW w:w="424" w:type="pct"/>
          </w:tcPr>
          <w:p w:rsidR="004442E4" w:rsidRPr="00C806D0" w:rsidRDefault="004442E4" w:rsidP="004442E4">
            <w:pPr>
              <w:jc w:val="center"/>
              <w:rPr>
                <w:sz w:val="19"/>
                <w:szCs w:val="19"/>
              </w:rPr>
            </w:pPr>
            <w:r w:rsidRPr="00C806D0">
              <w:rPr>
                <w:sz w:val="19"/>
                <w:szCs w:val="19"/>
              </w:rPr>
              <w:t>1.00</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p>
        </w:tc>
        <w:tc>
          <w:tcPr>
            <w:tcW w:w="1927" w:type="pct"/>
          </w:tcPr>
          <w:p w:rsidR="004442E4" w:rsidRPr="00C806D0" w:rsidRDefault="004442E4" w:rsidP="004442E4">
            <w:pPr>
              <w:rPr>
                <w:sz w:val="19"/>
                <w:szCs w:val="19"/>
              </w:rPr>
            </w:pPr>
          </w:p>
        </w:tc>
        <w:tc>
          <w:tcPr>
            <w:tcW w:w="1219" w:type="pct"/>
          </w:tcPr>
          <w:p w:rsidR="004442E4" w:rsidRPr="00C806D0" w:rsidRDefault="004442E4" w:rsidP="004442E4">
            <w:pPr>
              <w:rPr>
                <w:sz w:val="19"/>
                <w:szCs w:val="19"/>
              </w:rPr>
            </w:pPr>
            <w:r w:rsidRPr="00C806D0">
              <w:rPr>
                <w:sz w:val="19"/>
                <w:szCs w:val="19"/>
              </w:rPr>
              <w:t>Any problem:</w:t>
            </w:r>
          </w:p>
        </w:tc>
        <w:tc>
          <w:tcPr>
            <w:tcW w:w="424" w:type="pct"/>
          </w:tcPr>
          <w:p w:rsidR="004442E4" w:rsidRPr="00C806D0" w:rsidRDefault="004442E4" w:rsidP="004442E4">
            <w:pPr>
              <w:jc w:val="center"/>
              <w:rPr>
                <w:sz w:val="19"/>
                <w:szCs w:val="19"/>
              </w:rPr>
            </w:pPr>
            <w:r w:rsidRPr="00C806D0">
              <w:rPr>
                <w:sz w:val="19"/>
                <w:szCs w:val="19"/>
              </w:rPr>
              <w:t>-0.081</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p>
        </w:tc>
        <w:tc>
          <w:tcPr>
            <w:tcW w:w="1927" w:type="pct"/>
          </w:tcPr>
          <w:p w:rsidR="004442E4" w:rsidRPr="00C806D0" w:rsidRDefault="004442E4" w:rsidP="004442E4">
            <w:pPr>
              <w:rPr>
                <w:sz w:val="19"/>
                <w:szCs w:val="19"/>
              </w:rPr>
            </w:pPr>
          </w:p>
        </w:tc>
        <w:tc>
          <w:tcPr>
            <w:tcW w:w="1219" w:type="pct"/>
          </w:tcPr>
          <w:p w:rsidR="004442E4" w:rsidRPr="00C806D0" w:rsidRDefault="004442E4" w:rsidP="004442E4">
            <w:pPr>
              <w:rPr>
                <w:sz w:val="19"/>
                <w:szCs w:val="19"/>
              </w:rPr>
            </w:pPr>
            <w:r w:rsidRPr="00C806D0">
              <w:rPr>
                <w:sz w:val="19"/>
                <w:szCs w:val="19"/>
              </w:rPr>
              <w:t>Any level 3 problem:</w:t>
            </w:r>
          </w:p>
        </w:tc>
        <w:tc>
          <w:tcPr>
            <w:tcW w:w="424" w:type="pct"/>
          </w:tcPr>
          <w:p w:rsidR="004442E4" w:rsidRPr="00C806D0" w:rsidRDefault="004442E4" w:rsidP="004442E4">
            <w:pPr>
              <w:jc w:val="center"/>
              <w:rPr>
                <w:sz w:val="19"/>
                <w:szCs w:val="19"/>
              </w:rPr>
            </w:pPr>
            <w:r w:rsidRPr="00C806D0">
              <w:rPr>
                <w:sz w:val="19"/>
                <w:szCs w:val="19"/>
              </w:rPr>
              <w:t>-0.269</w:t>
            </w:r>
          </w:p>
        </w:tc>
      </w:tr>
      <w:tr w:rsidR="004442E4" w:rsidRPr="00C806D0" w:rsidTr="004442E4">
        <w:tc>
          <w:tcPr>
            <w:tcW w:w="1057" w:type="pct"/>
          </w:tcPr>
          <w:p w:rsidR="004442E4" w:rsidRPr="00C806D0" w:rsidRDefault="004442E4" w:rsidP="004442E4">
            <w:pPr>
              <w:rPr>
                <w:sz w:val="19"/>
                <w:szCs w:val="19"/>
              </w:rPr>
            </w:pPr>
            <w:r w:rsidRPr="00C806D0">
              <w:rPr>
                <w:sz w:val="19"/>
                <w:szCs w:val="19"/>
              </w:rPr>
              <w:t>Mobility</w:t>
            </w:r>
          </w:p>
        </w:tc>
        <w:tc>
          <w:tcPr>
            <w:tcW w:w="373" w:type="pct"/>
          </w:tcPr>
          <w:p w:rsidR="004442E4" w:rsidRPr="00C806D0" w:rsidRDefault="004442E4" w:rsidP="004442E4">
            <w:pPr>
              <w:rPr>
                <w:sz w:val="19"/>
                <w:szCs w:val="19"/>
              </w:rPr>
            </w:pPr>
            <w:r w:rsidRPr="00C806D0">
              <w:rPr>
                <w:sz w:val="19"/>
                <w:szCs w:val="19"/>
              </w:rPr>
              <w:t>1</w:t>
            </w:r>
          </w:p>
        </w:tc>
        <w:tc>
          <w:tcPr>
            <w:tcW w:w="1927" w:type="pct"/>
          </w:tcPr>
          <w:p w:rsidR="004442E4" w:rsidRPr="00C806D0" w:rsidRDefault="004442E4" w:rsidP="004442E4">
            <w:pPr>
              <w:rPr>
                <w:sz w:val="19"/>
                <w:szCs w:val="19"/>
              </w:rPr>
            </w:pPr>
            <w:r w:rsidRPr="00C806D0">
              <w:rPr>
                <w:sz w:val="19"/>
                <w:szCs w:val="19"/>
              </w:rPr>
              <w:t>No problems walking about</w:t>
            </w:r>
          </w:p>
        </w:tc>
        <w:tc>
          <w:tcPr>
            <w:tcW w:w="1219" w:type="pct"/>
          </w:tcPr>
          <w:p w:rsidR="004442E4" w:rsidRPr="00C806D0" w:rsidRDefault="004442E4" w:rsidP="004442E4">
            <w:pPr>
              <w:rPr>
                <w:sz w:val="19"/>
                <w:szCs w:val="19"/>
              </w:rPr>
            </w:pPr>
          </w:p>
        </w:tc>
        <w:tc>
          <w:tcPr>
            <w:tcW w:w="424" w:type="pct"/>
          </w:tcPr>
          <w:p w:rsidR="004442E4" w:rsidRPr="00C806D0" w:rsidRDefault="004512FF" w:rsidP="004442E4">
            <w:pPr>
              <w:jc w:val="center"/>
              <w:rPr>
                <w:sz w:val="19"/>
                <w:szCs w:val="19"/>
              </w:rPr>
            </w:pPr>
            <w:r w:rsidRPr="00C806D0">
              <w:rPr>
                <w:sz w:val="19"/>
                <w:szCs w:val="19"/>
              </w:rPr>
              <w:t>-</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r w:rsidRPr="00C806D0">
              <w:rPr>
                <w:sz w:val="19"/>
                <w:szCs w:val="19"/>
              </w:rPr>
              <w:t>2</w:t>
            </w:r>
          </w:p>
        </w:tc>
        <w:tc>
          <w:tcPr>
            <w:tcW w:w="1927" w:type="pct"/>
          </w:tcPr>
          <w:p w:rsidR="004442E4" w:rsidRPr="00C806D0" w:rsidRDefault="004442E4" w:rsidP="004442E4">
            <w:pPr>
              <w:rPr>
                <w:sz w:val="19"/>
                <w:szCs w:val="19"/>
              </w:rPr>
            </w:pPr>
            <w:r w:rsidRPr="00C806D0">
              <w:rPr>
                <w:sz w:val="19"/>
                <w:szCs w:val="19"/>
              </w:rPr>
              <w:t>Some problems walking about</w:t>
            </w:r>
          </w:p>
        </w:tc>
        <w:tc>
          <w:tcPr>
            <w:tcW w:w="1219" w:type="pct"/>
          </w:tcPr>
          <w:p w:rsidR="004442E4" w:rsidRPr="00C806D0" w:rsidRDefault="004442E4" w:rsidP="004442E4">
            <w:pPr>
              <w:rPr>
                <w:sz w:val="19"/>
                <w:szCs w:val="19"/>
              </w:rPr>
            </w:pPr>
          </w:p>
        </w:tc>
        <w:tc>
          <w:tcPr>
            <w:tcW w:w="424" w:type="pct"/>
          </w:tcPr>
          <w:p w:rsidR="004442E4" w:rsidRPr="00C806D0" w:rsidRDefault="004442E4" w:rsidP="004442E4">
            <w:pPr>
              <w:jc w:val="center"/>
              <w:rPr>
                <w:sz w:val="19"/>
                <w:szCs w:val="19"/>
              </w:rPr>
            </w:pPr>
            <w:r w:rsidRPr="00C806D0">
              <w:rPr>
                <w:sz w:val="19"/>
                <w:szCs w:val="19"/>
              </w:rPr>
              <w:t>-0.069</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r w:rsidRPr="00C806D0">
              <w:rPr>
                <w:sz w:val="19"/>
                <w:szCs w:val="19"/>
              </w:rPr>
              <w:t>3</w:t>
            </w:r>
          </w:p>
        </w:tc>
        <w:tc>
          <w:tcPr>
            <w:tcW w:w="1927" w:type="pct"/>
          </w:tcPr>
          <w:p w:rsidR="004442E4" w:rsidRPr="00C806D0" w:rsidRDefault="004442E4" w:rsidP="004442E4">
            <w:pPr>
              <w:rPr>
                <w:sz w:val="19"/>
                <w:szCs w:val="19"/>
              </w:rPr>
            </w:pPr>
            <w:r w:rsidRPr="00C806D0">
              <w:rPr>
                <w:sz w:val="19"/>
                <w:szCs w:val="19"/>
              </w:rPr>
              <w:t>Confined to bed</w:t>
            </w:r>
          </w:p>
          <w:p w:rsidR="004442E4" w:rsidRPr="00C806D0" w:rsidRDefault="004442E4" w:rsidP="004442E4">
            <w:pPr>
              <w:rPr>
                <w:sz w:val="19"/>
                <w:szCs w:val="19"/>
              </w:rPr>
            </w:pPr>
          </w:p>
        </w:tc>
        <w:tc>
          <w:tcPr>
            <w:tcW w:w="1219" w:type="pct"/>
          </w:tcPr>
          <w:p w:rsidR="004442E4" w:rsidRPr="00C806D0" w:rsidRDefault="004442E4" w:rsidP="004442E4">
            <w:pPr>
              <w:rPr>
                <w:sz w:val="19"/>
                <w:szCs w:val="19"/>
              </w:rPr>
            </w:pPr>
          </w:p>
        </w:tc>
        <w:tc>
          <w:tcPr>
            <w:tcW w:w="424" w:type="pct"/>
          </w:tcPr>
          <w:p w:rsidR="004442E4" w:rsidRPr="00C806D0" w:rsidRDefault="004442E4" w:rsidP="004442E4">
            <w:pPr>
              <w:jc w:val="center"/>
              <w:rPr>
                <w:sz w:val="19"/>
                <w:szCs w:val="19"/>
              </w:rPr>
            </w:pPr>
            <w:r w:rsidRPr="00C806D0">
              <w:rPr>
                <w:sz w:val="19"/>
                <w:szCs w:val="19"/>
              </w:rPr>
              <w:t>-0.314</w:t>
            </w:r>
          </w:p>
        </w:tc>
      </w:tr>
      <w:tr w:rsidR="004442E4" w:rsidRPr="00C806D0" w:rsidTr="004442E4">
        <w:tc>
          <w:tcPr>
            <w:tcW w:w="1057" w:type="pct"/>
          </w:tcPr>
          <w:p w:rsidR="004442E4" w:rsidRPr="00C806D0" w:rsidRDefault="004442E4" w:rsidP="004442E4">
            <w:pPr>
              <w:rPr>
                <w:sz w:val="19"/>
                <w:szCs w:val="19"/>
              </w:rPr>
            </w:pPr>
            <w:r w:rsidRPr="00C806D0">
              <w:rPr>
                <w:sz w:val="19"/>
                <w:szCs w:val="19"/>
              </w:rPr>
              <w:t>Self care</w:t>
            </w:r>
          </w:p>
        </w:tc>
        <w:tc>
          <w:tcPr>
            <w:tcW w:w="373" w:type="pct"/>
          </w:tcPr>
          <w:p w:rsidR="004442E4" w:rsidRPr="00C806D0" w:rsidRDefault="004442E4" w:rsidP="004442E4">
            <w:pPr>
              <w:rPr>
                <w:sz w:val="19"/>
                <w:szCs w:val="19"/>
              </w:rPr>
            </w:pPr>
            <w:r w:rsidRPr="00C806D0">
              <w:rPr>
                <w:sz w:val="19"/>
                <w:szCs w:val="19"/>
              </w:rPr>
              <w:t>1</w:t>
            </w:r>
          </w:p>
        </w:tc>
        <w:tc>
          <w:tcPr>
            <w:tcW w:w="1927" w:type="pct"/>
          </w:tcPr>
          <w:p w:rsidR="004442E4" w:rsidRPr="00C806D0" w:rsidRDefault="004442E4" w:rsidP="004442E4">
            <w:pPr>
              <w:rPr>
                <w:sz w:val="19"/>
                <w:szCs w:val="19"/>
              </w:rPr>
            </w:pPr>
            <w:r w:rsidRPr="00C806D0">
              <w:rPr>
                <w:sz w:val="19"/>
                <w:szCs w:val="19"/>
              </w:rPr>
              <w:t>No problems with self care</w:t>
            </w:r>
          </w:p>
        </w:tc>
        <w:tc>
          <w:tcPr>
            <w:tcW w:w="1219" w:type="pct"/>
          </w:tcPr>
          <w:p w:rsidR="004442E4" w:rsidRPr="00C806D0" w:rsidRDefault="004442E4" w:rsidP="004442E4">
            <w:pPr>
              <w:rPr>
                <w:sz w:val="19"/>
                <w:szCs w:val="19"/>
              </w:rPr>
            </w:pPr>
          </w:p>
        </w:tc>
        <w:tc>
          <w:tcPr>
            <w:tcW w:w="424" w:type="pct"/>
          </w:tcPr>
          <w:p w:rsidR="004442E4" w:rsidRPr="00C806D0" w:rsidRDefault="004512FF" w:rsidP="004442E4">
            <w:pPr>
              <w:jc w:val="center"/>
              <w:rPr>
                <w:sz w:val="19"/>
                <w:szCs w:val="19"/>
              </w:rPr>
            </w:pPr>
            <w:r w:rsidRPr="00C806D0">
              <w:rPr>
                <w:sz w:val="19"/>
                <w:szCs w:val="19"/>
              </w:rPr>
              <w:t>-</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r w:rsidRPr="00C806D0">
              <w:rPr>
                <w:sz w:val="19"/>
                <w:szCs w:val="19"/>
              </w:rPr>
              <w:t>2</w:t>
            </w:r>
          </w:p>
        </w:tc>
        <w:tc>
          <w:tcPr>
            <w:tcW w:w="1927" w:type="pct"/>
          </w:tcPr>
          <w:p w:rsidR="004442E4" w:rsidRPr="00C806D0" w:rsidRDefault="004442E4" w:rsidP="004442E4">
            <w:pPr>
              <w:rPr>
                <w:sz w:val="19"/>
                <w:szCs w:val="19"/>
              </w:rPr>
            </w:pPr>
            <w:r w:rsidRPr="00C806D0">
              <w:rPr>
                <w:sz w:val="19"/>
                <w:szCs w:val="19"/>
              </w:rPr>
              <w:t>Some problems washing or dressing</w:t>
            </w:r>
          </w:p>
        </w:tc>
        <w:tc>
          <w:tcPr>
            <w:tcW w:w="1219" w:type="pct"/>
          </w:tcPr>
          <w:p w:rsidR="004442E4" w:rsidRPr="00C806D0" w:rsidRDefault="004442E4" w:rsidP="004442E4">
            <w:pPr>
              <w:rPr>
                <w:sz w:val="19"/>
                <w:szCs w:val="19"/>
              </w:rPr>
            </w:pPr>
          </w:p>
        </w:tc>
        <w:tc>
          <w:tcPr>
            <w:tcW w:w="424" w:type="pct"/>
          </w:tcPr>
          <w:p w:rsidR="004442E4" w:rsidRPr="00C806D0" w:rsidRDefault="004442E4" w:rsidP="004442E4">
            <w:pPr>
              <w:jc w:val="center"/>
              <w:rPr>
                <w:sz w:val="19"/>
                <w:szCs w:val="19"/>
              </w:rPr>
            </w:pPr>
            <w:r w:rsidRPr="00C806D0">
              <w:rPr>
                <w:sz w:val="19"/>
                <w:szCs w:val="19"/>
              </w:rPr>
              <w:t>-0.104</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r w:rsidRPr="00C806D0">
              <w:rPr>
                <w:sz w:val="19"/>
                <w:szCs w:val="19"/>
              </w:rPr>
              <w:t>3</w:t>
            </w:r>
          </w:p>
        </w:tc>
        <w:tc>
          <w:tcPr>
            <w:tcW w:w="1927" w:type="pct"/>
          </w:tcPr>
          <w:p w:rsidR="004442E4" w:rsidRPr="00C806D0" w:rsidRDefault="004442E4" w:rsidP="004442E4">
            <w:pPr>
              <w:rPr>
                <w:sz w:val="19"/>
                <w:szCs w:val="19"/>
              </w:rPr>
            </w:pPr>
            <w:r w:rsidRPr="00C806D0">
              <w:rPr>
                <w:sz w:val="19"/>
                <w:szCs w:val="19"/>
              </w:rPr>
              <w:t>Unable to wash or dress self</w:t>
            </w:r>
          </w:p>
          <w:p w:rsidR="004442E4" w:rsidRPr="00C806D0" w:rsidRDefault="004442E4" w:rsidP="004442E4">
            <w:pPr>
              <w:rPr>
                <w:sz w:val="19"/>
                <w:szCs w:val="19"/>
              </w:rPr>
            </w:pPr>
          </w:p>
        </w:tc>
        <w:tc>
          <w:tcPr>
            <w:tcW w:w="1219" w:type="pct"/>
          </w:tcPr>
          <w:p w:rsidR="004442E4" w:rsidRPr="00C806D0" w:rsidRDefault="004442E4" w:rsidP="004442E4">
            <w:pPr>
              <w:rPr>
                <w:sz w:val="19"/>
                <w:szCs w:val="19"/>
              </w:rPr>
            </w:pPr>
          </w:p>
        </w:tc>
        <w:tc>
          <w:tcPr>
            <w:tcW w:w="424" w:type="pct"/>
          </w:tcPr>
          <w:p w:rsidR="004442E4" w:rsidRPr="00C806D0" w:rsidRDefault="004442E4" w:rsidP="004442E4">
            <w:pPr>
              <w:jc w:val="center"/>
              <w:rPr>
                <w:sz w:val="19"/>
                <w:szCs w:val="19"/>
              </w:rPr>
            </w:pPr>
            <w:r w:rsidRPr="00C806D0">
              <w:rPr>
                <w:sz w:val="19"/>
                <w:szCs w:val="19"/>
              </w:rPr>
              <w:t>-0.214</w:t>
            </w:r>
          </w:p>
        </w:tc>
      </w:tr>
      <w:tr w:rsidR="004442E4" w:rsidRPr="00C806D0" w:rsidTr="004442E4">
        <w:tc>
          <w:tcPr>
            <w:tcW w:w="1057" w:type="pct"/>
          </w:tcPr>
          <w:p w:rsidR="004442E4" w:rsidRPr="00C806D0" w:rsidRDefault="004442E4" w:rsidP="004442E4">
            <w:pPr>
              <w:rPr>
                <w:sz w:val="19"/>
                <w:szCs w:val="19"/>
              </w:rPr>
            </w:pPr>
            <w:r w:rsidRPr="00C806D0">
              <w:rPr>
                <w:sz w:val="19"/>
                <w:szCs w:val="19"/>
              </w:rPr>
              <w:t>Usual activities</w:t>
            </w:r>
          </w:p>
        </w:tc>
        <w:tc>
          <w:tcPr>
            <w:tcW w:w="373" w:type="pct"/>
          </w:tcPr>
          <w:p w:rsidR="004442E4" w:rsidRPr="00C806D0" w:rsidRDefault="004442E4" w:rsidP="004442E4">
            <w:pPr>
              <w:rPr>
                <w:sz w:val="19"/>
                <w:szCs w:val="19"/>
              </w:rPr>
            </w:pPr>
            <w:r w:rsidRPr="00C806D0">
              <w:rPr>
                <w:sz w:val="19"/>
                <w:szCs w:val="19"/>
              </w:rPr>
              <w:t>1</w:t>
            </w:r>
          </w:p>
        </w:tc>
        <w:tc>
          <w:tcPr>
            <w:tcW w:w="1927" w:type="pct"/>
          </w:tcPr>
          <w:p w:rsidR="004442E4" w:rsidRPr="00C806D0" w:rsidRDefault="004442E4" w:rsidP="004442E4">
            <w:pPr>
              <w:rPr>
                <w:sz w:val="19"/>
                <w:szCs w:val="19"/>
              </w:rPr>
            </w:pPr>
            <w:r w:rsidRPr="00C806D0">
              <w:rPr>
                <w:sz w:val="19"/>
                <w:szCs w:val="19"/>
              </w:rPr>
              <w:t>No problems performing usual activities</w:t>
            </w:r>
          </w:p>
        </w:tc>
        <w:tc>
          <w:tcPr>
            <w:tcW w:w="1219" w:type="pct"/>
          </w:tcPr>
          <w:p w:rsidR="004442E4" w:rsidRPr="00C806D0" w:rsidRDefault="004442E4" w:rsidP="004442E4">
            <w:pPr>
              <w:rPr>
                <w:sz w:val="19"/>
                <w:szCs w:val="19"/>
              </w:rPr>
            </w:pPr>
          </w:p>
        </w:tc>
        <w:tc>
          <w:tcPr>
            <w:tcW w:w="424" w:type="pct"/>
          </w:tcPr>
          <w:p w:rsidR="004442E4" w:rsidRPr="00C806D0" w:rsidRDefault="004512FF" w:rsidP="004442E4">
            <w:pPr>
              <w:jc w:val="center"/>
              <w:rPr>
                <w:sz w:val="19"/>
                <w:szCs w:val="19"/>
              </w:rPr>
            </w:pPr>
            <w:r w:rsidRPr="00C806D0">
              <w:rPr>
                <w:sz w:val="19"/>
                <w:szCs w:val="19"/>
              </w:rPr>
              <w:t>-</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r w:rsidRPr="00C806D0">
              <w:rPr>
                <w:sz w:val="19"/>
                <w:szCs w:val="19"/>
              </w:rPr>
              <w:t>2</w:t>
            </w:r>
          </w:p>
        </w:tc>
        <w:tc>
          <w:tcPr>
            <w:tcW w:w="1927" w:type="pct"/>
          </w:tcPr>
          <w:p w:rsidR="004442E4" w:rsidRPr="00C806D0" w:rsidRDefault="004442E4" w:rsidP="004442E4">
            <w:pPr>
              <w:rPr>
                <w:sz w:val="19"/>
                <w:szCs w:val="19"/>
              </w:rPr>
            </w:pPr>
            <w:r w:rsidRPr="00C806D0">
              <w:rPr>
                <w:sz w:val="19"/>
                <w:szCs w:val="19"/>
              </w:rPr>
              <w:t>Some problems performing usual activities</w:t>
            </w:r>
          </w:p>
        </w:tc>
        <w:tc>
          <w:tcPr>
            <w:tcW w:w="1219" w:type="pct"/>
          </w:tcPr>
          <w:p w:rsidR="004442E4" w:rsidRPr="00C806D0" w:rsidRDefault="004442E4" w:rsidP="004442E4">
            <w:pPr>
              <w:rPr>
                <w:sz w:val="19"/>
                <w:szCs w:val="19"/>
              </w:rPr>
            </w:pPr>
          </w:p>
        </w:tc>
        <w:tc>
          <w:tcPr>
            <w:tcW w:w="424" w:type="pct"/>
          </w:tcPr>
          <w:p w:rsidR="004442E4" w:rsidRPr="00C806D0" w:rsidRDefault="004442E4" w:rsidP="004442E4">
            <w:pPr>
              <w:jc w:val="center"/>
              <w:rPr>
                <w:sz w:val="19"/>
                <w:szCs w:val="19"/>
              </w:rPr>
            </w:pPr>
            <w:r w:rsidRPr="00C806D0">
              <w:rPr>
                <w:sz w:val="19"/>
                <w:szCs w:val="19"/>
              </w:rPr>
              <w:t>-0.036</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r w:rsidRPr="00C806D0">
              <w:rPr>
                <w:sz w:val="19"/>
                <w:szCs w:val="19"/>
              </w:rPr>
              <w:t xml:space="preserve">3 </w:t>
            </w:r>
          </w:p>
        </w:tc>
        <w:tc>
          <w:tcPr>
            <w:tcW w:w="1927" w:type="pct"/>
          </w:tcPr>
          <w:p w:rsidR="004442E4" w:rsidRPr="00C806D0" w:rsidRDefault="004442E4" w:rsidP="004442E4">
            <w:pPr>
              <w:rPr>
                <w:sz w:val="19"/>
                <w:szCs w:val="19"/>
              </w:rPr>
            </w:pPr>
            <w:r w:rsidRPr="00C806D0">
              <w:rPr>
                <w:sz w:val="19"/>
                <w:szCs w:val="19"/>
              </w:rPr>
              <w:t>Unable to perform usual activities</w:t>
            </w:r>
          </w:p>
          <w:p w:rsidR="004442E4" w:rsidRPr="00C806D0" w:rsidRDefault="004442E4" w:rsidP="004442E4">
            <w:pPr>
              <w:rPr>
                <w:sz w:val="19"/>
                <w:szCs w:val="19"/>
              </w:rPr>
            </w:pPr>
          </w:p>
        </w:tc>
        <w:tc>
          <w:tcPr>
            <w:tcW w:w="1219" w:type="pct"/>
          </w:tcPr>
          <w:p w:rsidR="004442E4" w:rsidRPr="00C806D0" w:rsidRDefault="004442E4" w:rsidP="004442E4">
            <w:pPr>
              <w:rPr>
                <w:sz w:val="19"/>
                <w:szCs w:val="19"/>
              </w:rPr>
            </w:pPr>
          </w:p>
        </w:tc>
        <w:tc>
          <w:tcPr>
            <w:tcW w:w="424" w:type="pct"/>
          </w:tcPr>
          <w:p w:rsidR="004442E4" w:rsidRPr="00C806D0" w:rsidRDefault="004442E4" w:rsidP="004442E4">
            <w:pPr>
              <w:jc w:val="center"/>
              <w:rPr>
                <w:sz w:val="19"/>
                <w:szCs w:val="19"/>
              </w:rPr>
            </w:pPr>
            <w:r w:rsidRPr="00C806D0">
              <w:rPr>
                <w:sz w:val="19"/>
                <w:szCs w:val="19"/>
              </w:rPr>
              <w:t>-0.094</w:t>
            </w:r>
          </w:p>
        </w:tc>
      </w:tr>
      <w:tr w:rsidR="004442E4" w:rsidRPr="00C806D0" w:rsidTr="004442E4">
        <w:tc>
          <w:tcPr>
            <w:tcW w:w="1057" w:type="pct"/>
          </w:tcPr>
          <w:p w:rsidR="004442E4" w:rsidRPr="00C806D0" w:rsidRDefault="004442E4" w:rsidP="004442E4">
            <w:pPr>
              <w:rPr>
                <w:sz w:val="19"/>
                <w:szCs w:val="19"/>
              </w:rPr>
            </w:pPr>
            <w:r w:rsidRPr="00C806D0">
              <w:rPr>
                <w:sz w:val="19"/>
                <w:szCs w:val="19"/>
              </w:rPr>
              <w:t>Pain/discomfort</w:t>
            </w:r>
          </w:p>
        </w:tc>
        <w:tc>
          <w:tcPr>
            <w:tcW w:w="373" w:type="pct"/>
          </w:tcPr>
          <w:p w:rsidR="004442E4" w:rsidRPr="00C806D0" w:rsidRDefault="004442E4" w:rsidP="004442E4">
            <w:pPr>
              <w:rPr>
                <w:sz w:val="19"/>
                <w:szCs w:val="19"/>
              </w:rPr>
            </w:pPr>
            <w:r w:rsidRPr="00C806D0">
              <w:rPr>
                <w:sz w:val="19"/>
                <w:szCs w:val="19"/>
              </w:rPr>
              <w:t>1</w:t>
            </w:r>
          </w:p>
        </w:tc>
        <w:tc>
          <w:tcPr>
            <w:tcW w:w="1927" w:type="pct"/>
          </w:tcPr>
          <w:p w:rsidR="004442E4" w:rsidRPr="00C806D0" w:rsidRDefault="004442E4" w:rsidP="004442E4">
            <w:pPr>
              <w:rPr>
                <w:sz w:val="19"/>
                <w:szCs w:val="19"/>
              </w:rPr>
            </w:pPr>
            <w:r w:rsidRPr="00C806D0">
              <w:rPr>
                <w:sz w:val="19"/>
                <w:szCs w:val="19"/>
              </w:rPr>
              <w:t>No pain or discomfort</w:t>
            </w:r>
          </w:p>
        </w:tc>
        <w:tc>
          <w:tcPr>
            <w:tcW w:w="1219" w:type="pct"/>
          </w:tcPr>
          <w:p w:rsidR="004442E4" w:rsidRPr="00C806D0" w:rsidRDefault="004442E4" w:rsidP="004442E4">
            <w:pPr>
              <w:rPr>
                <w:sz w:val="19"/>
                <w:szCs w:val="19"/>
              </w:rPr>
            </w:pPr>
          </w:p>
        </w:tc>
        <w:tc>
          <w:tcPr>
            <w:tcW w:w="424" w:type="pct"/>
          </w:tcPr>
          <w:p w:rsidR="004442E4" w:rsidRPr="00C806D0" w:rsidRDefault="004512FF" w:rsidP="004442E4">
            <w:pPr>
              <w:jc w:val="center"/>
              <w:rPr>
                <w:sz w:val="19"/>
                <w:szCs w:val="19"/>
              </w:rPr>
            </w:pPr>
            <w:r w:rsidRPr="00C806D0">
              <w:rPr>
                <w:sz w:val="19"/>
                <w:szCs w:val="19"/>
              </w:rPr>
              <w:t>-</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r w:rsidRPr="00C806D0">
              <w:rPr>
                <w:sz w:val="19"/>
                <w:szCs w:val="19"/>
              </w:rPr>
              <w:t xml:space="preserve">2 </w:t>
            </w:r>
          </w:p>
        </w:tc>
        <w:tc>
          <w:tcPr>
            <w:tcW w:w="1927" w:type="pct"/>
          </w:tcPr>
          <w:p w:rsidR="004442E4" w:rsidRPr="00C806D0" w:rsidRDefault="004442E4" w:rsidP="004442E4">
            <w:pPr>
              <w:rPr>
                <w:sz w:val="19"/>
                <w:szCs w:val="19"/>
              </w:rPr>
            </w:pPr>
            <w:r w:rsidRPr="00C806D0">
              <w:rPr>
                <w:sz w:val="19"/>
                <w:szCs w:val="19"/>
              </w:rPr>
              <w:t>Moderate pain or discomfort</w:t>
            </w:r>
          </w:p>
        </w:tc>
        <w:tc>
          <w:tcPr>
            <w:tcW w:w="1219" w:type="pct"/>
          </w:tcPr>
          <w:p w:rsidR="004442E4" w:rsidRPr="00C806D0" w:rsidRDefault="004442E4" w:rsidP="004442E4">
            <w:pPr>
              <w:rPr>
                <w:sz w:val="19"/>
                <w:szCs w:val="19"/>
              </w:rPr>
            </w:pPr>
          </w:p>
        </w:tc>
        <w:tc>
          <w:tcPr>
            <w:tcW w:w="424" w:type="pct"/>
          </w:tcPr>
          <w:p w:rsidR="004442E4" w:rsidRPr="00C806D0" w:rsidRDefault="004442E4" w:rsidP="004442E4">
            <w:pPr>
              <w:jc w:val="center"/>
              <w:rPr>
                <w:sz w:val="19"/>
                <w:szCs w:val="19"/>
              </w:rPr>
            </w:pPr>
            <w:r w:rsidRPr="00C806D0">
              <w:rPr>
                <w:sz w:val="19"/>
                <w:szCs w:val="19"/>
              </w:rPr>
              <w:t>-0.386</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r w:rsidRPr="00C806D0">
              <w:rPr>
                <w:sz w:val="19"/>
                <w:szCs w:val="19"/>
              </w:rPr>
              <w:t>3</w:t>
            </w:r>
          </w:p>
        </w:tc>
        <w:tc>
          <w:tcPr>
            <w:tcW w:w="1927" w:type="pct"/>
          </w:tcPr>
          <w:p w:rsidR="004442E4" w:rsidRPr="00C806D0" w:rsidRDefault="004442E4" w:rsidP="004442E4">
            <w:pPr>
              <w:rPr>
                <w:sz w:val="19"/>
                <w:szCs w:val="19"/>
              </w:rPr>
            </w:pPr>
            <w:r w:rsidRPr="00C806D0">
              <w:rPr>
                <w:sz w:val="19"/>
                <w:szCs w:val="19"/>
              </w:rPr>
              <w:t>Extreme pain or discomfort</w:t>
            </w:r>
          </w:p>
          <w:p w:rsidR="004442E4" w:rsidRPr="00C806D0" w:rsidRDefault="004442E4" w:rsidP="004442E4">
            <w:pPr>
              <w:rPr>
                <w:sz w:val="19"/>
                <w:szCs w:val="19"/>
              </w:rPr>
            </w:pPr>
          </w:p>
        </w:tc>
        <w:tc>
          <w:tcPr>
            <w:tcW w:w="1219" w:type="pct"/>
          </w:tcPr>
          <w:p w:rsidR="004442E4" w:rsidRPr="00C806D0" w:rsidRDefault="004442E4" w:rsidP="004442E4">
            <w:pPr>
              <w:rPr>
                <w:sz w:val="19"/>
                <w:szCs w:val="19"/>
              </w:rPr>
            </w:pPr>
          </w:p>
        </w:tc>
        <w:tc>
          <w:tcPr>
            <w:tcW w:w="424" w:type="pct"/>
          </w:tcPr>
          <w:p w:rsidR="004442E4" w:rsidRPr="00C806D0" w:rsidRDefault="004442E4" w:rsidP="004442E4">
            <w:pPr>
              <w:jc w:val="center"/>
              <w:rPr>
                <w:sz w:val="19"/>
                <w:szCs w:val="19"/>
              </w:rPr>
            </w:pPr>
            <w:r w:rsidRPr="00C806D0">
              <w:rPr>
                <w:sz w:val="19"/>
                <w:szCs w:val="19"/>
              </w:rPr>
              <w:t>-0.123</w:t>
            </w:r>
          </w:p>
        </w:tc>
      </w:tr>
      <w:tr w:rsidR="004442E4" w:rsidRPr="00C806D0" w:rsidTr="004442E4">
        <w:tc>
          <w:tcPr>
            <w:tcW w:w="1057" w:type="pct"/>
          </w:tcPr>
          <w:p w:rsidR="004442E4" w:rsidRPr="00C806D0" w:rsidRDefault="004442E4" w:rsidP="004442E4">
            <w:pPr>
              <w:rPr>
                <w:sz w:val="19"/>
                <w:szCs w:val="19"/>
              </w:rPr>
            </w:pPr>
            <w:r w:rsidRPr="00C806D0">
              <w:rPr>
                <w:sz w:val="19"/>
                <w:szCs w:val="19"/>
              </w:rPr>
              <w:t>Anxiety/depression</w:t>
            </w:r>
          </w:p>
        </w:tc>
        <w:tc>
          <w:tcPr>
            <w:tcW w:w="373" w:type="pct"/>
          </w:tcPr>
          <w:p w:rsidR="004442E4" w:rsidRPr="00C806D0" w:rsidRDefault="004442E4" w:rsidP="004442E4">
            <w:pPr>
              <w:rPr>
                <w:sz w:val="19"/>
                <w:szCs w:val="19"/>
              </w:rPr>
            </w:pPr>
            <w:r w:rsidRPr="00C806D0">
              <w:rPr>
                <w:sz w:val="19"/>
                <w:szCs w:val="19"/>
              </w:rPr>
              <w:t>1</w:t>
            </w:r>
          </w:p>
        </w:tc>
        <w:tc>
          <w:tcPr>
            <w:tcW w:w="1927" w:type="pct"/>
          </w:tcPr>
          <w:p w:rsidR="004442E4" w:rsidRPr="00C806D0" w:rsidRDefault="004442E4" w:rsidP="004442E4">
            <w:pPr>
              <w:rPr>
                <w:sz w:val="19"/>
                <w:szCs w:val="19"/>
              </w:rPr>
            </w:pPr>
            <w:r w:rsidRPr="00C806D0">
              <w:rPr>
                <w:sz w:val="19"/>
                <w:szCs w:val="19"/>
              </w:rPr>
              <w:t>Not anxious or depressed</w:t>
            </w:r>
          </w:p>
        </w:tc>
        <w:tc>
          <w:tcPr>
            <w:tcW w:w="1219" w:type="pct"/>
          </w:tcPr>
          <w:p w:rsidR="004442E4" w:rsidRPr="00C806D0" w:rsidRDefault="004442E4" w:rsidP="004442E4">
            <w:pPr>
              <w:rPr>
                <w:sz w:val="19"/>
                <w:szCs w:val="19"/>
              </w:rPr>
            </w:pPr>
          </w:p>
        </w:tc>
        <w:tc>
          <w:tcPr>
            <w:tcW w:w="424" w:type="pct"/>
          </w:tcPr>
          <w:p w:rsidR="004442E4" w:rsidRPr="00C806D0" w:rsidRDefault="004512FF" w:rsidP="004442E4">
            <w:pPr>
              <w:jc w:val="center"/>
              <w:rPr>
                <w:sz w:val="19"/>
                <w:szCs w:val="19"/>
              </w:rPr>
            </w:pPr>
            <w:r w:rsidRPr="00C806D0">
              <w:rPr>
                <w:sz w:val="19"/>
                <w:szCs w:val="19"/>
              </w:rPr>
              <w:t>-</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r w:rsidRPr="00C806D0">
              <w:rPr>
                <w:sz w:val="19"/>
                <w:szCs w:val="19"/>
              </w:rPr>
              <w:t>2</w:t>
            </w:r>
          </w:p>
        </w:tc>
        <w:tc>
          <w:tcPr>
            <w:tcW w:w="1927" w:type="pct"/>
          </w:tcPr>
          <w:p w:rsidR="004442E4" w:rsidRPr="00C806D0" w:rsidRDefault="004442E4" w:rsidP="004442E4">
            <w:pPr>
              <w:rPr>
                <w:sz w:val="19"/>
                <w:szCs w:val="19"/>
              </w:rPr>
            </w:pPr>
            <w:r w:rsidRPr="00C806D0">
              <w:rPr>
                <w:sz w:val="19"/>
                <w:szCs w:val="19"/>
              </w:rPr>
              <w:t>Moderately anxious or depressed</w:t>
            </w:r>
          </w:p>
        </w:tc>
        <w:tc>
          <w:tcPr>
            <w:tcW w:w="1219" w:type="pct"/>
          </w:tcPr>
          <w:p w:rsidR="004442E4" w:rsidRPr="00C806D0" w:rsidRDefault="004442E4" w:rsidP="004442E4">
            <w:pPr>
              <w:rPr>
                <w:sz w:val="19"/>
                <w:szCs w:val="19"/>
              </w:rPr>
            </w:pPr>
          </w:p>
        </w:tc>
        <w:tc>
          <w:tcPr>
            <w:tcW w:w="424" w:type="pct"/>
          </w:tcPr>
          <w:p w:rsidR="004442E4" w:rsidRPr="00C806D0" w:rsidRDefault="004442E4" w:rsidP="004442E4">
            <w:pPr>
              <w:jc w:val="center"/>
              <w:rPr>
                <w:sz w:val="19"/>
                <w:szCs w:val="19"/>
              </w:rPr>
            </w:pPr>
            <w:r w:rsidRPr="00C806D0">
              <w:rPr>
                <w:sz w:val="19"/>
                <w:szCs w:val="19"/>
              </w:rPr>
              <w:t>-0.071</w:t>
            </w:r>
          </w:p>
        </w:tc>
      </w:tr>
      <w:tr w:rsidR="004442E4" w:rsidRPr="00C806D0" w:rsidTr="004442E4">
        <w:tc>
          <w:tcPr>
            <w:tcW w:w="1057" w:type="pct"/>
          </w:tcPr>
          <w:p w:rsidR="004442E4" w:rsidRPr="00C806D0" w:rsidRDefault="004442E4" w:rsidP="004442E4">
            <w:pPr>
              <w:rPr>
                <w:sz w:val="19"/>
                <w:szCs w:val="19"/>
              </w:rPr>
            </w:pPr>
          </w:p>
        </w:tc>
        <w:tc>
          <w:tcPr>
            <w:tcW w:w="373" w:type="pct"/>
          </w:tcPr>
          <w:p w:rsidR="004442E4" w:rsidRPr="00C806D0" w:rsidRDefault="004442E4" w:rsidP="004442E4">
            <w:pPr>
              <w:rPr>
                <w:sz w:val="19"/>
                <w:szCs w:val="19"/>
              </w:rPr>
            </w:pPr>
            <w:r w:rsidRPr="00C806D0">
              <w:rPr>
                <w:sz w:val="19"/>
                <w:szCs w:val="19"/>
              </w:rPr>
              <w:t>3</w:t>
            </w:r>
          </w:p>
        </w:tc>
        <w:tc>
          <w:tcPr>
            <w:tcW w:w="1927" w:type="pct"/>
          </w:tcPr>
          <w:p w:rsidR="004442E4" w:rsidRPr="00C806D0" w:rsidRDefault="004442E4" w:rsidP="004442E4">
            <w:pPr>
              <w:rPr>
                <w:sz w:val="19"/>
                <w:szCs w:val="19"/>
              </w:rPr>
            </w:pPr>
            <w:r w:rsidRPr="00C806D0">
              <w:rPr>
                <w:sz w:val="19"/>
                <w:szCs w:val="19"/>
              </w:rPr>
              <w:t>Extremely anxious or depressed</w:t>
            </w:r>
          </w:p>
        </w:tc>
        <w:tc>
          <w:tcPr>
            <w:tcW w:w="1219" w:type="pct"/>
          </w:tcPr>
          <w:p w:rsidR="004442E4" w:rsidRPr="00C806D0" w:rsidRDefault="004442E4" w:rsidP="004442E4">
            <w:pPr>
              <w:rPr>
                <w:sz w:val="19"/>
                <w:szCs w:val="19"/>
              </w:rPr>
            </w:pPr>
          </w:p>
        </w:tc>
        <w:tc>
          <w:tcPr>
            <w:tcW w:w="424" w:type="pct"/>
          </w:tcPr>
          <w:p w:rsidR="004442E4" w:rsidRPr="00C806D0" w:rsidRDefault="004442E4" w:rsidP="004442E4">
            <w:pPr>
              <w:jc w:val="center"/>
              <w:rPr>
                <w:sz w:val="19"/>
                <w:szCs w:val="19"/>
              </w:rPr>
            </w:pPr>
            <w:r w:rsidRPr="00C806D0">
              <w:rPr>
                <w:sz w:val="19"/>
                <w:szCs w:val="19"/>
              </w:rPr>
              <w:t>-0.236</w:t>
            </w:r>
          </w:p>
        </w:tc>
      </w:tr>
    </w:tbl>
    <w:p w:rsidR="004442E4" w:rsidRPr="00C806D0" w:rsidRDefault="004442E4" w:rsidP="004442E4"/>
    <w:p w:rsidR="004442E4" w:rsidRPr="00C806D0" w:rsidRDefault="004442E4" w:rsidP="004442E4">
      <w:r w:rsidRPr="00C806D0">
        <w:t>Perfect health with no problem in any EQ5D health dimension is scored as 1. The presence of any problem results in a constant reduction of 0.081. Level 2 or 3 probl</w:t>
      </w:r>
      <w:r w:rsidR="004512FF" w:rsidRPr="00C806D0">
        <w:t>ems in each dimension have</w:t>
      </w:r>
      <w:r w:rsidRPr="00C806D0">
        <w:t xml:space="preserve"> a specific associated decrement. The presence of any level 3 problem results in a further one-off subtraction of 0.269. </w:t>
      </w:r>
    </w:p>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6F2FC6">
      <w:pPr>
        <w:pStyle w:val="Heading3"/>
        <w:rPr>
          <w:rStyle w:val="Heading3Char"/>
          <w:b/>
          <w:bCs/>
        </w:rPr>
      </w:pPr>
      <w:r w:rsidRPr="00C806D0">
        <w:rPr>
          <w:rStyle w:val="Heading3Char"/>
          <w:b/>
          <w:bCs/>
        </w:rPr>
        <w:lastRenderedPageBreak/>
        <w:t>Classification of the Glasgow Outcome Scale</w:t>
      </w:r>
    </w:p>
    <w:p w:rsidR="004442E4" w:rsidRPr="00C806D0" w:rsidRDefault="004442E4" w:rsidP="004442E4">
      <w:pPr>
        <w:rPr>
          <w:b/>
        </w:rPr>
      </w:pPr>
      <w:r w:rsidRPr="00C806D0">
        <w:rPr>
          <w:b/>
        </w:rPr>
        <w:t>Table F3</w:t>
      </w:r>
      <w:r w:rsidR="007F7392" w:rsidRPr="00C806D0">
        <w:rPr>
          <w:b/>
        </w:rPr>
        <w:t>.</w:t>
      </w:r>
      <w:r w:rsidRPr="00C806D0">
        <w:rPr>
          <w:b/>
        </w:rPr>
        <w:t>* Descriptions of basic and extended GOS health states</w:t>
      </w:r>
      <w:r w:rsidR="00B65AAF" w:rsidRPr="00C806D0">
        <w:rPr>
          <w:b/>
        </w:rPr>
        <w:t>.</w:t>
      </w:r>
      <w:r w:rsidR="00D368BB" w:rsidRPr="00C806D0">
        <w:rPr>
          <w:b/>
          <w:noProof/>
          <w:vertAlign w:val="superscript"/>
        </w:rPr>
        <w:t>[</w:t>
      </w:r>
      <w:r w:rsidR="006D4D62" w:rsidRPr="00C806D0">
        <w:rPr>
          <w:b/>
          <w:noProof/>
          <w:vertAlign w:val="superscript"/>
        </w:rPr>
        <w:t>14</w:t>
      </w:r>
      <w:r w:rsidR="00D368BB" w:rsidRPr="00C806D0">
        <w:rPr>
          <w:b/>
          <w:noProof/>
          <w:vertAlign w:val="superscript"/>
        </w:rPr>
        <w:t xml:space="preserve">, </w:t>
      </w:r>
      <w:r w:rsidR="006D4D62" w:rsidRPr="00C806D0">
        <w:rPr>
          <w:b/>
          <w:noProof/>
          <w:vertAlign w:val="superscript"/>
        </w:rPr>
        <w:t>15</w:t>
      </w:r>
      <w:r w:rsidR="00D368BB" w:rsidRPr="00C806D0">
        <w:rPr>
          <w:b/>
          <w:noProof/>
          <w:vertAlign w:val="superscript"/>
        </w:rPr>
        <w:t>]</w:t>
      </w:r>
    </w:p>
    <w:tbl>
      <w:tblPr>
        <w:tblStyle w:val="TableGrid"/>
        <w:tblW w:w="0" w:type="auto"/>
        <w:tblLook w:val="04A0" w:firstRow="1" w:lastRow="0" w:firstColumn="1" w:lastColumn="0" w:noHBand="0" w:noVBand="1"/>
      </w:tblPr>
      <w:tblGrid>
        <w:gridCol w:w="1486"/>
        <w:gridCol w:w="7234"/>
      </w:tblGrid>
      <w:tr w:rsidR="004442E4" w:rsidRPr="00C806D0" w:rsidTr="004442E4">
        <w:trPr>
          <w:trHeight w:val="381"/>
        </w:trPr>
        <w:tc>
          <w:tcPr>
            <w:tcW w:w="0" w:type="auto"/>
            <w:gridSpan w:val="2"/>
            <w:tcBorders>
              <w:left w:val="nil"/>
              <w:bottom w:val="single" w:sz="4" w:space="0" w:color="auto"/>
              <w:right w:val="nil"/>
            </w:tcBorders>
            <w:shd w:val="clear" w:color="auto" w:fill="auto"/>
          </w:tcPr>
          <w:p w:rsidR="004442E4" w:rsidRPr="00C806D0" w:rsidRDefault="004442E4" w:rsidP="004442E4">
            <w:pPr>
              <w:pStyle w:val="NoSpacing"/>
              <w:rPr>
                <w:b/>
                <w:sz w:val="18"/>
                <w:szCs w:val="18"/>
              </w:rPr>
            </w:pPr>
            <w:r w:rsidRPr="00C806D0">
              <w:rPr>
                <w:b/>
                <w:sz w:val="18"/>
                <w:szCs w:val="18"/>
              </w:rPr>
              <w:t>Basic Glasgow Outcome Scale</w:t>
            </w:r>
          </w:p>
        </w:tc>
      </w:tr>
      <w:tr w:rsidR="004442E4" w:rsidRPr="00C806D0" w:rsidTr="004442E4">
        <w:tc>
          <w:tcPr>
            <w:tcW w:w="1526" w:type="dxa"/>
            <w:tcBorders>
              <w:left w:val="nil"/>
              <w:bottom w:val="nil"/>
            </w:tcBorders>
          </w:tcPr>
          <w:p w:rsidR="004442E4" w:rsidRPr="00C806D0" w:rsidRDefault="004442E4" w:rsidP="004442E4">
            <w:pPr>
              <w:pStyle w:val="NoSpacing"/>
              <w:rPr>
                <w:sz w:val="18"/>
                <w:szCs w:val="18"/>
              </w:rPr>
            </w:pPr>
            <w:r w:rsidRPr="00C806D0">
              <w:rPr>
                <w:sz w:val="18"/>
                <w:szCs w:val="18"/>
              </w:rPr>
              <w:t>1 Death</w:t>
            </w:r>
          </w:p>
          <w:p w:rsidR="004442E4" w:rsidRPr="00C806D0" w:rsidRDefault="004442E4" w:rsidP="004442E4">
            <w:pPr>
              <w:pStyle w:val="NoSpacing"/>
              <w:rPr>
                <w:sz w:val="18"/>
                <w:szCs w:val="18"/>
              </w:rPr>
            </w:pPr>
          </w:p>
        </w:tc>
        <w:tc>
          <w:tcPr>
            <w:tcW w:w="7716" w:type="dxa"/>
            <w:tcBorders>
              <w:bottom w:val="nil"/>
              <w:right w:val="nil"/>
            </w:tcBorders>
          </w:tcPr>
          <w:p w:rsidR="004442E4" w:rsidRPr="00C806D0" w:rsidRDefault="004442E4" w:rsidP="004442E4">
            <w:pPr>
              <w:pStyle w:val="NoSpacing"/>
              <w:rPr>
                <w:sz w:val="18"/>
                <w:szCs w:val="18"/>
              </w:rPr>
            </w:pPr>
            <w:r w:rsidRPr="00C806D0">
              <w:rPr>
                <w:sz w:val="18"/>
                <w:szCs w:val="18"/>
              </w:rPr>
              <w:t>Death due directly or indirectly to head injury</w:t>
            </w:r>
          </w:p>
        </w:tc>
      </w:tr>
      <w:tr w:rsidR="004442E4" w:rsidRPr="00C806D0" w:rsidTr="004442E4">
        <w:tc>
          <w:tcPr>
            <w:tcW w:w="1526" w:type="dxa"/>
            <w:tcBorders>
              <w:top w:val="nil"/>
              <w:left w:val="nil"/>
              <w:bottom w:val="nil"/>
            </w:tcBorders>
          </w:tcPr>
          <w:p w:rsidR="004442E4" w:rsidRPr="00C806D0" w:rsidRDefault="004442E4" w:rsidP="004442E4">
            <w:pPr>
              <w:pStyle w:val="NoSpacing"/>
              <w:rPr>
                <w:sz w:val="18"/>
                <w:szCs w:val="18"/>
              </w:rPr>
            </w:pPr>
            <w:r w:rsidRPr="00C806D0">
              <w:rPr>
                <w:sz w:val="18"/>
                <w:szCs w:val="18"/>
              </w:rPr>
              <w:t xml:space="preserve">2 </w:t>
            </w:r>
            <w:r w:rsidR="004512FF" w:rsidRPr="00C806D0">
              <w:rPr>
                <w:sz w:val="18"/>
                <w:szCs w:val="18"/>
              </w:rPr>
              <w:t>V</w:t>
            </w:r>
            <w:r w:rsidRPr="00C806D0">
              <w:rPr>
                <w:sz w:val="18"/>
                <w:szCs w:val="18"/>
              </w:rPr>
              <w:t>egetative state</w:t>
            </w:r>
          </w:p>
          <w:p w:rsidR="004442E4" w:rsidRPr="00C806D0" w:rsidRDefault="004442E4" w:rsidP="004442E4">
            <w:pPr>
              <w:pStyle w:val="NoSpacing"/>
              <w:rPr>
                <w:sz w:val="18"/>
                <w:szCs w:val="18"/>
              </w:rPr>
            </w:pPr>
          </w:p>
        </w:tc>
        <w:tc>
          <w:tcPr>
            <w:tcW w:w="7716" w:type="dxa"/>
            <w:tcBorders>
              <w:top w:val="nil"/>
              <w:bottom w:val="nil"/>
              <w:right w:val="nil"/>
            </w:tcBorders>
          </w:tcPr>
          <w:p w:rsidR="004442E4" w:rsidRPr="00C806D0" w:rsidRDefault="004442E4" w:rsidP="004442E4">
            <w:pPr>
              <w:pStyle w:val="NoSpacing"/>
              <w:rPr>
                <w:rFonts w:cs="Courier"/>
                <w:sz w:val="18"/>
                <w:szCs w:val="18"/>
              </w:rPr>
            </w:pPr>
            <w:r w:rsidRPr="00C806D0">
              <w:rPr>
                <w:rFonts w:cs="Courier"/>
                <w:sz w:val="18"/>
                <w:szCs w:val="18"/>
              </w:rPr>
              <w:t>Unresponsive:  W</w:t>
            </w:r>
            <w:r w:rsidRPr="00C806D0">
              <w:rPr>
                <w:rFonts w:cs="ILILHE+Arial"/>
                <w:sz w:val="18"/>
                <w:szCs w:val="18"/>
              </w:rPr>
              <w:t>akefulness without awareness; No meaningful responses or evidence of mental function. Periods of spontaneous eye opening.</w:t>
            </w:r>
            <w:r w:rsidRPr="00C806D0">
              <w:rPr>
                <w:rFonts w:cs="Courier"/>
                <w:sz w:val="18"/>
                <w:szCs w:val="18"/>
              </w:rPr>
              <w:t xml:space="preserve"> </w:t>
            </w:r>
          </w:p>
          <w:p w:rsidR="004442E4" w:rsidRPr="00C806D0" w:rsidRDefault="004442E4" w:rsidP="004442E4">
            <w:pPr>
              <w:pStyle w:val="NoSpacing"/>
              <w:rPr>
                <w:sz w:val="18"/>
                <w:szCs w:val="18"/>
              </w:rPr>
            </w:pPr>
          </w:p>
        </w:tc>
      </w:tr>
      <w:tr w:rsidR="004442E4" w:rsidRPr="00C806D0" w:rsidTr="004442E4">
        <w:tc>
          <w:tcPr>
            <w:tcW w:w="1526" w:type="dxa"/>
            <w:tcBorders>
              <w:top w:val="nil"/>
              <w:left w:val="nil"/>
              <w:bottom w:val="nil"/>
            </w:tcBorders>
          </w:tcPr>
          <w:p w:rsidR="004442E4" w:rsidRPr="00C806D0" w:rsidRDefault="004442E4" w:rsidP="004442E4">
            <w:pPr>
              <w:pStyle w:val="NoSpacing"/>
              <w:rPr>
                <w:sz w:val="18"/>
                <w:szCs w:val="18"/>
              </w:rPr>
            </w:pPr>
            <w:r w:rsidRPr="00C806D0">
              <w:rPr>
                <w:sz w:val="18"/>
                <w:szCs w:val="18"/>
              </w:rPr>
              <w:t>3 Severe disability</w:t>
            </w:r>
          </w:p>
        </w:tc>
        <w:tc>
          <w:tcPr>
            <w:tcW w:w="7716" w:type="dxa"/>
            <w:tcBorders>
              <w:top w:val="nil"/>
              <w:bottom w:val="nil"/>
              <w:right w:val="nil"/>
            </w:tcBorders>
          </w:tcPr>
          <w:p w:rsidR="004442E4" w:rsidRPr="00C806D0" w:rsidRDefault="004442E4" w:rsidP="004442E4">
            <w:pPr>
              <w:pStyle w:val="NoSpacing"/>
              <w:rPr>
                <w:rFonts w:cs="Courier"/>
                <w:sz w:val="18"/>
                <w:szCs w:val="18"/>
              </w:rPr>
            </w:pPr>
            <w:r w:rsidRPr="00C806D0">
              <w:rPr>
                <w:rFonts w:cs="Courier"/>
                <w:sz w:val="18"/>
                <w:szCs w:val="18"/>
              </w:rPr>
              <w:t xml:space="preserve">Conscious but disabled: </w:t>
            </w:r>
            <w:r w:rsidRPr="00C806D0">
              <w:rPr>
                <w:rFonts w:cs="ILILHE+Arial"/>
                <w:color w:val="000000"/>
                <w:sz w:val="18"/>
                <w:szCs w:val="18"/>
              </w:rPr>
              <w:t xml:space="preserve">Patient requires assistance to perform daily activities and cannot live independently </w:t>
            </w:r>
            <w:r w:rsidRPr="00C806D0">
              <w:rPr>
                <w:rFonts w:cs="Courier"/>
                <w:sz w:val="18"/>
                <w:szCs w:val="18"/>
              </w:rPr>
              <w:t>due to mental or physical disability.</w:t>
            </w:r>
          </w:p>
          <w:p w:rsidR="004442E4" w:rsidRPr="00C806D0" w:rsidRDefault="004442E4" w:rsidP="004442E4">
            <w:pPr>
              <w:pStyle w:val="NoSpacing"/>
              <w:rPr>
                <w:sz w:val="18"/>
                <w:szCs w:val="18"/>
              </w:rPr>
            </w:pPr>
          </w:p>
        </w:tc>
      </w:tr>
      <w:tr w:rsidR="004442E4" w:rsidRPr="00C806D0" w:rsidTr="004442E4">
        <w:tc>
          <w:tcPr>
            <w:tcW w:w="1526" w:type="dxa"/>
            <w:tcBorders>
              <w:top w:val="nil"/>
              <w:left w:val="nil"/>
              <w:bottom w:val="nil"/>
            </w:tcBorders>
          </w:tcPr>
          <w:p w:rsidR="004442E4" w:rsidRPr="00C806D0" w:rsidRDefault="004442E4" w:rsidP="004442E4">
            <w:pPr>
              <w:pStyle w:val="NoSpacing"/>
              <w:rPr>
                <w:sz w:val="18"/>
                <w:szCs w:val="18"/>
              </w:rPr>
            </w:pPr>
            <w:r w:rsidRPr="00C806D0">
              <w:rPr>
                <w:sz w:val="18"/>
                <w:szCs w:val="18"/>
              </w:rPr>
              <w:t>4 Moderate disability</w:t>
            </w:r>
          </w:p>
        </w:tc>
        <w:tc>
          <w:tcPr>
            <w:tcW w:w="7716" w:type="dxa"/>
            <w:tcBorders>
              <w:top w:val="nil"/>
              <w:bottom w:val="nil"/>
              <w:right w:val="nil"/>
            </w:tcBorders>
          </w:tcPr>
          <w:p w:rsidR="004442E4" w:rsidRPr="00C806D0" w:rsidRDefault="004442E4" w:rsidP="004442E4">
            <w:pPr>
              <w:pStyle w:val="NoSpacing"/>
              <w:rPr>
                <w:sz w:val="18"/>
                <w:szCs w:val="18"/>
              </w:rPr>
            </w:pPr>
            <w:r w:rsidRPr="00C806D0">
              <w:rPr>
                <w:sz w:val="18"/>
                <w:szCs w:val="18"/>
              </w:rPr>
              <w:t>Independent but disabled: Patient able to independently perform activities of daily living. May perform sheltered work only. However, s</w:t>
            </w:r>
            <w:r w:rsidRPr="00C806D0">
              <w:rPr>
                <w:rFonts w:cs="Courier"/>
                <w:sz w:val="18"/>
                <w:szCs w:val="18"/>
              </w:rPr>
              <w:t>ome previous activities, either in leisure, work or social life, are now no longer possible by reason of either physical or mental deficit, s</w:t>
            </w:r>
            <w:r w:rsidRPr="00C806D0">
              <w:rPr>
                <w:sz w:val="18"/>
                <w:szCs w:val="18"/>
              </w:rPr>
              <w:t>uch as dysphasia, hemiparesis, ataxia, cognitive deficits, and personality change.</w:t>
            </w:r>
          </w:p>
          <w:p w:rsidR="004442E4" w:rsidRPr="00C806D0" w:rsidRDefault="004442E4" w:rsidP="004442E4">
            <w:pPr>
              <w:pStyle w:val="NoSpacing"/>
              <w:rPr>
                <w:sz w:val="18"/>
                <w:szCs w:val="18"/>
              </w:rPr>
            </w:pPr>
          </w:p>
        </w:tc>
      </w:tr>
      <w:tr w:rsidR="004442E4" w:rsidRPr="00C806D0" w:rsidTr="004442E4">
        <w:tc>
          <w:tcPr>
            <w:tcW w:w="1526" w:type="dxa"/>
            <w:tcBorders>
              <w:top w:val="nil"/>
              <w:left w:val="nil"/>
              <w:bottom w:val="single" w:sz="4" w:space="0" w:color="auto"/>
            </w:tcBorders>
          </w:tcPr>
          <w:p w:rsidR="004442E4" w:rsidRPr="00C806D0" w:rsidRDefault="004442E4" w:rsidP="004442E4">
            <w:pPr>
              <w:pStyle w:val="NoSpacing"/>
              <w:rPr>
                <w:sz w:val="18"/>
                <w:szCs w:val="18"/>
              </w:rPr>
            </w:pPr>
            <w:r w:rsidRPr="00C806D0">
              <w:rPr>
                <w:sz w:val="18"/>
                <w:szCs w:val="18"/>
              </w:rPr>
              <w:t>5 Good recovery</w:t>
            </w:r>
          </w:p>
        </w:tc>
        <w:tc>
          <w:tcPr>
            <w:tcW w:w="7716" w:type="dxa"/>
            <w:tcBorders>
              <w:top w:val="nil"/>
              <w:bottom w:val="single" w:sz="4" w:space="0" w:color="auto"/>
              <w:right w:val="nil"/>
            </w:tcBorders>
          </w:tcPr>
          <w:p w:rsidR="004442E4" w:rsidRPr="00C806D0" w:rsidRDefault="004442E4" w:rsidP="004442E4">
            <w:pPr>
              <w:pStyle w:val="NoSpacing"/>
              <w:rPr>
                <w:sz w:val="18"/>
                <w:szCs w:val="18"/>
              </w:rPr>
            </w:pPr>
            <w:r w:rsidRPr="00C806D0">
              <w:rPr>
                <w:sz w:val="18"/>
                <w:szCs w:val="18"/>
              </w:rPr>
              <w:t xml:space="preserve">Resumption of normal life: Reintegrated into society and with capacity to return to work although not necessarily at same level. Minor neurological or psychological impairments. </w:t>
            </w:r>
          </w:p>
          <w:p w:rsidR="004442E4" w:rsidRPr="00C806D0" w:rsidRDefault="004442E4" w:rsidP="004442E4">
            <w:pPr>
              <w:pStyle w:val="NoSpacing"/>
              <w:rPr>
                <w:sz w:val="18"/>
                <w:szCs w:val="18"/>
              </w:rPr>
            </w:pPr>
          </w:p>
        </w:tc>
      </w:tr>
      <w:tr w:rsidR="004442E4" w:rsidRPr="00C806D0" w:rsidTr="004442E4">
        <w:trPr>
          <w:trHeight w:val="381"/>
        </w:trPr>
        <w:tc>
          <w:tcPr>
            <w:tcW w:w="0" w:type="auto"/>
            <w:gridSpan w:val="2"/>
            <w:tcBorders>
              <w:left w:val="nil"/>
              <w:bottom w:val="single" w:sz="4" w:space="0" w:color="auto"/>
              <w:right w:val="nil"/>
            </w:tcBorders>
            <w:shd w:val="clear" w:color="auto" w:fill="auto"/>
          </w:tcPr>
          <w:p w:rsidR="004442E4" w:rsidRPr="00C806D0" w:rsidRDefault="004442E4" w:rsidP="004442E4">
            <w:pPr>
              <w:pStyle w:val="NoSpacing"/>
              <w:rPr>
                <w:b/>
                <w:sz w:val="18"/>
                <w:szCs w:val="18"/>
              </w:rPr>
            </w:pPr>
            <w:r w:rsidRPr="00C806D0">
              <w:rPr>
                <w:b/>
                <w:sz w:val="18"/>
                <w:szCs w:val="18"/>
              </w:rPr>
              <w:t>Extended Glasgow Outcome Scale</w:t>
            </w:r>
          </w:p>
        </w:tc>
      </w:tr>
      <w:tr w:rsidR="004442E4" w:rsidRPr="00C806D0" w:rsidTr="004442E4">
        <w:tc>
          <w:tcPr>
            <w:tcW w:w="1526" w:type="dxa"/>
            <w:tcBorders>
              <w:left w:val="nil"/>
              <w:bottom w:val="nil"/>
            </w:tcBorders>
          </w:tcPr>
          <w:p w:rsidR="004442E4" w:rsidRPr="00C806D0" w:rsidRDefault="004442E4" w:rsidP="004442E4">
            <w:pPr>
              <w:pStyle w:val="NoSpacing"/>
              <w:rPr>
                <w:sz w:val="18"/>
                <w:szCs w:val="18"/>
              </w:rPr>
            </w:pPr>
            <w:r w:rsidRPr="00C806D0">
              <w:rPr>
                <w:sz w:val="18"/>
                <w:szCs w:val="18"/>
              </w:rPr>
              <w:t>1 Death</w:t>
            </w:r>
          </w:p>
          <w:p w:rsidR="004442E4" w:rsidRPr="00C806D0" w:rsidRDefault="004442E4" w:rsidP="004442E4">
            <w:pPr>
              <w:pStyle w:val="NoSpacing"/>
              <w:rPr>
                <w:sz w:val="18"/>
                <w:szCs w:val="18"/>
              </w:rPr>
            </w:pPr>
          </w:p>
        </w:tc>
        <w:tc>
          <w:tcPr>
            <w:tcW w:w="7716" w:type="dxa"/>
            <w:tcBorders>
              <w:bottom w:val="nil"/>
              <w:right w:val="nil"/>
            </w:tcBorders>
          </w:tcPr>
          <w:p w:rsidR="004442E4" w:rsidRPr="00C806D0" w:rsidRDefault="004442E4" w:rsidP="004442E4">
            <w:pPr>
              <w:pStyle w:val="NoSpacing"/>
              <w:rPr>
                <w:sz w:val="18"/>
                <w:szCs w:val="18"/>
              </w:rPr>
            </w:pPr>
            <w:r w:rsidRPr="00C806D0">
              <w:rPr>
                <w:sz w:val="18"/>
                <w:szCs w:val="18"/>
              </w:rPr>
              <w:t>Death due directly or indirectly to head injury</w:t>
            </w:r>
          </w:p>
        </w:tc>
      </w:tr>
      <w:tr w:rsidR="004442E4" w:rsidRPr="00C806D0" w:rsidTr="004442E4">
        <w:trPr>
          <w:trHeight w:val="349"/>
        </w:trPr>
        <w:tc>
          <w:tcPr>
            <w:tcW w:w="1526" w:type="dxa"/>
            <w:tcBorders>
              <w:top w:val="nil"/>
              <w:left w:val="nil"/>
              <w:bottom w:val="nil"/>
            </w:tcBorders>
          </w:tcPr>
          <w:p w:rsidR="004442E4" w:rsidRPr="00C806D0" w:rsidRDefault="004512FF" w:rsidP="004442E4">
            <w:pPr>
              <w:pStyle w:val="NoSpacing"/>
              <w:rPr>
                <w:sz w:val="18"/>
                <w:szCs w:val="18"/>
              </w:rPr>
            </w:pPr>
            <w:r w:rsidRPr="00C806D0">
              <w:rPr>
                <w:sz w:val="18"/>
                <w:szCs w:val="18"/>
              </w:rPr>
              <w:t>2 V</w:t>
            </w:r>
            <w:r w:rsidR="004442E4" w:rsidRPr="00C806D0">
              <w:rPr>
                <w:sz w:val="18"/>
                <w:szCs w:val="18"/>
              </w:rPr>
              <w:t>egetative state</w:t>
            </w:r>
          </w:p>
          <w:p w:rsidR="004442E4" w:rsidRPr="00C806D0" w:rsidRDefault="004442E4" w:rsidP="004442E4">
            <w:pPr>
              <w:pStyle w:val="NoSpacing"/>
              <w:rPr>
                <w:sz w:val="18"/>
                <w:szCs w:val="18"/>
              </w:rPr>
            </w:pPr>
          </w:p>
        </w:tc>
        <w:tc>
          <w:tcPr>
            <w:tcW w:w="7716" w:type="dxa"/>
            <w:tcBorders>
              <w:top w:val="nil"/>
              <w:bottom w:val="nil"/>
              <w:right w:val="nil"/>
            </w:tcBorders>
          </w:tcPr>
          <w:p w:rsidR="004442E4" w:rsidRPr="00C806D0" w:rsidRDefault="004442E4" w:rsidP="004442E4">
            <w:pPr>
              <w:pStyle w:val="NoSpacing"/>
              <w:rPr>
                <w:rFonts w:cs="Courier"/>
                <w:sz w:val="18"/>
                <w:szCs w:val="18"/>
              </w:rPr>
            </w:pPr>
            <w:r w:rsidRPr="00C806D0">
              <w:rPr>
                <w:rFonts w:cs="Courier"/>
                <w:sz w:val="18"/>
                <w:szCs w:val="18"/>
              </w:rPr>
              <w:t>Unresponsive: W</w:t>
            </w:r>
            <w:r w:rsidRPr="00C806D0">
              <w:rPr>
                <w:rFonts w:cs="ILILHE+Arial"/>
                <w:sz w:val="18"/>
                <w:szCs w:val="18"/>
              </w:rPr>
              <w:t>akefulness without awareness; No meaningful responses or evidence of mental function. Periods of spontaneous eye opening.</w:t>
            </w:r>
            <w:r w:rsidRPr="00C806D0">
              <w:rPr>
                <w:rFonts w:cs="Courier"/>
                <w:sz w:val="18"/>
                <w:szCs w:val="18"/>
              </w:rPr>
              <w:t xml:space="preserve"> </w:t>
            </w:r>
          </w:p>
          <w:p w:rsidR="004442E4" w:rsidRPr="00C806D0" w:rsidRDefault="004442E4" w:rsidP="004442E4">
            <w:pPr>
              <w:pStyle w:val="NoSpacing"/>
              <w:rPr>
                <w:sz w:val="18"/>
                <w:szCs w:val="18"/>
              </w:rPr>
            </w:pPr>
          </w:p>
        </w:tc>
      </w:tr>
      <w:tr w:rsidR="004442E4" w:rsidRPr="00C806D0" w:rsidTr="004442E4">
        <w:tc>
          <w:tcPr>
            <w:tcW w:w="1526" w:type="dxa"/>
            <w:tcBorders>
              <w:top w:val="nil"/>
              <w:left w:val="nil"/>
              <w:bottom w:val="nil"/>
            </w:tcBorders>
          </w:tcPr>
          <w:p w:rsidR="004442E4" w:rsidRPr="00C806D0" w:rsidRDefault="004442E4" w:rsidP="004442E4">
            <w:pPr>
              <w:pStyle w:val="NoSpacing"/>
              <w:rPr>
                <w:sz w:val="18"/>
                <w:szCs w:val="18"/>
              </w:rPr>
            </w:pPr>
            <w:r w:rsidRPr="00C806D0">
              <w:rPr>
                <w:sz w:val="18"/>
                <w:szCs w:val="18"/>
              </w:rPr>
              <w:t>3 Lower severe disability</w:t>
            </w:r>
          </w:p>
          <w:p w:rsidR="004442E4" w:rsidRPr="00C806D0" w:rsidRDefault="004442E4" w:rsidP="004442E4">
            <w:pPr>
              <w:pStyle w:val="NoSpacing"/>
              <w:rPr>
                <w:sz w:val="18"/>
                <w:szCs w:val="18"/>
              </w:rPr>
            </w:pPr>
          </w:p>
        </w:tc>
        <w:tc>
          <w:tcPr>
            <w:tcW w:w="7716" w:type="dxa"/>
            <w:tcBorders>
              <w:top w:val="nil"/>
              <w:bottom w:val="nil"/>
              <w:right w:val="nil"/>
            </w:tcBorders>
          </w:tcPr>
          <w:p w:rsidR="004442E4" w:rsidRPr="00C806D0" w:rsidRDefault="004442E4" w:rsidP="004442E4">
            <w:pPr>
              <w:pStyle w:val="NoSpacing"/>
              <w:rPr>
                <w:rFonts w:cs="Courier"/>
                <w:sz w:val="18"/>
                <w:szCs w:val="18"/>
              </w:rPr>
            </w:pPr>
            <w:r w:rsidRPr="00C806D0">
              <w:rPr>
                <w:rFonts w:cs="Courier"/>
                <w:sz w:val="18"/>
                <w:szCs w:val="18"/>
              </w:rPr>
              <w:t xml:space="preserve">Conscious but disabled: </w:t>
            </w:r>
            <w:r w:rsidRPr="00C806D0">
              <w:rPr>
                <w:rFonts w:cs="ILILHE+Arial"/>
                <w:color w:val="000000"/>
                <w:sz w:val="18"/>
                <w:szCs w:val="18"/>
              </w:rPr>
              <w:t xml:space="preserve">Patient requires assistance to perform daily activities and cannot live independently </w:t>
            </w:r>
            <w:r w:rsidRPr="00C806D0">
              <w:rPr>
                <w:rFonts w:cs="Courier"/>
                <w:sz w:val="18"/>
                <w:szCs w:val="18"/>
              </w:rPr>
              <w:t xml:space="preserve">due to mental or physical disability.  Not capable of being left at home for more than 8 hours </w:t>
            </w:r>
          </w:p>
          <w:p w:rsidR="004442E4" w:rsidRPr="00C806D0" w:rsidRDefault="004442E4" w:rsidP="004442E4">
            <w:pPr>
              <w:pStyle w:val="NoSpacing"/>
              <w:rPr>
                <w:sz w:val="18"/>
                <w:szCs w:val="18"/>
              </w:rPr>
            </w:pPr>
          </w:p>
        </w:tc>
      </w:tr>
      <w:tr w:rsidR="004442E4" w:rsidRPr="00C806D0" w:rsidTr="004442E4">
        <w:tc>
          <w:tcPr>
            <w:tcW w:w="1526" w:type="dxa"/>
            <w:tcBorders>
              <w:top w:val="nil"/>
              <w:left w:val="nil"/>
              <w:bottom w:val="nil"/>
            </w:tcBorders>
          </w:tcPr>
          <w:p w:rsidR="004442E4" w:rsidRPr="00C806D0" w:rsidRDefault="004442E4" w:rsidP="004442E4">
            <w:pPr>
              <w:pStyle w:val="NoSpacing"/>
              <w:rPr>
                <w:sz w:val="18"/>
                <w:szCs w:val="18"/>
              </w:rPr>
            </w:pPr>
            <w:r w:rsidRPr="00C806D0">
              <w:rPr>
                <w:sz w:val="18"/>
                <w:szCs w:val="18"/>
              </w:rPr>
              <w:t>4 Upper severe disability</w:t>
            </w:r>
          </w:p>
          <w:p w:rsidR="004442E4" w:rsidRPr="00C806D0" w:rsidRDefault="004442E4" w:rsidP="004442E4">
            <w:pPr>
              <w:pStyle w:val="NoSpacing"/>
              <w:rPr>
                <w:sz w:val="18"/>
                <w:szCs w:val="18"/>
              </w:rPr>
            </w:pPr>
          </w:p>
        </w:tc>
        <w:tc>
          <w:tcPr>
            <w:tcW w:w="7716" w:type="dxa"/>
            <w:tcBorders>
              <w:top w:val="nil"/>
              <w:bottom w:val="nil"/>
              <w:right w:val="nil"/>
            </w:tcBorders>
          </w:tcPr>
          <w:p w:rsidR="004442E4" w:rsidRPr="00C806D0" w:rsidRDefault="004442E4" w:rsidP="004442E4">
            <w:pPr>
              <w:pStyle w:val="NoSpacing"/>
              <w:rPr>
                <w:rFonts w:cs="Courier"/>
                <w:sz w:val="18"/>
                <w:szCs w:val="18"/>
              </w:rPr>
            </w:pPr>
            <w:r w:rsidRPr="00C806D0">
              <w:rPr>
                <w:rFonts w:cs="Courier"/>
                <w:sz w:val="18"/>
                <w:szCs w:val="18"/>
              </w:rPr>
              <w:t xml:space="preserve">Conscious but disabled: </w:t>
            </w:r>
            <w:r w:rsidRPr="00C806D0">
              <w:rPr>
                <w:rFonts w:cs="ILILHE+Arial"/>
                <w:color w:val="000000"/>
                <w:sz w:val="18"/>
                <w:szCs w:val="18"/>
              </w:rPr>
              <w:t xml:space="preserve">Patient requires assistance to perform daily activities and cannot live independently </w:t>
            </w:r>
            <w:r w:rsidRPr="00C806D0">
              <w:rPr>
                <w:rFonts w:cs="Courier"/>
                <w:sz w:val="18"/>
                <w:szCs w:val="18"/>
              </w:rPr>
              <w:t xml:space="preserve">due to mental or physical disability.  Capable of being left at home for more than 8 hours </w:t>
            </w:r>
          </w:p>
          <w:p w:rsidR="004442E4" w:rsidRPr="00C806D0" w:rsidRDefault="004442E4" w:rsidP="004442E4">
            <w:pPr>
              <w:pStyle w:val="NoSpacing"/>
              <w:rPr>
                <w:sz w:val="18"/>
                <w:szCs w:val="18"/>
              </w:rPr>
            </w:pPr>
          </w:p>
        </w:tc>
      </w:tr>
      <w:tr w:rsidR="004442E4" w:rsidRPr="00C806D0" w:rsidTr="004442E4">
        <w:tc>
          <w:tcPr>
            <w:tcW w:w="1526" w:type="dxa"/>
            <w:tcBorders>
              <w:top w:val="nil"/>
              <w:left w:val="nil"/>
              <w:bottom w:val="nil"/>
            </w:tcBorders>
          </w:tcPr>
          <w:p w:rsidR="004442E4" w:rsidRPr="00C806D0" w:rsidRDefault="004442E4" w:rsidP="004442E4">
            <w:pPr>
              <w:pStyle w:val="NoSpacing"/>
              <w:rPr>
                <w:sz w:val="18"/>
                <w:szCs w:val="18"/>
              </w:rPr>
            </w:pPr>
            <w:r w:rsidRPr="00C806D0">
              <w:rPr>
                <w:sz w:val="18"/>
                <w:szCs w:val="18"/>
              </w:rPr>
              <w:t>5 Lower moderate disability</w:t>
            </w:r>
          </w:p>
        </w:tc>
        <w:tc>
          <w:tcPr>
            <w:tcW w:w="7716" w:type="dxa"/>
            <w:tcBorders>
              <w:top w:val="nil"/>
              <w:bottom w:val="nil"/>
              <w:right w:val="nil"/>
            </w:tcBorders>
          </w:tcPr>
          <w:p w:rsidR="004442E4" w:rsidRPr="00C806D0" w:rsidRDefault="004442E4" w:rsidP="004442E4">
            <w:pPr>
              <w:pStyle w:val="NoSpacing"/>
              <w:rPr>
                <w:sz w:val="18"/>
                <w:szCs w:val="18"/>
              </w:rPr>
            </w:pPr>
            <w:r w:rsidRPr="00C806D0">
              <w:rPr>
                <w:sz w:val="18"/>
                <w:szCs w:val="18"/>
              </w:rPr>
              <w:t>Independent but disabled: Patient able to independently perform activities of daily living. However, s</w:t>
            </w:r>
            <w:r w:rsidRPr="00C806D0">
              <w:rPr>
                <w:rFonts w:cs="Courier"/>
                <w:sz w:val="18"/>
                <w:szCs w:val="18"/>
              </w:rPr>
              <w:t>ome previous activities (work, social, leisure) are now no longer possible due to either physical or mental deficit, s</w:t>
            </w:r>
            <w:r w:rsidRPr="00C806D0">
              <w:rPr>
                <w:sz w:val="18"/>
                <w:szCs w:val="18"/>
              </w:rPr>
              <w:t>uch as dysphasia, hemiparesis, ataxia, cognitive deficits, and personality change. Unable to return to work.</w:t>
            </w:r>
          </w:p>
          <w:p w:rsidR="004442E4" w:rsidRPr="00C806D0" w:rsidRDefault="004442E4" w:rsidP="004442E4">
            <w:pPr>
              <w:pStyle w:val="NoSpacing"/>
              <w:rPr>
                <w:sz w:val="18"/>
                <w:szCs w:val="18"/>
              </w:rPr>
            </w:pPr>
          </w:p>
        </w:tc>
      </w:tr>
      <w:tr w:rsidR="004442E4" w:rsidRPr="00C806D0" w:rsidTr="004442E4">
        <w:tc>
          <w:tcPr>
            <w:tcW w:w="1526" w:type="dxa"/>
            <w:tcBorders>
              <w:top w:val="nil"/>
              <w:left w:val="nil"/>
              <w:bottom w:val="nil"/>
            </w:tcBorders>
          </w:tcPr>
          <w:p w:rsidR="004442E4" w:rsidRPr="00C806D0" w:rsidRDefault="004442E4" w:rsidP="004442E4">
            <w:pPr>
              <w:pStyle w:val="NoSpacing"/>
              <w:rPr>
                <w:sz w:val="18"/>
                <w:szCs w:val="18"/>
              </w:rPr>
            </w:pPr>
            <w:r w:rsidRPr="00C806D0">
              <w:rPr>
                <w:sz w:val="18"/>
                <w:szCs w:val="18"/>
              </w:rPr>
              <w:t>6 Upper moderate disability</w:t>
            </w:r>
          </w:p>
        </w:tc>
        <w:tc>
          <w:tcPr>
            <w:tcW w:w="7716" w:type="dxa"/>
            <w:tcBorders>
              <w:top w:val="nil"/>
              <w:bottom w:val="nil"/>
              <w:right w:val="nil"/>
            </w:tcBorders>
          </w:tcPr>
          <w:p w:rsidR="004442E4" w:rsidRPr="00C806D0" w:rsidRDefault="004442E4" w:rsidP="004442E4">
            <w:pPr>
              <w:pStyle w:val="NoSpacing"/>
              <w:rPr>
                <w:sz w:val="18"/>
                <w:szCs w:val="18"/>
              </w:rPr>
            </w:pPr>
            <w:r w:rsidRPr="00C806D0">
              <w:rPr>
                <w:sz w:val="18"/>
                <w:szCs w:val="18"/>
              </w:rPr>
              <w:t>Independent but disabled: Patient able to independently perform activities of daily living. However, s</w:t>
            </w:r>
            <w:r w:rsidRPr="00C806D0">
              <w:rPr>
                <w:rFonts w:cs="Courier"/>
                <w:sz w:val="18"/>
                <w:szCs w:val="18"/>
              </w:rPr>
              <w:t>ome previous activities (work, social, leisure) are now no longer possible due to either physical or mental deficit, s</w:t>
            </w:r>
            <w:r w:rsidRPr="00C806D0">
              <w:rPr>
                <w:sz w:val="18"/>
                <w:szCs w:val="18"/>
              </w:rPr>
              <w:t>uch as dysphasia, hemiparesis, ataxia, cognitive deficits, and personality change. Able to return to work (even at lower level or with special dispensations).</w:t>
            </w:r>
          </w:p>
          <w:p w:rsidR="004442E4" w:rsidRPr="00C806D0" w:rsidRDefault="004442E4" w:rsidP="004442E4">
            <w:pPr>
              <w:pStyle w:val="NoSpacing"/>
              <w:rPr>
                <w:sz w:val="18"/>
                <w:szCs w:val="18"/>
              </w:rPr>
            </w:pPr>
          </w:p>
        </w:tc>
      </w:tr>
      <w:tr w:rsidR="004442E4" w:rsidRPr="00C806D0" w:rsidTr="004442E4">
        <w:tc>
          <w:tcPr>
            <w:tcW w:w="1526" w:type="dxa"/>
            <w:tcBorders>
              <w:top w:val="nil"/>
              <w:left w:val="nil"/>
              <w:bottom w:val="nil"/>
            </w:tcBorders>
          </w:tcPr>
          <w:p w:rsidR="004442E4" w:rsidRPr="00C806D0" w:rsidRDefault="004442E4" w:rsidP="004442E4">
            <w:pPr>
              <w:pStyle w:val="NoSpacing"/>
              <w:rPr>
                <w:sz w:val="18"/>
                <w:szCs w:val="18"/>
              </w:rPr>
            </w:pPr>
            <w:r w:rsidRPr="00C806D0">
              <w:rPr>
                <w:sz w:val="18"/>
                <w:szCs w:val="18"/>
              </w:rPr>
              <w:t>7 Lower good recovery</w:t>
            </w:r>
          </w:p>
        </w:tc>
        <w:tc>
          <w:tcPr>
            <w:tcW w:w="7716" w:type="dxa"/>
            <w:tcBorders>
              <w:top w:val="nil"/>
              <w:bottom w:val="nil"/>
              <w:right w:val="nil"/>
            </w:tcBorders>
          </w:tcPr>
          <w:p w:rsidR="004442E4" w:rsidRPr="00C806D0" w:rsidRDefault="004442E4" w:rsidP="004442E4">
            <w:pPr>
              <w:pStyle w:val="NoSpacing"/>
              <w:rPr>
                <w:sz w:val="18"/>
                <w:szCs w:val="18"/>
              </w:rPr>
            </w:pPr>
            <w:r w:rsidRPr="00C806D0">
              <w:rPr>
                <w:sz w:val="18"/>
                <w:szCs w:val="18"/>
              </w:rPr>
              <w:t>Resumption of normal life: Reintegrated into society and with capacity to return to work although not necessarily at same level. Minor neurological or psychological impairments which are disabling.</w:t>
            </w:r>
          </w:p>
          <w:p w:rsidR="004442E4" w:rsidRPr="00C806D0" w:rsidRDefault="004442E4" w:rsidP="004442E4">
            <w:pPr>
              <w:pStyle w:val="NoSpacing"/>
              <w:rPr>
                <w:sz w:val="18"/>
                <w:szCs w:val="18"/>
              </w:rPr>
            </w:pPr>
          </w:p>
        </w:tc>
      </w:tr>
      <w:tr w:rsidR="004442E4" w:rsidRPr="00C806D0" w:rsidTr="004442E4">
        <w:tc>
          <w:tcPr>
            <w:tcW w:w="1526" w:type="dxa"/>
            <w:tcBorders>
              <w:top w:val="nil"/>
              <w:left w:val="nil"/>
              <w:bottom w:val="nil"/>
            </w:tcBorders>
          </w:tcPr>
          <w:p w:rsidR="004442E4" w:rsidRPr="00C806D0" w:rsidRDefault="004442E4" w:rsidP="004442E4">
            <w:pPr>
              <w:pStyle w:val="NoSpacing"/>
              <w:rPr>
                <w:sz w:val="18"/>
                <w:szCs w:val="18"/>
              </w:rPr>
            </w:pPr>
            <w:r w:rsidRPr="00C806D0">
              <w:rPr>
                <w:sz w:val="18"/>
                <w:szCs w:val="18"/>
              </w:rPr>
              <w:t>8 Upper good recovery</w:t>
            </w:r>
          </w:p>
        </w:tc>
        <w:tc>
          <w:tcPr>
            <w:tcW w:w="7716" w:type="dxa"/>
            <w:tcBorders>
              <w:top w:val="nil"/>
              <w:bottom w:val="nil"/>
              <w:right w:val="nil"/>
            </w:tcBorders>
          </w:tcPr>
          <w:p w:rsidR="004442E4" w:rsidRPr="00C806D0" w:rsidRDefault="004442E4" w:rsidP="004442E4">
            <w:pPr>
              <w:pStyle w:val="NoSpacing"/>
              <w:rPr>
                <w:sz w:val="18"/>
                <w:szCs w:val="18"/>
              </w:rPr>
            </w:pPr>
            <w:r w:rsidRPr="00C806D0">
              <w:rPr>
                <w:sz w:val="18"/>
                <w:szCs w:val="18"/>
              </w:rPr>
              <w:t>Resumption of normal life: Reintegrated into society and with capacity to return to work although not necessarily at same level. Minor neurological or psychological impairments which are not disabling.</w:t>
            </w:r>
          </w:p>
        </w:tc>
      </w:tr>
      <w:tr w:rsidR="004442E4" w:rsidRPr="00C806D0" w:rsidTr="004442E4">
        <w:tc>
          <w:tcPr>
            <w:tcW w:w="1526" w:type="dxa"/>
            <w:tcBorders>
              <w:top w:val="nil"/>
              <w:left w:val="nil"/>
            </w:tcBorders>
          </w:tcPr>
          <w:p w:rsidR="004442E4" w:rsidRPr="00C806D0" w:rsidRDefault="004442E4" w:rsidP="004442E4">
            <w:pPr>
              <w:pStyle w:val="NoSpacing"/>
              <w:rPr>
                <w:sz w:val="18"/>
                <w:szCs w:val="18"/>
              </w:rPr>
            </w:pPr>
          </w:p>
        </w:tc>
        <w:tc>
          <w:tcPr>
            <w:tcW w:w="7716" w:type="dxa"/>
            <w:tcBorders>
              <w:top w:val="nil"/>
              <w:right w:val="nil"/>
            </w:tcBorders>
          </w:tcPr>
          <w:p w:rsidR="004442E4" w:rsidRPr="00C806D0" w:rsidRDefault="004442E4" w:rsidP="004442E4">
            <w:pPr>
              <w:pStyle w:val="NoSpacing"/>
              <w:rPr>
                <w:sz w:val="18"/>
                <w:szCs w:val="18"/>
              </w:rPr>
            </w:pPr>
          </w:p>
        </w:tc>
      </w:tr>
    </w:tbl>
    <w:p w:rsidR="004442E4" w:rsidRPr="00C806D0" w:rsidRDefault="004442E4" w:rsidP="004442E4">
      <w:pPr>
        <w:rPr>
          <w:sz w:val="20"/>
          <w:szCs w:val="20"/>
        </w:rPr>
      </w:pPr>
      <w:r w:rsidRPr="00C806D0">
        <w:rPr>
          <w:sz w:val="20"/>
          <w:szCs w:val="20"/>
        </w:rPr>
        <w:t>*Adapted from Teasdale et al (1998)</w:t>
      </w:r>
      <w:r w:rsidR="004512FF" w:rsidRPr="00C806D0">
        <w:rPr>
          <w:sz w:val="20"/>
          <w:szCs w:val="20"/>
        </w:rPr>
        <w:t>.</w:t>
      </w:r>
    </w:p>
    <w:p w:rsidR="008006DF" w:rsidRPr="00C806D0" w:rsidRDefault="008006DF" w:rsidP="004442E4">
      <w:pPr>
        <w:rPr>
          <w:sz w:val="20"/>
          <w:szCs w:val="20"/>
        </w:rPr>
      </w:pPr>
    </w:p>
    <w:p w:rsidR="008006DF" w:rsidRPr="00C806D0" w:rsidRDefault="008006DF" w:rsidP="004442E4">
      <w:pPr>
        <w:rPr>
          <w:sz w:val="20"/>
          <w:szCs w:val="20"/>
        </w:rPr>
      </w:pPr>
    </w:p>
    <w:p w:rsidR="004442E4" w:rsidRPr="00C806D0" w:rsidRDefault="004442E4" w:rsidP="002A360F">
      <w:pPr>
        <w:pStyle w:val="Heading3"/>
      </w:pPr>
      <w:r w:rsidRPr="00C806D0">
        <w:lastRenderedPageBreak/>
        <w:t>Information sources for systematic review</w:t>
      </w:r>
      <w:r w:rsidR="00DA32F5" w:rsidRPr="00C806D0">
        <w:t xml:space="preserve"> of HSPWs for GOS categories</w:t>
      </w:r>
    </w:p>
    <w:p w:rsidR="004442E4" w:rsidRPr="00C806D0" w:rsidRDefault="004442E4" w:rsidP="004442E4">
      <w:pPr>
        <w:pStyle w:val="Heading4"/>
      </w:pPr>
      <w:r w:rsidRPr="00C806D0">
        <w:t>Electronic sources</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 xml:space="preserve">Cochrane library: Cochrane database of systematic reviews; Cochrane controlled trials register; </w:t>
      </w:r>
      <w:r w:rsidRPr="00C806D0">
        <w:rPr>
          <w:rFonts w:cs="Arial"/>
          <w:color w:val="222222"/>
          <w:shd w:val="clear" w:color="auto" w:fill="FFFFFF"/>
        </w:rPr>
        <w:t>NHS Economic Evaluation Database</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rial"/>
          <w:color w:val="222222"/>
          <w:shd w:val="clear" w:color="auto" w:fill="FFFFFF"/>
        </w:rPr>
        <w:t>PUBMED</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 xml:space="preserve">MEDLINE </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 xml:space="preserve">EMBASE </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CINAHL</w:t>
      </w:r>
    </w:p>
    <w:p w:rsidR="004442E4" w:rsidRPr="00C806D0" w:rsidRDefault="004442E4" w:rsidP="00550C9C">
      <w:pPr>
        <w:pStyle w:val="ListParagraph"/>
        <w:numPr>
          <w:ilvl w:val="0"/>
          <w:numId w:val="16"/>
        </w:numPr>
        <w:autoSpaceDE w:val="0"/>
        <w:autoSpaceDN w:val="0"/>
        <w:adjustRightInd w:val="0"/>
        <w:spacing w:after="0" w:line="240" w:lineRule="auto"/>
      </w:pPr>
      <w:r w:rsidRPr="00C806D0">
        <w:t>Cost-effectiveness Analysis Registry</w:t>
      </w:r>
    </w:p>
    <w:p w:rsidR="004442E4" w:rsidRPr="00C806D0" w:rsidRDefault="004442E4" w:rsidP="00550C9C">
      <w:pPr>
        <w:pStyle w:val="ListParagraph"/>
        <w:numPr>
          <w:ilvl w:val="0"/>
          <w:numId w:val="16"/>
        </w:numPr>
        <w:autoSpaceDE w:val="0"/>
        <w:autoSpaceDN w:val="0"/>
        <w:adjustRightInd w:val="0"/>
        <w:spacing w:after="0" w:line="240" w:lineRule="auto"/>
      </w:pPr>
      <w:r w:rsidRPr="00C806D0">
        <w:t>Health Economics and Evaluation database (HEED)</w:t>
      </w:r>
    </w:p>
    <w:p w:rsidR="004442E4" w:rsidRPr="00C806D0" w:rsidRDefault="004442E4" w:rsidP="00550C9C">
      <w:pPr>
        <w:pStyle w:val="ListParagraph"/>
        <w:numPr>
          <w:ilvl w:val="0"/>
          <w:numId w:val="16"/>
        </w:numPr>
        <w:autoSpaceDE w:val="0"/>
        <w:autoSpaceDN w:val="0"/>
        <w:adjustRightInd w:val="0"/>
        <w:spacing w:after="0" w:line="240" w:lineRule="auto"/>
      </w:pPr>
      <w:r w:rsidRPr="00C806D0">
        <w:t>Research Papers in Economics (RePEc)</w:t>
      </w:r>
    </w:p>
    <w:p w:rsidR="004442E4" w:rsidRPr="00C806D0" w:rsidRDefault="004442E4" w:rsidP="00550C9C">
      <w:pPr>
        <w:pStyle w:val="ListParagraph"/>
        <w:numPr>
          <w:ilvl w:val="0"/>
          <w:numId w:val="16"/>
        </w:numPr>
        <w:spacing w:after="0" w:line="240" w:lineRule="auto"/>
        <w:rPr>
          <w:b/>
        </w:rPr>
      </w:pPr>
      <w:r w:rsidRPr="00C806D0">
        <w:t>Patient-reported outcome and quality of life instruments database (PROQOLID)</w:t>
      </w:r>
      <w:r w:rsidRPr="00C806D0">
        <w:rPr>
          <w:b/>
        </w:rPr>
        <w:t xml:space="preserve"> </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lang w:eastAsia="en-GB"/>
        </w:rPr>
        <w:t>Conference Proceedings Citation Index - Science</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lang w:eastAsia="en-GB"/>
        </w:rPr>
        <w:t>BIOSIS preview</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SIGLE</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Index to UK Theses</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ProQuest Dissertation &amp; Theses Database</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Health Technology Assessment Agency, National Institute of Clinical Excellence, MAPI websites</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EQ5D, SF-6D, HUI websites</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QOLIBRI website</w:t>
      </w:r>
    </w:p>
    <w:p w:rsidR="004442E4" w:rsidRPr="00C806D0" w:rsidRDefault="004442E4" w:rsidP="00550C9C">
      <w:pPr>
        <w:numPr>
          <w:ilvl w:val="0"/>
          <w:numId w:val="16"/>
        </w:numPr>
        <w:autoSpaceDE w:val="0"/>
        <w:autoSpaceDN w:val="0"/>
        <w:adjustRightInd w:val="0"/>
        <w:spacing w:line="240" w:lineRule="auto"/>
        <w:rPr>
          <w:rFonts w:cs="AGaramond-Regular"/>
          <w:color w:val="000000"/>
          <w:lang w:eastAsia="en-GB"/>
        </w:rPr>
      </w:pPr>
      <w:r w:rsidRPr="00C806D0">
        <w:rPr>
          <w:rFonts w:cs="AGaramond-Regular"/>
          <w:color w:val="000000"/>
          <w:lang w:eastAsia="en-GB"/>
        </w:rPr>
        <w:t>Science Citation Index (author and citation searching)</w:t>
      </w:r>
    </w:p>
    <w:p w:rsidR="004442E4" w:rsidRPr="00C806D0" w:rsidRDefault="004442E4" w:rsidP="004442E4">
      <w:pPr>
        <w:pStyle w:val="Heading4"/>
      </w:pPr>
      <w:r w:rsidRPr="00C806D0">
        <w:t>Non-electronic information sources</w:t>
      </w:r>
    </w:p>
    <w:p w:rsidR="004442E4" w:rsidRPr="00C806D0" w:rsidRDefault="004442E4" w:rsidP="00550C9C">
      <w:pPr>
        <w:pStyle w:val="NoSpacing"/>
        <w:numPr>
          <w:ilvl w:val="0"/>
          <w:numId w:val="17"/>
        </w:numPr>
        <w:ind w:left="360"/>
      </w:pPr>
      <w:r w:rsidRPr="00C806D0">
        <w:t>Checking  reference lists of retrieved article</w:t>
      </w:r>
    </w:p>
    <w:p w:rsidR="00DA32F5" w:rsidRPr="00C806D0" w:rsidRDefault="004442E4" w:rsidP="004442E4">
      <w:pPr>
        <w:pStyle w:val="NoSpacing"/>
        <w:numPr>
          <w:ilvl w:val="0"/>
          <w:numId w:val="17"/>
        </w:numPr>
        <w:ind w:left="360"/>
      </w:pPr>
      <w:r w:rsidRPr="00C806D0">
        <w:t>Checking reference lists of existing literature reviews</w:t>
      </w:r>
    </w:p>
    <w:p w:rsidR="004442E4" w:rsidRPr="00C806D0" w:rsidRDefault="004442E4" w:rsidP="004442E4">
      <w:pPr>
        <w:pStyle w:val="NoSpacing"/>
        <w:numPr>
          <w:ilvl w:val="0"/>
          <w:numId w:val="17"/>
        </w:numPr>
        <w:ind w:left="360"/>
      </w:pPr>
      <w:r w:rsidRPr="00C806D0">
        <w:t>Correspondence with experts in the field, and relevant study authors</w:t>
      </w:r>
    </w:p>
    <w:p w:rsidR="00B65AAF" w:rsidRPr="00C806D0" w:rsidRDefault="00B65AAF" w:rsidP="00B65AAF">
      <w:pPr>
        <w:pStyle w:val="NoSpacing"/>
        <w:ind w:left="360"/>
      </w:pPr>
    </w:p>
    <w:p w:rsidR="004442E4" w:rsidRPr="00C806D0" w:rsidRDefault="00B65AAF" w:rsidP="002A360F">
      <w:pPr>
        <w:pStyle w:val="Heading3"/>
      </w:pPr>
      <w:r w:rsidRPr="00C806D0">
        <w:t xml:space="preserve">Systematic review of HSPWs for GOS categories: </w:t>
      </w:r>
      <w:r w:rsidR="004442E4" w:rsidRPr="00C806D0">
        <w:t xml:space="preserve">Search strategy </w:t>
      </w:r>
    </w:p>
    <w:p w:rsidR="004442E4" w:rsidRPr="00C806D0" w:rsidRDefault="004442E4" w:rsidP="004442E4">
      <w:pPr>
        <w:rPr>
          <w:rFonts w:cs="AGaramond-Regular"/>
          <w:color w:val="000000"/>
          <w:lang w:eastAsia="en-GB"/>
        </w:rPr>
      </w:pPr>
      <w:r w:rsidRPr="00C806D0">
        <w:t>Search strategies for bibliographic databases were developed iteratively in conjunction with an information services specialist, and underwent independent expert peer review (Royal Society of Medicine). Relevant published search filters were consulted to inform the initial search strategy which was subsequently modified in light of retrieved reports and studies identified for inclusion.</w:t>
      </w:r>
      <w:r w:rsidR="00D368BB" w:rsidRPr="00C806D0">
        <w:rPr>
          <w:noProof/>
          <w:vertAlign w:val="superscript"/>
        </w:rPr>
        <w:t>[</w:t>
      </w:r>
      <w:r w:rsidR="006D4D62" w:rsidRPr="00C806D0">
        <w:rPr>
          <w:noProof/>
          <w:vertAlign w:val="superscript"/>
        </w:rPr>
        <w:t>16</w:t>
      </w:r>
      <w:r w:rsidR="00D368BB" w:rsidRPr="00C806D0">
        <w:rPr>
          <w:noProof/>
          <w:vertAlign w:val="superscript"/>
        </w:rPr>
        <w:t xml:space="preserve">, </w:t>
      </w:r>
      <w:r w:rsidR="006D4D62" w:rsidRPr="00C806D0">
        <w:rPr>
          <w:noProof/>
          <w:vertAlign w:val="superscript"/>
        </w:rPr>
        <w:t>17</w:t>
      </w:r>
      <w:r w:rsidR="00D368BB" w:rsidRPr="00C806D0">
        <w:rPr>
          <w:noProof/>
          <w:vertAlign w:val="superscript"/>
        </w:rPr>
        <w:t>]</w:t>
      </w:r>
      <w:r w:rsidRPr="00C806D0">
        <w:t xml:space="preserve"> T</w:t>
      </w:r>
      <w:r w:rsidRPr="00C806D0">
        <w:rPr>
          <w:rFonts w:cs="AGaramond-Regular"/>
          <w:color w:val="000000"/>
          <w:lang w:eastAsia="en-GB"/>
        </w:rPr>
        <w:t>he MEDLINE search is listed below</w:t>
      </w:r>
      <w:r w:rsidRPr="00C806D0">
        <w:rPr>
          <w:rFonts w:cs="AGaramond-Regular"/>
          <w:lang w:eastAsia="en-GB"/>
        </w:rPr>
        <w:t xml:space="preserve"> and was adapted for use in other </w:t>
      </w:r>
      <w:r w:rsidRPr="00C806D0">
        <w:rPr>
          <w:rFonts w:cs="AGaramond-Regular"/>
          <w:color w:val="000000"/>
          <w:lang w:eastAsia="en-GB"/>
        </w:rPr>
        <w:t>data sources. References were managed in EndNote (Thomson Reuters, CA, USA) and Excel (Microsoft, Redmond, USA).</w:t>
      </w:r>
    </w:p>
    <w:p w:rsidR="004442E4" w:rsidRPr="00C806D0" w:rsidRDefault="004442E4" w:rsidP="004442E4">
      <w:pPr>
        <w:rPr>
          <w:rFonts w:cs="AGaramond-Regular"/>
          <w:color w:val="000000"/>
          <w:lang w:eastAsia="en-GB"/>
        </w:rPr>
      </w:pPr>
    </w:p>
    <w:p w:rsidR="004442E4" w:rsidRPr="00C806D0" w:rsidRDefault="004442E4" w:rsidP="004442E4">
      <w:pPr>
        <w:pStyle w:val="CommentText"/>
        <w:spacing w:line="360" w:lineRule="auto"/>
        <w:rPr>
          <w:sz w:val="22"/>
          <w:szCs w:val="22"/>
        </w:rPr>
      </w:pPr>
      <w:r w:rsidRPr="00C806D0">
        <w:rPr>
          <w:b/>
          <w:sz w:val="22"/>
          <w:szCs w:val="22"/>
        </w:rPr>
        <w:t xml:space="preserve">Review question: </w:t>
      </w:r>
      <w:r w:rsidRPr="00C806D0">
        <w:rPr>
          <w:sz w:val="22"/>
          <w:szCs w:val="22"/>
        </w:rPr>
        <w:t xml:space="preserve">What HSPWs estimates are available for Glasgow Outcome Scale health states following mild, moderate and severe TBI in adult patients? </w:t>
      </w:r>
    </w:p>
    <w:p w:rsidR="004442E4" w:rsidRPr="00C806D0" w:rsidRDefault="004442E4" w:rsidP="004442E4">
      <w:pPr>
        <w:pStyle w:val="CommentText"/>
        <w:rPr>
          <w:rStyle w:val="dbdate"/>
          <w:sz w:val="22"/>
          <w:szCs w:val="22"/>
        </w:rPr>
      </w:pPr>
      <w:r w:rsidRPr="00C806D0">
        <w:rPr>
          <w:b/>
          <w:sz w:val="22"/>
          <w:szCs w:val="22"/>
        </w:rPr>
        <w:t>Platform:</w:t>
      </w:r>
      <w:r w:rsidRPr="00C806D0">
        <w:rPr>
          <w:sz w:val="22"/>
          <w:szCs w:val="22"/>
        </w:rPr>
        <w:t xml:space="preserve"> </w:t>
      </w:r>
      <w:r w:rsidRPr="00C806D0">
        <w:rPr>
          <w:rStyle w:val="dbname"/>
          <w:sz w:val="22"/>
          <w:szCs w:val="22"/>
        </w:rPr>
        <w:t xml:space="preserve">Ovid MEDLINE(R) In-Process &amp; Other Non-Indexed Citations and Ovid MEDLINE(R) </w:t>
      </w:r>
      <w:r w:rsidRPr="00C806D0">
        <w:rPr>
          <w:rStyle w:val="dbdate"/>
          <w:sz w:val="22"/>
          <w:szCs w:val="22"/>
        </w:rPr>
        <w:t>1946 to Present</w:t>
      </w:r>
    </w:p>
    <w:p w:rsidR="004442E4" w:rsidRPr="00C806D0" w:rsidRDefault="004442E4" w:rsidP="004442E4">
      <w:r w:rsidRPr="00C806D0">
        <w:rPr>
          <w:b/>
        </w:rPr>
        <w:lastRenderedPageBreak/>
        <w:t>Date limits:</w:t>
      </w:r>
      <w:r w:rsidRPr="00C806D0">
        <w:t xml:space="preserve"> 1975 – Week 4, 2013. Current awareness search</w:t>
      </w:r>
      <w:r w:rsidR="00182075" w:rsidRPr="00C806D0">
        <w:t>es conducted to week 33, 2013.</w:t>
      </w:r>
    </w:p>
    <w:p w:rsidR="004442E4" w:rsidRPr="00C806D0" w:rsidRDefault="004442E4" w:rsidP="004442E4">
      <w:r w:rsidRPr="00C806D0">
        <w:rPr>
          <w:b/>
        </w:rPr>
        <w:t>Other limits:</w:t>
      </w:r>
      <w:r w:rsidRPr="00C806D0">
        <w:t xml:space="preserve"> Human only, no editorials/comments/letters</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exp Craniocerebral Trauma/</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((cerebral or craniocerebral or intracranial or cranio-cerebral or intra-cranial or cranial or head or brain or neurological) adj trauma$).ti,ab.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((cerebral or craniocerebral or intracranial or cranio-cerebral or intra-cerebral or cranial or head or brain or neurological) adj injur$).ti,ab.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(Traumatic adj ((cerebral or craniocerebral or intracranial or cranio-cerebral or intra-cranial or cranial or head or brain or neurological) and injur$)).ti,ab.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(neurotrauma or neuro-trauma).ti,ab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1 or 2 or 3 or 4 or 5</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quality of life/</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value of life/</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quality of life.ti,ab.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life quality.ti,ab.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(Hql or HRQL or QOL or HRQOL).ti,ab.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Quality-Adjusted Life Years/</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quality adjusted life year$.ti,ab.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qaly$.ti,ab.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Disability adjusted life.ti,ab.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daly$. 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Health status indicators/</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(sf 36 or sf36 or sf thirtysix or sf thirty six or short form 36 or short form thirty six or short form thirty-six or short form 36 or rand36 or rand 36 or rand-36).ti,ab.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color w:val="0A0905"/>
          <w:shd w:val="clear" w:color="auto" w:fill="FFFFFF"/>
        </w:rPr>
      </w:pPr>
      <w:r w:rsidRPr="00C806D0">
        <w:rPr>
          <w:color w:val="0A0905"/>
          <w:shd w:val="clear" w:color="auto" w:fill="FFFFFF"/>
        </w:rPr>
        <w:t>(sf6 or sf 6 or short form 6 or shortform 6 or sf six or sfsix or short form six or short form six).ti,ab.</w:t>
      </w:r>
    </w:p>
    <w:p w:rsidR="004442E4" w:rsidRPr="00C806D0" w:rsidRDefault="004442E4" w:rsidP="00550C9C">
      <w:pPr>
        <w:pStyle w:val="ListParagraph"/>
        <w:numPr>
          <w:ilvl w:val="0"/>
          <w:numId w:val="18"/>
        </w:numPr>
        <w:spacing w:after="200" w:line="276" w:lineRule="auto"/>
        <w:ind w:left="720"/>
        <w:rPr>
          <w:rFonts w:eastAsia="Times New Roman"/>
          <w:lang w:eastAsia="en-GB"/>
        </w:rPr>
      </w:pPr>
      <w:r w:rsidRPr="00C806D0">
        <w:rPr>
          <w:rFonts w:eastAsia="Times New Roman"/>
          <w:lang w:eastAsia="en-GB"/>
        </w:rPr>
        <w:t>(sf12 or sf 12 or short form 12 or shortform 12 or sf twelve or sftwelve or shortform twelve or short form twelve).tw.</w:t>
      </w:r>
    </w:p>
    <w:p w:rsidR="004442E4" w:rsidRPr="00C806D0" w:rsidRDefault="004442E4" w:rsidP="00550C9C">
      <w:pPr>
        <w:pStyle w:val="ListParagraph"/>
        <w:numPr>
          <w:ilvl w:val="0"/>
          <w:numId w:val="18"/>
        </w:numPr>
        <w:spacing w:after="200" w:line="276" w:lineRule="auto"/>
        <w:ind w:left="720"/>
        <w:rPr>
          <w:rFonts w:eastAsia="Times New Roman"/>
          <w:lang w:eastAsia="en-GB"/>
        </w:rPr>
      </w:pPr>
      <w:r w:rsidRPr="00C806D0">
        <w:rPr>
          <w:rFonts w:eastAsia="Times New Roman"/>
          <w:lang w:eastAsia="en-GB"/>
        </w:rPr>
        <w:t>(sf16 or sf 16 or short form 16 or shortform 16 or sf sixteen or sfsixteen or shortfrom sixteen or short form sixteen).tw.</w:t>
      </w:r>
    </w:p>
    <w:p w:rsidR="004442E4" w:rsidRPr="00C806D0" w:rsidRDefault="004442E4" w:rsidP="00550C9C">
      <w:pPr>
        <w:pStyle w:val="ListParagraph"/>
        <w:numPr>
          <w:ilvl w:val="0"/>
          <w:numId w:val="18"/>
        </w:numPr>
        <w:spacing w:after="200" w:line="276" w:lineRule="auto"/>
        <w:ind w:left="720"/>
        <w:rPr>
          <w:rFonts w:eastAsia="Times New Roman"/>
          <w:color w:val="0A0905"/>
          <w:lang w:eastAsia="en-GB"/>
        </w:rPr>
      </w:pPr>
      <w:r w:rsidRPr="00C806D0">
        <w:rPr>
          <w:rFonts w:eastAsia="Times New Roman"/>
          <w:lang w:eastAsia="en-GB"/>
        </w:rPr>
        <w:t>(sf20 or sf 20 or short form 20 or shortform 20 or sf twenty or sftwenty or shortform twenty or short form twenty).tw.</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(euroqol or eq5d or eq 5d or EQ5D).ti,ab.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health$ year$ equivalent$.ti,ab.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hye$.ti,ab.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health utilit$.ti,ab.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(hui or hui1 or hui2 or hui3).ti,ab.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quality of wellbeing$.ti,ab.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quality of well being.ti,ab.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Qwb.ti,ab.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(qald$ or qale$ or qtime$).ti,ab.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standard gamble$.ti,ab.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time trade off.ti,ab.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time tradeoff.ti,ab.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visual analog$ scale$ or likert.ti,ab.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discrete choice experiment$.ti,ab.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color w:val="0A0905"/>
          <w:shd w:val="clear" w:color="auto" w:fill="ABCCE2"/>
        </w:rPr>
      </w:pPr>
      <w:r w:rsidRPr="00C806D0">
        <w:rPr>
          <w:rFonts w:eastAsia="Times New Roman"/>
          <w:color w:val="0A0905"/>
          <w:lang w:eastAsia="en-GB"/>
        </w:rPr>
        <w:t>(TTO or SG or VAS).ti,ab.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lastRenderedPageBreak/>
        <w:t>health state$ utilit$.ti,ab.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health state$ value$.ti,ab.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health state$ preference$.ti,ab.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Utility weight$.ti,ab.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(preference based measure$ or preference weight$ or utility preference$).ti,ab.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HSUV.ti,ab.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Rosser. 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AQOL or assessment of quality of life.ti,ab.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economics/</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Cost-Benefit analysis/</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economics, hospital/</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economics, medical/</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economics, pharmaceutical/</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color w:val="0A0905"/>
          <w:shd w:val="clear" w:color="auto" w:fill="FFFFFF"/>
        </w:rPr>
        <w:t>economics, nursing/</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(economic$ or pharmacoeconomic$).ti,ab.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color w:val="0A0905"/>
          <w:shd w:val="clear" w:color="auto" w:fill="FFFFFF"/>
        </w:rPr>
      </w:pPr>
      <w:r w:rsidRPr="00C806D0">
        <w:rPr>
          <w:color w:val="0A0905"/>
          <w:shd w:val="clear" w:color="auto" w:fill="FFFFFF"/>
        </w:rPr>
        <w:t>(cost effectiveness or cost-effectiveness or cost utility or cost-Utility or cost benefit or cost-benefit or economic evaluation).ti,ab.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color w:val="0A0905"/>
          <w:shd w:val="clear" w:color="auto" w:fill="FFFFFF"/>
        </w:rPr>
      </w:pPr>
      <w:r w:rsidRPr="00C806D0">
        <w:rPr>
          <w:color w:val="0A0905"/>
          <w:shd w:val="clear" w:color="auto" w:fill="FFFFFF"/>
        </w:rPr>
        <w:t>(CEA or CUA or CBA).ti,ab.</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s="Arial"/>
          <w:color w:val="000000"/>
          <w:lang w:eastAsia="en-GB"/>
        </w:rPr>
      </w:pPr>
      <w:r w:rsidRPr="00C806D0">
        <w:rPr>
          <w:rFonts w:eastAsia="Times New Roman" w:cs="Arial"/>
          <w:color w:val="000000"/>
          <w:lang w:eastAsia="en-GB"/>
        </w:rPr>
        <w:t>models, economic/</w:t>
      </w:r>
    </w:p>
    <w:p w:rsidR="004442E4" w:rsidRPr="00C806D0" w:rsidRDefault="004442E4" w:rsidP="00550C9C">
      <w:pPr>
        <w:pStyle w:val="ListParagraph"/>
        <w:numPr>
          <w:ilvl w:val="0"/>
          <w:numId w:val="18"/>
        </w:numPr>
        <w:shd w:val="clear" w:color="auto" w:fill="FFFFFF"/>
        <w:spacing w:before="100" w:beforeAutospacing="1" w:after="100" w:afterAutospacing="1" w:line="276" w:lineRule="auto"/>
        <w:ind w:left="720"/>
        <w:rPr>
          <w:rFonts w:eastAsia="Times New Roman" w:cs="Arial"/>
          <w:color w:val="000000"/>
          <w:lang w:eastAsia="en-GB"/>
        </w:rPr>
      </w:pPr>
      <w:r w:rsidRPr="00C806D0">
        <w:rPr>
          <w:rFonts w:eastAsia="Times New Roman" w:cs="Arial"/>
          <w:color w:val="000000"/>
          <w:lang w:eastAsia="en-GB"/>
        </w:rPr>
        <w:t>markov chains/</w:t>
      </w:r>
    </w:p>
    <w:p w:rsidR="004442E4" w:rsidRPr="00C806D0" w:rsidRDefault="004442E4" w:rsidP="00550C9C">
      <w:pPr>
        <w:pStyle w:val="ListParagraph"/>
        <w:numPr>
          <w:ilvl w:val="0"/>
          <w:numId w:val="18"/>
        </w:numPr>
        <w:shd w:val="clear" w:color="auto" w:fill="FFFFFF"/>
        <w:spacing w:before="100" w:beforeAutospacing="1" w:after="100" w:afterAutospacing="1" w:line="276" w:lineRule="auto"/>
        <w:ind w:left="720"/>
        <w:rPr>
          <w:rFonts w:eastAsia="Times New Roman" w:cs="Arial"/>
          <w:color w:val="000000"/>
          <w:lang w:eastAsia="en-GB"/>
        </w:rPr>
      </w:pPr>
      <w:r w:rsidRPr="00C806D0">
        <w:rPr>
          <w:rFonts w:eastAsia="Times New Roman" w:cs="Arial"/>
          <w:color w:val="000000"/>
          <w:lang w:eastAsia="en-GB"/>
        </w:rPr>
        <w:t>markov$.tw.</w:t>
      </w:r>
    </w:p>
    <w:p w:rsidR="004442E4" w:rsidRPr="00C806D0" w:rsidRDefault="004442E4" w:rsidP="00550C9C">
      <w:pPr>
        <w:pStyle w:val="ListParagraph"/>
        <w:numPr>
          <w:ilvl w:val="0"/>
          <w:numId w:val="18"/>
        </w:numPr>
        <w:shd w:val="clear" w:color="auto" w:fill="FFFFFF"/>
        <w:spacing w:before="100" w:beforeAutospacing="1" w:after="100" w:afterAutospacing="1" w:line="276" w:lineRule="auto"/>
        <w:ind w:left="720"/>
        <w:rPr>
          <w:rFonts w:eastAsia="Times New Roman" w:cs="Arial"/>
          <w:color w:val="000000"/>
          <w:lang w:eastAsia="en-GB"/>
        </w:rPr>
      </w:pPr>
      <w:r w:rsidRPr="00C806D0">
        <w:rPr>
          <w:rFonts w:eastAsia="Times New Roman" w:cs="Arial"/>
          <w:color w:val="000000"/>
          <w:lang w:eastAsia="en-GB"/>
        </w:rPr>
        <w:t>monte carlo method/</w:t>
      </w:r>
    </w:p>
    <w:p w:rsidR="004442E4" w:rsidRPr="00C806D0" w:rsidRDefault="004442E4" w:rsidP="00550C9C">
      <w:pPr>
        <w:pStyle w:val="ListParagraph"/>
        <w:numPr>
          <w:ilvl w:val="0"/>
          <w:numId w:val="18"/>
        </w:numPr>
        <w:shd w:val="clear" w:color="auto" w:fill="FFFFFF"/>
        <w:spacing w:before="100" w:beforeAutospacing="1" w:after="100" w:afterAutospacing="1" w:line="276" w:lineRule="auto"/>
        <w:ind w:left="720"/>
        <w:rPr>
          <w:rFonts w:eastAsia="Times New Roman" w:cs="Arial"/>
          <w:color w:val="000000"/>
          <w:lang w:eastAsia="en-GB"/>
        </w:rPr>
      </w:pPr>
      <w:r w:rsidRPr="00C806D0">
        <w:rPr>
          <w:rFonts w:eastAsia="Times New Roman" w:cs="Arial"/>
          <w:color w:val="000000"/>
          <w:lang w:eastAsia="en-GB"/>
        </w:rPr>
        <w:t>(monte adj carlo).tw.</w:t>
      </w:r>
    </w:p>
    <w:p w:rsidR="004442E4" w:rsidRPr="00C806D0" w:rsidRDefault="004442E4" w:rsidP="00550C9C">
      <w:pPr>
        <w:pStyle w:val="ListParagraph"/>
        <w:numPr>
          <w:ilvl w:val="0"/>
          <w:numId w:val="18"/>
        </w:numPr>
        <w:shd w:val="clear" w:color="auto" w:fill="FFFFFF"/>
        <w:spacing w:before="100" w:beforeAutospacing="1" w:after="100" w:afterAutospacing="1" w:line="276" w:lineRule="auto"/>
        <w:ind w:left="720"/>
        <w:rPr>
          <w:rFonts w:eastAsia="Times New Roman" w:cs="Arial"/>
          <w:color w:val="000000"/>
          <w:lang w:eastAsia="en-GB"/>
        </w:rPr>
      </w:pPr>
      <w:r w:rsidRPr="00C806D0">
        <w:rPr>
          <w:rFonts w:eastAsia="Times New Roman" w:cs="Arial"/>
          <w:color w:val="000000"/>
          <w:lang w:eastAsia="en-GB"/>
        </w:rPr>
        <w:t>decision tree/</w:t>
      </w:r>
    </w:p>
    <w:p w:rsidR="004442E4" w:rsidRPr="00C806D0" w:rsidRDefault="004442E4" w:rsidP="003A4BDE">
      <w:pPr>
        <w:pStyle w:val="ListParagraph"/>
        <w:numPr>
          <w:ilvl w:val="0"/>
          <w:numId w:val="18"/>
        </w:numPr>
        <w:shd w:val="clear" w:color="auto" w:fill="FFFFFF"/>
        <w:spacing w:before="100" w:beforeAutospacing="1" w:after="100" w:afterAutospacing="1" w:line="276" w:lineRule="auto"/>
        <w:ind w:left="720"/>
        <w:rPr>
          <w:rFonts w:eastAsia="Times New Roman" w:cs="Arial"/>
          <w:color w:val="000000"/>
          <w:lang w:eastAsia="en-GB"/>
        </w:rPr>
      </w:pPr>
      <w:r w:rsidRPr="00C806D0">
        <w:rPr>
          <w:rFonts w:eastAsia="Times New Roman" w:cs="Arial"/>
          <w:color w:val="000000"/>
          <w:lang w:eastAsia="en-GB"/>
        </w:rPr>
        <w:t>decision analy$ .tw.</w:t>
      </w:r>
    </w:p>
    <w:p w:rsidR="004442E4" w:rsidRPr="00C806D0" w:rsidRDefault="004442E4" w:rsidP="00550C9C">
      <w:pPr>
        <w:pStyle w:val="ListParagraph"/>
        <w:numPr>
          <w:ilvl w:val="0"/>
          <w:numId w:val="18"/>
        </w:numPr>
        <w:shd w:val="clear" w:color="auto" w:fill="FFFFFF"/>
        <w:spacing w:before="100" w:beforeAutospacing="1" w:after="100" w:afterAutospacing="1" w:line="276" w:lineRule="auto"/>
        <w:ind w:left="720"/>
        <w:rPr>
          <w:rFonts w:eastAsia="Times New Roman" w:cs="Arial"/>
          <w:color w:val="000000"/>
          <w:lang w:eastAsia="en-GB"/>
        </w:rPr>
      </w:pPr>
      <w:r w:rsidRPr="00C806D0">
        <w:rPr>
          <w:rFonts w:eastAsia="Times New Roman" w:cs="Arial"/>
          <w:color w:val="000000"/>
          <w:lang w:eastAsia="en-GB"/>
        </w:rPr>
        <w:t>(decision adj2 (tree? or analys$)).tw.</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or/7-62</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Comment/</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Letter/</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Editorial/</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color w:val="0A0905"/>
          <w:shd w:val="clear" w:color="auto" w:fill="FFFFFF"/>
        </w:rPr>
      </w:pPr>
      <w:r w:rsidRPr="00C806D0">
        <w:rPr>
          <w:color w:val="0A0905"/>
          <w:shd w:val="clear" w:color="auto" w:fill="FFFFFF"/>
        </w:rPr>
        <w:t>Historical article.pt.</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Animal/</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Human/</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68 not (68 and 69)</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or/64-67,70</w:t>
      </w:r>
    </w:p>
    <w:p w:rsidR="004442E4" w:rsidRPr="00C806D0" w:rsidRDefault="004442E4" w:rsidP="00550C9C">
      <w:pPr>
        <w:pStyle w:val="ListParagraph"/>
        <w:numPr>
          <w:ilvl w:val="0"/>
          <w:numId w:val="18"/>
        </w:numPr>
        <w:shd w:val="clear" w:color="auto" w:fill="FFFFFF"/>
        <w:spacing w:after="200" w:line="301" w:lineRule="atLeast"/>
        <w:ind w:left="720"/>
        <w:textAlignment w:val="center"/>
        <w:rPr>
          <w:rFonts w:eastAsia="Times New Roman"/>
          <w:color w:val="0A0905"/>
          <w:lang w:eastAsia="en-GB"/>
        </w:rPr>
      </w:pPr>
      <w:r w:rsidRPr="00C806D0">
        <w:rPr>
          <w:rFonts w:eastAsia="Times New Roman"/>
          <w:color w:val="0A0905"/>
          <w:lang w:eastAsia="en-GB"/>
        </w:rPr>
        <w:t>6 and 63</w:t>
      </w:r>
    </w:p>
    <w:p w:rsidR="004442E4" w:rsidRPr="00C806D0" w:rsidRDefault="004442E4" w:rsidP="004442E4">
      <w:pPr>
        <w:shd w:val="clear" w:color="auto" w:fill="FFFFFF"/>
        <w:spacing w:after="200" w:line="301" w:lineRule="atLeast"/>
        <w:textAlignment w:val="center"/>
        <w:rPr>
          <w:rFonts w:eastAsia="Times New Roman"/>
          <w:color w:val="0A0905"/>
          <w:lang w:eastAsia="en-GB"/>
        </w:rPr>
      </w:pPr>
    </w:p>
    <w:p w:rsidR="004442E4" w:rsidRPr="00C806D0" w:rsidRDefault="004442E4" w:rsidP="004442E4">
      <w:pPr>
        <w:shd w:val="clear" w:color="auto" w:fill="FFFFFF"/>
        <w:spacing w:after="200" w:line="301" w:lineRule="atLeast"/>
        <w:textAlignment w:val="center"/>
        <w:rPr>
          <w:rFonts w:eastAsia="Times New Roman"/>
          <w:color w:val="0A0905"/>
          <w:lang w:eastAsia="en-GB"/>
        </w:rPr>
      </w:pPr>
    </w:p>
    <w:p w:rsidR="004442E4" w:rsidRPr="00C806D0" w:rsidRDefault="004442E4" w:rsidP="004442E4">
      <w:pPr>
        <w:shd w:val="clear" w:color="auto" w:fill="FFFFFF"/>
        <w:spacing w:after="200" w:line="301" w:lineRule="atLeast"/>
        <w:textAlignment w:val="center"/>
        <w:rPr>
          <w:rFonts w:eastAsia="Times New Roman"/>
          <w:color w:val="0A0905"/>
          <w:lang w:eastAsia="en-GB"/>
        </w:rPr>
      </w:pPr>
    </w:p>
    <w:p w:rsidR="002A360F" w:rsidRPr="00C806D0" w:rsidRDefault="002A360F" w:rsidP="004442E4">
      <w:pPr>
        <w:shd w:val="clear" w:color="auto" w:fill="FFFFFF"/>
        <w:spacing w:after="200" w:line="301" w:lineRule="atLeast"/>
        <w:textAlignment w:val="center"/>
        <w:rPr>
          <w:rFonts w:eastAsia="Times New Roman"/>
          <w:color w:val="0A0905"/>
          <w:lang w:eastAsia="en-GB"/>
        </w:rPr>
      </w:pPr>
    </w:p>
    <w:p w:rsidR="004442E4" w:rsidRPr="00C806D0" w:rsidRDefault="004442E4" w:rsidP="004442E4">
      <w:pPr>
        <w:shd w:val="clear" w:color="auto" w:fill="FFFFFF"/>
        <w:spacing w:after="200" w:line="301" w:lineRule="atLeast"/>
        <w:textAlignment w:val="center"/>
        <w:rPr>
          <w:rFonts w:eastAsia="Times New Roman"/>
          <w:color w:val="0A0905"/>
          <w:lang w:eastAsia="en-GB"/>
        </w:rPr>
      </w:pPr>
    </w:p>
    <w:p w:rsidR="002A360F" w:rsidRPr="00C806D0" w:rsidRDefault="002A360F" w:rsidP="004442E4">
      <w:pPr>
        <w:shd w:val="clear" w:color="auto" w:fill="FFFFFF"/>
        <w:spacing w:after="200" w:line="301" w:lineRule="atLeast"/>
        <w:textAlignment w:val="center"/>
        <w:rPr>
          <w:rFonts w:eastAsia="Times New Roman"/>
          <w:color w:val="0A0905"/>
          <w:lang w:eastAsia="en-GB"/>
        </w:rPr>
      </w:pPr>
    </w:p>
    <w:p w:rsidR="004442E4" w:rsidRPr="00C806D0" w:rsidRDefault="004442E4" w:rsidP="002A360F">
      <w:pPr>
        <w:pStyle w:val="Heading3"/>
      </w:pPr>
      <w:r w:rsidRPr="00C806D0">
        <w:lastRenderedPageBreak/>
        <w:t>Data extraction form for systematic review of HSPWs for GOS categories</w:t>
      </w:r>
    </w:p>
    <w:tbl>
      <w:tblPr>
        <w:tblStyle w:val="TableGrid"/>
        <w:tblW w:w="0" w:type="auto"/>
        <w:tblLook w:val="04A0" w:firstRow="1" w:lastRow="0" w:firstColumn="1" w:lastColumn="0" w:noHBand="0" w:noVBand="1"/>
      </w:tblPr>
      <w:tblGrid>
        <w:gridCol w:w="1300"/>
        <w:gridCol w:w="2402"/>
        <w:gridCol w:w="5018"/>
      </w:tblGrid>
      <w:tr w:rsidR="004442E4" w:rsidRPr="00C806D0" w:rsidTr="004442E4">
        <w:tc>
          <w:tcPr>
            <w:tcW w:w="1300" w:type="dxa"/>
            <w:vMerge w:val="restart"/>
          </w:tcPr>
          <w:p w:rsidR="004442E4" w:rsidRPr="00C806D0" w:rsidRDefault="004442E4" w:rsidP="004442E4">
            <w:pPr>
              <w:rPr>
                <w:sz w:val="20"/>
                <w:szCs w:val="20"/>
              </w:rPr>
            </w:pPr>
            <w:r w:rsidRPr="00C806D0">
              <w:rPr>
                <w:sz w:val="20"/>
                <w:szCs w:val="20"/>
              </w:rPr>
              <w:t>Study details</w:t>
            </w:r>
          </w:p>
        </w:tc>
        <w:tc>
          <w:tcPr>
            <w:tcW w:w="2494" w:type="dxa"/>
          </w:tcPr>
          <w:p w:rsidR="004442E4" w:rsidRPr="00C806D0" w:rsidRDefault="004442E4" w:rsidP="004442E4">
            <w:pPr>
              <w:rPr>
                <w:sz w:val="20"/>
                <w:szCs w:val="20"/>
              </w:rPr>
            </w:pPr>
            <w:r w:rsidRPr="00C806D0">
              <w:rPr>
                <w:sz w:val="20"/>
                <w:szCs w:val="20"/>
              </w:rPr>
              <w:t>Study ID</w:t>
            </w: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Author</w:t>
            </w: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Year</w:t>
            </w: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Reference</w:t>
            </w: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Study design</w:t>
            </w: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p>
        </w:tc>
      </w:tr>
      <w:tr w:rsidR="004442E4" w:rsidRPr="00C806D0" w:rsidTr="004442E4">
        <w:tc>
          <w:tcPr>
            <w:tcW w:w="1300" w:type="dxa"/>
            <w:vMerge w:val="restart"/>
          </w:tcPr>
          <w:p w:rsidR="004442E4" w:rsidRPr="00C806D0" w:rsidRDefault="004442E4" w:rsidP="004442E4">
            <w:pPr>
              <w:rPr>
                <w:sz w:val="20"/>
                <w:szCs w:val="20"/>
              </w:rPr>
            </w:pPr>
            <w:r w:rsidRPr="00C806D0">
              <w:rPr>
                <w:sz w:val="20"/>
                <w:szCs w:val="20"/>
              </w:rPr>
              <w:t>Study methodology</w:t>
            </w:r>
          </w:p>
        </w:tc>
        <w:tc>
          <w:tcPr>
            <w:tcW w:w="2494" w:type="dxa"/>
          </w:tcPr>
          <w:p w:rsidR="004442E4" w:rsidRPr="00C806D0" w:rsidRDefault="004442E4" w:rsidP="004442E4">
            <w:pPr>
              <w:rPr>
                <w:sz w:val="20"/>
                <w:szCs w:val="20"/>
              </w:rPr>
            </w:pPr>
            <w:r w:rsidRPr="00C806D0">
              <w:rPr>
                <w:sz w:val="20"/>
                <w:szCs w:val="20"/>
              </w:rPr>
              <w:t>Inclusion/exclusion criteria</w:t>
            </w:r>
          </w:p>
          <w:p w:rsidR="004442E4" w:rsidRPr="00C806D0" w:rsidRDefault="004442E4" w:rsidP="004442E4">
            <w:pPr>
              <w:rPr>
                <w:sz w:val="20"/>
                <w:szCs w:val="20"/>
              </w:rPr>
            </w:pP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Disease</w:t>
            </w: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r w:rsidRPr="00C806D0">
              <w:rPr>
                <w:sz w:val="20"/>
                <w:szCs w:val="20"/>
              </w:rPr>
              <w:t>Mild/moderate/severe TBI</w:t>
            </w:r>
          </w:p>
          <w:p w:rsidR="004442E4" w:rsidRPr="00C806D0" w:rsidRDefault="004442E4" w:rsidP="004442E4">
            <w:pPr>
              <w:rPr>
                <w:sz w:val="20"/>
                <w:szCs w:val="20"/>
              </w:rPr>
            </w:pP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Diseased population characteristics</w:t>
            </w:r>
          </w:p>
          <w:p w:rsidR="004442E4" w:rsidRPr="00C806D0" w:rsidRDefault="004442E4" w:rsidP="004442E4">
            <w:pPr>
              <w:rPr>
                <w:sz w:val="20"/>
                <w:szCs w:val="20"/>
              </w:rPr>
            </w:pPr>
          </w:p>
          <w:p w:rsidR="004442E4" w:rsidRPr="00C806D0" w:rsidRDefault="004442E4" w:rsidP="004442E4">
            <w:pPr>
              <w:rPr>
                <w:sz w:val="20"/>
                <w:szCs w:val="20"/>
              </w:rPr>
            </w:pPr>
          </w:p>
        </w:tc>
        <w:tc>
          <w:tcPr>
            <w:tcW w:w="5448" w:type="dxa"/>
          </w:tcPr>
          <w:p w:rsidR="004442E4" w:rsidRPr="00C806D0" w:rsidRDefault="004442E4" w:rsidP="004442E4">
            <w:pPr>
              <w:autoSpaceDE w:val="0"/>
              <w:autoSpaceDN w:val="0"/>
              <w:adjustRightInd w:val="0"/>
              <w:rPr>
                <w:sz w:val="20"/>
                <w:szCs w:val="20"/>
              </w:rPr>
            </w:pPr>
            <w:r w:rsidRPr="00C806D0">
              <w:rPr>
                <w:sz w:val="20"/>
                <w:szCs w:val="20"/>
              </w:rPr>
              <w:t>[Age, Sex, Setting, Any other relevant characteristics]</w:t>
            </w: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Health states assessed</w:t>
            </w:r>
          </w:p>
        </w:tc>
        <w:tc>
          <w:tcPr>
            <w:tcW w:w="5448" w:type="dxa"/>
          </w:tcPr>
          <w:p w:rsidR="004442E4" w:rsidRPr="00C806D0" w:rsidRDefault="004442E4" w:rsidP="004442E4">
            <w:pPr>
              <w:rPr>
                <w:sz w:val="20"/>
                <w:szCs w:val="20"/>
              </w:rPr>
            </w:pPr>
            <w:r w:rsidRPr="00C806D0">
              <w:rPr>
                <w:sz w:val="20"/>
                <w:szCs w:val="20"/>
              </w:rPr>
              <w:t>Glasgow outcome scale: Y / N</w:t>
            </w:r>
          </w:p>
          <w:p w:rsidR="004442E4" w:rsidRPr="00C806D0" w:rsidRDefault="004442E4" w:rsidP="004442E4">
            <w:pPr>
              <w:rPr>
                <w:sz w:val="20"/>
                <w:szCs w:val="20"/>
              </w:rPr>
            </w:pPr>
          </w:p>
          <w:p w:rsidR="004442E4" w:rsidRPr="00C806D0" w:rsidRDefault="004442E4" w:rsidP="004442E4">
            <w:pPr>
              <w:rPr>
                <w:sz w:val="20"/>
                <w:szCs w:val="20"/>
              </w:rPr>
            </w:pPr>
            <w:r w:rsidRPr="00C806D0">
              <w:rPr>
                <w:sz w:val="20"/>
                <w:szCs w:val="20"/>
              </w:rPr>
              <w:t>Extended Glasgow Outcome Scale: Y / N</w:t>
            </w:r>
          </w:p>
          <w:p w:rsidR="004442E4" w:rsidRPr="00C806D0" w:rsidRDefault="004442E4" w:rsidP="004442E4">
            <w:pPr>
              <w:rPr>
                <w:sz w:val="20"/>
                <w:szCs w:val="20"/>
              </w:rPr>
            </w:pPr>
          </w:p>
          <w:p w:rsidR="004442E4" w:rsidRPr="00C806D0" w:rsidRDefault="004442E4" w:rsidP="004442E4">
            <w:pPr>
              <w:rPr>
                <w:sz w:val="20"/>
                <w:szCs w:val="20"/>
              </w:rPr>
            </w:pPr>
            <w:r w:rsidRPr="00C806D0">
              <w:rPr>
                <w:sz w:val="20"/>
                <w:szCs w:val="20"/>
              </w:rPr>
              <w:t>Time horizon:</w:t>
            </w:r>
          </w:p>
          <w:p w:rsidR="004442E4" w:rsidRPr="00C806D0" w:rsidRDefault="004442E4" w:rsidP="004442E4">
            <w:pPr>
              <w:rPr>
                <w:sz w:val="20"/>
                <w:szCs w:val="20"/>
              </w:rPr>
            </w:pP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Population describing health states</w:t>
            </w: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r w:rsidRPr="00C806D0">
              <w:rPr>
                <w:sz w:val="20"/>
                <w:szCs w:val="20"/>
              </w:rPr>
              <w:t>Patients / carers / health professionals / other / not applicable (e.g. scenarios)</w:t>
            </w:r>
          </w:p>
          <w:p w:rsidR="004442E4" w:rsidRPr="00C806D0" w:rsidRDefault="004442E4" w:rsidP="004442E4">
            <w:pPr>
              <w:rPr>
                <w:sz w:val="20"/>
                <w:szCs w:val="20"/>
              </w:rPr>
            </w:pPr>
          </w:p>
          <w:p w:rsidR="004442E4" w:rsidRPr="00C806D0" w:rsidRDefault="004442E4" w:rsidP="004442E4">
            <w:pPr>
              <w:rPr>
                <w:sz w:val="20"/>
                <w:szCs w:val="20"/>
              </w:rPr>
            </w:pPr>
            <w:r w:rsidRPr="00C806D0">
              <w:rPr>
                <w:sz w:val="20"/>
                <w:szCs w:val="20"/>
              </w:rPr>
              <w:t xml:space="preserve">Population characteristics: </w:t>
            </w:r>
          </w:p>
          <w:p w:rsidR="004442E4" w:rsidRPr="00C806D0" w:rsidRDefault="004442E4" w:rsidP="004442E4">
            <w:pPr>
              <w:rPr>
                <w:sz w:val="20"/>
                <w:szCs w:val="20"/>
              </w:rPr>
            </w:pP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Method for measuring HRQOL of health state</w:t>
            </w:r>
          </w:p>
          <w:p w:rsidR="004442E4" w:rsidRPr="00C806D0" w:rsidRDefault="004442E4" w:rsidP="004442E4">
            <w:pPr>
              <w:rPr>
                <w:sz w:val="20"/>
                <w:szCs w:val="20"/>
              </w:rPr>
            </w:pPr>
          </w:p>
          <w:p w:rsidR="004442E4" w:rsidRPr="00C806D0" w:rsidRDefault="004442E4" w:rsidP="004442E4">
            <w:pPr>
              <w:rPr>
                <w:sz w:val="20"/>
                <w:szCs w:val="20"/>
              </w:rPr>
            </w:pP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r w:rsidRPr="00C806D0">
              <w:rPr>
                <w:sz w:val="20"/>
                <w:szCs w:val="20"/>
              </w:rPr>
              <w:t>Direct measurement:</w:t>
            </w:r>
          </w:p>
          <w:p w:rsidR="004442E4" w:rsidRPr="00C806D0" w:rsidRDefault="004442E4" w:rsidP="004442E4">
            <w:pPr>
              <w:rPr>
                <w:sz w:val="20"/>
                <w:szCs w:val="20"/>
              </w:rPr>
            </w:pPr>
            <w:r w:rsidRPr="00C806D0">
              <w:rPr>
                <w:sz w:val="20"/>
                <w:szCs w:val="20"/>
              </w:rPr>
              <w:t>Scenarios:</w:t>
            </w:r>
          </w:p>
          <w:p w:rsidR="004442E4" w:rsidRPr="00C806D0" w:rsidRDefault="004442E4" w:rsidP="004442E4">
            <w:pPr>
              <w:rPr>
                <w:sz w:val="20"/>
                <w:szCs w:val="20"/>
              </w:rPr>
            </w:pPr>
            <w:r w:rsidRPr="00C806D0">
              <w:rPr>
                <w:sz w:val="20"/>
                <w:szCs w:val="20"/>
              </w:rPr>
              <w:t xml:space="preserve">Generic multi-attribute health instrument: </w:t>
            </w:r>
          </w:p>
          <w:p w:rsidR="004442E4" w:rsidRPr="00C806D0" w:rsidRDefault="004442E4" w:rsidP="004442E4">
            <w:pPr>
              <w:rPr>
                <w:sz w:val="20"/>
                <w:szCs w:val="20"/>
              </w:rPr>
            </w:pPr>
            <w:r w:rsidRPr="00C806D0">
              <w:rPr>
                <w:sz w:val="20"/>
                <w:szCs w:val="20"/>
              </w:rPr>
              <w:t>Disease specific multi-attribute instrument:</w:t>
            </w:r>
          </w:p>
          <w:p w:rsidR="004442E4" w:rsidRPr="00C806D0" w:rsidRDefault="004442E4" w:rsidP="004442E4">
            <w:pPr>
              <w:rPr>
                <w:sz w:val="20"/>
                <w:szCs w:val="20"/>
              </w:rPr>
            </w:pPr>
          </w:p>
          <w:p w:rsidR="004442E4" w:rsidRPr="00C806D0" w:rsidRDefault="004442E4" w:rsidP="004442E4">
            <w:pPr>
              <w:autoSpaceDE w:val="0"/>
              <w:autoSpaceDN w:val="0"/>
              <w:adjustRightInd w:val="0"/>
              <w:rPr>
                <w:sz w:val="20"/>
                <w:szCs w:val="20"/>
              </w:rPr>
            </w:pPr>
            <w:r w:rsidRPr="00C806D0">
              <w:rPr>
                <w:sz w:val="20"/>
                <w:szCs w:val="20"/>
              </w:rPr>
              <w:t>Lower and upper bound: death / worst possible health; perfect health / normal health</w:t>
            </w:r>
          </w:p>
          <w:p w:rsidR="004442E4" w:rsidRPr="00C806D0" w:rsidRDefault="004442E4" w:rsidP="004442E4">
            <w:pPr>
              <w:rPr>
                <w:sz w:val="20"/>
                <w:szCs w:val="20"/>
              </w:rPr>
            </w:pP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Method for valuing HRQOL of health state</w:t>
            </w:r>
          </w:p>
          <w:p w:rsidR="004442E4" w:rsidRPr="00C806D0" w:rsidRDefault="004442E4" w:rsidP="004442E4">
            <w:pPr>
              <w:rPr>
                <w:sz w:val="20"/>
                <w:szCs w:val="20"/>
              </w:rPr>
            </w:pP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r w:rsidRPr="00C806D0">
              <w:rPr>
                <w:sz w:val="20"/>
                <w:szCs w:val="20"/>
              </w:rPr>
              <w:t>Direct valuation / Indirect valuation</w:t>
            </w:r>
          </w:p>
          <w:p w:rsidR="004442E4" w:rsidRPr="00C806D0" w:rsidRDefault="004442E4" w:rsidP="004442E4">
            <w:pPr>
              <w:rPr>
                <w:sz w:val="20"/>
                <w:szCs w:val="20"/>
              </w:rPr>
            </w:pPr>
          </w:p>
          <w:p w:rsidR="004442E4" w:rsidRPr="00C806D0" w:rsidRDefault="004442E4" w:rsidP="004442E4">
            <w:pPr>
              <w:rPr>
                <w:sz w:val="20"/>
                <w:szCs w:val="20"/>
              </w:rPr>
            </w:pPr>
            <w:r w:rsidRPr="00C806D0">
              <w:rPr>
                <w:sz w:val="20"/>
                <w:szCs w:val="20"/>
              </w:rPr>
              <w:t>Elicitation method:  SG / TTO / VAS</w:t>
            </w:r>
          </w:p>
          <w:p w:rsidR="004442E4" w:rsidRPr="00C806D0" w:rsidRDefault="004442E4" w:rsidP="004442E4">
            <w:pPr>
              <w:rPr>
                <w:sz w:val="20"/>
                <w:szCs w:val="20"/>
              </w:rPr>
            </w:pP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Population valuing HRQOL of health state</w:t>
            </w: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r w:rsidRPr="00C806D0">
              <w:rPr>
                <w:sz w:val="20"/>
                <w:szCs w:val="20"/>
              </w:rPr>
              <w:t>Patients / carers / health professionals / other:</w:t>
            </w:r>
          </w:p>
          <w:p w:rsidR="004442E4" w:rsidRPr="00C806D0" w:rsidRDefault="004442E4" w:rsidP="004442E4">
            <w:pPr>
              <w:rPr>
                <w:sz w:val="20"/>
                <w:szCs w:val="20"/>
              </w:rPr>
            </w:pPr>
          </w:p>
          <w:p w:rsidR="004442E4" w:rsidRPr="00C806D0" w:rsidRDefault="004442E4" w:rsidP="004442E4">
            <w:pPr>
              <w:rPr>
                <w:sz w:val="20"/>
                <w:szCs w:val="20"/>
              </w:rPr>
            </w:pPr>
            <w:r w:rsidRPr="00C806D0">
              <w:rPr>
                <w:sz w:val="20"/>
                <w:szCs w:val="20"/>
              </w:rPr>
              <w:t xml:space="preserve">Population characteristics: </w:t>
            </w:r>
          </w:p>
          <w:p w:rsidR="004442E4" w:rsidRPr="00C806D0" w:rsidRDefault="004442E4" w:rsidP="004442E4">
            <w:pPr>
              <w:rPr>
                <w:sz w:val="20"/>
                <w:szCs w:val="20"/>
              </w:rPr>
            </w:pPr>
          </w:p>
        </w:tc>
      </w:tr>
      <w:tr w:rsidR="004442E4" w:rsidRPr="00C806D0" w:rsidTr="004442E4">
        <w:tc>
          <w:tcPr>
            <w:tcW w:w="1300" w:type="dxa"/>
            <w:vMerge w:val="restart"/>
          </w:tcPr>
          <w:p w:rsidR="004442E4" w:rsidRPr="00C806D0" w:rsidRDefault="004442E4" w:rsidP="004442E4">
            <w:pPr>
              <w:rPr>
                <w:sz w:val="20"/>
                <w:szCs w:val="20"/>
              </w:rPr>
            </w:pPr>
            <w:r w:rsidRPr="00C806D0">
              <w:rPr>
                <w:sz w:val="20"/>
                <w:szCs w:val="20"/>
              </w:rPr>
              <w:t>Study results</w:t>
            </w:r>
          </w:p>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Sample size</w:t>
            </w: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r w:rsidRPr="00C806D0">
              <w:rPr>
                <w:sz w:val="20"/>
                <w:szCs w:val="20"/>
              </w:rPr>
              <w:t>n=</w:t>
            </w: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182075" w:rsidP="004442E4">
            <w:pPr>
              <w:rPr>
                <w:sz w:val="20"/>
                <w:szCs w:val="20"/>
              </w:rPr>
            </w:pPr>
            <w:r w:rsidRPr="00C806D0">
              <w:rPr>
                <w:sz w:val="20"/>
                <w:szCs w:val="20"/>
              </w:rPr>
              <w:t>Point HSPW</w:t>
            </w:r>
            <w:r w:rsidR="004442E4" w:rsidRPr="00C806D0">
              <w:rPr>
                <w:sz w:val="20"/>
                <w:szCs w:val="20"/>
              </w:rPr>
              <w:t xml:space="preserve"> estimates &amp; Spread (SD, IQR, 95% CI)</w:t>
            </w:r>
          </w:p>
          <w:p w:rsidR="004442E4" w:rsidRPr="00C806D0" w:rsidRDefault="004442E4" w:rsidP="004442E4">
            <w:pPr>
              <w:rPr>
                <w:sz w:val="20"/>
                <w:szCs w:val="20"/>
              </w:rPr>
            </w:pPr>
          </w:p>
          <w:p w:rsidR="004442E4" w:rsidRPr="00C806D0" w:rsidRDefault="004442E4" w:rsidP="004442E4">
            <w:pPr>
              <w:rPr>
                <w:sz w:val="20"/>
                <w:szCs w:val="20"/>
              </w:rPr>
            </w:pP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p>
        </w:tc>
      </w:tr>
      <w:tr w:rsidR="004442E4" w:rsidRPr="00C806D0" w:rsidTr="004442E4">
        <w:trPr>
          <w:trHeight w:val="543"/>
        </w:trPr>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Other relevant results</w:t>
            </w:r>
          </w:p>
          <w:p w:rsidR="004442E4" w:rsidRPr="00C806D0" w:rsidRDefault="004442E4" w:rsidP="004442E4">
            <w:pPr>
              <w:rPr>
                <w:sz w:val="20"/>
                <w:szCs w:val="20"/>
              </w:rPr>
            </w:pPr>
          </w:p>
          <w:p w:rsidR="004442E4" w:rsidRPr="00C806D0" w:rsidRDefault="004442E4" w:rsidP="004442E4">
            <w:pPr>
              <w:rPr>
                <w:sz w:val="20"/>
                <w:szCs w:val="20"/>
              </w:rPr>
            </w:pPr>
          </w:p>
          <w:p w:rsidR="004442E4" w:rsidRPr="00C806D0" w:rsidRDefault="004442E4" w:rsidP="004442E4">
            <w:pPr>
              <w:rPr>
                <w:sz w:val="20"/>
                <w:szCs w:val="20"/>
              </w:rPr>
            </w:pPr>
          </w:p>
          <w:p w:rsidR="004442E4" w:rsidRPr="00C806D0" w:rsidRDefault="004442E4" w:rsidP="004442E4">
            <w:pPr>
              <w:rPr>
                <w:sz w:val="20"/>
                <w:szCs w:val="20"/>
              </w:rPr>
            </w:pP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p>
        </w:tc>
      </w:tr>
      <w:tr w:rsidR="004442E4" w:rsidRPr="00C806D0" w:rsidTr="004442E4">
        <w:tc>
          <w:tcPr>
            <w:tcW w:w="1300" w:type="dxa"/>
            <w:vMerge w:val="restart"/>
          </w:tcPr>
          <w:p w:rsidR="004442E4" w:rsidRPr="00C806D0" w:rsidRDefault="004442E4" w:rsidP="004442E4">
            <w:pPr>
              <w:rPr>
                <w:sz w:val="20"/>
                <w:szCs w:val="20"/>
              </w:rPr>
            </w:pPr>
            <w:r w:rsidRPr="00C806D0">
              <w:rPr>
                <w:sz w:val="20"/>
                <w:szCs w:val="20"/>
              </w:rPr>
              <w:t>Quality assessment</w:t>
            </w:r>
          </w:p>
        </w:tc>
        <w:tc>
          <w:tcPr>
            <w:tcW w:w="2494" w:type="dxa"/>
          </w:tcPr>
          <w:p w:rsidR="004442E4" w:rsidRPr="00C806D0" w:rsidRDefault="004442E4" w:rsidP="004442E4">
            <w:pPr>
              <w:rPr>
                <w:sz w:val="20"/>
                <w:szCs w:val="20"/>
              </w:rPr>
            </w:pPr>
            <w:r w:rsidRPr="00C806D0">
              <w:rPr>
                <w:sz w:val="20"/>
                <w:szCs w:val="20"/>
              </w:rPr>
              <w:t>Health state description &amp; measurement:</w:t>
            </w:r>
          </w:p>
          <w:p w:rsidR="004442E4" w:rsidRPr="00C806D0" w:rsidRDefault="004442E4" w:rsidP="004442E4">
            <w:pPr>
              <w:rPr>
                <w:sz w:val="20"/>
                <w:szCs w:val="20"/>
              </w:rPr>
            </w:pPr>
          </w:p>
          <w:p w:rsidR="004442E4" w:rsidRPr="00C806D0" w:rsidRDefault="004442E4" w:rsidP="004442E4">
            <w:pPr>
              <w:rPr>
                <w:sz w:val="20"/>
                <w:szCs w:val="20"/>
              </w:rPr>
            </w:pPr>
            <w:r w:rsidRPr="00C806D0">
              <w:rPr>
                <w:b/>
                <w:sz w:val="20"/>
                <w:szCs w:val="20"/>
              </w:rPr>
              <w:t>Domain 1</w:t>
            </w:r>
            <w:r w:rsidR="00182075" w:rsidRPr="00C806D0">
              <w:rPr>
                <w:b/>
                <w:sz w:val="20"/>
                <w:szCs w:val="20"/>
              </w:rPr>
              <w:t>:</w:t>
            </w:r>
            <w:r w:rsidRPr="00C806D0">
              <w:rPr>
                <w:sz w:val="20"/>
                <w:szCs w:val="20"/>
              </w:rPr>
              <w:t xml:space="preserve"> Selection bias (Representative population describing health sates?):</w:t>
            </w:r>
          </w:p>
          <w:p w:rsidR="004442E4" w:rsidRPr="00C806D0" w:rsidRDefault="004442E4" w:rsidP="004442E4">
            <w:pPr>
              <w:rPr>
                <w:sz w:val="20"/>
                <w:szCs w:val="20"/>
              </w:rPr>
            </w:pPr>
            <w:r w:rsidRPr="00C806D0">
              <w:rPr>
                <w:sz w:val="20"/>
                <w:szCs w:val="20"/>
              </w:rPr>
              <w:t>•Response rates</w:t>
            </w:r>
          </w:p>
          <w:p w:rsidR="004442E4" w:rsidRPr="00C806D0" w:rsidRDefault="004442E4" w:rsidP="004442E4">
            <w:pPr>
              <w:rPr>
                <w:sz w:val="20"/>
                <w:szCs w:val="20"/>
              </w:rPr>
            </w:pPr>
            <w:r w:rsidRPr="00C806D0">
              <w:rPr>
                <w:sz w:val="20"/>
                <w:szCs w:val="20"/>
              </w:rPr>
              <w:t>•Loss to follow up</w:t>
            </w:r>
          </w:p>
          <w:p w:rsidR="004442E4" w:rsidRPr="00C806D0" w:rsidRDefault="004442E4" w:rsidP="004442E4">
            <w:pPr>
              <w:rPr>
                <w:sz w:val="20"/>
                <w:szCs w:val="20"/>
              </w:rPr>
            </w:pPr>
            <w:r w:rsidRPr="00C806D0">
              <w:rPr>
                <w:sz w:val="20"/>
                <w:szCs w:val="20"/>
              </w:rPr>
              <w:t>•Missing data</w:t>
            </w:r>
          </w:p>
          <w:p w:rsidR="004442E4" w:rsidRPr="00C806D0" w:rsidRDefault="004442E4" w:rsidP="004442E4">
            <w:pPr>
              <w:rPr>
                <w:sz w:val="20"/>
                <w:szCs w:val="20"/>
              </w:rPr>
            </w:pPr>
          </w:p>
          <w:p w:rsidR="004442E4" w:rsidRPr="00C806D0" w:rsidRDefault="004442E4" w:rsidP="004442E4">
            <w:pPr>
              <w:rPr>
                <w:sz w:val="20"/>
                <w:szCs w:val="20"/>
              </w:rPr>
            </w:pPr>
            <w:r w:rsidRPr="00C806D0">
              <w:rPr>
                <w:b/>
                <w:sz w:val="20"/>
                <w:szCs w:val="20"/>
              </w:rPr>
              <w:t>Domain 2</w:t>
            </w:r>
            <w:r w:rsidR="00182075" w:rsidRPr="00C806D0">
              <w:rPr>
                <w:b/>
                <w:sz w:val="20"/>
                <w:szCs w:val="20"/>
              </w:rPr>
              <w:t>:</w:t>
            </w:r>
            <w:r w:rsidRPr="00C806D0">
              <w:t xml:space="preserve"> </w:t>
            </w:r>
            <w:r w:rsidRPr="00C806D0">
              <w:rPr>
                <w:sz w:val="20"/>
                <w:szCs w:val="20"/>
              </w:rPr>
              <w:t>Information bias (Accurate and reproducible measurement of health states?):</w:t>
            </w:r>
          </w:p>
          <w:p w:rsidR="004442E4" w:rsidRPr="00C806D0" w:rsidRDefault="004442E4" w:rsidP="004442E4">
            <w:pPr>
              <w:rPr>
                <w:sz w:val="20"/>
                <w:szCs w:val="20"/>
              </w:rPr>
            </w:pPr>
            <w:r w:rsidRPr="00C806D0">
              <w:rPr>
                <w:sz w:val="20"/>
                <w:szCs w:val="20"/>
              </w:rPr>
              <w:t>•Content validity</w:t>
            </w:r>
          </w:p>
          <w:p w:rsidR="004442E4" w:rsidRPr="00C806D0" w:rsidRDefault="004442E4" w:rsidP="004442E4">
            <w:pPr>
              <w:rPr>
                <w:sz w:val="20"/>
                <w:szCs w:val="20"/>
              </w:rPr>
            </w:pPr>
            <w:r w:rsidRPr="00C806D0">
              <w:rPr>
                <w:sz w:val="20"/>
                <w:szCs w:val="20"/>
              </w:rPr>
              <w:lastRenderedPageBreak/>
              <w:t>•Face validity</w:t>
            </w:r>
          </w:p>
          <w:p w:rsidR="004442E4" w:rsidRPr="00C806D0" w:rsidRDefault="004442E4" w:rsidP="004442E4">
            <w:pPr>
              <w:rPr>
                <w:sz w:val="20"/>
                <w:szCs w:val="20"/>
              </w:rPr>
            </w:pPr>
            <w:r w:rsidRPr="00C806D0">
              <w:rPr>
                <w:sz w:val="20"/>
                <w:szCs w:val="20"/>
              </w:rPr>
              <w:t>•Construct validity</w:t>
            </w:r>
          </w:p>
          <w:p w:rsidR="004442E4" w:rsidRPr="00C806D0" w:rsidRDefault="004442E4" w:rsidP="004442E4">
            <w:pPr>
              <w:rPr>
                <w:sz w:val="20"/>
                <w:szCs w:val="20"/>
              </w:rPr>
            </w:pPr>
            <w:r w:rsidRPr="00C806D0">
              <w:rPr>
                <w:sz w:val="20"/>
                <w:szCs w:val="20"/>
              </w:rPr>
              <w:t>•Responsiveness</w:t>
            </w:r>
          </w:p>
          <w:p w:rsidR="004442E4" w:rsidRPr="00C806D0" w:rsidRDefault="004442E4" w:rsidP="004442E4">
            <w:pPr>
              <w:rPr>
                <w:sz w:val="20"/>
                <w:szCs w:val="20"/>
              </w:rPr>
            </w:pPr>
            <w:r w:rsidRPr="00C806D0">
              <w:rPr>
                <w:sz w:val="20"/>
                <w:szCs w:val="20"/>
              </w:rPr>
              <w:t>•Reliability</w:t>
            </w:r>
          </w:p>
          <w:p w:rsidR="004442E4" w:rsidRPr="00C806D0" w:rsidRDefault="004442E4" w:rsidP="004442E4">
            <w:pPr>
              <w:rPr>
                <w:sz w:val="20"/>
                <w:szCs w:val="20"/>
              </w:rPr>
            </w:pPr>
          </w:p>
          <w:p w:rsidR="004442E4" w:rsidRPr="00C806D0" w:rsidRDefault="004442E4" w:rsidP="004442E4">
            <w:pPr>
              <w:rPr>
                <w:sz w:val="20"/>
                <w:szCs w:val="20"/>
              </w:rPr>
            </w:pP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r w:rsidRPr="00C806D0">
              <w:rPr>
                <w:sz w:val="20"/>
                <w:szCs w:val="20"/>
              </w:rPr>
              <w:lastRenderedPageBreak/>
              <w:t>Risk of bias: high / low / unclear / Not applicable</w:t>
            </w: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sz w:val="20"/>
                <w:szCs w:val="20"/>
              </w:rPr>
              <w:t>Health state valuation:</w:t>
            </w:r>
          </w:p>
          <w:p w:rsidR="004442E4" w:rsidRPr="00C806D0" w:rsidRDefault="004442E4" w:rsidP="004442E4">
            <w:pPr>
              <w:rPr>
                <w:sz w:val="20"/>
                <w:szCs w:val="20"/>
              </w:rPr>
            </w:pPr>
          </w:p>
          <w:p w:rsidR="004442E4" w:rsidRPr="00C806D0" w:rsidRDefault="004442E4" w:rsidP="004442E4">
            <w:pPr>
              <w:rPr>
                <w:sz w:val="20"/>
                <w:szCs w:val="20"/>
              </w:rPr>
            </w:pPr>
            <w:r w:rsidRPr="00C806D0">
              <w:rPr>
                <w:b/>
                <w:sz w:val="20"/>
                <w:szCs w:val="20"/>
              </w:rPr>
              <w:t>Domain 3</w:t>
            </w:r>
            <w:r w:rsidR="00182075" w:rsidRPr="00C806D0">
              <w:rPr>
                <w:b/>
                <w:sz w:val="20"/>
                <w:szCs w:val="20"/>
              </w:rPr>
              <w:t>:</w:t>
            </w:r>
            <w:r w:rsidRPr="00C806D0">
              <w:t xml:space="preserve"> </w:t>
            </w:r>
            <w:r w:rsidRPr="00C806D0">
              <w:rPr>
                <w:sz w:val="20"/>
                <w:szCs w:val="20"/>
              </w:rPr>
              <w:t>Selection bias (Representative population valuing health sates?):</w:t>
            </w:r>
          </w:p>
          <w:p w:rsidR="004442E4" w:rsidRPr="00C806D0" w:rsidRDefault="004442E4" w:rsidP="004442E4">
            <w:pPr>
              <w:rPr>
                <w:sz w:val="20"/>
                <w:szCs w:val="20"/>
              </w:rPr>
            </w:pPr>
            <w:r w:rsidRPr="00C806D0">
              <w:rPr>
                <w:sz w:val="20"/>
                <w:szCs w:val="20"/>
              </w:rPr>
              <w:t>•Response rates</w:t>
            </w:r>
          </w:p>
          <w:p w:rsidR="004442E4" w:rsidRPr="00C806D0" w:rsidRDefault="004442E4" w:rsidP="004442E4">
            <w:pPr>
              <w:rPr>
                <w:sz w:val="20"/>
                <w:szCs w:val="20"/>
              </w:rPr>
            </w:pPr>
            <w:r w:rsidRPr="00C806D0">
              <w:rPr>
                <w:sz w:val="20"/>
                <w:szCs w:val="20"/>
              </w:rPr>
              <w:t>•Loss to follow up</w:t>
            </w:r>
          </w:p>
          <w:p w:rsidR="004442E4" w:rsidRPr="00C806D0" w:rsidRDefault="004442E4" w:rsidP="004442E4">
            <w:pPr>
              <w:rPr>
                <w:sz w:val="20"/>
                <w:szCs w:val="20"/>
              </w:rPr>
            </w:pPr>
            <w:r w:rsidRPr="00C806D0">
              <w:rPr>
                <w:sz w:val="20"/>
                <w:szCs w:val="20"/>
              </w:rPr>
              <w:t>•Missing data</w:t>
            </w:r>
          </w:p>
          <w:p w:rsidR="004442E4" w:rsidRPr="00C806D0" w:rsidRDefault="004442E4" w:rsidP="004442E4">
            <w:pPr>
              <w:rPr>
                <w:sz w:val="20"/>
                <w:szCs w:val="20"/>
              </w:rPr>
            </w:pPr>
          </w:p>
          <w:p w:rsidR="004442E4" w:rsidRPr="00C806D0" w:rsidRDefault="004442E4" w:rsidP="004442E4">
            <w:pPr>
              <w:rPr>
                <w:sz w:val="20"/>
                <w:szCs w:val="20"/>
              </w:rPr>
            </w:pPr>
            <w:r w:rsidRPr="00C806D0">
              <w:rPr>
                <w:b/>
                <w:sz w:val="20"/>
                <w:szCs w:val="20"/>
              </w:rPr>
              <w:t>Domain 4</w:t>
            </w:r>
            <w:r w:rsidR="00182075" w:rsidRPr="00C806D0">
              <w:rPr>
                <w:sz w:val="20"/>
                <w:szCs w:val="20"/>
              </w:rPr>
              <w:t>:</w:t>
            </w:r>
            <w:r w:rsidRPr="00C806D0">
              <w:rPr>
                <w:sz w:val="20"/>
                <w:szCs w:val="20"/>
              </w:rPr>
              <w:t xml:space="preserve"> Information bias (Accurate and reproducible valuation of preference for health states?):</w:t>
            </w:r>
          </w:p>
          <w:p w:rsidR="004442E4" w:rsidRPr="00C806D0" w:rsidRDefault="004442E4" w:rsidP="004442E4">
            <w:pPr>
              <w:rPr>
                <w:sz w:val="20"/>
                <w:szCs w:val="20"/>
              </w:rPr>
            </w:pPr>
            <w:r w:rsidRPr="00C806D0">
              <w:rPr>
                <w:sz w:val="20"/>
                <w:szCs w:val="20"/>
              </w:rPr>
              <w:t>•Choice v feeling based valuation</w:t>
            </w:r>
          </w:p>
          <w:p w:rsidR="004442E4" w:rsidRPr="00C806D0" w:rsidRDefault="004442E4" w:rsidP="004442E4">
            <w:pPr>
              <w:rPr>
                <w:sz w:val="20"/>
                <w:szCs w:val="20"/>
              </w:rPr>
            </w:pPr>
            <w:r w:rsidRPr="00C806D0">
              <w:rPr>
                <w:sz w:val="20"/>
                <w:szCs w:val="20"/>
              </w:rPr>
              <w:t>•Credible extrapolation of health state valuations?</w:t>
            </w:r>
          </w:p>
          <w:p w:rsidR="004442E4" w:rsidRPr="00C806D0" w:rsidRDefault="004442E4" w:rsidP="004442E4">
            <w:pPr>
              <w:rPr>
                <w:sz w:val="20"/>
                <w:szCs w:val="20"/>
              </w:rPr>
            </w:pPr>
            <w:r w:rsidRPr="00C806D0">
              <w:rPr>
                <w:sz w:val="20"/>
                <w:szCs w:val="20"/>
              </w:rPr>
              <w:t xml:space="preserve">•Empirical validity of valuation method (against revealed, stated or hypothesised preferences) </w:t>
            </w: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r w:rsidRPr="00C806D0">
              <w:rPr>
                <w:sz w:val="20"/>
                <w:szCs w:val="20"/>
              </w:rPr>
              <w:t>Risk of bias: high / low / unclear / Not applicable</w:t>
            </w:r>
          </w:p>
        </w:tc>
      </w:tr>
      <w:tr w:rsidR="004442E4" w:rsidRPr="00C806D0" w:rsidTr="004442E4">
        <w:tc>
          <w:tcPr>
            <w:tcW w:w="1300" w:type="dxa"/>
            <w:vMerge/>
          </w:tcPr>
          <w:p w:rsidR="004442E4" w:rsidRPr="00C806D0" w:rsidRDefault="004442E4" w:rsidP="004442E4">
            <w:pPr>
              <w:rPr>
                <w:sz w:val="20"/>
                <w:szCs w:val="20"/>
              </w:rPr>
            </w:pPr>
          </w:p>
        </w:tc>
        <w:tc>
          <w:tcPr>
            <w:tcW w:w="2494" w:type="dxa"/>
          </w:tcPr>
          <w:p w:rsidR="004442E4" w:rsidRPr="00C806D0" w:rsidRDefault="004442E4" w:rsidP="004442E4">
            <w:pPr>
              <w:rPr>
                <w:sz w:val="20"/>
                <w:szCs w:val="20"/>
              </w:rPr>
            </w:pPr>
            <w:r w:rsidRPr="00C806D0">
              <w:rPr>
                <w:b/>
                <w:sz w:val="20"/>
                <w:szCs w:val="20"/>
              </w:rPr>
              <w:t>Domain 5</w:t>
            </w:r>
            <w:r w:rsidR="00182075" w:rsidRPr="00C806D0">
              <w:rPr>
                <w:b/>
                <w:sz w:val="20"/>
                <w:szCs w:val="20"/>
              </w:rPr>
              <w:t>:</w:t>
            </w:r>
            <w:r w:rsidRPr="00C806D0">
              <w:t xml:space="preserve"> </w:t>
            </w:r>
            <w:r w:rsidRPr="00C806D0">
              <w:rPr>
                <w:sz w:val="20"/>
                <w:szCs w:val="20"/>
              </w:rPr>
              <w:t>Other sources of bias:</w:t>
            </w:r>
          </w:p>
          <w:p w:rsidR="004442E4" w:rsidRPr="00C806D0" w:rsidRDefault="004442E4" w:rsidP="004442E4">
            <w:pPr>
              <w:rPr>
                <w:sz w:val="20"/>
                <w:szCs w:val="20"/>
              </w:rPr>
            </w:pPr>
          </w:p>
          <w:p w:rsidR="004442E4" w:rsidRPr="00C806D0" w:rsidRDefault="004442E4" w:rsidP="004442E4">
            <w:pPr>
              <w:rPr>
                <w:sz w:val="20"/>
                <w:szCs w:val="20"/>
              </w:rPr>
            </w:pPr>
          </w:p>
          <w:p w:rsidR="004442E4" w:rsidRPr="00C806D0" w:rsidRDefault="004442E4" w:rsidP="004442E4">
            <w:pPr>
              <w:rPr>
                <w:sz w:val="20"/>
                <w:szCs w:val="20"/>
              </w:rPr>
            </w:pPr>
          </w:p>
        </w:tc>
        <w:tc>
          <w:tcPr>
            <w:tcW w:w="5448" w:type="dxa"/>
          </w:tcPr>
          <w:p w:rsidR="004442E4" w:rsidRPr="00C806D0" w:rsidRDefault="004442E4" w:rsidP="004442E4">
            <w:pPr>
              <w:rPr>
                <w:sz w:val="20"/>
                <w:szCs w:val="20"/>
              </w:rPr>
            </w:pPr>
            <w:r w:rsidRPr="00C806D0">
              <w:rPr>
                <w:sz w:val="20"/>
                <w:szCs w:val="20"/>
              </w:rPr>
              <w:t xml:space="preserve">Risk of bias: high / low / unclear / Not applicable </w:t>
            </w:r>
          </w:p>
          <w:p w:rsidR="004442E4" w:rsidRPr="00C806D0" w:rsidRDefault="004442E4" w:rsidP="004442E4">
            <w:pPr>
              <w:rPr>
                <w:sz w:val="20"/>
                <w:szCs w:val="20"/>
              </w:rPr>
            </w:pPr>
          </w:p>
          <w:p w:rsidR="004442E4" w:rsidRPr="00C806D0" w:rsidRDefault="004442E4" w:rsidP="004442E4">
            <w:pPr>
              <w:rPr>
                <w:sz w:val="20"/>
                <w:szCs w:val="20"/>
              </w:rPr>
            </w:pPr>
          </w:p>
          <w:p w:rsidR="004442E4" w:rsidRPr="00C806D0" w:rsidRDefault="004442E4" w:rsidP="004442E4">
            <w:pPr>
              <w:rPr>
                <w:sz w:val="20"/>
                <w:szCs w:val="20"/>
              </w:rPr>
            </w:pPr>
          </w:p>
          <w:p w:rsidR="004442E4" w:rsidRPr="00C806D0" w:rsidRDefault="004442E4" w:rsidP="004442E4">
            <w:pPr>
              <w:rPr>
                <w:sz w:val="20"/>
                <w:szCs w:val="20"/>
              </w:rPr>
            </w:pPr>
          </w:p>
          <w:p w:rsidR="004442E4" w:rsidRPr="00C806D0" w:rsidRDefault="004442E4" w:rsidP="004442E4">
            <w:pPr>
              <w:rPr>
                <w:sz w:val="20"/>
                <w:szCs w:val="20"/>
              </w:rPr>
            </w:pPr>
          </w:p>
        </w:tc>
      </w:tr>
    </w:tbl>
    <w:p w:rsidR="004442E4" w:rsidRPr="00C806D0" w:rsidRDefault="004442E4" w:rsidP="004442E4"/>
    <w:p w:rsidR="004442E4" w:rsidRPr="00C806D0" w:rsidRDefault="00B65AAF" w:rsidP="002A360F">
      <w:pPr>
        <w:pStyle w:val="Heading3"/>
      </w:pPr>
      <w:r w:rsidRPr="00C806D0">
        <w:lastRenderedPageBreak/>
        <w:t>Systematic review of HSPWs for GOS categories: R</w:t>
      </w:r>
      <w:r w:rsidR="004442E4" w:rsidRPr="00C806D0">
        <w:t>isk of bias assessment</w:t>
      </w:r>
    </w:p>
    <w:p w:rsidR="004442E4" w:rsidRPr="00C806D0" w:rsidRDefault="004442E4" w:rsidP="004442E4">
      <w:pPr>
        <w:pStyle w:val="Heading4"/>
      </w:pPr>
      <w:r w:rsidRPr="00C806D0">
        <w:t xml:space="preserve">Risk of bias assessment for individual HSPW estimates </w:t>
      </w:r>
    </w:p>
    <w:p w:rsidR="004442E4" w:rsidRPr="00C806D0" w:rsidRDefault="004442E4" w:rsidP="004442E4">
      <w:r w:rsidRPr="00C806D0">
        <w:t xml:space="preserve">There are no agreed methodological or reporting standards for </w:t>
      </w:r>
      <w:r w:rsidR="007930C2" w:rsidRPr="00C806D0">
        <w:t xml:space="preserve">studies deriving </w:t>
      </w:r>
      <w:r w:rsidRPr="00C806D0">
        <w:t>HSPWs challenging objective critical appraisal. A novel, peer reviewed, critical appraisal checklist was therefore developed informed by NICE technical guidelines, theoretical considerations and recommendations from authorities in the field.</w:t>
      </w:r>
      <w:r w:rsidRPr="00C806D0">
        <w:rPr>
          <w:vertAlign w:val="superscript"/>
        </w:rPr>
        <w:t>[1,4,9-11]</w:t>
      </w:r>
      <w:r w:rsidRPr="00C806D0">
        <w:t xml:space="preserve"> </w:t>
      </w:r>
    </w:p>
    <w:p w:rsidR="004442E4" w:rsidRPr="00C806D0" w:rsidRDefault="004442E4" w:rsidP="004442E4"/>
    <w:p w:rsidR="004442E4" w:rsidRPr="00C806D0" w:rsidRDefault="004442E4" w:rsidP="004442E4">
      <w:pPr>
        <w:rPr>
          <w:rFonts w:eastAsia="FreeSans" w:cs="FreeSans"/>
        </w:rPr>
      </w:pPr>
      <w:r w:rsidRPr="00C806D0">
        <w:rPr>
          <w:rFonts w:cs="FreeSansBold"/>
          <w:bCs/>
          <w:lang w:eastAsia="en-GB"/>
        </w:rPr>
        <w:t>A methodological component approach, based on the</w:t>
      </w:r>
      <w:r w:rsidRPr="00C806D0">
        <w:rPr>
          <w:rFonts w:cs="AGaramond-Regular"/>
          <w:lang w:eastAsia="en-GB"/>
        </w:rPr>
        <w:t xml:space="preserve"> Cochrane </w:t>
      </w:r>
      <w:r w:rsidRPr="00C806D0">
        <w:rPr>
          <w:rFonts w:cs="FreeSansBold"/>
          <w:bCs/>
          <w:lang w:eastAsia="en-GB"/>
        </w:rPr>
        <w:t>Collaboration’s tool for assessing risk of bias in randomised trials,</w:t>
      </w:r>
      <w:r w:rsidRPr="00C806D0">
        <w:rPr>
          <w:rFonts w:cs="FreeSansBold"/>
          <w:bCs/>
          <w:vertAlign w:val="superscript"/>
          <w:lang w:eastAsia="en-GB"/>
        </w:rPr>
        <w:t>[12]</w:t>
      </w:r>
      <w:r w:rsidRPr="00C806D0">
        <w:rPr>
          <w:rFonts w:cs="AGaramond-Regular"/>
          <w:lang w:eastAsia="en-GB"/>
        </w:rPr>
        <w:t xml:space="preserve"> </w:t>
      </w:r>
      <w:r w:rsidRPr="00C806D0">
        <w:rPr>
          <w:rFonts w:cs="FreeSansBold"/>
          <w:bCs/>
          <w:lang w:eastAsia="en-GB"/>
        </w:rPr>
        <w:t>was taken evaluating the key steps of health state measurement and valuation of preferences separately. Selection and information bias were then assessed for each of these, along with an ‘other’ category to give 5 domains. Within each of these domains items potentially influencing risk of bias were specified, allowing a bias rating of low, high, unclear, or not applicable (Table F4). As a</w:t>
      </w:r>
      <w:r w:rsidRPr="00C806D0">
        <w:rPr>
          <w:rFonts w:eastAsia="FreeSans" w:cs="FreeSans"/>
        </w:rPr>
        <w:t>ssessment of risk of bias requires judgement, items were not prescriptive e.g. the missingness mechanism is important rather than an arbitrary figure for missing data when determining the potential for selection bias.</w:t>
      </w:r>
    </w:p>
    <w:p w:rsidR="004442E4" w:rsidRPr="00C806D0" w:rsidRDefault="004442E4" w:rsidP="004442E4">
      <w:pPr>
        <w:rPr>
          <w:rFonts w:eastAsia="FreeSans" w:cs="FreeSans"/>
        </w:rPr>
      </w:pPr>
    </w:p>
    <w:p w:rsidR="004442E4" w:rsidRPr="00C806D0" w:rsidRDefault="004442E4" w:rsidP="004442E4">
      <w:r w:rsidRPr="00C806D0">
        <w:rPr>
          <w:rFonts w:cs="FreeSansBold"/>
          <w:bCs/>
          <w:lang w:eastAsia="en-GB"/>
        </w:rPr>
        <w:t>Assessment focused on factors directly related to the risk of bias in that particular method of HSPW elicitation and did not judge the overall appropriateness of different techniques for obtaining preferences e.g the suitability of SG versus TTO, or different valuing populations. De</w:t>
      </w:r>
      <w:r w:rsidRPr="00C806D0">
        <w:t>pending on study design certain domains might not be applicable e.g. selection bias would not be relevant for health state description in studies using scenarios to measure HRQOL.</w:t>
      </w:r>
    </w:p>
    <w:p w:rsidR="004442E4" w:rsidRPr="00C806D0" w:rsidRDefault="004442E4" w:rsidP="004442E4"/>
    <w:p w:rsidR="004442E4" w:rsidRPr="00C806D0" w:rsidRDefault="004442E4" w:rsidP="004442E4">
      <w:r w:rsidRPr="00C806D0">
        <w:t>Relevance is a key factor in determining which HSPWs are appropriate for individual decision analysis models. By clearly reporting study characteristics review users will be able to judge which HSPW estimates are suitable for their setting. Relevance was therefore not been included as a specific component of bias assessment.</w:t>
      </w:r>
    </w:p>
    <w:p w:rsidR="004442E4" w:rsidRPr="00C806D0" w:rsidRDefault="004442E4" w:rsidP="004442E4"/>
    <w:p w:rsidR="004442E4" w:rsidRPr="00C806D0" w:rsidRDefault="004442E4" w:rsidP="004442E4"/>
    <w:p w:rsidR="004442E4" w:rsidRPr="00C806D0" w:rsidRDefault="004442E4" w:rsidP="004442E4"/>
    <w:p w:rsidR="006F2FC6" w:rsidRPr="00C806D0" w:rsidRDefault="006F2FC6">
      <w:pPr>
        <w:spacing w:line="240" w:lineRule="auto"/>
      </w:pPr>
      <w:r w:rsidRPr="00C806D0">
        <w:br w:type="page"/>
      </w:r>
    </w:p>
    <w:p w:rsidR="006F2FC6" w:rsidRPr="00C806D0" w:rsidRDefault="006F2FC6" w:rsidP="004442E4">
      <w:pPr>
        <w:rPr>
          <w:b/>
        </w:rPr>
        <w:sectPr w:rsidR="006F2FC6" w:rsidRPr="00C806D0" w:rsidSect="00E31429">
          <w:pgSz w:w="11906" w:h="16838"/>
          <w:pgMar w:top="1134" w:right="1134" w:bottom="1134" w:left="2268" w:header="709" w:footer="709" w:gutter="0"/>
          <w:cols w:space="708"/>
          <w:docGrid w:linePitch="360"/>
        </w:sectPr>
      </w:pPr>
    </w:p>
    <w:p w:rsidR="004442E4" w:rsidRPr="00C806D0" w:rsidRDefault="004442E4" w:rsidP="004442E4">
      <w:pPr>
        <w:rPr>
          <w:b/>
        </w:rPr>
      </w:pPr>
      <w:r w:rsidRPr="00C806D0">
        <w:rPr>
          <w:b/>
        </w:rPr>
        <w:lastRenderedPageBreak/>
        <w:t xml:space="preserve">Table F4. Risk of bias assessment instrument for </w:t>
      </w:r>
      <w:r w:rsidR="00B65AAF" w:rsidRPr="00C806D0">
        <w:rPr>
          <w:b/>
        </w:rPr>
        <w:t xml:space="preserve">critical appraisal of studies deriving </w:t>
      </w:r>
      <w:r w:rsidRPr="00C806D0">
        <w:rPr>
          <w:b/>
        </w:rPr>
        <w:t>HSPWs</w:t>
      </w:r>
      <w:r w:rsidR="00B65AAF" w:rsidRPr="00C806D0">
        <w:rPr>
          <w:b/>
        </w:rPr>
        <w:t xml:space="preserve"> for GOS categories</w:t>
      </w:r>
    </w:p>
    <w:tbl>
      <w:tblPr>
        <w:tblStyle w:val="TableGrid"/>
        <w:tblW w:w="0" w:type="auto"/>
        <w:tblLook w:val="04A0" w:firstRow="1" w:lastRow="0" w:firstColumn="1" w:lastColumn="0" w:noHBand="0" w:noVBand="1"/>
      </w:tblPr>
      <w:tblGrid>
        <w:gridCol w:w="852"/>
        <w:gridCol w:w="3680"/>
        <w:gridCol w:w="2568"/>
        <w:gridCol w:w="3670"/>
        <w:gridCol w:w="2339"/>
        <w:gridCol w:w="1677"/>
      </w:tblGrid>
      <w:tr w:rsidR="004442E4" w:rsidRPr="00C806D0" w:rsidTr="004442E4">
        <w:trPr>
          <w:trHeight w:val="274"/>
        </w:trPr>
        <w:tc>
          <w:tcPr>
            <w:tcW w:w="0" w:type="auto"/>
            <w:tcBorders>
              <w:left w:val="nil"/>
              <w:right w:val="nil"/>
            </w:tcBorders>
          </w:tcPr>
          <w:p w:rsidR="004442E4" w:rsidRPr="00C806D0" w:rsidRDefault="004442E4" w:rsidP="004442E4">
            <w:pPr>
              <w:rPr>
                <w:sz w:val="18"/>
                <w:szCs w:val="18"/>
              </w:rPr>
            </w:pPr>
          </w:p>
        </w:tc>
        <w:tc>
          <w:tcPr>
            <w:tcW w:w="0" w:type="auto"/>
            <w:gridSpan w:val="2"/>
            <w:tcBorders>
              <w:left w:val="nil"/>
              <w:right w:val="nil"/>
            </w:tcBorders>
          </w:tcPr>
          <w:p w:rsidR="004442E4" w:rsidRPr="00C806D0" w:rsidRDefault="004442E4" w:rsidP="004442E4">
            <w:pPr>
              <w:rPr>
                <w:b/>
                <w:sz w:val="18"/>
                <w:szCs w:val="18"/>
              </w:rPr>
            </w:pPr>
            <w:r w:rsidRPr="00C806D0">
              <w:rPr>
                <w:b/>
                <w:sz w:val="18"/>
                <w:szCs w:val="18"/>
              </w:rPr>
              <w:t>Health state description &amp; measurement</w:t>
            </w:r>
          </w:p>
          <w:p w:rsidR="007930C2" w:rsidRPr="00C806D0" w:rsidRDefault="007930C2" w:rsidP="004442E4">
            <w:pPr>
              <w:rPr>
                <w:b/>
                <w:sz w:val="18"/>
                <w:szCs w:val="18"/>
              </w:rPr>
            </w:pPr>
          </w:p>
        </w:tc>
        <w:tc>
          <w:tcPr>
            <w:tcW w:w="0" w:type="auto"/>
            <w:gridSpan w:val="2"/>
            <w:tcBorders>
              <w:left w:val="nil"/>
              <w:right w:val="nil"/>
            </w:tcBorders>
          </w:tcPr>
          <w:p w:rsidR="004442E4" w:rsidRPr="00C806D0" w:rsidRDefault="004442E4" w:rsidP="004442E4">
            <w:pPr>
              <w:rPr>
                <w:b/>
                <w:sz w:val="18"/>
                <w:szCs w:val="18"/>
              </w:rPr>
            </w:pPr>
            <w:r w:rsidRPr="00C806D0">
              <w:rPr>
                <w:b/>
                <w:sz w:val="18"/>
                <w:szCs w:val="18"/>
              </w:rPr>
              <w:t>Health state valuation</w:t>
            </w:r>
          </w:p>
        </w:tc>
        <w:tc>
          <w:tcPr>
            <w:tcW w:w="0" w:type="auto"/>
            <w:tcBorders>
              <w:left w:val="nil"/>
              <w:bottom w:val="single" w:sz="4" w:space="0" w:color="auto"/>
              <w:right w:val="nil"/>
            </w:tcBorders>
          </w:tcPr>
          <w:p w:rsidR="004442E4" w:rsidRPr="00C806D0" w:rsidRDefault="004442E4" w:rsidP="004442E4">
            <w:pPr>
              <w:rPr>
                <w:b/>
                <w:sz w:val="18"/>
                <w:szCs w:val="18"/>
              </w:rPr>
            </w:pPr>
            <w:r w:rsidRPr="00C806D0">
              <w:rPr>
                <w:b/>
                <w:sz w:val="18"/>
                <w:szCs w:val="18"/>
              </w:rPr>
              <w:t>Other</w:t>
            </w:r>
          </w:p>
        </w:tc>
      </w:tr>
      <w:tr w:rsidR="004442E4" w:rsidRPr="00C806D0" w:rsidTr="004442E4">
        <w:trPr>
          <w:trHeight w:val="749"/>
        </w:trPr>
        <w:tc>
          <w:tcPr>
            <w:tcW w:w="0" w:type="auto"/>
            <w:tcBorders>
              <w:left w:val="nil"/>
              <w:right w:val="nil"/>
            </w:tcBorders>
          </w:tcPr>
          <w:p w:rsidR="004442E4" w:rsidRPr="00C806D0" w:rsidRDefault="004442E4" w:rsidP="004442E4">
            <w:pPr>
              <w:rPr>
                <w:b/>
                <w:sz w:val="18"/>
                <w:szCs w:val="18"/>
              </w:rPr>
            </w:pPr>
            <w:r w:rsidRPr="00C806D0">
              <w:rPr>
                <w:b/>
                <w:sz w:val="18"/>
                <w:szCs w:val="18"/>
              </w:rPr>
              <w:t>Domain:</w:t>
            </w:r>
          </w:p>
        </w:tc>
        <w:tc>
          <w:tcPr>
            <w:tcW w:w="0" w:type="auto"/>
            <w:tcBorders>
              <w:left w:val="nil"/>
              <w:right w:val="nil"/>
            </w:tcBorders>
          </w:tcPr>
          <w:p w:rsidR="004442E4" w:rsidRPr="00C806D0" w:rsidRDefault="004442E4" w:rsidP="004442E4">
            <w:pPr>
              <w:rPr>
                <w:b/>
                <w:sz w:val="18"/>
                <w:szCs w:val="18"/>
              </w:rPr>
            </w:pPr>
            <w:r w:rsidRPr="00C806D0">
              <w:rPr>
                <w:b/>
                <w:sz w:val="18"/>
                <w:szCs w:val="18"/>
              </w:rPr>
              <w:t>Domain 1: Selection bias (Representative population describing health s</w:t>
            </w:r>
            <w:r w:rsidR="005E1697" w:rsidRPr="00C806D0">
              <w:rPr>
                <w:b/>
                <w:sz w:val="18"/>
                <w:szCs w:val="18"/>
              </w:rPr>
              <w:t>t</w:t>
            </w:r>
            <w:r w:rsidRPr="00C806D0">
              <w:rPr>
                <w:b/>
                <w:sz w:val="18"/>
                <w:szCs w:val="18"/>
              </w:rPr>
              <w:t>ates?)</w:t>
            </w:r>
          </w:p>
        </w:tc>
        <w:tc>
          <w:tcPr>
            <w:tcW w:w="0" w:type="auto"/>
            <w:tcBorders>
              <w:left w:val="nil"/>
              <w:right w:val="nil"/>
            </w:tcBorders>
          </w:tcPr>
          <w:p w:rsidR="004442E4" w:rsidRPr="00C806D0" w:rsidRDefault="004442E4" w:rsidP="004442E4">
            <w:pPr>
              <w:rPr>
                <w:b/>
                <w:sz w:val="18"/>
                <w:szCs w:val="18"/>
              </w:rPr>
            </w:pPr>
            <w:r w:rsidRPr="00C806D0">
              <w:rPr>
                <w:b/>
                <w:sz w:val="18"/>
                <w:szCs w:val="18"/>
              </w:rPr>
              <w:t>Domain 2: Information bias (Accurate and reproducible measurement of health states?)</w:t>
            </w:r>
          </w:p>
        </w:tc>
        <w:tc>
          <w:tcPr>
            <w:tcW w:w="0" w:type="auto"/>
            <w:tcBorders>
              <w:left w:val="nil"/>
              <w:right w:val="nil"/>
            </w:tcBorders>
          </w:tcPr>
          <w:p w:rsidR="004442E4" w:rsidRPr="00C806D0" w:rsidRDefault="004442E4" w:rsidP="004442E4">
            <w:pPr>
              <w:rPr>
                <w:b/>
                <w:sz w:val="18"/>
                <w:szCs w:val="18"/>
              </w:rPr>
            </w:pPr>
            <w:r w:rsidRPr="00C806D0">
              <w:rPr>
                <w:b/>
                <w:sz w:val="18"/>
                <w:szCs w:val="18"/>
              </w:rPr>
              <w:t>Domain 3: Selection bias (Representative population valuing health s</w:t>
            </w:r>
            <w:r w:rsidR="005E1697" w:rsidRPr="00C806D0">
              <w:rPr>
                <w:b/>
                <w:sz w:val="18"/>
                <w:szCs w:val="18"/>
              </w:rPr>
              <w:t>t</w:t>
            </w:r>
            <w:r w:rsidRPr="00C806D0">
              <w:rPr>
                <w:b/>
                <w:sz w:val="18"/>
                <w:szCs w:val="18"/>
              </w:rPr>
              <w:t>ates?):</w:t>
            </w:r>
          </w:p>
        </w:tc>
        <w:tc>
          <w:tcPr>
            <w:tcW w:w="0" w:type="auto"/>
            <w:tcBorders>
              <w:left w:val="nil"/>
              <w:right w:val="nil"/>
            </w:tcBorders>
          </w:tcPr>
          <w:p w:rsidR="004442E4" w:rsidRPr="00C806D0" w:rsidRDefault="004442E4" w:rsidP="004442E4">
            <w:pPr>
              <w:rPr>
                <w:b/>
                <w:sz w:val="18"/>
                <w:szCs w:val="18"/>
              </w:rPr>
            </w:pPr>
            <w:r w:rsidRPr="00C806D0">
              <w:rPr>
                <w:b/>
                <w:sz w:val="18"/>
                <w:szCs w:val="18"/>
              </w:rPr>
              <w:t>Domain 4: Information bias (Accurate and reproducible valuation of preference for health states?):</w:t>
            </w:r>
          </w:p>
        </w:tc>
        <w:tc>
          <w:tcPr>
            <w:tcW w:w="0" w:type="auto"/>
            <w:tcBorders>
              <w:left w:val="nil"/>
              <w:right w:val="nil"/>
            </w:tcBorders>
          </w:tcPr>
          <w:p w:rsidR="004442E4" w:rsidRPr="00C806D0" w:rsidRDefault="004442E4" w:rsidP="004442E4">
            <w:pPr>
              <w:rPr>
                <w:b/>
                <w:sz w:val="18"/>
                <w:szCs w:val="18"/>
              </w:rPr>
            </w:pPr>
            <w:r w:rsidRPr="00C806D0">
              <w:rPr>
                <w:b/>
                <w:sz w:val="18"/>
                <w:szCs w:val="18"/>
              </w:rPr>
              <w:t>Domain 5: Other sources of bias:</w:t>
            </w:r>
          </w:p>
        </w:tc>
      </w:tr>
      <w:tr w:rsidR="004442E4" w:rsidRPr="00C806D0" w:rsidTr="004442E4">
        <w:trPr>
          <w:trHeight w:val="1174"/>
        </w:trPr>
        <w:tc>
          <w:tcPr>
            <w:tcW w:w="0" w:type="auto"/>
            <w:tcBorders>
              <w:left w:val="nil"/>
              <w:bottom w:val="single" w:sz="4" w:space="0" w:color="auto"/>
              <w:right w:val="nil"/>
            </w:tcBorders>
          </w:tcPr>
          <w:p w:rsidR="004442E4" w:rsidRPr="00C806D0" w:rsidRDefault="004442E4" w:rsidP="004442E4">
            <w:pPr>
              <w:rPr>
                <w:b/>
                <w:sz w:val="18"/>
                <w:szCs w:val="18"/>
              </w:rPr>
            </w:pPr>
            <w:r w:rsidRPr="00C806D0">
              <w:rPr>
                <w:b/>
                <w:sz w:val="18"/>
                <w:szCs w:val="18"/>
              </w:rPr>
              <w:t>Items:</w:t>
            </w:r>
          </w:p>
        </w:tc>
        <w:tc>
          <w:tcPr>
            <w:tcW w:w="0" w:type="auto"/>
            <w:tcBorders>
              <w:left w:val="nil"/>
              <w:bottom w:val="single" w:sz="4" w:space="0" w:color="auto"/>
              <w:right w:val="nil"/>
            </w:tcBorders>
          </w:tcPr>
          <w:p w:rsidR="004442E4" w:rsidRPr="00C806D0" w:rsidRDefault="004442E4" w:rsidP="004442E4">
            <w:pPr>
              <w:rPr>
                <w:sz w:val="18"/>
                <w:szCs w:val="18"/>
              </w:rPr>
            </w:pPr>
            <w:r w:rsidRPr="00C806D0">
              <w:rPr>
                <w:sz w:val="18"/>
                <w:szCs w:val="18"/>
              </w:rPr>
              <w:t>•Response rates</w:t>
            </w:r>
          </w:p>
          <w:p w:rsidR="004442E4" w:rsidRPr="00C806D0" w:rsidRDefault="004442E4" w:rsidP="004442E4">
            <w:pPr>
              <w:rPr>
                <w:sz w:val="18"/>
                <w:szCs w:val="18"/>
              </w:rPr>
            </w:pPr>
            <w:r w:rsidRPr="00C806D0">
              <w:rPr>
                <w:sz w:val="18"/>
                <w:szCs w:val="18"/>
              </w:rPr>
              <w:t>•Loss to follow up</w:t>
            </w:r>
          </w:p>
          <w:p w:rsidR="004442E4" w:rsidRPr="00C806D0" w:rsidRDefault="004442E4" w:rsidP="004442E4">
            <w:pPr>
              <w:rPr>
                <w:sz w:val="18"/>
                <w:szCs w:val="18"/>
              </w:rPr>
            </w:pPr>
            <w:r w:rsidRPr="00C806D0">
              <w:rPr>
                <w:sz w:val="18"/>
                <w:szCs w:val="18"/>
              </w:rPr>
              <w:t>•Missing data</w:t>
            </w:r>
          </w:p>
        </w:tc>
        <w:tc>
          <w:tcPr>
            <w:tcW w:w="0" w:type="auto"/>
            <w:tcBorders>
              <w:left w:val="nil"/>
              <w:bottom w:val="single" w:sz="4" w:space="0" w:color="auto"/>
              <w:right w:val="nil"/>
            </w:tcBorders>
          </w:tcPr>
          <w:p w:rsidR="004442E4" w:rsidRPr="00C806D0" w:rsidRDefault="004442E4" w:rsidP="004442E4">
            <w:pPr>
              <w:rPr>
                <w:sz w:val="18"/>
                <w:szCs w:val="18"/>
              </w:rPr>
            </w:pPr>
            <w:r w:rsidRPr="00C806D0">
              <w:rPr>
                <w:sz w:val="18"/>
                <w:szCs w:val="18"/>
              </w:rPr>
              <w:t>•Content validity</w:t>
            </w:r>
          </w:p>
          <w:p w:rsidR="004442E4" w:rsidRPr="00C806D0" w:rsidRDefault="004442E4" w:rsidP="004442E4">
            <w:pPr>
              <w:rPr>
                <w:sz w:val="18"/>
                <w:szCs w:val="18"/>
              </w:rPr>
            </w:pPr>
            <w:r w:rsidRPr="00C806D0">
              <w:rPr>
                <w:sz w:val="18"/>
                <w:szCs w:val="18"/>
              </w:rPr>
              <w:t>•Face validity</w:t>
            </w:r>
          </w:p>
          <w:p w:rsidR="004442E4" w:rsidRPr="00C806D0" w:rsidRDefault="004442E4" w:rsidP="004442E4">
            <w:pPr>
              <w:rPr>
                <w:sz w:val="18"/>
                <w:szCs w:val="18"/>
              </w:rPr>
            </w:pPr>
            <w:r w:rsidRPr="00C806D0">
              <w:rPr>
                <w:sz w:val="18"/>
                <w:szCs w:val="18"/>
              </w:rPr>
              <w:t>•Construct validity</w:t>
            </w:r>
          </w:p>
          <w:p w:rsidR="004442E4" w:rsidRPr="00C806D0" w:rsidRDefault="004442E4" w:rsidP="004442E4">
            <w:pPr>
              <w:rPr>
                <w:sz w:val="18"/>
                <w:szCs w:val="18"/>
              </w:rPr>
            </w:pPr>
            <w:r w:rsidRPr="00C806D0">
              <w:rPr>
                <w:sz w:val="18"/>
                <w:szCs w:val="18"/>
              </w:rPr>
              <w:t>•Responsiveness</w:t>
            </w:r>
          </w:p>
          <w:p w:rsidR="004442E4" w:rsidRPr="00C806D0" w:rsidRDefault="004442E4" w:rsidP="004442E4">
            <w:pPr>
              <w:rPr>
                <w:sz w:val="18"/>
                <w:szCs w:val="18"/>
              </w:rPr>
            </w:pPr>
            <w:r w:rsidRPr="00C806D0">
              <w:rPr>
                <w:sz w:val="18"/>
                <w:szCs w:val="18"/>
              </w:rPr>
              <w:t>•Reliability</w:t>
            </w:r>
          </w:p>
        </w:tc>
        <w:tc>
          <w:tcPr>
            <w:tcW w:w="0" w:type="auto"/>
            <w:tcBorders>
              <w:left w:val="nil"/>
              <w:bottom w:val="single" w:sz="4" w:space="0" w:color="auto"/>
              <w:right w:val="nil"/>
            </w:tcBorders>
          </w:tcPr>
          <w:p w:rsidR="004442E4" w:rsidRPr="00C806D0" w:rsidRDefault="004442E4" w:rsidP="004442E4">
            <w:pPr>
              <w:rPr>
                <w:sz w:val="18"/>
                <w:szCs w:val="18"/>
              </w:rPr>
            </w:pPr>
            <w:r w:rsidRPr="00C806D0">
              <w:rPr>
                <w:sz w:val="18"/>
                <w:szCs w:val="18"/>
              </w:rPr>
              <w:t>•Response rates</w:t>
            </w:r>
          </w:p>
          <w:p w:rsidR="004442E4" w:rsidRPr="00C806D0" w:rsidRDefault="004442E4" w:rsidP="004442E4">
            <w:pPr>
              <w:rPr>
                <w:sz w:val="18"/>
                <w:szCs w:val="18"/>
              </w:rPr>
            </w:pPr>
            <w:r w:rsidRPr="00C806D0">
              <w:rPr>
                <w:sz w:val="18"/>
                <w:szCs w:val="18"/>
              </w:rPr>
              <w:t>•Loss to follow up</w:t>
            </w:r>
          </w:p>
          <w:p w:rsidR="004442E4" w:rsidRPr="00C806D0" w:rsidRDefault="004442E4" w:rsidP="004442E4">
            <w:pPr>
              <w:rPr>
                <w:sz w:val="18"/>
                <w:szCs w:val="18"/>
              </w:rPr>
            </w:pPr>
            <w:r w:rsidRPr="00C806D0">
              <w:rPr>
                <w:sz w:val="18"/>
                <w:szCs w:val="18"/>
              </w:rPr>
              <w:t>•Missing data</w:t>
            </w:r>
          </w:p>
        </w:tc>
        <w:tc>
          <w:tcPr>
            <w:tcW w:w="0" w:type="auto"/>
            <w:tcBorders>
              <w:left w:val="nil"/>
              <w:bottom w:val="single" w:sz="4" w:space="0" w:color="auto"/>
              <w:right w:val="nil"/>
            </w:tcBorders>
          </w:tcPr>
          <w:p w:rsidR="004442E4" w:rsidRPr="00C806D0" w:rsidRDefault="004442E4" w:rsidP="004442E4">
            <w:pPr>
              <w:rPr>
                <w:sz w:val="18"/>
                <w:szCs w:val="18"/>
              </w:rPr>
            </w:pPr>
            <w:r w:rsidRPr="00C806D0">
              <w:rPr>
                <w:sz w:val="18"/>
                <w:szCs w:val="18"/>
              </w:rPr>
              <w:t>•Choice v feeling based valuation</w:t>
            </w:r>
          </w:p>
          <w:p w:rsidR="004442E4" w:rsidRPr="00C806D0" w:rsidRDefault="004442E4" w:rsidP="004442E4">
            <w:pPr>
              <w:rPr>
                <w:sz w:val="18"/>
                <w:szCs w:val="18"/>
              </w:rPr>
            </w:pPr>
            <w:r w:rsidRPr="00C806D0">
              <w:rPr>
                <w:sz w:val="18"/>
                <w:szCs w:val="18"/>
              </w:rPr>
              <w:t>•Credible extrapolation of health state valuations</w:t>
            </w:r>
          </w:p>
          <w:p w:rsidR="004442E4" w:rsidRPr="00C806D0" w:rsidRDefault="004442E4" w:rsidP="004442E4">
            <w:pPr>
              <w:rPr>
                <w:sz w:val="18"/>
                <w:szCs w:val="18"/>
              </w:rPr>
            </w:pPr>
            <w:r w:rsidRPr="00C806D0">
              <w:rPr>
                <w:sz w:val="18"/>
                <w:szCs w:val="18"/>
              </w:rPr>
              <w:t xml:space="preserve">•Empirical validity of valuation method (against revealed, stated or hypothesised preferences) </w:t>
            </w:r>
          </w:p>
        </w:tc>
        <w:tc>
          <w:tcPr>
            <w:tcW w:w="0" w:type="auto"/>
            <w:tcBorders>
              <w:left w:val="nil"/>
              <w:bottom w:val="single" w:sz="4" w:space="0" w:color="auto"/>
              <w:right w:val="nil"/>
            </w:tcBorders>
          </w:tcPr>
          <w:p w:rsidR="004442E4" w:rsidRPr="00C806D0" w:rsidRDefault="004442E4" w:rsidP="004442E4">
            <w:pPr>
              <w:rPr>
                <w:sz w:val="18"/>
                <w:szCs w:val="18"/>
              </w:rPr>
            </w:pPr>
          </w:p>
        </w:tc>
      </w:tr>
      <w:tr w:rsidR="004442E4" w:rsidRPr="00C806D0" w:rsidTr="004442E4">
        <w:trPr>
          <w:trHeight w:val="975"/>
        </w:trPr>
        <w:tc>
          <w:tcPr>
            <w:tcW w:w="0" w:type="auto"/>
            <w:tcBorders>
              <w:left w:val="nil"/>
              <w:bottom w:val="nil"/>
              <w:right w:val="nil"/>
            </w:tcBorders>
          </w:tcPr>
          <w:p w:rsidR="004442E4" w:rsidRPr="00C806D0" w:rsidRDefault="004442E4" w:rsidP="004442E4">
            <w:pPr>
              <w:rPr>
                <w:b/>
                <w:sz w:val="18"/>
                <w:szCs w:val="18"/>
              </w:rPr>
            </w:pPr>
            <w:r w:rsidRPr="00C806D0">
              <w:rPr>
                <w:b/>
                <w:sz w:val="18"/>
                <w:szCs w:val="18"/>
              </w:rPr>
              <w:t>Criteria:</w:t>
            </w:r>
          </w:p>
        </w:tc>
        <w:tc>
          <w:tcPr>
            <w:tcW w:w="0" w:type="auto"/>
            <w:tcBorders>
              <w:left w:val="nil"/>
              <w:bottom w:val="nil"/>
              <w:right w:val="nil"/>
            </w:tcBorders>
          </w:tcPr>
          <w:p w:rsidR="004442E4" w:rsidRPr="00C806D0" w:rsidRDefault="004442E4" w:rsidP="004442E4">
            <w:pPr>
              <w:rPr>
                <w:sz w:val="18"/>
                <w:szCs w:val="18"/>
              </w:rPr>
            </w:pPr>
            <w:r w:rsidRPr="00C806D0">
              <w:rPr>
                <w:i/>
                <w:sz w:val="18"/>
                <w:szCs w:val="18"/>
              </w:rPr>
              <w:t>Low risk:</w:t>
            </w:r>
            <w:r w:rsidRPr="00C806D0">
              <w:rPr>
                <w:sz w:val="18"/>
                <w:szCs w:val="18"/>
              </w:rPr>
              <w:t xml:space="preserve"> Health states measured in population representative of the target population. Random or census sample. High response rates, low loss to follow up, little missing data. Sensitivity analyses show results robust to selection bias.</w:t>
            </w:r>
          </w:p>
        </w:tc>
        <w:tc>
          <w:tcPr>
            <w:tcW w:w="0" w:type="auto"/>
            <w:tcBorders>
              <w:left w:val="nil"/>
              <w:bottom w:val="nil"/>
              <w:right w:val="nil"/>
            </w:tcBorders>
          </w:tcPr>
          <w:p w:rsidR="004442E4" w:rsidRPr="00C806D0" w:rsidRDefault="004442E4" w:rsidP="004442E4">
            <w:pPr>
              <w:rPr>
                <w:sz w:val="18"/>
                <w:szCs w:val="18"/>
                <w:vertAlign w:val="superscript"/>
              </w:rPr>
            </w:pPr>
            <w:r w:rsidRPr="00C806D0">
              <w:rPr>
                <w:i/>
                <w:sz w:val="18"/>
                <w:szCs w:val="18"/>
              </w:rPr>
              <w:t>Low risk:</w:t>
            </w:r>
            <w:r w:rsidRPr="00C806D0">
              <w:rPr>
                <w:sz w:val="18"/>
                <w:szCs w:val="18"/>
              </w:rPr>
              <w:t xml:space="preserve"> Well designed health state descriptions meeting consensus standards</w:t>
            </w:r>
          </w:p>
          <w:p w:rsidR="004442E4" w:rsidRPr="00C806D0" w:rsidRDefault="004442E4" w:rsidP="004442E4">
            <w:pPr>
              <w:rPr>
                <w:sz w:val="18"/>
                <w:szCs w:val="18"/>
              </w:rPr>
            </w:pPr>
            <w:r w:rsidRPr="00C806D0">
              <w:rPr>
                <w:sz w:val="18"/>
                <w:szCs w:val="18"/>
              </w:rPr>
              <w:t>Validated preference based multiattribute health description instrument used with adequate coverage for GOS states.</w:t>
            </w:r>
          </w:p>
          <w:p w:rsidR="004442E4" w:rsidRPr="00C806D0" w:rsidRDefault="004442E4" w:rsidP="004442E4">
            <w:pPr>
              <w:rPr>
                <w:sz w:val="18"/>
                <w:szCs w:val="18"/>
              </w:rPr>
            </w:pPr>
          </w:p>
        </w:tc>
        <w:tc>
          <w:tcPr>
            <w:tcW w:w="0" w:type="auto"/>
            <w:tcBorders>
              <w:left w:val="nil"/>
              <w:bottom w:val="nil"/>
              <w:right w:val="nil"/>
            </w:tcBorders>
          </w:tcPr>
          <w:p w:rsidR="004442E4" w:rsidRPr="00C806D0" w:rsidRDefault="004442E4" w:rsidP="004442E4">
            <w:pPr>
              <w:rPr>
                <w:sz w:val="18"/>
                <w:szCs w:val="18"/>
              </w:rPr>
            </w:pPr>
            <w:r w:rsidRPr="00C806D0">
              <w:rPr>
                <w:i/>
                <w:sz w:val="18"/>
                <w:szCs w:val="18"/>
              </w:rPr>
              <w:t>Low risk:</w:t>
            </w:r>
            <w:r w:rsidRPr="00C806D0">
              <w:rPr>
                <w:sz w:val="18"/>
                <w:szCs w:val="18"/>
              </w:rPr>
              <w:t xml:space="preserve"> Health states valued by a population representative of the target population. Random or census sample. High response rates, low loss to follow up, little missing data. Sensitivity analyses show results robust to selection bias.</w:t>
            </w:r>
          </w:p>
        </w:tc>
        <w:tc>
          <w:tcPr>
            <w:tcW w:w="0" w:type="auto"/>
            <w:tcBorders>
              <w:left w:val="nil"/>
              <w:bottom w:val="nil"/>
              <w:right w:val="nil"/>
            </w:tcBorders>
          </w:tcPr>
          <w:p w:rsidR="004442E4" w:rsidRPr="00C806D0" w:rsidRDefault="004442E4" w:rsidP="004442E4">
            <w:pPr>
              <w:rPr>
                <w:sz w:val="18"/>
                <w:szCs w:val="18"/>
                <w:vertAlign w:val="superscript"/>
              </w:rPr>
            </w:pPr>
            <w:r w:rsidRPr="00C806D0">
              <w:rPr>
                <w:i/>
                <w:sz w:val="18"/>
                <w:szCs w:val="18"/>
              </w:rPr>
              <w:t>Low risk:</w:t>
            </w:r>
            <w:r w:rsidRPr="00C806D0">
              <w:rPr>
                <w:sz w:val="18"/>
                <w:szCs w:val="18"/>
              </w:rPr>
              <w:t xml:space="preserve"> Direct valuation method (TTO,SG) performed appropriately.</w:t>
            </w:r>
          </w:p>
          <w:p w:rsidR="004442E4" w:rsidRPr="00C806D0" w:rsidRDefault="004442E4" w:rsidP="004442E4">
            <w:pPr>
              <w:rPr>
                <w:sz w:val="18"/>
                <w:szCs w:val="18"/>
              </w:rPr>
            </w:pPr>
            <w:r w:rsidRPr="00C806D0">
              <w:rPr>
                <w:sz w:val="18"/>
                <w:szCs w:val="18"/>
              </w:rPr>
              <w:t xml:space="preserve">Validated preference based multiattribute health description algorithm used.  </w:t>
            </w:r>
          </w:p>
          <w:p w:rsidR="004442E4" w:rsidRPr="00C806D0" w:rsidRDefault="004442E4" w:rsidP="004442E4">
            <w:pPr>
              <w:rPr>
                <w:sz w:val="18"/>
                <w:szCs w:val="18"/>
              </w:rPr>
            </w:pPr>
            <w:r w:rsidRPr="00C806D0">
              <w:rPr>
                <w:sz w:val="18"/>
                <w:szCs w:val="18"/>
              </w:rPr>
              <w:t>Mapping function from non-preference based HRQOL instrument meets methodological standards.</w:t>
            </w:r>
          </w:p>
        </w:tc>
        <w:tc>
          <w:tcPr>
            <w:tcW w:w="0" w:type="auto"/>
            <w:tcBorders>
              <w:left w:val="nil"/>
              <w:bottom w:val="nil"/>
              <w:right w:val="nil"/>
            </w:tcBorders>
          </w:tcPr>
          <w:p w:rsidR="004442E4" w:rsidRPr="00C806D0" w:rsidRDefault="004442E4" w:rsidP="004442E4">
            <w:pPr>
              <w:rPr>
                <w:sz w:val="18"/>
                <w:szCs w:val="18"/>
              </w:rPr>
            </w:pPr>
            <w:r w:rsidRPr="00C806D0">
              <w:rPr>
                <w:i/>
                <w:sz w:val="18"/>
                <w:szCs w:val="18"/>
              </w:rPr>
              <w:t>Low risk:</w:t>
            </w:r>
            <w:r w:rsidRPr="00C806D0">
              <w:rPr>
                <w:sz w:val="18"/>
                <w:szCs w:val="18"/>
              </w:rPr>
              <w:t xml:space="preserve"> No other sources of bias likely to influence results.</w:t>
            </w:r>
          </w:p>
          <w:p w:rsidR="004442E4" w:rsidRPr="00C806D0" w:rsidRDefault="004442E4" w:rsidP="004442E4">
            <w:pPr>
              <w:rPr>
                <w:sz w:val="18"/>
                <w:szCs w:val="18"/>
              </w:rPr>
            </w:pPr>
          </w:p>
        </w:tc>
      </w:tr>
      <w:tr w:rsidR="004442E4" w:rsidRPr="00C806D0" w:rsidTr="004442E4">
        <w:trPr>
          <w:trHeight w:val="1868"/>
        </w:trPr>
        <w:tc>
          <w:tcPr>
            <w:tcW w:w="0" w:type="auto"/>
            <w:tcBorders>
              <w:top w:val="nil"/>
              <w:left w:val="nil"/>
              <w:bottom w:val="nil"/>
              <w:right w:val="nil"/>
            </w:tcBorders>
          </w:tcPr>
          <w:p w:rsidR="004442E4" w:rsidRPr="00C806D0" w:rsidRDefault="004442E4" w:rsidP="004442E4">
            <w:pPr>
              <w:rPr>
                <w:b/>
                <w:sz w:val="18"/>
                <w:szCs w:val="18"/>
              </w:rPr>
            </w:pPr>
          </w:p>
        </w:tc>
        <w:tc>
          <w:tcPr>
            <w:tcW w:w="0" w:type="auto"/>
            <w:tcBorders>
              <w:top w:val="nil"/>
              <w:left w:val="nil"/>
              <w:bottom w:val="nil"/>
              <w:right w:val="nil"/>
            </w:tcBorders>
          </w:tcPr>
          <w:p w:rsidR="004442E4" w:rsidRPr="00C806D0" w:rsidRDefault="004442E4" w:rsidP="004442E4">
            <w:pPr>
              <w:rPr>
                <w:sz w:val="18"/>
                <w:szCs w:val="18"/>
              </w:rPr>
            </w:pPr>
            <w:r w:rsidRPr="00C806D0">
              <w:rPr>
                <w:i/>
                <w:sz w:val="18"/>
                <w:szCs w:val="18"/>
              </w:rPr>
              <w:t>High risk:</w:t>
            </w:r>
            <w:r w:rsidRPr="00C806D0">
              <w:rPr>
                <w:sz w:val="18"/>
                <w:szCs w:val="18"/>
              </w:rPr>
              <w:t xml:space="preserve"> Health states measured in non-representative population secondary to:</w:t>
            </w:r>
          </w:p>
          <w:p w:rsidR="004442E4" w:rsidRPr="00C806D0" w:rsidRDefault="004442E4" w:rsidP="004442E4">
            <w:pPr>
              <w:rPr>
                <w:sz w:val="18"/>
                <w:szCs w:val="18"/>
              </w:rPr>
            </w:pPr>
            <w:r w:rsidRPr="00C806D0">
              <w:rPr>
                <w:sz w:val="18"/>
                <w:szCs w:val="18"/>
              </w:rPr>
              <w:sym w:font="Wingdings" w:char="F09F"/>
            </w:r>
            <w:r w:rsidRPr="00C806D0">
              <w:rPr>
                <w:sz w:val="18"/>
                <w:szCs w:val="18"/>
              </w:rPr>
              <w:t>Non-random / convenience sample</w:t>
            </w:r>
          </w:p>
          <w:p w:rsidR="004442E4" w:rsidRPr="00C806D0" w:rsidRDefault="004442E4" w:rsidP="004442E4">
            <w:pPr>
              <w:rPr>
                <w:sz w:val="18"/>
                <w:szCs w:val="18"/>
              </w:rPr>
            </w:pPr>
            <w:r w:rsidRPr="00C806D0">
              <w:rPr>
                <w:sz w:val="18"/>
                <w:szCs w:val="18"/>
              </w:rPr>
              <w:sym w:font="Wingdings" w:char="F09F"/>
            </w:r>
            <w:r w:rsidRPr="00C806D0">
              <w:rPr>
                <w:sz w:val="18"/>
                <w:szCs w:val="18"/>
              </w:rPr>
              <w:t>Low response rate</w:t>
            </w:r>
          </w:p>
          <w:p w:rsidR="004442E4" w:rsidRPr="00C806D0" w:rsidRDefault="004442E4" w:rsidP="004442E4">
            <w:pPr>
              <w:rPr>
                <w:sz w:val="18"/>
                <w:szCs w:val="18"/>
              </w:rPr>
            </w:pPr>
            <w:r w:rsidRPr="00C806D0">
              <w:rPr>
                <w:sz w:val="18"/>
                <w:szCs w:val="18"/>
              </w:rPr>
              <w:sym w:font="Wingdings" w:char="F09F"/>
            </w:r>
            <w:r w:rsidRPr="00C806D0">
              <w:rPr>
                <w:sz w:val="18"/>
                <w:szCs w:val="18"/>
              </w:rPr>
              <w:t xml:space="preserve">High loss to follow up </w:t>
            </w:r>
          </w:p>
          <w:p w:rsidR="004442E4" w:rsidRPr="00C806D0" w:rsidRDefault="004442E4" w:rsidP="004442E4">
            <w:pPr>
              <w:rPr>
                <w:sz w:val="18"/>
                <w:szCs w:val="18"/>
              </w:rPr>
            </w:pPr>
            <w:r w:rsidRPr="00C806D0">
              <w:rPr>
                <w:sz w:val="18"/>
                <w:szCs w:val="18"/>
              </w:rPr>
              <w:sym w:font="Wingdings" w:char="F09F"/>
            </w:r>
            <w:r w:rsidRPr="00C806D0">
              <w:rPr>
                <w:sz w:val="18"/>
                <w:szCs w:val="18"/>
              </w:rPr>
              <w:t>Missing data</w:t>
            </w:r>
          </w:p>
          <w:p w:rsidR="004442E4" w:rsidRPr="00C806D0" w:rsidRDefault="004442E4" w:rsidP="004442E4">
            <w:pPr>
              <w:rPr>
                <w:sz w:val="18"/>
                <w:szCs w:val="18"/>
              </w:rPr>
            </w:pPr>
            <w:r w:rsidRPr="00C806D0">
              <w:rPr>
                <w:sz w:val="18"/>
                <w:szCs w:val="18"/>
              </w:rPr>
              <w:t>Principled methods for handling missing data not used or sensitivity analyses indicate results not robust to missing data</w:t>
            </w:r>
          </w:p>
          <w:p w:rsidR="004442E4" w:rsidRPr="00C806D0" w:rsidRDefault="004442E4" w:rsidP="004442E4">
            <w:pPr>
              <w:rPr>
                <w:sz w:val="18"/>
                <w:szCs w:val="18"/>
              </w:rPr>
            </w:pPr>
          </w:p>
        </w:tc>
        <w:tc>
          <w:tcPr>
            <w:tcW w:w="0" w:type="auto"/>
            <w:tcBorders>
              <w:top w:val="nil"/>
              <w:left w:val="nil"/>
              <w:bottom w:val="nil"/>
              <w:right w:val="nil"/>
            </w:tcBorders>
          </w:tcPr>
          <w:p w:rsidR="004442E4" w:rsidRPr="00C806D0" w:rsidRDefault="004442E4" w:rsidP="004442E4">
            <w:pPr>
              <w:rPr>
                <w:sz w:val="18"/>
                <w:szCs w:val="18"/>
              </w:rPr>
            </w:pPr>
            <w:r w:rsidRPr="00C806D0">
              <w:rPr>
                <w:i/>
                <w:sz w:val="18"/>
                <w:szCs w:val="18"/>
              </w:rPr>
              <w:t>High risk:</w:t>
            </w:r>
            <w:r w:rsidRPr="00C806D0">
              <w:rPr>
                <w:sz w:val="18"/>
                <w:szCs w:val="18"/>
              </w:rPr>
              <w:t xml:space="preserve"> Poorly designed health states not meeting methodological standards e.g. don’t include relevant health attributes.</w:t>
            </w:r>
          </w:p>
          <w:p w:rsidR="004442E4" w:rsidRPr="00C806D0" w:rsidRDefault="004442E4" w:rsidP="004442E4">
            <w:pPr>
              <w:rPr>
                <w:sz w:val="18"/>
                <w:szCs w:val="18"/>
              </w:rPr>
            </w:pPr>
            <w:r w:rsidRPr="00C806D0">
              <w:rPr>
                <w:sz w:val="18"/>
                <w:szCs w:val="18"/>
              </w:rPr>
              <w:t>Multiattribute health description instrument with inadequate coverage or used to measure health states from case notes.</w:t>
            </w:r>
          </w:p>
          <w:p w:rsidR="004442E4" w:rsidRPr="00C806D0" w:rsidRDefault="004442E4" w:rsidP="004442E4">
            <w:pPr>
              <w:rPr>
                <w:sz w:val="18"/>
                <w:szCs w:val="18"/>
              </w:rPr>
            </w:pPr>
          </w:p>
        </w:tc>
        <w:tc>
          <w:tcPr>
            <w:tcW w:w="0" w:type="auto"/>
            <w:tcBorders>
              <w:top w:val="nil"/>
              <w:left w:val="nil"/>
              <w:bottom w:val="nil"/>
              <w:right w:val="nil"/>
            </w:tcBorders>
          </w:tcPr>
          <w:p w:rsidR="004442E4" w:rsidRPr="00C806D0" w:rsidRDefault="004442E4" w:rsidP="004442E4">
            <w:pPr>
              <w:rPr>
                <w:sz w:val="18"/>
                <w:szCs w:val="18"/>
              </w:rPr>
            </w:pPr>
            <w:r w:rsidRPr="00C806D0">
              <w:rPr>
                <w:i/>
                <w:sz w:val="18"/>
                <w:szCs w:val="18"/>
              </w:rPr>
              <w:t>High risk:</w:t>
            </w:r>
            <w:r w:rsidRPr="00C806D0">
              <w:rPr>
                <w:sz w:val="18"/>
                <w:szCs w:val="18"/>
              </w:rPr>
              <w:t xml:space="preserve"> Preferences obtained from non-representative population not compatible with target population, secondary to:</w:t>
            </w:r>
          </w:p>
          <w:p w:rsidR="004442E4" w:rsidRPr="00C806D0" w:rsidRDefault="004442E4" w:rsidP="004442E4">
            <w:pPr>
              <w:rPr>
                <w:sz w:val="18"/>
                <w:szCs w:val="18"/>
              </w:rPr>
            </w:pPr>
            <w:r w:rsidRPr="00C806D0">
              <w:rPr>
                <w:sz w:val="18"/>
                <w:szCs w:val="18"/>
              </w:rPr>
              <w:sym w:font="Wingdings" w:char="F09F"/>
            </w:r>
            <w:r w:rsidRPr="00C806D0">
              <w:rPr>
                <w:sz w:val="18"/>
                <w:szCs w:val="18"/>
              </w:rPr>
              <w:t>Non-random / convenience sample</w:t>
            </w:r>
          </w:p>
          <w:p w:rsidR="004442E4" w:rsidRPr="00C806D0" w:rsidRDefault="004442E4" w:rsidP="004442E4">
            <w:pPr>
              <w:rPr>
                <w:sz w:val="18"/>
                <w:szCs w:val="18"/>
              </w:rPr>
            </w:pPr>
            <w:r w:rsidRPr="00C806D0">
              <w:rPr>
                <w:sz w:val="18"/>
                <w:szCs w:val="18"/>
              </w:rPr>
              <w:sym w:font="Wingdings" w:char="F09F"/>
            </w:r>
            <w:r w:rsidRPr="00C806D0">
              <w:rPr>
                <w:sz w:val="18"/>
                <w:szCs w:val="18"/>
              </w:rPr>
              <w:t>Low response rate</w:t>
            </w:r>
          </w:p>
          <w:p w:rsidR="004442E4" w:rsidRPr="00C806D0" w:rsidRDefault="004442E4" w:rsidP="004442E4">
            <w:pPr>
              <w:rPr>
                <w:sz w:val="18"/>
                <w:szCs w:val="18"/>
              </w:rPr>
            </w:pPr>
            <w:r w:rsidRPr="00C806D0">
              <w:rPr>
                <w:sz w:val="18"/>
                <w:szCs w:val="18"/>
              </w:rPr>
              <w:sym w:font="Wingdings" w:char="F09F"/>
            </w:r>
            <w:r w:rsidRPr="00C806D0">
              <w:rPr>
                <w:sz w:val="18"/>
                <w:szCs w:val="18"/>
              </w:rPr>
              <w:t xml:space="preserve">High loss to follow up </w:t>
            </w:r>
          </w:p>
          <w:p w:rsidR="004442E4" w:rsidRPr="00C806D0" w:rsidRDefault="004442E4" w:rsidP="004442E4">
            <w:pPr>
              <w:rPr>
                <w:sz w:val="18"/>
                <w:szCs w:val="18"/>
              </w:rPr>
            </w:pPr>
            <w:r w:rsidRPr="00C806D0">
              <w:rPr>
                <w:sz w:val="18"/>
                <w:szCs w:val="18"/>
              </w:rPr>
              <w:sym w:font="Wingdings" w:char="F09F"/>
            </w:r>
            <w:r w:rsidRPr="00C806D0">
              <w:rPr>
                <w:sz w:val="18"/>
                <w:szCs w:val="18"/>
              </w:rPr>
              <w:t>Missing data</w:t>
            </w:r>
          </w:p>
          <w:p w:rsidR="004442E4" w:rsidRPr="00C806D0" w:rsidRDefault="004442E4" w:rsidP="004442E4">
            <w:pPr>
              <w:rPr>
                <w:sz w:val="18"/>
                <w:szCs w:val="18"/>
              </w:rPr>
            </w:pPr>
            <w:r w:rsidRPr="00C806D0">
              <w:rPr>
                <w:sz w:val="18"/>
                <w:szCs w:val="18"/>
              </w:rPr>
              <w:t>Principled methods for handling missing data not used or sensitivity analyses indicate results not robust to missing data</w:t>
            </w:r>
          </w:p>
          <w:p w:rsidR="004442E4" w:rsidRPr="00C806D0" w:rsidRDefault="004442E4" w:rsidP="004442E4">
            <w:pPr>
              <w:rPr>
                <w:sz w:val="18"/>
                <w:szCs w:val="18"/>
              </w:rPr>
            </w:pPr>
          </w:p>
        </w:tc>
        <w:tc>
          <w:tcPr>
            <w:tcW w:w="0" w:type="auto"/>
            <w:tcBorders>
              <w:top w:val="nil"/>
              <w:left w:val="nil"/>
              <w:bottom w:val="nil"/>
              <w:right w:val="nil"/>
            </w:tcBorders>
          </w:tcPr>
          <w:p w:rsidR="004442E4" w:rsidRPr="00C806D0" w:rsidRDefault="004442E4" w:rsidP="004442E4">
            <w:pPr>
              <w:rPr>
                <w:sz w:val="18"/>
                <w:szCs w:val="18"/>
                <w:vertAlign w:val="superscript"/>
              </w:rPr>
            </w:pPr>
            <w:r w:rsidRPr="00C806D0">
              <w:rPr>
                <w:i/>
                <w:sz w:val="18"/>
                <w:szCs w:val="18"/>
              </w:rPr>
              <w:t>High risk:</w:t>
            </w:r>
            <w:r w:rsidRPr="00C806D0">
              <w:rPr>
                <w:sz w:val="18"/>
                <w:szCs w:val="18"/>
              </w:rPr>
              <w:t xml:space="preserve"> Direct valuation method (TTO,SG) performed inappropriately.</w:t>
            </w:r>
          </w:p>
          <w:p w:rsidR="004442E4" w:rsidRPr="00C806D0" w:rsidRDefault="00B65AAF" w:rsidP="004442E4">
            <w:pPr>
              <w:rPr>
                <w:sz w:val="18"/>
                <w:szCs w:val="18"/>
              </w:rPr>
            </w:pPr>
            <w:r w:rsidRPr="00C806D0">
              <w:rPr>
                <w:sz w:val="18"/>
                <w:szCs w:val="18"/>
              </w:rPr>
              <w:t>Un</w:t>
            </w:r>
            <w:r w:rsidR="004442E4" w:rsidRPr="00C806D0">
              <w:rPr>
                <w:sz w:val="18"/>
                <w:szCs w:val="18"/>
              </w:rPr>
              <w:t xml:space="preserve">validated preference based multiattribute health description algorithm used.  </w:t>
            </w:r>
          </w:p>
          <w:p w:rsidR="004442E4" w:rsidRPr="00C806D0" w:rsidRDefault="004442E4" w:rsidP="004442E4">
            <w:pPr>
              <w:rPr>
                <w:sz w:val="18"/>
                <w:szCs w:val="18"/>
              </w:rPr>
            </w:pPr>
            <w:r w:rsidRPr="00C806D0">
              <w:rPr>
                <w:sz w:val="18"/>
                <w:szCs w:val="18"/>
              </w:rPr>
              <w:t>Mapping function from non-preference based HRQOL instrument does not meet methodological standards</w:t>
            </w:r>
          </w:p>
          <w:p w:rsidR="004442E4" w:rsidRPr="00C806D0" w:rsidRDefault="004442E4" w:rsidP="004442E4">
            <w:pPr>
              <w:rPr>
                <w:sz w:val="18"/>
                <w:szCs w:val="18"/>
              </w:rPr>
            </w:pPr>
          </w:p>
          <w:p w:rsidR="004442E4" w:rsidRPr="00C806D0" w:rsidRDefault="004442E4" w:rsidP="004442E4">
            <w:pPr>
              <w:rPr>
                <w:sz w:val="18"/>
                <w:szCs w:val="18"/>
              </w:rPr>
            </w:pPr>
          </w:p>
        </w:tc>
        <w:tc>
          <w:tcPr>
            <w:tcW w:w="0" w:type="auto"/>
            <w:tcBorders>
              <w:top w:val="nil"/>
              <w:left w:val="nil"/>
              <w:bottom w:val="nil"/>
              <w:right w:val="nil"/>
            </w:tcBorders>
          </w:tcPr>
          <w:p w:rsidR="004442E4" w:rsidRPr="00C806D0" w:rsidRDefault="004442E4" w:rsidP="004442E4">
            <w:pPr>
              <w:rPr>
                <w:sz w:val="18"/>
                <w:szCs w:val="18"/>
              </w:rPr>
            </w:pPr>
            <w:r w:rsidRPr="00C806D0">
              <w:rPr>
                <w:i/>
                <w:sz w:val="18"/>
                <w:szCs w:val="18"/>
              </w:rPr>
              <w:t>High risk:</w:t>
            </w:r>
            <w:r w:rsidRPr="00C806D0">
              <w:rPr>
                <w:sz w:val="18"/>
                <w:szCs w:val="18"/>
              </w:rPr>
              <w:t xml:space="preserve"> Other sources of bias expected to materially alter findings.</w:t>
            </w:r>
          </w:p>
          <w:p w:rsidR="004442E4" w:rsidRPr="00C806D0" w:rsidRDefault="004442E4" w:rsidP="004442E4">
            <w:pPr>
              <w:rPr>
                <w:sz w:val="18"/>
                <w:szCs w:val="18"/>
              </w:rPr>
            </w:pPr>
          </w:p>
        </w:tc>
      </w:tr>
      <w:tr w:rsidR="004442E4" w:rsidRPr="00C806D0" w:rsidTr="004442E4">
        <w:trPr>
          <w:trHeight w:val="552"/>
        </w:trPr>
        <w:tc>
          <w:tcPr>
            <w:tcW w:w="0" w:type="auto"/>
            <w:tcBorders>
              <w:top w:val="nil"/>
              <w:left w:val="nil"/>
              <w:bottom w:val="nil"/>
              <w:right w:val="nil"/>
            </w:tcBorders>
          </w:tcPr>
          <w:p w:rsidR="004442E4" w:rsidRPr="00C806D0" w:rsidRDefault="004442E4" w:rsidP="004442E4">
            <w:pPr>
              <w:rPr>
                <w:b/>
                <w:sz w:val="18"/>
                <w:szCs w:val="18"/>
              </w:rPr>
            </w:pPr>
          </w:p>
        </w:tc>
        <w:tc>
          <w:tcPr>
            <w:tcW w:w="0" w:type="auto"/>
            <w:tcBorders>
              <w:top w:val="nil"/>
              <w:left w:val="nil"/>
              <w:bottom w:val="nil"/>
              <w:right w:val="nil"/>
            </w:tcBorders>
          </w:tcPr>
          <w:p w:rsidR="004442E4" w:rsidRPr="00C806D0" w:rsidRDefault="004442E4" w:rsidP="004442E4">
            <w:pPr>
              <w:rPr>
                <w:sz w:val="18"/>
                <w:szCs w:val="18"/>
              </w:rPr>
            </w:pPr>
            <w:r w:rsidRPr="00C806D0">
              <w:rPr>
                <w:i/>
                <w:sz w:val="18"/>
                <w:szCs w:val="18"/>
              </w:rPr>
              <w:t>Unclear:</w:t>
            </w:r>
            <w:r w:rsidRPr="00C806D0">
              <w:rPr>
                <w:sz w:val="18"/>
                <w:szCs w:val="18"/>
              </w:rPr>
              <w:t xml:space="preserve"> Insufficient information reported to allow assessment</w:t>
            </w:r>
          </w:p>
        </w:tc>
        <w:tc>
          <w:tcPr>
            <w:tcW w:w="0" w:type="auto"/>
            <w:tcBorders>
              <w:top w:val="nil"/>
              <w:left w:val="nil"/>
              <w:bottom w:val="nil"/>
              <w:right w:val="nil"/>
            </w:tcBorders>
          </w:tcPr>
          <w:p w:rsidR="004442E4" w:rsidRPr="00C806D0" w:rsidRDefault="004442E4" w:rsidP="004442E4">
            <w:pPr>
              <w:rPr>
                <w:sz w:val="18"/>
                <w:szCs w:val="18"/>
              </w:rPr>
            </w:pPr>
            <w:r w:rsidRPr="00C806D0">
              <w:rPr>
                <w:i/>
                <w:sz w:val="18"/>
                <w:szCs w:val="18"/>
              </w:rPr>
              <w:t>Unclear:</w:t>
            </w:r>
            <w:r w:rsidRPr="00C806D0">
              <w:rPr>
                <w:sz w:val="18"/>
                <w:szCs w:val="18"/>
              </w:rPr>
              <w:t xml:space="preserve"> Insufficient information reported to allow assessment</w:t>
            </w:r>
          </w:p>
        </w:tc>
        <w:tc>
          <w:tcPr>
            <w:tcW w:w="0" w:type="auto"/>
            <w:tcBorders>
              <w:top w:val="nil"/>
              <w:left w:val="nil"/>
              <w:bottom w:val="nil"/>
              <w:right w:val="nil"/>
            </w:tcBorders>
          </w:tcPr>
          <w:p w:rsidR="004442E4" w:rsidRPr="00C806D0" w:rsidRDefault="004442E4" w:rsidP="004442E4">
            <w:pPr>
              <w:rPr>
                <w:sz w:val="18"/>
                <w:szCs w:val="18"/>
              </w:rPr>
            </w:pPr>
            <w:r w:rsidRPr="00C806D0">
              <w:rPr>
                <w:i/>
                <w:sz w:val="18"/>
                <w:szCs w:val="18"/>
              </w:rPr>
              <w:t>Unclear:</w:t>
            </w:r>
            <w:r w:rsidRPr="00C806D0">
              <w:rPr>
                <w:sz w:val="18"/>
                <w:szCs w:val="18"/>
              </w:rPr>
              <w:t xml:space="preserve"> Insufficient information reported to allow assessment</w:t>
            </w:r>
          </w:p>
        </w:tc>
        <w:tc>
          <w:tcPr>
            <w:tcW w:w="0" w:type="auto"/>
            <w:tcBorders>
              <w:top w:val="nil"/>
              <w:left w:val="nil"/>
              <w:bottom w:val="nil"/>
              <w:right w:val="nil"/>
            </w:tcBorders>
          </w:tcPr>
          <w:p w:rsidR="004442E4" w:rsidRPr="00C806D0" w:rsidRDefault="004442E4" w:rsidP="004442E4">
            <w:pPr>
              <w:rPr>
                <w:sz w:val="18"/>
                <w:szCs w:val="18"/>
              </w:rPr>
            </w:pPr>
            <w:r w:rsidRPr="00C806D0">
              <w:rPr>
                <w:i/>
                <w:sz w:val="18"/>
                <w:szCs w:val="18"/>
              </w:rPr>
              <w:t>Unclear:</w:t>
            </w:r>
            <w:r w:rsidRPr="00C806D0">
              <w:rPr>
                <w:sz w:val="18"/>
                <w:szCs w:val="18"/>
              </w:rPr>
              <w:t xml:space="preserve"> Insufficient information reported to allow assessment</w:t>
            </w:r>
          </w:p>
        </w:tc>
        <w:tc>
          <w:tcPr>
            <w:tcW w:w="0" w:type="auto"/>
            <w:tcBorders>
              <w:top w:val="nil"/>
              <w:left w:val="nil"/>
              <w:bottom w:val="nil"/>
              <w:right w:val="nil"/>
            </w:tcBorders>
          </w:tcPr>
          <w:p w:rsidR="004442E4" w:rsidRPr="00C806D0" w:rsidRDefault="004442E4" w:rsidP="004442E4">
            <w:pPr>
              <w:rPr>
                <w:sz w:val="18"/>
                <w:szCs w:val="18"/>
              </w:rPr>
            </w:pPr>
            <w:r w:rsidRPr="00C806D0">
              <w:rPr>
                <w:i/>
                <w:sz w:val="18"/>
                <w:szCs w:val="18"/>
              </w:rPr>
              <w:t>Unclear:</w:t>
            </w:r>
            <w:r w:rsidRPr="00C806D0">
              <w:rPr>
                <w:sz w:val="18"/>
                <w:szCs w:val="18"/>
              </w:rPr>
              <w:t xml:space="preserve"> Insufficient information reported to allow assessment</w:t>
            </w:r>
          </w:p>
        </w:tc>
      </w:tr>
      <w:tr w:rsidR="004442E4" w:rsidRPr="00C806D0" w:rsidTr="004442E4">
        <w:trPr>
          <w:trHeight w:val="748"/>
        </w:trPr>
        <w:tc>
          <w:tcPr>
            <w:tcW w:w="0" w:type="auto"/>
            <w:tcBorders>
              <w:top w:val="nil"/>
              <w:left w:val="nil"/>
              <w:bottom w:val="single" w:sz="4" w:space="0" w:color="auto"/>
              <w:right w:val="nil"/>
            </w:tcBorders>
          </w:tcPr>
          <w:p w:rsidR="004442E4" w:rsidRPr="00C806D0" w:rsidRDefault="004442E4" w:rsidP="004442E4">
            <w:pPr>
              <w:rPr>
                <w:sz w:val="18"/>
                <w:szCs w:val="18"/>
              </w:rPr>
            </w:pPr>
          </w:p>
        </w:tc>
        <w:tc>
          <w:tcPr>
            <w:tcW w:w="0" w:type="auto"/>
            <w:tcBorders>
              <w:top w:val="nil"/>
              <w:left w:val="nil"/>
              <w:bottom w:val="single" w:sz="4" w:space="0" w:color="auto"/>
              <w:right w:val="nil"/>
            </w:tcBorders>
          </w:tcPr>
          <w:p w:rsidR="004442E4" w:rsidRPr="00C806D0" w:rsidRDefault="004442E4" w:rsidP="004442E4">
            <w:pPr>
              <w:rPr>
                <w:sz w:val="18"/>
                <w:szCs w:val="18"/>
              </w:rPr>
            </w:pPr>
            <w:r w:rsidRPr="00C806D0">
              <w:rPr>
                <w:i/>
                <w:sz w:val="18"/>
                <w:szCs w:val="18"/>
              </w:rPr>
              <w:t>Not applicable:</w:t>
            </w:r>
            <w:r w:rsidRPr="00C806D0">
              <w:rPr>
                <w:sz w:val="18"/>
                <w:szCs w:val="18"/>
              </w:rPr>
              <w:t xml:space="preserve"> Health states measured using scenarios</w:t>
            </w:r>
          </w:p>
        </w:tc>
        <w:tc>
          <w:tcPr>
            <w:tcW w:w="0" w:type="auto"/>
            <w:tcBorders>
              <w:top w:val="nil"/>
              <w:left w:val="nil"/>
              <w:bottom w:val="single" w:sz="4" w:space="0" w:color="auto"/>
              <w:right w:val="nil"/>
            </w:tcBorders>
          </w:tcPr>
          <w:p w:rsidR="004442E4" w:rsidRPr="00C806D0" w:rsidRDefault="004442E4" w:rsidP="004442E4">
            <w:pPr>
              <w:rPr>
                <w:sz w:val="18"/>
                <w:szCs w:val="18"/>
              </w:rPr>
            </w:pPr>
            <w:r w:rsidRPr="00C806D0">
              <w:rPr>
                <w:i/>
                <w:sz w:val="18"/>
                <w:szCs w:val="18"/>
              </w:rPr>
              <w:t>Not applicable:</w:t>
            </w:r>
            <w:r w:rsidRPr="00C806D0">
              <w:rPr>
                <w:sz w:val="18"/>
                <w:szCs w:val="18"/>
              </w:rPr>
              <w:t xml:space="preserve"> Health states measured in patients</w:t>
            </w:r>
          </w:p>
        </w:tc>
        <w:tc>
          <w:tcPr>
            <w:tcW w:w="0" w:type="auto"/>
            <w:tcBorders>
              <w:top w:val="nil"/>
              <w:left w:val="nil"/>
              <w:bottom w:val="single" w:sz="4" w:space="0" w:color="auto"/>
              <w:right w:val="nil"/>
            </w:tcBorders>
          </w:tcPr>
          <w:p w:rsidR="004442E4" w:rsidRPr="00C806D0" w:rsidRDefault="004442E4" w:rsidP="004442E4">
            <w:pPr>
              <w:rPr>
                <w:sz w:val="18"/>
                <w:szCs w:val="18"/>
              </w:rPr>
            </w:pPr>
            <w:r w:rsidRPr="00C806D0">
              <w:rPr>
                <w:i/>
                <w:sz w:val="18"/>
                <w:szCs w:val="18"/>
              </w:rPr>
              <w:t>Not applicable:</w:t>
            </w:r>
            <w:r w:rsidRPr="00C806D0">
              <w:rPr>
                <w:sz w:val="18"/>
                <w:szCs w:val="18"/>
              </w:rPr>
              <w:t xml:space="preserve"> Health states measured using scenarios</w:t>
            </w:r>
          </w:p>
        </w:tc>
        <w:tc>
          <w:tcPr>
            <w:tcW w:w="0" w:type="auto"/>
            <w:tcBorders>
              <w:top w:val="nil"/>
              <w:left w:val="nil"/>
              <w:bottom w:val="single" w:sz="4" w:space="0" w:color="auto"/>
              <w:right w:val="nil"/>
            </w:tcBorders>
          </w:tcPr>
          <w:p w:rsidR="004442E4" w:rsidRPr="00C806D0" w:rsidRDefault="004442E4" w:rsidP="004442E4">
            <w:pPr>
              <w:rPr>
                <w:sz w:val="18"/>
                <w:szCs w:val="18"/>
              </w:rPr>
            </w:pPr>
          </w:p>
        </w:tc>
        <w:tc>
          <w:tcPr>
            <w:tcW w:w="0" w:type="auto"/>
            <w:tcBorders>
              <w:top w:val="nil"/>
              <w:left w:val="nil"/>
              <w:bottom w:val="single" w:sz="4" w:space="0" w:color="auto"/>
              <w:right w:val="nil"/>
            </w:tcBorders>
          </w:tcPr>
          <w:p w:rsidR="004442E4" w:rsidRPr="00C806D0" w:rsidRDefault="004442E4" w:rsidP="004442E4">
            <w:pPr>
              <w:rPr>
                <w:sz w:val="18"/>
                <w:szCs w:val="18"/>
              </w:rPr>
            </w:pPr>
            <w:r w:rsidRPr="00C806D0">
              <w:rPr>
                <w:i/>
                <w:sz w:val="18"/>
                <w:szCs w:val="18"/>
              </w:rPr>
              <w:t>Not applicable:</w:t>
            </w:r>
            <w:r w:rsidRPr="00C806D0">
              <w:rPr>
                <w:sz w:val="18"/>
                <w:szCs w:val="18"/>
              </w:rPr>
              <w:t xml:space="preserve"> No other appreciable sources of bias possible.</w:t>
            </w:r>
          </w:p>
        </w:tc>
      </w:tr>
    </w:tbl>
    <w:p w:rsidR="006F2FC6" w:rsidRPr="00C806D0" w:rsidRDefault="006F2FC6" w:rsidP="002A360F">
      <w:pPr>
        <w:pStyle w:val="Heading3"/>
        <w:sectPr w:rsidR="006F2FC6" w:rsidRPr="00C806D0" w:rsidSect="006F2FC6">
          <w:pgSz w:w="16838" w:h="11906" w:orient="landscape"/>
          <w:pgMar w:top="2268" w:right="1134" w:bottom="1134" w:left="1134" w:header="709" w:footer="709" w:gutter="0"/>
          <w:cols w:space="708"/>
          <w:docGrid w:linePitch="360"/>
        </w:sectPr>
      </w:pPr>
    </w:p>
    <w:p w:rsidR="004442E4" w:rsidRPr="00C806D0" w:rsidRDefault="004442E4" w:rsidP="002A360F">
      <w:pPr>
        <w:pStyle w:val="Heading3"/>
      </w:pPr>
      <w:r w:rsidRPr="00C806D0">
        <w:lastRenderedPageBreak/>
        <w:t>Systematic review</w:t>
      </w:r>
      <w:r w:rsidR="00B65AAF" w:rsidRPr="00C806D0">
        <w:t xml:space="preserve"> of HSPWs for GOS categories: S</w:t>
      </w:r>
      <w:r w:rsidRPr="00C806D0">
        <w:t>tatistical analyses</w:t>
      </w:r>
    </w:p>
    <w:p w:rsidR="004442E4" w:rsidRPr="00C806D0" w:rsidRDefault="004442E4" w:rsidP="004442E4">
      <w:r w:rsidRPr="00C806D0">
        <w:t>H</w:t>
      </w:r>
      <w:r w:rsidR="00B65AAF" w:rsidRPr="00C806D0">
        <w:t xml:space="preserve">ealth state preference weights </w:t>
      </w:r>
      <w:r w:rsidRPr="00C806D0">
        <w:t>were typically reported as a mean with either standard deviation or standard error of the mean. To provide uniformity across results, estimates of dispersion were converted into 95% confidence intervals using standard statistical formulae.</w:t>
      </w:r>
      <w:r w:rsidR="00155D84" w:rsidRPr="00C806D0">
        <w:rPr>
          <w:noProof/>
          <w:vertAlign w:val="superscript"/>
        </w:rPr>
        <w:t>[</w:t>
      </w:r>
      <w:r w:rsidR="006D4D62" w:rsidRPr="00C806D0">
        <w:rPr>
          <w:noProof/>
          <w:vertAlign w:val="superscript"/>
        </w:rPr>
        <w:t>18</w:t>
      </w:r>
      <w:r w:rsidR="00155D84" w:rsidRPr="00C806D0">
        <w:rPr>
          <w:noProof/>
          <w:vertAlign w:val="superscript"/>
        </w:rPr>
        <w:t>]</w:t>
      </w:r>
      <w:r w:rsidRPr="00C806D0">
        <w:t xml:space="preserve"> To facilitate comparisons, extended GOS category HSPWs were combined using weighted averages to provide results for commensurate basic GOS health states.</w:t>
      </w:r>
      <w:r w:rsidR="00B65AAF" w:rsidRPr="00C806D0">
        <w:t xml:space="preserve"> Utility values within each extended </w:t>
      </w:r>
      <w:r w:rsidRPr="00C806D0">
        <w:t>GOS category were assumed to be normally distributed and the basic GOS category was assumed to divide equally with regards to severity to give upper and lower categories of the extended score.</w:t>
      </w:r>
    </w:p>
    <w:p w:rsidR="004442E4" w:rsidRPr="00C806D0" w:rsidRDefault="004442E4" w:rsidP="004442E4"/>
    <w:p w:rsidR="004442E4" w:rsidRPr="00C806D0" w:rsidRDefault="004442E4" w:rsidP="004442E4">
      <w:pPr>
        <w:rPr>
          <w:rFonts w:cs="AGaramond-Regular"/>
          <w:lang w:eastAsia="en-GB"/>
        </w:rPr>
      </w:pPr>
      <w:r w:rsidRPr="00C806D0">
        <w:t xml:space="preserve">Variation in HSPWs between studies was examined with one way analyses of variance.  Published summary statistics were used to test for statistically significant differences between HSPW estimates within each basic GOS category. A synthetic data set with the correct number of cases, mean and standard deviation within each group was produced using the Stata </w:t>
      </w:r>
      <w:r w:rsidRPr="00C806D0">
        <w:rPr>
          <w:i/>
        </w:rPr>
        <w:t xml:space="preserve">aovsum </w:t>
      </w:r>
      <w:r w:rsidRPr="00C806D0">
        <w:t xml:space="preserve">command. </w:t>
      </w:r>
      <w:r w:rsidRPr="00C806D0">
        <w:rPr>
          <w:i/>
        </w:rPr>
        <w:t xml:space="preserve">Post hoc </w:t>
      </w:r>
      <w:r w:rsidRPr="00C806D0">
        <w:t>Sche</w:t>
      </w:r>
      <w:r w:rsidR="00B65AAF" w:rsidRPr="00C806D0">
        <w:t>f</w:t>
      </w:r>
      <w:r w:rsidRPr="00C806D0">
        <w:t>fe’s multiple comparison hypothesis tests for differences in means were then used to identify which HSPW estimates differed.</w:t>
      </w:r>
      <w:r w:rsidR="00155D84" w:rsidRPr="00C806D0">
        <w:rPr>
          <w:noProof/>
          <w:vertAlign w:val="superscript"/>
        </w:rPr>
        <w:t>[</w:t>
      </w:r>
      <w:r w:rsidR="006D4D62" w:rsidRPr="00C806D0">
        <w:rPr>
          <w:noProof/>
          <w:vertAlign w:val="superscript"/>
        </w:rPr>
        <w:t>19</w:t>
      </w:r>
      <w:r w:rsidR="00155D84" w:rsidRPr="00C806D0">
        <w:rPr>
          <w:noProof/>
          <w:vertAlign w:val="superscript"/>
        </w:rPr>
        <w:t>]</w:t>
      </w:r>
      <w:r w:rsidRPr="00C806D0">
        <w:t xml:space="preserve"> This analysis requires that assum</w:t>
      </w:r>
      <w:r w:rsidR="00B65AAF" w:rsidRPr="00C806D0">
        <w:t xml:space="preserve">ptions of </w:t>
      </w:r>
      <w:r w:rsidRPr="00C806D0">
        <w:t>normally distributed utilities within each GOS category and equal variances are not violated.  Estimates from Djikers were based on a sample size of one and were excluded from consideration. Where standard deviations/standard errors were not reported (and no further information was available from the authors) it was assumed that the standard deviation was equal to the mean</w:t>
      </w:r>
      <w:r w:rsidR="00B65AAF" w:rsidRPr="00C806D0">
        <w:t xml:space="preserve"> utility value</w:t>
      </w:r>
      <w:r w:rsidRPr="00C806D0">
        <w:t xml:space="preserve"> in each GOS category.  </w:t>
      </w:r>
      <w:r w:rsidRPr="00C806D0">
        <w:rPr>
          <w:rFonts w:cs="AGaramond-Regular"/>
          <w:lang w:eastAsia="en-GB"/>
        </w:rPr>
        <w:t xml:space="preserve">A </w:t>
      </w:r>
      <w:r w:rsidRPr="00C806D0">
        <w:rPr>
          <w:color w:val="000000"/>
        </w:rPr>
        <w:t xml:space="preserve">two-sided p-value of &lt;0.05 was considered to be statistically significant. </w:t>
      </w:r>
      <w:r w:rsidRPr="00C806D0">
        <w:rPr>
          <w:rFonts w:cs="AGaramond-Regular"/>
          <w:lang w:eastAsia="en-GB"/>
        </w:rPr>
        <w:t>Statistical analyses were performed in STATA 12.1 (</w:t>
      </w:r>
      <w:r w:rsidRPr="00C806D0">
        <w:t>StataCorp, College Station, USA</w:t>
      </w:r>
      <w:r w:rsidRPr="00C806D0">
        <w:rPr>
          <w:rFonts w:cs="AGaramond-Regular"/>
          <w:lang w:eastAsia="en-GB"/>
        </w:rPr>
        <w:t>).</w:t>
      </w:r>
    </w:p>
    <w:p w:rsidR="004442E4" w:rsidRPr="00C806D0" w:rsidRDefault="004442E4" w:rsidP="002A360F">
      <w:pPr>
        <w:pStyle w:val="Heading3"/>
        <w:rPr>
          <w:lang w:eastAsia="en-GB"/>
        </w:rPr>
      </w:pPr>
      <w:r w:rsidRPr="00C806D0">
        <w:rPr>
          <w:lang w:eastAsia="en-GB"/>
        </w:rPr>
        <w:t xml:space="preserve">Adjusted limited dependent variable mixture modelling </w:t>
      </w:r>
    </w:p>
    <w:p w:rsidR="004442E4" w:rsidRPr="00C806D0" w:rsidRDefault="004442E4" w:rsidP="004442E4">
      <w:pPr>
        <w:pStyle w:val="Heading4"/>
        <w:rPr>
          <w:lang w:eastAsia="en-GB"/>
        </w:rPr>
      </w:pPr>
      <w:r w:rsidRPr="00C806D0">
        <w:rPr>
          <w:lang w:eastAsia="en-GB"/>
        </w:rPr>
        <w:t>Background</w:t>
      </w:r>
    </w:p>
    <w:p w:rsidR="004442E4" w:rsidRPr="00C806D0" w:rsidRDefault="004442E4" w:rsidP="004442E4">
      <w:r w:rsidRPr="00C806D0">
        <w:t>The distribution of EQ5D preference values has a number of distinctive features challenging conventional approaches for statistical modelling. By definition, the maximum utility possible is perfect health and EQ5D values are consequently constrained to be less than one. The distribution is also limited at the lower end by a minimum possible value of -0.594 for the worst possible health state (33333, repres</w:t>
      </w:r>
      <w:r w:rsidR="00B65AAF" w:rsidRPr="00C806D0">
        <w:t>enting extreme problems in all five</w:t>
      </w:r>
      <w:r w:rsidRPr="00C806D0">
        <w:t xml:space="preserve"> EQ5D health dimensions). The probability density function between these values is discontinuous, multimodal and skewed. In most disease areas there is usually a large probability density at full health. The next possible EQ5D value is 0.883 (the 11211 health state, corresponding to some problems with usual activities) resulting in a large gap at the upper end of the distribution. </w:t>
      </w:r>
      <w:r w:rsidRPr="00C806D0">
        <w:lastRenderedPageBreak/>
        <w:t>Although other smaller gaps exist across the possible range of EQ5D values, particularly at 0.45 as a result of the N3 term, the remainder of the distribution is usually considered to be continuous. There are usually at least two modes located around EQ5D values of 0.2 and 0.7. However, the exact number of modes, and their associated skewness and kurtosis, will vary according to the patient characteristics and disease area being assessed. These distributional characteristics normally remain after conditioning on patient or disease characteristics.</w:t>
      </w:r>
      <w:r w:rsidR="00155D84" w:rsidRPr="00C806D0">
        <w:rPr>
          <w:noProof/>
          <w:vertAlign w:val="superscript"/>
        </w:rPr>
        <w:t>[</w:t>
      </w:r>
      <w:r w:rsidR="006D4D62" w:rsidRPr="00C806D0">
        <w:rPr>
          <w:noProof/>
          <w:vertAlign w:val="superscript"/>
        </w:rPr>
        <w:t>3</w:t>
      </w:r>
      <w:r w:rsidR="00155D84" w:rsidRPr="00C806D0">
        <w:rPr>
          <w:noProof/>
          <w:vertAlign w:val="superscript"/>
        </w:rPr>
        <w:t xml:space="preserve">, </w:t>
      </w:r>
      <w:r w:rsidR="006D4D62" w:rsidRPr="00C806D0">
        <w:rPr>
          <w:noProof/>
          <w:vertAlign w:val="superscript"/>
        </w:rPr>
        <w:t>20</w:t>
      </w:r>
      <w:r w:rsidR="00155D84" w:rsidRPr="00C806D0">
        <w:rPr>
          <w:noProof/>
          <w:vertAlign w:val="superscript"/>
        </w:rPr>
        <w:t xml:space="preserve">, </w:t>
      </w:r>
      <w:r w:rsidR="006D4D62" w:rsidRPr="00C806D0">
        <w:rPr>
          <w:noProof/>
          <w:vertAlign w:val="superscript"/>
        </w:rPr>
        <w:t>21</w:t>
      </w:r>
      <w:r w:rsidR="00155D84" w:rsidRPr="00C806D0">
        <w:rPr>
          <w:noProof/>
          <w:vertAlign w:val="superscript"/>
        </w:rPr>
        <w:t>]</w:t>
      </w:r>
    </w:p>
    <w:p w:rsidR="004442E4" w:rsidRPr="00C806D0" w:rsidRDefault="004442E4" w:rsidP="004442E4"/>
    <w:p w:rsidR="004442E4" w:rsidRPr="00C806D0" w:rsidRDefault="004442E4" w:rsidP="004442E4">
      <w:pPr>
        <w:rPr>
          <w:rFonts w:ascii="Calibri" w:hAnsi="Calibri"/>
        </w:rPr>
      </w:pPr>
      <w:r w:rsidRPr="00C806D0">
        <w:t>A number of statistical approaches have been employed in mapping studies estimating EQ5D HSPWs from clinical outcome scores</w:t>
      </w:r>
      <w:r w:rsidR="00B65AAF" w:rsidRPr="00C806D0">
        <w:t xml:space="preserve"> or HRQOL measures</w:t>
      </w:r>
      <w:r w:rsidRPr="00C806D0">
        <w:t xml:space="preserve">. These have included linear regression, generalised linear modelling, tobit regression, </w:t>
      </w:r>
      <w:r w:rsidRPr="00C806D0">
        <w:rPr>
          <w:rFonts w:ascii="Calibri" w:hAnsi="Calibri" w:cs="Caecilia-Roman"/>
        </w:rPr>
        <w:t>symmetrically trimmed least squares regression, censored least absolute deviation (CLAD) models, adjusted limited dependent variable models, response mapping, and 2 part logistic – linear regression models.</w:t>
      </w:r>
      <w:r w:rsidR="00155D84" w:rsidRPr="00C806D0">
        <w:rPr>
          <w:rFonts w:ascii="Calibri" w:hAnsi="Calibri" w:cs="Caecilia-Roman"/>
          <w:noProof/>
          <w:vertAlign w:val="superscript"/>
        </w:rPr>
        <w:t>[</w:t>
      </w:r>
      <w:r w:rsidR="006D4D62" w:rsidRPr="00C806D0">
        <w:rPr>
          <w:rFonts w:ascii="Calibri" w:hAnsi="Calibri" w:cs="Caecilia-Roman"/>
          <w:noProof/>
          <w:vertAlign w:val="superscript"/>
        </w:rPr>
        <w:t>13</w:t>
      </w:r>
      <w:r w:rsidR="00155D84" w:rsidRPr="00C806D0">
        <w:rPr>
          <w:rFonts w:ascii="Calibri" w:hAnsi="Calibri" w:cs="Caecilia-Roman"/>
          <w:noProof/>
          <w:vertAlign w:val="superscript"/>
        </w:rPr>
        <w:t xml:space="preserve">, </w:t>
      </w:r>
      <w:r w:rsidR="006D4D62" w:rsidRPr="00C806D0">
        <w:rPr>
          <w:rFonts w:ascii="Calibri" w:hAnsi="Calibri" w:cs="Caecilia-Roman"/>
          <w:noProof/>
          <w:vertAlign w:val="superscript"/>
        </w:rPr>
        <w:t>22</w:t>
      </w:r>
      <w:r w:rsidR="00155D84" w:rsidRPr="00C806D0">
        <w:rPr>
          <w:rFonts w:ascii="Calibri" w:hAnsi="Calibri" w:cs="Caecilia-Roman"/>
          <w:noProof/>
          <w:vertAlign w:val="superscript"/>
        </w:rPr>
        <w:t>]</w:t>
      </w:r>
      <w:r w:rsidRPr="00C806D0">
        <w:rPr>
          <w:rFonts w:ascii="Calibri" w:hAnsi="Calibri" w:cs="Caecilia-Roman"/>
        </w:rPr>
        <w:t xml:space="preserve"> Each of these techniques have been shown to be sub-optimal with problems including prediction of impossible values beyond the EQ5D range, under-prediction of high EQ5D values, and systematic over-prediction at the lower end of the EQ5D scale. In response to these concerns a novel modelling approach based on semi-parametric mixture models, the </w:t>
      </w:r>
      <w:r w:rsidRPr="00C806D0">
        <w:t>adjusted limited dependent variable mixture model, has recently been developed and</w:t>
      </w:r>
      <w:r w:rsidRPr="00C806D0">
        <w:rPr>
          <w:rFonts w:ascii="Calibri" w:hAnsi="Calibri" w:cs="Caecilia-Roman"/>
        </w:rPr>
        <w:t xml:space="preserve"> demonstrated to have superior performance to previously used techniques.</w:t>
      </w:r>
      <w:r w:rsidR="00155D84" w:rsidRPr="00C806D0">
        <w:rPr>
          <w:rFonts w:ascii="Calibri" w:hAnsi="Calibri" w:cs="Caecilia-Roman"/>
          <w:noProof/>
          <w:vertAlign w:val="superscript"/>
        </w:rPr>
        <w:t>[</w:t>
      </w:r>
      <w:r w:rsidR="006D4D62" w:rsidRPr="00C806D0">
        <w:rPr>
          <w:rFonts w:ascii="Calibri" w:hAnsi="Calibri" w:cs="Caecilia-Roman"/>
          <w:noProof/>
          <w:vertAlign w:val="superscript"/>
        </w:rPr>
        <w:t>20</w:t>
      </w:r>
      <w:r w:rsidR="00155D84" w:rsidRPr="00C806D0">
        <w:rPr>
          <w:rFonts w:ascii="Calibri" w:hAnsi="Calibri" w:cs="Caecilia-Roman"/>
          <w:noProof/>
          <w:vertAlign w:val="superscript"/>
        </w:rPr>
        <w:t>]</w:t>
      </w:r>
      <w:r w:rsidRPr="00C806D0">
        <w:rPr>
          <w:rFonts w:ascii="Calibri" w:hAnsi="Calibri" w:cs="Caecilia-Roman"/>
        </w:rPr>
        <w:t xml:space="preserve"> </w:t>
      </w:r>
    </w:p>
    <w:p w:rsidR="004442E4" w:rsidRPr="00C806D0" w:rsidRDefault="004442E4" w:rsidP="004442E4"/>
    <w:p w:rsidR="004442E4" w:rsidRPr="00C806D0" w:rsidRDefault="00B65AAF" w:rsidP="004442E4">
      <w:r w:rsidRPr="00C806D0">
        <w:t>Mixture models can be used for two</w:t>
      </w:r>
      <w:r w:rsidR="004442E4" w:rsidRPr="00C806D0">
        <w:t xml:space="preserve"> main purposes: identifying and describing heterogeneous groups in a population; or to provide a semi-parametric framework to model challenging distributions as in the current study.</w:t>
      </w:r>
      <w:r w:rsidR="00155D84" w:rsidRPr="00C806D0">
        <w:rPr>
          <w:noProof/>
          <w:vertAlign w:val="superscript"/>
        </w:rPr>
        <w:t>[</w:t>
      </w:r>
      <w:r w:rsidR="006D4D62" w:rsidRPr="00C806D0">
        <w:rPr>
          <w:noProof/>
          <w:vertAlign w:val="superscript"/>
        </w:rPr>
        <w:t>23</w:t>
      </w:r>
      <w:r w:rsidR="00155D84" w:rsidRPr="00C806D0">
        <w:rPr>
          <w:noProof/>
          <w:vertAlign w:val="superscript"/>
        </w:rPr>
        <w:t xml:space="preserve">, </w:t>
      </w:r>
      <w:r w:rsidR="006D4D62" w:rsidRPr="00C806D0">
        <w:rPr>
          <w:noProof/>
          <w:vertAlign w:val="superscript"/>
        </w:rPr>
        <w:t>24</w:t>
      </w:r>
      <w:r w:rsidR="00155D84" w:rsidRPr="00C806D0">
        <w:rPr>
          <w:noProof/>
          <w:vertAlign w:val="superscript"/>
        </w:rPr>
        <w:t>]</w:t>
      </w:r>
      <w:r w:rsidR="004442E4" w:rsidRPr="00C806D0">
        <w:t xml:space="preserve"> Mixture models combine a number of normal distributions to produce extremely flexibly shaped distributions which can incorporate multi-modality, and extreme kurtosis or skewness.</w:t>
      </w:r>
      <w:r w:rsidR="00155D84" w:rsidRPr="00C806D0">
        <w:rPr>
          <w:noProof/>
          <w:vertAlign w:val="superscript"/>
        </w:rPr>
        <w:t>[</w:t>
      </w:r>
      <w:r w:rsidR="006D4D62" w:rsidRPr="00C806D0">
        <w:rPr>
          <w:noProof/>
          <w:vertAlign w:val="superscript"/>
        </w:rPr>
        <w:t>23</w:t>
      </w:r>
      <w:r w:rsidR="00155D84" w:rsidRPr="00C806D0">
        <w:rPr>
          <w:noProof/>
          <w:vertAlign w:val="superscript"/>
        </w:rPr>
        <w:t xml:space="preserve">, </w:t>
      </w:r>
      <w:r w:rsidR="006D4D62" w:rsidRPr="00C806D0">
        <w:rPr>
          <w:noProof/>
          <w:vertAlign w:val="superscript"/>
        </w:rPr>
        <w:t>24</w:t>
      </w:r>
      <w:r w:rsidR="00155D84" w:rsidRPr="00C806D0">
        <w:rPr>
          <w:noProof/>
          <w:vertAlign w:val="superscript"/>
        </w:rPr>
        <w:t>]</w:t>
      </w:r>
      <w:r w:rsidR="004442E4" w:rsidRPr="00C806D0">
        <w:t xml:space="preserve"> Restricting these models, with a limited dependent variable covering the range of possible EQ5D values, adjusting for the large components of one’s, and rounding of predicted values above 0.883 to account for the gap between full health and the next possible score, allows all important features of the EQ5D distribution to be accounted for. The population is considered to be composed of several distinct groups (often called latent classes, mixtures, classes, or components) which have different distributions of EQ5D values. Mixture models determine the probability of latent class membership using a multinomial logit model and then estimate a normal distribution for each group. The relationship between patient characteristics and the probability of latent class membership, and the form of each normal distribution, can be incorporated into the model. The mean EQ5D is then calculated based on an average of the predictions from the normal distribution for each latent class, weighted by the probabilities of component membership.</w:t>
      </w:r>
      <w:r w:rsidR="00155D84" w:rsidRPr="00C806D0">
        <w:rPr>
          <w:noProof/>
          <w:vertAlign w:val="superscript"/>
        </w:rPr>
        <w:t>[</w:t>
      </w:r>
      <w:r w:rsidR="006D4D62" w:rsidRPr="00C806D0">
        <w:rPr>
          <w:noProof/>
          <w:vertAlign w:val="superscript"/>
        </w:rPr>
        <w:t>20</w:t>
      </w:r>
      <w:r w:rsidR="00155D84" w:rsidRPr="00C806D0">
        <w:rPr>
          <w:noProof/>
          <w:vertAlign w:val="superscript"/>
        </w:rPr>
        <w:t>]</w:t>
      </w:r>
      <w:r w:rsidR="004442E4" w:rsidRPr="00C806D0">
        <w:t xml:space="preserve"> </w:t>
      </w:r>
    </w:p>
    <w:p w:rsidR="004442E4" w:rsidRPr="00C806D0" w:rsidRDefault="004442E4" w:rsidP="00B65AAF">
      <w:pPr>
        <w:pStyle w:val="Heading4"/>
        <w:rPr>
          <w:lang w:eastAsia="en-GB"/>
        </w:rPr>
      </w:pPr>
      <w:r w:rsidRPr="00C806D0">
        <w:rPr>
          <w:lang w:eastAsia="en-GB"/>
        </w:rPr>
        <w:lastRenderedPageBreak/>
        <w:t>Modelling strategy</w:t>
      </w:r>
    </w:p>
    <w:p w:rsidR="004442E4" w:rsidRPr="00C806D0" w:rsidRDefault="004442E4" w:rsidP="004442E4">
      <w:pPr>
        <w:rPr>
          <w:lang w:eastAsia="en-GB"/>
        </w:rPr>
      </w:pPr>
      <w:r w:rsidRPr="00C806D0">
        <w:rPr>
          <w:lang w:eastAsia="en-GB"/>
        </w:rPr>
        <w:t>The modelling strategy followed recommendations for mixture modelling and the development of clinical prediction models.</w:t>
      </w:r>
      <w:r w:rsidR="00155D84" w:rsidRPr="00C806D0">
        <w:rPr>
          <w:noProof/>
          <w:vertAlign w:val="superscript"/>
          <w:lang w:eastAsia="en-GB"/>
        </w:rPr>
        <w:t>[</w:t>
      </w:r>
      <w:r w:rsidR="006D4D62" w:rsidRPr="00C806D0">
        <w:rPr>
          <w:noProof/>
          <w:vertAlign w:val="superscript"/>
          <w:lang w:eastAsia="en-GB"/>
        </w:rPr>
        <w:t>20</w:t>
      </w:r>
      <w:r w:rsidR="00155D84" w:rsidRPr="00C806D0">
        <w:rPr>
          <w:noProof/>
          <w:vertAlign w:val="superscript"/>
          <w:lang w:eastAsia="en-GB"/>
        </w:rPr>
        <w:t xml:space="preserve">, </w:t>
      </w:r>
      <w:r w:rsidR="006D4D62" w:rsidRPr="00C806D0">
        <w:rPr>
          <w:noProof/>
          <w:vertAlign w:val="superscript"/>
          <w:lang w:eastAsia="en-GB"/>
        </w:rPr>
        <w:t>21</w:t>
      </w:r>
      <w:r w:rsidR="00155D84" w:rsidRPr="00C806D0">
        <w:rPr>
          <w:noProof/>
          <w:vertAlign w:val="superscript"/>
          <w:lang w:eastAsia="en-GB"/>
        </w:rPr>
        <w:t xml:space="preserve">, </w:t>
      </w:r>
      <w:r w:rsidR="006D4D62" w:rsidRPr="00C806D0">
        <w:rPr>
          <w:noProof/>
          <w:vertAlign w:val="superscript"/>
          <w:lang w:eastAsia="en-GB"/>
        </w:rPr>
        <w:t>25</w:t>
      </w:r>
      <w:r w:rsidR="00155D84" w:rsidRPr="00C806D0">
        <w:rPr>
          <w:noProof/>
          <w:vertAlign w:val="superscript"/>
          <w:lang w:eastAsia="en-GB"/>
        </w:rPr>
        <w:t>]</w:t>
      </w:r>
      <w:r w:rsidRPr="00C806D0">
        <w:rPr>
          <w:lang w:eastAsia="en-GB"/>
        </w:rPr>
        <w:t xml:space="preserve"> As recommended by Hernandez (2014) simple models were initially evaluated with the number of covariates and components progressively increased.</w:t>
      </w:r>
      <w:r w:rsidR="00155D84" w:rsidRPr="00C806D0">
        <w:rPr>
          <w:noProof/>
          <w:vertAlign w:val="superscript"/>
          <w:lang w:eastAsia="en-GB"/>
        </w:rPr>
        <w:t>[</w:t>
      </w:r>
      <w:r w:rsidR="006D4D62" w:rsidRPr="00C806D0">
        <w:rPr>
          <w:noProof/>
          <w:vertAlign w:val="superscript"/>
          <w:lang w:eastAsia="en-GB"/>
        </w:rPr>
        <w:t>26</w:t>
      </w:r>
      <w:r w:rsidR="00155D84" w:rsidRPr="00C806D0">
        <w:rPr>
          <w:noProof/>
          <w:vertAlign w:val="superscript"/>
          <w:lang w:eastAsia="en-GB"/>
        </w:rPr>
        <w:t>]</w:t>
      </w:r>
      <w:r w:rsidRPr="00C806D0">
        <w:rPr>
          <w:lang w:eastAsia="en-GB"/>
        </w:rPr>
        <w:t xml:space="preserve"> </w:t>
      </w:r>
    </w:p>
    <w:p w:rsidR="004442E4" w:rsidRPr="00C806D0" w:rsidRDefault="004442E4" w:rsidP="004442E4">
      <w:pPr>
        <w:rPr>
          <w:lang w:eastAsia="en-GB"/>
        </w:rPr>
      </w:pPr>
    </w:p>
    <w:p w:rsidR="004442E4" w:rsidRPr="00C806D0" w:rsidRDefault="004442E4" w:rsidP="004442E4">
      <w:r w:rsidRPr="00C806D0">
        <w:rPr>
          <w:lang w:eastAsia="en-GB"/>
        </w:rPr>
        <w:t xml:space="preserve">Two groups of models were developed. </w:t>
      </w:r>
      <w:r w:rsidRPr="00C806D0">
        <w:t>Previous TBI economic models have overwhelmingly used cohort methodology, examining mixed male/female populations of a specified nominal age.</w:t>
      </w:r>
      <w:r w:rsidR="00155D84" w:rsidRPr="00C806D0">
        <w:rPr>
          <w:noProof/>
          <w:vertAlign w:val="superscript"/>
        </w:rPr>
        <w:t>[</w:t>
      </w:r>
      <w:r w:rsidR="006D4D62" w:rsidRPr="00C806D0">
        <w:rPr>
          <w:noProof/>
          <w:vertAlign w:val="superscript"/>
        </w:rPr>
        <w:t>27-32</w:t>
      </w:r>
      <w:r w:rsidR="00155D84" w:rsidRPr="00C806D0">
        <w:rPr>
          <w:noProof/>
          <w:vertAlign w:val="superscript"/>
        </w:rPr>
        <w:t>]</w:t>
      </w:r>
      <w:r w:rsidRPr="00C806D0">
        <w:t xml:space="preserve"> Firstly, an initial model was therefore developed with 12 month EQ5D as the dependent variable and GOS category and age as fixed explanatory variables. </w:t>
      </w:r>
      <w:r w:rsidR="003B50A3" w:rsidRPr="00C806D0">
        <w:t>More complex economic models, p</w:t>
      </w:r>
      <w:r w:rsidRPr="00C806D0">
        <w:t>atient level simulations</w:t>
      </w:r>
      <w:r w:rsidR="003B50A3" w:rsidRPr="00C806D0">
        <w:t>,</w:t>
      </w:r>
      <w:r w:rsidRPr="00C806D0">
        <w:t xml:space="preserve"> or trial based economic evaluations may also require HSPWs for GOS categories conditional on other patient characteristics. </w:t>
      </w:r>
      <w:r w:rsidR="003B50A3" w:rsidRPr="00C806D0">
        <w:t>A</w:t>
      </w:r>
      <w:r w:rsidRPr="00C806D0">
        <w:t xml:space="preserve">ge, gender, co-morbidities, and the presence of </w:t>
      </w:r>
      <w:r w:rsidR="002A16B4" w:rsidRPr="00C806D0">
        <w:t>extracranial</w:t>
      </w:r>
      <w:r w:rsidRPr="00C806D0">
        <w:t xml:space="preserve"> injury were considered to represent important patient variables likely to be important when characterising TBI populations, and were therefore evalu</w:t>
      </w:r>
      <w:r w:rsidR="003B50A3" w:rsidRPr="00C806D0">
        <w:t>ated as further covariates in a second</w:t>
      </w:r>
      <w:r w:rsidRPr="00C806D0">
        <w:t xml:space="preserve"> more detailed model. Previous economic models have exclusively used basic GOS for defining health states and int</w:t>
      </w:r>
      <w:r w:rsidR="003B50A3" w:rsidRPr="00C806D0">
        <w:t>erest therefore focused on the five</w:t>
      </w:r>
      <w:r w:rsidRPr="00C806D0">
        <w:t xml:space="preserve"> level GOS version. Models for the e</w:t>
      </w:r>
      <w:r w:rsidR="003B50A3" w:rsidRPr="00C806D0">
        <w:t>ight level e</w:t>
      </w:r>
      <w:r w:rsidRPr="00C806D0">
        <w:t>xtended GOS were developed in additional analyses.</w:t>
      </w:r>
    </w:p>
    <w:p w:rsidR="004442E4" w:rsidRPr="00C806D0" w:rsidRDefault="004442E4" w:rsidP="004442E4"/>
    <w:p w:rsidR="004442E4" w:rsidRPr="00C806D0" w:rsidRDefault="004442E4" w:rsidP="004442E4">
      <w:r w:rsidRPr="00C806D0">
        <w:t xml:space="preserve">Inclusion of explanatory variables was primarily determined by clinical considerations and all specified covariates were judged to be important in influencing utility after TBI. Omission of clearly non-significant variables (p&gt;0.5) predicting utility in particular components, or the probability of membership of specific components, was decided on an individual basis and guided by measures of model goodness of fit. Polynomial terms were evaluated to account for further non-linearity in the relationship between age and mean EQ5D. Coding of covariates is summarised in Table F5. Secondary models examining extended GOS categories as dummy variables did not converge, necessitating the use of a continuous term to predict latent class membership. A quadratic term was evaluated to assess non-linearity but was non-significant. </w:t>
      </w:r>
    </w:p>
    <w:p w:rsidR="004442E4" w:rsidRPr="00C806D0" w:rsidRDefault="004442E4" w:rsidP="004442E4"/>
    <w:p w:rsidR="004442E4" w:rsidRPr="00C806D0" w:rsidRDefault="004442E4" w:rsidP="004442E4">
      <w:r w:rsidRPr="00C806D0">
        <w:t xml:space="preserve">The appropriate number of latent classes was determined by considering the proportion of cases in each component, changes in information criterion statistics, and whether all important parts of the EQ5D distribution were modelled. Higher </w:t>
      </w:r>
      <w:r w:rsidR="00613E59" w:rsidRPr="00C806D0">
        <w:t>BIC</w:t>
      </w:r>
      <w:r w:rsidRPr="00C806D0">
        <w:t xml:space="preserve">, emergence of very small components likely to include only outlying data, and coverage of all important regions of the EQ5D distribution argued against increased complexity. </w:t>
      </w:r>
    </w:p>
    <w:p w:rsidR="004442E4" w:rsidRPr="00C806D0" w:rsidRDefault="004442E4" w:rsidP="004442E4"/>
    <w:p w:rsidR="004442E4" w:rsidRPr="00C806D0" w:rsidRDefault="004442E4" w:rsidP="004442E4">
      <w:pPr>
        <w:rPr>
          <w:b/>
          <w:lang w:eastAsia="en-GB"/>
        </w:rPr>
      </w:pPr>
      <w:r w:rsidRPr="00C806D0">
        <w:rPr>
          <w:b/>
          <w:lang w:eastAsia="en-GB"/>
        </w:rPr>
        <w:lastRenderedPageBreak/>
        <w:t>Table F5. Coding of covariates in adjusted limited dependent variable mixture models</w:t>
      </w:r>
    </w:p>
    <w:tbl>
      <w:tblPr>
        <w:tblStyle w:val="LightShading1"/>
        <w:tblW w:w="5000" w:type="pct"/>
        <w:tblLook w:val="0620" w:firstRow="1" w:lastRow="0" w:firstColumn="0" w:lastColumn="0" w:noHBand="1" w:noVBand="1"/>
      </w:tblPr>
      <w:tblGrid>
        <w:gridCol w:w="1842"/>
        <w:gridCol w:w="2539"/>
        <w:gridCol w:w="4339"/>
      </w:tblGrid>
      <w:tr w:rsidR="004442E4" w:rsidRPr="00C806D0" w:rsidTr="004442E4">
        <w:trPr>
          <w:cnfStyle w:val="100000000000" w:firstRow="1" w:lastRow="0" w:firstColumn="0" w:lastColumn="0" w:oddVBand="0" w:evenVBand="0" w:oddHBand="0" w:evenHBand="0" w:firstRowFirstColumn="0" w:firstRowLastColumn="0" w:lastRowFirstColumn="0" w:lastRowLastColumn="0"/>
        </w:trPr>
        <w:tc>
          <w:tcPr>
            <w:tcW w:w="1056" w:type="pct"/>
          </w:tcPr>
          <w:p w:rsidR="004442E4" w:rsidRPr="00C806D0" w:rsidRDefault="004442E4" w:rsidP="004442E4">
            <w:pPr>
              <w:rPr>
                <w:sz w:val="20"/>
                <w:szCs w:val="20"/>
                <w:lang w:eastAsia="en-GB"/>
              </w:rPr>
            </w:pPr>
            <w:r w:rsidRPr="00C806D0">
              <w:rPr>
                <w:sz w:val="20"/>
                <w:szCs w:val="20"/>
                <w:lang w:eastAsia="en-GB"/>
              </w:rPr>
              <w:t>Explanatory variable</w:t>
            </w:r>
          </w:p>
        </w:tc>
        <w:tc>
          <w:tcPr>
            <w:tcW w:w="1456" w:type="pct"/>
          </w:tcPr>
          <w:p w:rsidR="004442E4" w:rsidRPr="00C806D0" w:rsidRDefault="004442E4" w:rsidP="004442E4">
            <w:pPr>
              <w:rPr>
                <w:sz w:val="20"/>
                <w:szCs w:val="20"/>
                <w:lang w:eastAsia="en-GB"/>
              </w:rPr>
            </w:pPr>
            <w:r w:rsidRPr="00C806D0">
              <w:rPr>
                <w:sz w:val="20"/>
                <w:szCs w:val="20"/>
                <w:lang w:eastAsia="en-GB"/>
              </w:rPr>
              <w:t>Coding</w:t>
            </w:r>
          </w:p>
        </w:tc>
        <w:tc>
          <w:tcPr>
            <w:tcW w:w="2488" w:type="pct"/>
          </w:tcPr>
          <w:p w:rsidR="004442E4" w:rsidRPr="00C806D0" w:rsidRDefault="004442E4" w:rsidP="004442E4">
            <w:pPr>
              <w:rPr>
                <w:sz w:val="20"/>
                <w:szCs w:val="20"/>
                <w:lang w:eastAsia="en-GB"/>
              </w:rPr>
            </w:pPr>
            <w:r w:rsidRPr="00C806D0">
              <w:rPr>
                <w:sz w:val="20"/>
                <w:szCs w:val="20"/>
                <w:lang w:eastAsia="en-GB"/>
              </w:rPr>
              <w:t>Rationale</w:t>
            </w:r>
          </w:p>
        </w:tc>
      </w:tr>
      <w:tr w:rsidR="004442E4" w:rsidRPr="00C806D0" w:rsidTr="004442E4">
        <w:tc>
          <w:tcPr>
            <w:tcW w:w="1056" w:type="pct"/>
          </w:tcPr>
          <w:p w:rsidR="004442E4" w:rsidRPr="00C806D0" w:rsidRDefault="004442E4" w:rsidP="004442E4">
            <w:pPr>
              <w:rPr>
                <w:sz w:val="20"/>
                <w:szCs w:val="20"/>
                <w:lang w:eastAsia="en-GB"/>
              </w:rPr>
            </w:pPr>
            <w:r w:rsidRPr="00C806D0">
              <w:rPr>
                <w:sz w:val="20"/>
                <w:szCs w:val="20"/>
                <w:lang w:eastAsia="en-GB"/>
              </w:rPr>
              <w:t>Age</w:t>
            </w:r>
          </w:p>
        </w:tc>
        <w:tc>
          <w:tcPr>
            <w:tcW w:w="1456" w:type="pct"/>
          </w:tcPr>
          <w:p w:rsidR="004442E4" w:rsidRPr="00C806D0" w:rsidRDefault="004442E4" w:rsidP="004442E4">
            <w:pPr>
              <w:rPr>
                <w:sz w:val="20"/>
                <w:szCs w:val="20"/>
                <w:lang w:eastAsia="en-GB"/>
              </w:rPr>
            </w:pPr>
            <w:r w:rsidRPr="00C806D0">
              <w:rPr>
                <w:sz w:val="20"/>
                <w:szCs w:val="20"/>
                <w:lang w:eastAsia="en-GB"/>
              </w:rPr>
              <w:t>Continuous linear term</w:t>
            </w:r>
          </w:p>
        </w:tc>
        <w:tc>
          <w:tcPr>
            <w:tcW w:w="2488" w:type="pct"/>
          </w:tcPr>
          <w:p w:rsidR="004442E4" w:rsidRPr="00C806D0" w:rsidRDefault="004442E4" w:rsidP="004442E4">
            <w:pPr>
              <w:rPr>
                <w:sz w:val="20"/>
                <w:szCs w:val="20"/>
                <w:lang w:eastAsia="en-GB"/>
              </w:rPr>
            </w:pPr>
            <w:r w:rsidRPr="00C806D0">
              <w:rPr>
                <w:sz w:val="20"/>
                <w:szCs w:val="20"/>
                <w:lang w:eastAsia="en-GB"/>
              </w:rPr>
              <w:t>Categorisation would lose information.</w:t>
            </w:r>
          </w:p>
          <w:p w:rsidR="004442E4" w:rsidRPr="00C806D0" w:rsidRDefault="004442E4" w:rsidP="004442E4">
            <w:pPr>
              <w:rPr>
                <w:sz w:val="20"/>
                <w:szCs w:val="20"/>
                <w:lang w:eastAsia="en-GB"/>
              </w:rPr>
            </w:pPr>
            <w:r w:rsidRPr="00C806D0">
              <w:rPr>
                <w:sz w:val="20"/>
                <w:szCs w:val="20"/>
                <w:lang w:eastAsia="en-GB"/>
              </w:rPr>
              <w:t xml:space="preserve">Polynomial terms non-significant </w:t>
            </w:r>
          </w:p>
          <w:p w:rsidR="004442E4" w:rsidRPr="00C806D0" w:rsidRDefault="004442E4" w:rsidP="004442E4">
            <w:pPr>
              <w:rPr>
                <w:sz w:val="20"/>
                <w:szCs w:val="20"/>
                <w:lang w:eastAsia="en-GB"/>
              </w:rPr>
            </w:pPr>
          </w:p>
        </w:tc>
      </w:tr>
      <w:tr w:rsidR="004442E4" w:rsidRPr="00C806D0" w:rsidTr="004442E4">
        <w:tc>
          <w:tcPr>
            <w:tcW w:w="1056" w:type="pct"/>
          </w:tcPr>
          <w:p w:rsidR="004442E4" w:rsidRPr="00C806D0" w:rsidRDefault="00613E59" w:rsidP="004442E4">
            <w:pPr>
              <w:rPr>
                <w:sz w:val="20"/>
                <w:szCs w:val="20"/>
                <w:lang w:eastAsia="en-GB"/>
              </w:rPr>
            </w:pPr>
            <w:r w:rsidRPr="00C806D0">
              <w:rPr>
                <w:sz w:val="20"/>
                <w:szCs w:val="20"/>
                <w:lang w:eastAsia="en-GB"/>
              </w:rPr>
              <w:t>Co</w:t>
            </w:r>
            <w:r w:rsidR="004442E4" w:rsidRPr="00C806D0">
              <w:rPr>
                <w:sz w:val="20"/>
                <w:szCs w:val="20"/>
                <w:lang w:eastAsia="en-GB"/>
              </w:rPr>
              <w:t>morbidity</w:t>
            </w:r>
          </w:p>
        </w:tc>
        <w:tc>
          <w:tcPr>
            <w:tcW w:w="1456" w:type="pct"/>
          </w:tcPr>
          <w:p w:rsidR="004442E4" w:rsidRPr="00C806D0" w:rsidRDefault="004442E4" w:rsidP="004442E4">
            <w:pPr>
              <w:rPr>
                <w:sz w:val="20"/>
                <w:szCs w:val="20"/>
                <w:lang w:eastAsia="en-GB"/>
              </w:rPr>
            </w:pPr>
            <w:r w:rsidRPr="00C806D0">
              <w:rPr>
                <w:sz w:val="20"/>
                <w:szCs w:val="20"/>
                <w:lang w:eastAsia="en-GB"/>
              </w:rPr>
              <w:t>Categorical:</w:t>
            </w:r>
          </w:p>
          <w:p w:rsidR="004442E4" w:rsidRPr="00C806D0" w:rsidRDefault="004442E4" w:rsidP="004442E4">
            <w:pPr>
              <w:rPr>
                <w:sz w:val="20"/>
                <w:szCs w:val="20"/>
                <w:lang w:eastAsia="en-GB"/>
              </w:rPr>
            </w:pPr>
            <w:r w:rsidRPr="00C806D0">
              <w:rPr>
                <w:sz w:val="20"/>
                <w:szCs w:val="20"/>
                <w:lang w:eastAsia="en-GB"/>
              </w:rPr>
              <w:sym w:font="Wingdings" w:char="F09F"/>
            </w:r>
            <w:r w:rsidRPr="00C806D0">
              <w:rPr>
                <w:sz w:val="20"/>
                <w:szCs w:val="20"/>
                <w:lang w:eastAsia="en-GB"/>
              </w:rPr>
              <w:t xml:space="preserve"> No/ mildly limiting</w:t>
            </w:r>
          </w:p>
          <w:p w:rsidR="004442E4" w:rsidRPr="00C806D0" w:rsidRDefault="004442E4" w:rsidP="004442E4">
            <w:pPr>
              <w:rPr>
                <w:sz w:val="20"/>
                <w:szCs w:val="20"/>
                <w:lang w:eastAsia="en-GB"/>
              </w:rPr>
            </w:pPr>
            <w:r w:rsidRPr="00C806D0">
              <w:rPr>
                <w:sz w:val="20"/>
                <w:szCs w:val="20"/>
                <w:lang w:eastAsia="en-GB"/>
              </w:rPr>
              <w:sym w:font="Wingdings" w:char="F09F"/>
            </w:r>
            <w:r w:rsidRPr="00C806D0">
              <w:rPr>
                <w:sz w:val="20"/>
                <w:szCs w:val="20"/>
                <w:lang w:eastAsia="en-GB"/>
              </w:rPr>
              <w:t xml:space="preserve"> Limiting /critical</w:t>
            </w:r>
          </w:p>
          <w:p w:rsidR="004442E4" w:rsidRPr="00C806D0" w:rsidRDefault="004442E4" w:rsidP="004442E4">
            <w:pPr>
              <w:rPr>
                <w:sz w:val="20"/>
                <w:szCs w:val="20"/>
                <w:lang w:eastAsia="en-GB"/>
              </w:rPr>
            </w:pPr>
          </w:p>
        </w:tc>
        <w:tc>
          <w:tcPr>
            <w:tcW w:w="2488" w:type="pct"/>
          </w:tcPr>
          <w:p w:rsidR="004442E4" w:rsidRPr="00C806D0" w:rsidRDefault="004442E4" w:rsidP="004442E4">
            <w:pPr>
              <w:rPr>
                <w:sz w:val="20"/>
                <w:szCs w:val="20"/>
                <w:lang w:eastAsia="en-GB"/>
              </w:rPr>
            </w:pPr>
            <w:r w:rsidRPr="00C806D0">
              <w:rPr>
                <w:sz w:val="20"/>
                <w:szCs w:val="20"/>
                <w:lang w:eastAsia="en-GB"/>
              </w:rPr>
              <w:t>Clinically meaningful categories within constraints of data</w:t>
            </w:r>
          </w:p>
        </w:tc>
      </w:tr>
      <w:tr w:rsidR="004442E4" w:rsidRPr="00C806D0" w:rsidTr="004442E4">
        <w:tc>
          <w:tcPr>
            <w:tcW w:w="1056" w:type="pct"/>
          </w:tcPr>
          <w:p w:rsidR="004442E4" w:rsidRPr="00C806D0" w:rsidRDefault="002A16B4" w:rsidP="004442E4">
            <w:pPr>
              <w:rPr>
                <w:sz w:val="20"/>
                <w:szCs w:val="20"/>
                <w:lang w:eastAsia="en-GB"/>
              </w:rPr>
            </w:pPr>
            <w:r w:rsidRPr="00C806D0">
              <w:rPr>
                <w:sz w:val="20"/>
                <w:szCs w:val="20"/>
                <w:lang w:eastAsia="en-GB"/>
              </w:rPr>
              <w:t>Extracranial</w:t>
            </w:r>
            <w:r w:rsidR="004442E4" w:rsidRPr="00C806D0">
              <w:rPr>
                <w:sz w:val="20"/>
                <w:szCs w:val="20"/>
                <w:lang w:eastAsia="en-GB"/>
              </w:rPr>
              <w:t xml:space="preserve"> injury</w:t>
            </w:r>
          </w:p>
        </w:tc>
        <w:tc>
          <w:tcPr>
            <w:tcW w:w="1456" w:type="pct"/>
          </w:tcPr>
          <w:p w:rsidR="004442E4" w:rsidRPr="00C806D0" w:rsidRDefault="004442E4" w:rsidP="004442E4">
            <w:pPr>
              <w:rPr>
                <w:sz w:val="20"/>
                <w:szCs w:val="20"/>
                <w:lang w:eastAsia="en-GB"/>
              </w:rPr>
            </w:pPr>
            <w:r w:rsidRPr="00C806D0">
              <w:rPr>
                <w:sz w:val="20"/>
                <w:szCs w:val="20"/>
                <w:lang w:eastAsia="en-GB"/>
              </w:rPr>
              <w:t>Categorical:</w:t>
            </w:r>
          </w:p>
          <w:p w:rsidR="004442E4" w:rsidRPr="00C806D0" w:rsidRDefault="004442E4" w:rsidP="004442E4">
            <w:pPr>
              <w:rPr>
                <w:sz w:val="20"/>
                <w:szCs w:val="20"/>
                <w:lang w:eastAsia="en-GB"/>
              </w:rPr>
            </w:pPr>
            <w:r w:rsidRPr="00C806D0">
              <w:rPr>
                <w:sz w:val="20"/>
                <w:szCs w:val="20"/>
                <w:lang w:eastAsia="en-GB"/>
              </w:rPr>
              <w:sym w:font="Wingdings" w:char="F09F"/>
            </w:r>
            <w:r w:rsidRPr="00C806D0">
              <w:rPr>
                <w:sz w:val="20"/>
                <w:szCs w:val="20"/>
                <w:lang w:eastAsia="en-GB"/>
              </w:rPr>
              <w:t xml:space="preserve"> No non-head injury AIS≥3</w:t>
            </w:r>
          </w:p>
          <w:p w:rsidR="004442E4" w:rsidRPr="00C806D0" w:rsidRDefault="004442E4" w:rsidP="004442E4">
            <w:pPr>
              <w:rPr>
                <w:sz w:val="20"/>
                <w:szCs w:val="20"/>
                <w:lang w:eastAsia="en-GB"/>
              </w:rPr>
            </w:pPr>
            <w:r w:rsidRPr="00C806D0">
              <w:rPr>
                <w:sz w:val="20"/>
                <w:szCs w:val="20"/>
                <w:lang w:eastAsia="en-GB"/>
              </w:rPr>
              <w:sym w:font="Wingdings" w:char="F09F"/>
            </w:r>
            <w:r w:rsidRPr="00C806D0">
              <w:rPr>
                <w:sz w:val="20"/>
                <w:szCs w:val="20"/>
                <w:lang w:eastAsia="en-GB"/>
              </w:rPr>
              <w:t xml:space="preserve"> Non-head injury AIS≥3</w:t>
            </w:r>
          </w:p>
          <w:p w:rsidR="004442E4" w:rsidRPr="00C806D0" w:rsidRDefault="004442E4" w:rsidP="004442E4">
            <w:pPr>
              <w:rPr>
                <w:sz w:val="20"/>
                <w:szCs w:val="20"/>
                <w:lang w:eastAsia="en-GB"/>
              </w:rPr>
            </w:pPr>
          </w:p>
        </w:tc>
        <w:tc>
          <w:tcPr>
            <w:tcW w:w="2488" w:type="pct"/>
          </w:tcPr>
          <w:p w:rsidR="004442E4" w:rsidRPr="00C806D0" w:rsidRDefault="004442E4" w:rsidP="004442E4">
            <w:pPr>
              <w:rPr>
                <w:sz w:val="20"/>
                <w:szCs w:val="20"/>
                <w:lang w:eastAsia="en-GB"/>
              </w:rPr>
            </w:pPr>
            <w:r w:rsidRPr="00C806D0">
              <w:rPr>
                <w:sz w:val="20"/>
                <w:szCs w:val="20"/>
                <w:lang w:eastAsia="en-GB"/>
              </w:rPr>
              <w:t>Clinically meaningful categories</w:t>
            </w:r>
          </w:p>
        </w:tc>
      </w:tr>
      <w:tr w:rsidR="004442E4" w:rsidRPr="00C806D0" w:rsidTr="004442E4">
        <w:tc>
          <w:tcPr>
            <w:tcW w:w="1056" w:type="pct"/>
          </w:tcPr>
          <w:p w:rsidR="004442E4" w:rsidRPr="00C806D0" w:rsidRDefault="004442E4" w:rsidP="004442E4">
            <w:pPr>
              <w:rPr>
                <w:sz w:val="20"/>
                <w:szCs w:val="20"/>
                <w:lang w:eastAsia="en-GB"/>
              </w:rPr>
            </w:pPr>
            <w:r w:rsidRPr="00C806D0">
              <w:rPr>
                <w:sz w:val="20"/>
                <w:szCs w:val="20"/>
                <w:lang w:eastAsia="en-GB"/>
              </w:rPr>
              <w:t>Gender</w:t>
            </w:r>
          </w:p>
          <w:p w:rsidR="004442E4" w:rsidRPr="00C806D0" w:rsidRDefault="004442E4" w:rsidP="004442E4">
            <w:pPr>
              <w:rPr>
                <w:sz w:val="20"/>
                <w:szCs w:val="20"/>
                <w:lang w:eastAsia="en-GB"/>
              </w:rPr>
            </w:pPr>
          </w:p>
        </w:tc>
        <w:tc>
          <w:tcPr>
            <w:tcW w:w="1456" w:type="pct"/>
          </w:tcPr>
          <w:p w:rsidR="004442E4" w:rsidRPr="00C806D0" w:rsidRDefault="004442E4" w:rsidP="004442E4">
            <w:pPr>
              <w:rPr>
                <w:sz w:val="20"/>
                <w:szCs w:val="20"/>
                <w:lang w:eastAsia="en-GB"/>
              </w:rPr>
            </w:pPr>
            <w:r w:rsidRPr="00C806D0">
              <w:rPr>
                <w:sz w:val="20"/>
                <w:szCs w:val="20"/>
                <w:lang w:eastAsia="en-GB"/>
              </w:rPr>
              <w:t>Male/female</w:t>
            </w:r>
          </w:p>
        </w:tc>
        <w:tc>
          <w:tcPr>
            <w:tcW w:w="2488" w:type="pct"/>
          </w:tcPr>
          <w:p w:rsidR="004442E4" w:rsidRPr="00C806D0" w:rsidRDefault="004442E4" w:rsidP="004442E4">
            <w:pPr>
              <w:rPr>
                <w:sz w:val="20"/>
                <w:szCs w:val="20"/>
                <w:lang w:eastAsia="en-GB"/>
              </w:rPr>
            </w:pPr>
            <w:r w:rsidRPr="00C806D0">
              <w:rPr>
                <w:sz w:val="20"/>
                <w:szCs w:val="20"/>
                <w:lang w:eastAsia="en-GB"/>
              </w:rPr>
              <w:t>Natural categorisation</w:t>
            </w:r>
          </w:p>
        </w:tc>
      </w:tr>
      <w:tr w:rsidR="004442E4" w:rsidRPr="00C806D0" w:rsidTr="004442E4">
        <w:tc>
          <w:tcPr>
            <w:tcW w:w="1056" w:type="pct"/>
          </w:tcPr>
          <w:p w:rsidR="004442E4" w:rsidRPr="00C806D0" w:rsidRDefault="004442E4" w:rsidP="004442E4">
            <w:pPr>
              <w:rPr>
                <w:sz w:val="20"/>
                <w:szCs w:val="20"/>
                <w:lang w:eastAsia="en-GB"/>
              </w:rPr>
            </w:pPr>
            <w:r w:rsidRPr="00C806D0">
              <w:rPr>
                <w:sz w:val="20"/>
                <w:szCs w:val="20"/>
                <w:lang w:eastAsia="en-GB"/>
              </w:rPr>
              <w:t>Basic GOS</w:t>
            </w:r>
          </w:p>
        </w:tc>
        <w:tc>
          <w:tcPr>
            <w:tcW w:w="1456" w:type="pct"/>
          </w:tcPr>
          <w:p w:rsidR="004442E4" w:rsidRPr="00C806D0" w:rsidRDefault="004442E4" w:rsidP="004442E4">
            <w:pPr>
              <w:rPr>
                <w:sz w:val="20"/>
                <w:szCs w:val="20"/>
                <w:lang w:eastAsia="en-GB"/>
              </w:rPr>
            </w:pPr>
            <w:r w:rsidRPr="00C806D0">
              <w:rPr>
                <w:sz w:val="20"/>
                <w:szCs w:val="20"/>
                <w:lang w:eastAsia="en-GB"/>
              </w:rPr>
              <w:t>Categorical:</w:t>
            </w:r>
          </w:p>
          <w:p w:rsidR="004442E4" w:rsidRPr="00C806D0" w:rsidRDefault="004442E4" w:rsidP="004442E4">
            <w:pPr>
              <w:rPr>
                <w:sz w:val="20"/>
                <w:szCs w:val="20"/>
                <w:lang w:eastAsia="en-GB"/>
              </w:rPr>
            </w:pPr>
            <w:r w:rsidRPr="00C806D0">
              <w:rPr>
                <w:sz w:val="20"/>
                <w:szCs w:val="20"/>
                <w:lang w:eastAsia="en-GB"/>
              </w:rPr>
              <w:sym w:font="Wingdings" w:char="F09F"/>
            </w:r>
            <w:r w:rsidRPr="00C806D0">
              <w:rPr>
                <w:sz w:val="20"/>
                <w:szCs w:val="20"/>
                <w:lang w:eastAsia="en-GB"/>
              </w:rPr>
              <w:t xml:space="preserve"> Vegetative state</w:t>
            </w:r>
          </w:p>
          <w:p w:rsidR="004442E4" w:rsidRPr="00C806D0" w:rsidRDefault="004442E4" w:rsidP="004442E4">
            <w:pPr>
              <w:rPr>
                <w:sz w:val="20"/>
                <w:szCs w:val="20"/>
                <w:lang w:eastAsia="en-GB"/>
              </w:rPr>
            </w:pPr>
            <w:r w:rsidRPr="00C806D0">
              <w:rPr>
                <w:sz w:val="20"/>
                <w:szCs w:val="20"/>
                <w:lang w:eastAsia="en-GB"/>
              </w:rPr>
              <w:sym w:font="Wingdings" w:char="F09F"/>
            </w:r>
            <w:r w:rsidRPr="00C806D0">
              <w:rPr>
                <w:sz w:val="20"/>
                <w:szCs w:val="20"/>
                <w:lang w:eastAsia="en-GB"/>
              </w:rPr>
              <w:t xml:space="preserve"> Severe disability</w:t>
            </w:r>
          </w:p>
          <w:p w:rsidR="004442E4" w:rsidRPr="00C806D0" w:rsidRDefault="004442E4" w:rsidP="004442E4">
            <w:pPr>
              <w:rPr>
                <w:sz w:val="20"/>
                <w:szCs w:val="20"/>
                <w:lang w:eastAsia="en-GB"/>
              </w:rPr>
            </w:pPr>
            <w:r w:rsidRPr="00C806D0">
              <w:rPr>
                <w:sz w:val="20"/>
                <w:szCs w:val="20"/>
                <w:lang w:eastAsia="en-GB"/>
              </w:rPr>
              <w:sym w:font="Wingdings" w:char="F09F"/>
            </w:r>
            <w:r w:rsidRPr="00C806D0">
              <w:rPr>
                <w:sz w:val="20"/>
                <w:szCs w:val="20"/>
                <w:lang w:eastAsia="en-GB"/>
              </w:rPr>
              <w:t xml:space="preserve"> Moderate disability</w:t>
            </w:r>
          </w:p>
          <w:p w:rsidR="004442E4" w:rsidRPr="00C806D0" w:rsidRDefault="004442E4" w:rsidP="004442E4">
            <w:pPr>
              <w:rPr>
                <w:sz w:val="20"/>
                <w:szCs w:val="20"/>
                <w:lang w:eastAsia="en-GB"/>
              </w:rPr>
            </w:pPr>
            <w:r w:rsidRPr="00C806D0">
              <w:rPr>
                <w:sz w:val="20"/>
                <w:szCs w:val="20"/>
                <w:lang w:eastAsia="en-GB"/>
              </w:rPr>
              <w:sym w:font="Wingdings" w:char="F09F"/>
            </w:r>
            <w:r w:rsidRPr="00C806D0">
              <w:rPr>
                <w:sz w:val="20"/>
                <w:szCs w:val="20"/>
                <w:lang w:eastAsia="en-GB"/>
              </w:rPr>
              <w:t xml:space="preserve"> Good recovery</w:t>
            </w:r>
          </w:p>
          <w:p w:rsidR="004442E4" w:rsidRPr="00C806D0" w:rsidRDefault="004442E4" w:rsidP="004442E4">
            <w:pPr>
              <w:rPr>
                <w:sz w:val="20"/>
                <w:szCs w:val="20"/>
                <w:lang w:eastAsia="en-GB"/>
              </w:rPr>
            </w:pPr>
          </w:p>
        </w:tc>
        <w:tc>
          <w:tcPr>
            <w:tcW w:w="2488" w:type="pct"/>
          </w:tcPr>
          <w:p w:rsidR="004442E4" w:rsidRPr="00C806D0" w:rsidRDefault="004442E4" w:rsidP="00613E59">
            <w:pPr>
              <w:rPr>
                <w:sz w:val="20"/>
                <w:szCs w:val="20"/>
                <w:lang w:eastAsia="en-GB"/>
              </w:rPr>
            </w:pPr>
            <w:r w:rsidRPr="00C806D0">
              <w:rPr>
                <w:sz w:val="20"/>
                <w:szCs w:val="20"/>
                <w:lang w:eastAsia="en-GB"/>
              </w:rPr>
              <w:t xml:space="preserve">Death has a utility of zero and therefore does not need to be predicted. </w:t>
            </w:r>
          </w:p>
        </w:tc>
      </w:tr>
      <w:tr w:rsidR="004442E4" w:rsidRPr="00C806D0" w:rsidTr="004442E4">
        <w:tc>
          <w:tcPr>
            <w:tcW w:w="1056" w:type="pct"/>
          </w:tcPr>
          <w:p w:rsidR="004442E4" w:rsidRPr="00C806D0" w:rsidRDefault="004442E4" w:rsidP="004442E4">
            <w:pPr>
              <w:rPr>
                <w:sz w:val="20"/>
                <w:szCs w:val="20"/>
                <w:lang w:eastAsia="en-GB"/>
              </w:rPr>
            </w:pPr>
            <w:r w:rsidRPr="00C806D0">
              <w:rPr>
                <w:sz w:val="20"/>
                <w:szCs w:val="20"/>
                <w:lang w:eastAsia="en-GB"/>
              </w:rPr>
              <w:t>Extended GOS</w:t>
            </w:r>
          </w:p>
        </w:tc>
        <w:tc>
          <w:tcPr>
            <w:tcW w:w="1456" w:type="pct"/>
          </w:tcPr>
          <w:p w:rsidR="004442E4" w:rsidRPr="00C806D0" w:rsidRDefault="004442E4" w:rsidP="004442E4">
            <w:pPr>
              <w:rPr>
                <w:sz w:val="20"/>
                <w:szCs w:val="20"/>
                <w:lang w:eastAsia="en-GB"/>
              </w:rPr>
            </w:pPr>
            <w:r w:rsidRPr="00C806D0">
              <w:rPr>
                <w:sz w:val="20"/>
                <w:szCs w:val="20"/>
                <w:lang w:eastAsia="en-GB"/>
              </w:rPr>
              <w:t>Categorical to predict mean EQ5D within latent class</w:t>
            </w:r>
          </w:p>
          <w:p w:rsidR="004442E4" w:rsidRPr="00C806D0" w:rsidRDefault="004442E4" w:rsidP="004442E4">
            <w:pPr>
              <w:rPr>
                <w:sz w:val="20"/>
                <w:szCs w:val="20"/>
                <w:lang w:eastAsia="en-GB"/>
              </w:rPr>
            </w:pPr>
            <w:r w:rsidRPr="00C806D0">
              <w:rPr>
                <w:sz w:val="20"/>
                <w:szCs w:val="20"/>
                <w:lang w:eastAsia="en-GB"/>
              </w:rPr>
              <w:t>Continuous linear term to predict latent class membership</w:t>
            </w:r>
          </w:p>
        </w:tc>
        <w:tc>
          <w:tcPr>
            <w:tcW w:w="2488" w:type="pct"/>
          </w:tcPr>
          <w:p w:rsidR="004442E4" w:rsidRPr="00C806D0" w:rsidRDefault="004442E4" w:rsidP="004442E4">
            <w:pPr>
              <w:rPr>
                <w:sz w:val="20"/>
                <w:szCs w:val="20"/>
                <w:lang w:eastAsia="en-GB"/>
              </w:rPr>
            </w:pPr>
            <w:r w:rsidRPr="00C806D0">
              <w:rPr>
                <w:sz w:val="20"/>
                <w:szCs w:val="20"/>
                <w:lang w:eastAsia="en-GB"/>
              </w:rPr>
              <w:t xml:space="preserve">Non-convergence of model if </w:t>
            </w:r>
            <w:r w:rsidR="00613E59" w:rsidRPr="00C806D0">
              <w:rPr>
                <w:sz w:val="20"/>
                <w:szCs w:val="20"/>
                <w:lang w:eastAsia="en-GB"/>
              </w:rPr>
              <w:t xml:space="preserve">extended GOS </w:t>
            </w:r>
            <w:r w:rsidRPr="00C806D0">
              <w:rPr>
                <w:sz w:val="20"/>
                <w:szCs w:val="20"/>
                <w:lang w:eastAsia="en-GB"/>
              </w:rPr>
              <w:t xml:space="preserve">entered as categorical variable to predict latent class membership. Polynomial terms non-significant </w:t>
            </w:r>
          </w:p>
          <w:p w:rsidR="004442E4" w:rsidRPr="00C806D0" w:rsidRDefault="004442E4" w:rsidP="004442E4">
            <w:pPr>
              <w:rPr>
                <w:sz w:val="20"/>
                <w:szCs w:val="20"/>
                <w:lang w:eastAsia="en-GB"/>
              </w:rPr>
            </w:pPr>
          </w:p>
        </w:tc>
      </w:tr>
    </w:tbl>
    <w:p w:rsidR="004442E4" w:rsidRPr="00C806D0" w:rsidRDefault="004442E4" w:rsidP="004442E4">
      <w:pPr>
        <w:rPr>
          <w:lang w:eastAsia="en-GB"/>
        </w:rPr>
      </w:pPr>
    </w:p>
    <w:p w:rsidR="004442E4" w:rsidRPr="00C806D0" w:rsidRDefault="004442E4" w:rsidP="004442E4">
      <w:pPr>
        <w:rPr>
          <w:lang w:eastAsia="en-GB"/>
        </w:rPr>
      </w:pPr>
      <w:r w:rsidRPr="00C806D0">
        <w:rPr>
          <w:lang w:eastAsia="en-GB"/>
        </w:rPr>
        <w:t xml:space="preserve">The parameters of mixture models are estimated using maximum likelihood with an expectation maximisation algorithm. From an initial set of speculative starting values a probability distribution for possible component memberships (or ‘completions’) is computed using the current parameters. New parameters are then determined based on the current completions, with the estimated model slightly improving. After a number of iterations the algorithm converges to maximise the </w:t>
      </w:r>
      <w:r w:rsidRPr="00C806D0">
        <w:t>expected log-likelihood of the data.</w:t>
      </w:r>
      <w:r w:rsidR="00155D84" w:rsidRPr="00C806D0">
        <w:rPr>
          <w:noProof/>
          <w:vertAlign w:val="superscript"/>
        </w:rPr>
        <w:t>[</w:t>
      </w:r>
      <w:r w:rsidR="006D4D62" w:rsidRPr="00C806D0">
        <w:rPr>
          <w:noProof/>
          <w:vertAlign w:val="superscript"/>
        </w:rPr>
        <w:t>33</w:t>
      </w:r>
      <w:r w:rsidR="00155D84" w:rsidRPr="00C806D0">
        <w:rPr>
          <w:noProof/>
          <w:vertAlign w:val="superscript"/>
        </w:rPr>
        <w:t>]</w:t>
      </w:r>
      <w:r w:rsidRPr="00C806D0">
        <w:t xml:space="preserve"> A well known problem is that the maximum likelihood estimation is very sensitive to the initial values and can become trapped at local maxima in the likelihood function, meaning that the model’s estimated parameters are not correct. To ensure a consistent solution was achieved, with the maximum possible likelihood function, a number of steps were taken: Initial starting values </w:t>
      </w:r>
      <w:r w:rsidRPr="00C806D0">
        <w:lastRenderedPageBreak/>
        <w:t>were varied, a constant only model was fitted and these starting values used to develop subsequent models, and simulated annealing was implemented to identify the most appropriate staring values.</w:t>
      </w:r>
      <w:r w:rsidR="00155D84" w:rsidRPr="00C806D0">
        <w:rPr>
          <w:noProof/>
          <w:vertAlign w:val="superscript"/>
        </w:rPr>
        <w:t>[</w:t>
      </w:r>
      <w:r w:rsidR="006D4D62" w:rsidRPr="00C806D0">
        <w:rPr>
          <w:noProof/>
          <w:vertAlign w:val="superscript"/>
        </w:rPr>
        <w:t>21</w:t>
      </w:r>
      <w:r w:rsidR="00155D84" w:rsidRPr="00C806D0">
        <w:rPr>
          <w:noProof/>
          <w:vertAlign w:val="superscript"/>
        </w:rPr>
        <w:t xml:space="preserve">, </w:t>
      </w:r>
      <w:r w:rsidR="006D4D62" w:rsidRPr="00C806D0">
        <w:rPr>
          <w:noProof/>
          <w:vertAlign w:val="superscript"/>
        </w:rPr>
        <w:t>26</w:t>
      </w:r>
      <w:r w:rsidR="00155D84" w:rsidRPr="00C806D0">
        <w:rPr>
          <w:noProof/>
          <w:vertAlign w:val="superscript"/>
        </w:rPr>
        <w:t xml:space="preserve">, </w:t>
      </w:r>
      <w:r w:rsidR="006D4D62" w:rsidRPr="00C806D0">
        <w:rPr>
          <w:noProof/>
          <w:vertAlign w:val="superscript"/>
        </w:rPr>
        <w:t>34</w:t>
      </w:r>
      <w:r w:rsidR="00155D84" w:rsidRPr="00C806D0">
        <w:rPr>
          <w:noProof/>
          <w:vertAlign w:val="superscript"/>
        </w:rPr>
        <w:t>]</w:t>
      </w:r>
      <w:r w:rsidRPr="00C806D0">
        <w:t xml:space="preserve">  </w:t>
      </w:r>
    </w:p>
    <w:p w:rsidR="004442E4" w:rsidRPr="00C806D0" w:rsidRDefault="004442E4" w:rsidP="004442E4">
      <w:pPr>
        <w:rPr>
          <w:lang w:eastAsia="en-GB"/>
        </w:rPr>
      </w:pPr>
    </w:p>
    <w:p w:rsidR="004442E4" w:rsidRPr="00C806D0" w:rsidRDefault="004442E4" w:rsidP="004442E4">
      <w:pPr>
        <w:rPr>
          <w:rFonts w:ascii="Calibri" w:hAnsi="Calibri" w:cs="Arial"/>
          <w:color w:val="000000" w:themeColor="text1"/>
        </w:rPr>
      </w:pPr>
      <w:r w:rsidRPr="00C806D0">
        <w:t xml:space="preserve">Goodness of model fit was evaluated using the Bayesian and </w:t>
      </w:r>
      <w:r w:rsidRPr="00C806D0">
        <w:rPr>
          <w:rStyle w:val="Emphasis"/>
          <w:rFonts w:ascii="Calibri" w:hAnsi="Calibri" w:cs="Arial"/>
          <w:i w:val="0"/>
          <w:iCs w:val="0"/>
          <w:color w:val="000000" w:themeColor="text1"/>
        </w:rPr>
        <w:t>Akaike’s</w:t>
      </w:r>
      <w:r w:rsidRPr="00C806D0">
        <w:t xml:space="preserve"> information criterion statistics, root mean squared error, and visual comparison of predicted and observed values across the range of GOS categories. Adjusted limited dependent variable mixture modelling was implemented using the </w:t>
      </w:r>
      <w:r w:rsidRPr="00C806D0">
        <w:rPr>
          <w:i/>
        </w:rPr>
        <w:t xml:space="preserve">aldmm </w:t>
      </w:r>
      <w:r w:rsidRPr="00C806D0">
        <w:t xml:space="preserve">module in Stata 12.1, using the </w:t>
      </w:r>
      <w:r w:rsidRPr="00C806D0">
        <w:rPr>
          <w:i/>
        </w:rPr>
        <w:t>siman</w:t>
      </w:r>
      <w:r w:rsidRPr="00C806D0">
        <w:t xml:space="preserve"> module for simulated annealing.</w:t>
      </w:r>
      <w:r w:rsidR="00155D84" w:rsidRPr="00C806D0">
        <w:rPr>
          <w:noProof/>
          <w:vertAlign w:val="superscript"/>
        </w:rPr>
        <w:t>[</w:t>
      </w:r>
      <w:r w:rsidR="006D4D62" w:rsidRPr="00C806D0">
        <w:rPr>
          <w:noProof/>
          <w:vertAlign w:val="superscript"/>
        </w:rPr>
        <w:t>26</w:t>
      </w:r>
      <w:r w:rsidR="00155D84" w:rsidRPr="00C806D0">
        <w:rPr>
          <w:noProof/>
          <w:vertAlign w:val="superscript"/>
        </w:rPr>
        <w:t>]</w:t>
      </w:r>
      <w:r w:rsidRPr="00C806D0">
        <w:t xml:space="preserve"> </w:t>
      </w:r>
    </w:p>
    <w:p w:rsidR="004442E4" w:rsidRPr="00C806D0" w:rsidRDefault="004442E4" w:rsidP="004442E4">
      <w:pPr>
        <w:rPr>
          <w:rFonts w:ascii="Arial" w:hAnsi="Arial" w:cs="Arial"/>
          <w:color w:val="252525"/>
          <w:sz w:val="26"/>
          <w:szCs w:val="26"/>
          <w:shd w:val="clear" w:color="auto" w:fill="FFFFFF"/>
        </w:rPr>
      </w:pPr>
    </w:p>
    <w:p w:rsidR="004442E4" w:rsidRPr="00C806D0" w:rsidRDefault="004442E4" w:rsidP="004442E4">
      <w:pPr>
        <w:rPr>
          <w:lang w:eastAsia="en-GB"/>
        </w:rPr>
      </w:pPr>
    </w:p>
    <w:p w:rsidR="006F2FC6" w:rsidRPr="00C806D0" w:rsidRDefault="006F2FC6" w:rsidP="004442E4">
      <w:pPr>
        <w:rPr>
          <w:lang w:eastAsia="en-GB"/>
        </w:rPr>
        <w:sectPr w:rsidR="006F2FC6" w:rsidRPr="00C806D0" w:rsidSect="00E31429">
          <w:pgSz w:w="11906" w:h="16838"/>
          <w:pgMar w:top="1134" w:right="1134" w:bottom="1134" w:left="2268" w:header="709" w:footer="709" w:gutter="0"/>
          <w:cols w:space="708"/>
          <w:docGrid w:linePitch="360"/>
        </w:sectPr>
      </w:pPr>
    </w:p>
    <w:p w:rsidR="004442E4" w:rsidRPr="00C806D0" w:rsidRDefault="004442E4" w:rsidP="004442E4">
      <w:pPr>
        <w:rPr>
          <w:lang w:eastAsia="en-GB"/>
        </w:rPr>
      </w:pPr>
    </w:p>
    <w:p w:rsidR="004442E4" w:rsidRPr="00C806D0" w:rsidRDefault="004442E4" w:rsidP="004442E4">
      <w:pPr>
        <w:pStyle w:val="Heading2"/>
      </w:pPr>
      <w:r w:rsidRPr="00C806D0">
        <w:t>Additional ResulTs</w:t>
      </w:r>
    </w:p>
    <w:p w:rsidR="004442E4" w:rsidRPr="00C806D0" w:rsidRDefault="00E34C7C" w:rsidP="002A360F">
      <w:pPr>
        <w:pStyle w:val="Heading3"/>
      </w:pPr>
      <w:r w:rsidRPr="00C806D0">
        <w:t xml:space="preserve">Systematic review of HSPWs for GOS categories: </w:t>
      </w:r>
      <w:r w:rsidR="004442E4" w:rsidRPr="00C806D0">
        <w:t xml:space="preserve">‘Near miss’ potentially eligible studies </w:t>
      </w:r>
    </w:p>
    <w:p w:rsidR="004442E4" w:rsidRPr="00C806D0" w:rsidRDefault="004442E4" w:rsidP="004442E4">
      <w:pPr>
        <w:rPr>
          <w:b/>
        </w:rPr>
      </w:pPr>
      <w:r w:rsidRPr="00C806D0">
        <w:rPr>
          <w:b/>
        </w:rPr>
        <w:t>Table F6. ‘Near miss’ potentially eligible studies identified during HSPW systematic review</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2" w:space="0" w:color="auto"/>
        </w:tblBorders>
        <w:tblLook w:val="00A0" w:firstRow="1" w:lastRow="0" w:firstColumn="1" w:lastColumn="0" w:noHBand="0" w:noVBand="0"/>
      </w:tblPr>
      <w:tblGrid>
        <w:gridCol w:w="1130"/>
        <w:gridCol w:w="1230"/>
        <w:gridCol w:w="2706"/>
        <w:gridCol w:w="1845"/>
        <w:gridCol w:w="1136"/>
        <w:gridCol w:w="1017"/>
        <w:gridCol w:w="606"/>
        <w:gridCol w:w="1230"/>
        <w:gridCol w:w="1115"/>
        <w:gridCol w:w="1334"/>
        <w:gridCol w:w="1437"/>
      </w:tblGrid>
      <w:tr w:rsidR="004442E4" w:rsidRPr="00C806D0" w:rsidTr="00E34C7C">
        <w:trPr>
          <w:cantSplit/>
          <w:tblHeader/>
        </w:trPr>
        <w:tc>
          <w:tcPr>
            <w:tcW w:w="382" w:type="pct"/>
            <w:tcBorders>
              <w:top w:val="single" w:sz="4" w:space="0" w:color="auto"/>
              <w:left w:val="nil"/>
              <w:bottom w:val="single" w:sz="4" w:space="0" w:color="auto"/>
              <w:right w:val="nil"/>
            </w:tcBorders>
            <w:shd w:val="clear" w:color="auto" w:fill="auto"/>
          </w:tcPr>
          <w:p w:rsidR="004442E4" w:rsidRPr="00C806D0" w:rsidRDefault="004442E4" w:rsidP="004442E4">
            <w:pPr>
              <w:pStyle w:val="NoSpacing"/>
              <w:rPr>
                <w:b/>
                <w:sz w:val="16"/>
                <w:szCs w:val="16"/>
              </w:rPr>
            </w:pPr>
            <w:r w:rsidRPr="00C806D0">
              <w:rPr>
                <w:b/>
                <w:sz w:val="16"/>
                <w:szCs w:val="16"/>
              </w:rPr>
              <w:t>Study</w:t>
            </w:r>
          </w:p>
        </w:tc>
        <w:tc>
          <w:tcPr>
            <w:tcW w:w="416" w:type="pct"/>
            <w:tcBorders>
              <w:top w:val="single" w:sz="4" w:space="0" w:color="auto"/>
              <w:left w:val="nil"/>
              <w:bottom w:val="single" w:sz="4" w:space="0" w:color="auto"/>
              <w:right w:val="nil"/>
            </w:tcBorders>
          </w:tcPr>
          <w:p w:rsidR="004442E4" w:rsidRPr="00C806D0" w:rsidRDefault="004442E4" w:rsidP="004442E4">
            <w:pPr>
              <w:pStyle w:val="NoSpacing"/>
              <w:rPr>
                <w:b/>
                <w:sz w:val="16"/>
                <w:szCs w:val="16"/>
              </w:rPr>
            </w:pPr>
            <w:r w:rsidRPr="00C806D0">
              <w:rPr>
                <w:b/>
                <w:sz w:val="16"/>
                <w:szCs w:val="16"/>
              </w:rPr>
              <w:t>Design</w:t>
            </w:r>
          </w:p>
        </w:tc>
        <w:tc>
          <w:tcPr>
            <w:tcW w:w="915" w:type="pct"/>
            <w:tcBorders>
              <w:top w:val="single" w:sz="4" w:space="0" w:color="auto"/>
              <w:left w:val="nil"/>
              <w:bottom w:val="single" w:sz="4" w:space="0" w:color="auto"/>
              <w:right w:val="nil"/>
            </w:tcBorders>
          </w:tcPr>
          <w:p w:rsidR="004442E4" w:rsidRPr="00C806D0" w:rsidRDefault="004442E4" w:rsidP="004442E4">
            <w:pPr>
              <w:pStyle w:val="NoSpacing"/>
              <w:rPr>
                <w:b/>
                <w:sz w:val="16"/>
                <w:szCs w:val="16"/>
              </w:rPr>
            </w:pPr>
            <w:r w:rsidRPr="00C806D0">
              <w:rPr>
                <w:b/>
                <w:sz w:val="16"/>
                <w:szCs w:val="16"/>
              </w:rPr>
              <w:t>TBI population</w:t>
            </w:r>
          </w:p>
        </w:tc>
        <w:tc>
          <w:tcPr>
            <w:tcW w:w="624" w:type="pct"/>
            <w:tcBorders>
              <w:top w:val="single" w:sz="4" w:space="0" w:color="auto"/>
              <w:left w:val="nil"/>
              <w:bottom w:val="single" w:sz="4" w:space="0" w:color="auto"/>
              <w:right w:val="nil"/>
            </w:tcBorders>
          </w:tcPr>
          <w:p w:rsidR="004442E4" w:rsidRPr="00C806D0" w:rsidRDefault="004442E4" w:rsidP="004442E4">
            <w:pPr>
              <w:pStyle w:val="NoSpacing"/>
              <w:rPr>
                <w:b/>
                <w:sz w:val="16"/>
                <w:szCs w:val="16"/>
              </w:rPr>
            </w:pPr>
            <w:r w:rsidRPr="00C806D0">
              <w:rPr>
                <w:b/>
                <w:sz w:val="16"/>
                <w:szCs w:val="16"/>
              </w:rPr>
              <w:t>Interventions</w:t>
            </w:r>
          </w:p>
        </w:tc>
        <w:tc>
          <w:tcPr>
            <w:tcW w:w="384" w:type="pct"/>
            <w:tcBorders>
              <w:top w:val="single" w:sz="4" w:space="0" w:color="auto"/>
              <w:left w:val="nil"/>
              <w:bottom w:val="single" w:sz="4" w:space="0" w:color="auto"/>
              <w:right w:val="nil"/>
            </w:tcBorders>
            <w:shd w:val="clear" w:color="auto" w:fill="auto"/>
          </w:tcPr>
          <w:p w:rsidR="004442E4" w:rsidRPr="00C806D0" w:rsidRDefault="004442E4" w:rsidP="004442E4">
            <w:pPr>
              <w:pStyle w:val="NoSpacing"/>
              <w:rPr>
                <w:b/>
                <w:sz w:val="16"/>
                <w:szCs w:val="16"/>
              </w:rPr>
            </w:pPr>
            <w:r w:rsidRPr="00C806D0">
              <w:rPr>
                <w:b/>
                <w:sz w:val="16"/>
                <w:szCs w:val="16"/>
              </w:rPr>
              <w:t xml:space="preserve">Setting </w:t>
            </w:r>
          </w:p>
        </w:tc>
        <w:tc>
          <w:tcPr>
            <w:tcW w:w="344" w:type="pct"/>
            <w:tcBorders>
              <w:top w:val="single" w:sz="4" w:space="0" w:color="auto"/>
              <w:left w:val="nil"/>
              <w:bottom w:val="single" w:sz="4" w:space="0" w:color="auto"/>
              <w:right w:val="nil"/>
            </w:tcBorders>
          </w:tcPr>
          <w:p w:rsidR="004442E4" w:rsidRPr="00C806D0" w:rsidRDefault="004442E4" w:rsidP="004442E4">
            <w:pPr>
              <w:pStyle w:val="NoSpacing"/>
              <w:rPr>
                <w:b/>
                <w:sz w:val="16"/>
                <w:szCs w:val="16"/>
              </w:rPr>
            </w:pPr>
            <w:r w:rsidRPr="00C806D0">
              <w:rPr>
                <w:b/>
                <w:sz w:val="16"/>
                <w:szCs w:val="16"/>
              </w:rPr>
              <w:t>Dates</w:t>
            </w:r>
          </w:p>
        </w:tc>
        <w:tc>
          <w:tcPr>
            <w:tcW w:w="205" w:type="pct"/>
            <w:tcBorders>
              <w:top w:val="single" w:sz="4" w:space="0" w:color="auto"/>
              <w:left w:val="nil"/>
              <w:bottom w:val="single" w:sz="4" w:space="0" w:color="auto"/>
              <w:right w:val="nil"/>
            </w:tcBorders>
          </w:tcPr>
          <w:p w:rsidR="004442E4" w:rsidRPr="00C806D0" w:rsidRDefault="004442E4" w:rsidP="004442E4">
            <w:pPr>
              <w:pStyle w:val="NoSpacing"/>
              <w:rPr>
                <w:b/>
                <w:sz w:val="16"/>
                <w:szCs w:val="16"/>
              </w:rPr>
            </w:pPr>
            <w:r w:rsidRPr="00C806D0">
              <w:rPr>
                <w:b/>
                <w:sz w:val="16"/>
                <w:szCs w:val="16"/>
              </w:rPr>
              <w:t xml:space="preserve">n=      </w:t>
            </w:r>
          </w:p>
        </w:tc>
        <w:tc>
          <w:tcPr>
            <w:tcW w:w="416" w:type="pct"/>
            <w:tcBorders>
              <w:top w:val="single" w:sz="4" w:space="0" w:color="auto"/>
              <w:left w:val="nil"/>
              <w:bottom w:val="single" w:sz="4" w:space="0" w:color="auto"/>
              <w:right w:val="nil"/>
            </w:tcBorders>
          </w:tcPr>
          <w:p w:rsidR="004442E4" w:rsidRPr="00C806D0" w:rsidRDefault="004442E4" w:rsidP="004442E4">
            <w:pPr>
              <w:pStyle w:val="NoSpacing"/>
              <w:rPr>
                <w:b/>
                <w:sz w:val="16"/>
                <w:szCs w:val="16"/>
              </w:rPr>
            </w:pPr>
            <w:r w:rsidRPr="00C806D0">
              <w:rPr>
                <w:b/>
                <w:sz w:val="16"/>
                <w:szCs w:val="16"/>
              </w:rPr>
              <w:t>Assessment time</w:t>
            </w:r>
          </w:p>
        </w:tc>
        <w:tc>
          <w:tcPr>
            <w:tcW w:w="377" w:type="pct"/>
            <w:tcBorders>
              <w:top w:val="single" w:sz="4" w:space="0" w:color="auto"/>
              <w:left w:val="nil"/>
              <w:bottom w:val="single" w:sz="4" w:space="0" w:color="auto"/>
              <w:right w:val="nil"/>
            </w:tcBorders>
            <w:shd w:val="clear" w:color="auto" w:fill="auto"/>
          </w:tcPr>
          <w:p w:rsidR="004442E4" w:rsidRPr="00C806D0" w:rsidRDefault="004442E4" w:rsidP="004442E4">
            <w:pPr>
              <w:pStyle w:val="NoSpacing"/>
              <w:rPr>
                <w:b/>
                <w:sz w:val="16"/>
                <w:szCs w:val="16"/>
              </w:rPr>
            </w:pPr>
            <w:r w:rsidRPr="00C806D0">
              <w:rPr>
                <w:b/>
                <w:sz w:val="16"/>
                <w:szCs w:val="16"/>
              </w:rPr>
              <w:t>Glasgow Outcome Scale Version</w:t>
            </w:r>
          </w:p>
        </w:tc>
        <w:tc>
          <w:tcPr>
            <w:tcW w:w="451" w:type="pct"/>
            <w:tcBorders>
              <w:top w:val="single" w:sz="4" w:space="0" w:color="auto"/>
              <w:left w:val="nil"/>
              <w:bottom w:val="single" w:sz="4" w:space="0" w:color="auto"/>
              <w:right w:val="nil"/>
            </w:tcBorders>
          </w:tcPr>
          <w:p w:rsidR="004442E4" w:rsidRPr="00C806D0" w:rsidRDefault="004442E4" w:rsidP="004442E4">
            <w:pPr>
              <w:pStyle w:val="NoSpacing"/>
              <w:rPr>
                <w:b/>
                <w:sz w:val="16"/>
                <w:szCs w:val="16"/>
              </w:rPr>
            </w:pPr>
            <w:r w:rsidRPr="00C806D0">
              <w:rPr>
                <w:b/>
                <w:sz w:val="16"/>
                <w:szCs w:val="16"/>
              </w:rPr>
              <w:t>Health state measurement</w:t>
            </w:r>
          </w:p>
        </w:tc>
        <w:tc>
          <w:tcPr>
            <w:tcW w:w="486" w:type="pct"/>
            <w:tcBorders>
              <w:top w:val="single" w:sz="4" w:space="0" w:color="auto"/>
              <w:left w:val="nil"/>
              <w:bottom w:val="single" w:sz="4" w:space="0" w:color="auto"/>
              <w:right w:val="nil"/>
            </w:tcBorders>
          </w:tcPr>
          <w:p w:rsidR="004442E4" w:rsidRPr="00C806D0" w:rsidRDefault="004442E4" w:rsidP="004442E4">
            <w:pPr>
              <w:pStyle w:val="NoSpacing"/>
              <w:rPr>
                <w:b/>
                <w:sz w:val="16"/>
                <w:szCs w:val="16"/>
              </w:rPr>
            </w:pPr>
            <w:r w:rsidRPr="00C806D0">
              <w:rPr>
                <w:b/>
                <w:sz w:val="16"/>
                <w:szCs w:val="16"/>
              </w:rPr>
              <w:t>Notes</w:t>
            </w:r>
          </w:p>
          <w:p w:rsidR="004442E4" w:rsidRPr="00C806D0" w:rsidRDefault="004442E4" w:rsidP="004442E4">
            <w:pPr>
              <w:pStyle w:val="NoSpacing"/>
              <w:rPr>
                <w:b/>
                <w:sz w:val="16"/>
                <w:szCs w:val="16"/>
              </w:rPr>
            </w:pPr>
          </w:p>
        </w:tc>
      </w:tr>
      <w:tr w:rsidR="004442E4" w:rsidRPr="00C806D0" w:rsidTr="00E34C7C">
        <w:trPr>
          <w:cantSplit/>
          <w:trHeight w:val="231"/>
        </w:trPr>
        <w:tc>
          <w:tcPr>
            <w:tcW w:w="382" w:type="pct"/>
            <w:tcBorders>
              <w:top w:val="single" w:sz="4" w:space="0" w:color="auto"/>
              <w:left w:val="nil"/>
              <w:bottom w:val="nil"/>
              <w:right w:val="nil"/>
            </w:tcBorders>
          </w:tcPr>
          <w:p w:rsidR="004442E4" w:rsidRPr="00C806D0" w:rsidRDefault="004442E4" w:rsidP="004442E4">
            <w:pPr>
              <w:pStyle w:val="NoSpacing"/>
              <w:rPr>
                <w:sz w:val="16"/>
                <w:szCs w:val="16"/>
              </w:rPr>
            </w:pPr>
            <w:r w:rsidRPr="00C806D0">
              <w:rPr>
                <w:sz w:val="16"/>
                <w:szCs w:val="16"/>
              </w:rPr>
              <w:t>Ahmadi 2010</w:t>
            </w:r>
            <w:r w:rsidR="00155D84" w:rsidRPr="00C806D0">
              <w:rPr>
                <w:noProof/>
                <w:sz w:val="16"/>
                <w:szCs w:val="16"/>
                <w:vertAlign w:val="superscript"/>
              </w:rPr>
              <w:t>[</w:t>
            </w:r>
            <w:r w:rsidR="006D4D62" w:rsidRPr="00C806D0">
              <w:rPr>
                <w:noProof/>
                <w:sz w:val="16"/>
                <w:szCs w:val="16"/>
                <w:vertAlign w:val="superscript"/>
              </w:rPr>
              <w:t>35</w:t>
            </w:r>
            <w:r w:rsidR="00155D84" w:rsidRPr="00C806D0">
              <w:rPr>
                <w:noProof/>
                <w:sz w:val="16"/>
                <w:szCs w:val="16"/>
                <w:vertAlign w:val="superscript"/>
              </w:rPr>
              <w:t>]</w:t>
            </w:r>
          </w:p>
          <w:p w:rsidR="004442E4" w:rsidRPr="00C806D0" w:rsidRDefault="004442E4" w:rsidP="004442E4">
            <w:pPr>
              <w:pStyle w:val="NoSpacing"/>
              <w:rPr>
                <w:sz w:val="16"/>
                <w:szCs w:val="16"/>
              </w:rPr>
            </w:pPr>
          </w:p>
          <w:p w:rsidR="004442E4" w:rsidRPr="00C806D0" w:rsidRDefault="004442E4" w:rsidP="004442E4">
            <w:pPr>
              <w:pStyle w:val="NoSpacing"/>
              <w:rPr>
                <w:sz w:val="16"/>
                <w:szCs w:val="16"/>
              </w:rPr>
            </w:pPr>
          </w:p>
        </w:tc>
        <w:tc>
          <w:tcPr>
            <w:tcW w:w="416" w:type="pct"/>
            <w:tcBorders>
              <w:top w:val="single" w:sz="4" w:space="0" w:color="auto"/>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single" w:sz="4" w:space="0" w:color="auto"/>
              <w:left w:val="nil"/>
              <w:bottom w:val="nil"/>
              <w:right w:val="nil"/>
            </w:tcBorders>
          </w:tcPr>
          <w:p w:rsidR="004442E4" w:rsidRPr="00C806D0" w:rsidRDefault="004442E4" w:rsidP="004442E4">
            <w:pPr>
              <w:pStyle w:val="NoSpacing"/>
              <w:rPr>
                <w:sz w:val="16"/>
                <w:szCs w:val="16"/>
              </w:rPr>
            </w:pPr>
            <w:r w:rsidRPr="00C806D0">
              <w:rPr>
                <w:sz w:val="16"/>
                <w:szCs w:val="16"/>
              </w:rPr>
              <w:t>Severe TBI following decompressive craniectomy</w:t>
            </w:r>
          </w:p>
        </w:tc>
        <w:tc>
          <w:tcPr>
            <w:tcW w:w="624" w:type="pct"/>
            <w:tcBorders>
              <w:top w:val="single" w:sz="4" w:space="0" w:color="auto"/>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single" w:sz="4" w:space="0" w:color="auto"/>
              <w:left w:val="nil"/>
              <w:bottom w:val="nil"/>
              <w:right w:val="nil"/>
            </w:tcBorders>
          </w:tcPr>
          <w:p w:rsidR="004442E4" w:rsidRPr="00C806D0" w:rsidRDefault="004442E4" w:rsidP="004442E4">
            <w:pPr>
              <w:pStyle w:val="NoSpacing"/>
              <w:rPr>
                <w:sz w:val="16"/>
                <w:szCs w:val="16"/>
              </w:rPr>
            </w:pPr>
            <w:r w:rsidRPr="00C806D0">
              <w:rPr>
                <w:sz w:val="16"/>
                <w:szCs w:val="16"/>
              </w:rPr>
              <w:t>Germany</w:t>
            </w:r>
          </w:p>
        </w:tc>
        <w:tc>
          <w:tcPr>
            <w:tcW w:w="344" w:type="pct"/>
            <w:tcBorders>
              <w:top w:val="single" w:sz="4" w:space="0" w:color="auto"/>
              <w:left w:val="nil"/>
              <w:bottom w:val="nil"/>
              <w:right w:val="nil"/>
            </w:tcBorders>
          </w:tcPr>
          <w:p w:rsidR="004442E4" w:rsidRPr="00C806D0" w:rsidRDefault="004442E4" w:rsidP="004442E4">
            <w:pPr>
              <w:pStyle w:val="NoSpacing"/>
              <w:rPr>
                <w:sz w:val="16"/>
                <w:szCs w:val="16"/>
              </w:rPr>
            </w:pPr>
            <w:r w:rsidRPr="00C806D0">
              <w:rPr>
                <w:sz w:val="16"/>
                <w:szCs w:val="16"/>
              </w:rPr>
              <w:t>1997-2005</w:t>
            </w:r>
          </w:p>
        </w:tc>
        <w:tc>
          <w:tcPr>
            <w:tcW w:w="205" w:type="pct"/>
            <w:tcBorders>
              <w:top w:val="single" w:sz="4" w:space="0" w:color="auto"/>
              <w:left w:val="nil"/>
              <w:bottom w:val="nil"/>
              <w:right w:val="nil"/>
            </w:tcBorders>
          </w:tcPr>
          <w:p w:rsidR="004442E4" w:rsidRPr="00C806D0" w:rsidRDefault="004442E4" w:rsidP="004442E4">
            <w:pPr>
              <w:pStyle w:val="NoSpacing"/>
              <w:rPr>
                <w:sz w:val="16"/>
                <w:szCs w:val="16"/>
              </w:rPr>
            </w:pPr>
            <w:r w:rsidRPr="00C806D0">
              <w:rPr>
                <w:sz w:val="16"/>
                <w:szCs w:val="16"/>
              </w:rPr>
              <w:t>131</w:t>
            </w:r>
          </w:p>
        </w:tc>
        <w:tc>
          <w:tcPr>
            <w:tcW w:w="416" w:type="pct"/>
            <w:tcBorders>
              <w:top w:val="single" w:sz="4" w:space="0" w:color="auto"/>
              <w:left w:val="nil"/>
              <w:bottom w:val="nil"/>
              <w:right w:val="nil"/>
            </w:tcBorders>
          </w:tcPr>
          <w:p w:rsidR="004442E4" w:rsidRPr="00C806D0" w:rsidRDefault="004442E4" w:rsidP="004442E4">
            <w:pPr>
              <w:pStyle w:val="NoSpacing"/>
              <w:rPr>
                <w:sz w:val="16"/>
                <w:szCs w:val="16"/>
              </w:rPr>
            </w:pPr>
            <w:r w:rsidRPr="00C806D0">
              <w:rPr>
                <w:sz w:val="16"/>
                <w:szCs w:val="16"/>
              </w:rPr>
              <w:t>1 year</w:t>
            </w:r>
          </w:p>
        </w:tc>
        <w:tc>
          <w:tcPr>
            <w:tcW w:w="377" w:type="pct"/>
            <w:tcBorders>
              <w:top w:val="single" w:sz="4" w:space="0" w:color="auto"/>
              <w:left w:val="nil"/>
              <w:bottom w:val="nil"/>
              <w:right w:val="nil"/>
            </w:tcBorders>
          </w:tcPr>
          <w:p w:rsidR="004442E4" w:rsidRPr="00C806D0" w:rsidRDefault="004442E4" w:rsidP="004442E4">
            <w:pPr>
              <w:pStyle w:val="NoSpacing"/>
              <w:rPr>
                <w:sz w:val="16"/>
                <w:szCs w:val="16"/>
              </w:rPr>
            </w:pPr>
            <w:r w:rsidRPr="00C806D0">
              <w:rPr>
                <w:sz w:val="16"/>
                <w:szCs w:val="16"/>
              </w:rPr>
              <w:t xml:space="preserve">Basic GOS </w:t>
            </w:r>
          </w:p>
        </w:tc>
        <w:tc>
          <w:tcPr>
            <w:tcW w:w="451" w:type="pct"/>
            <w:tcBorders>
              <w:top w:val="single" w:sz="4" w:space="0" w:color="auto"/>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single" w:sz="4" w:space="0" w:color="auto"/>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355"/>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Andelic 2010</w:t>
            </w:r>
            <w:r w:rsidR="00155D84" w:rsidRPr="00C806D0">
              <w:rPr>
                <w:noProof/>
                <w:sz w:val="16"/>
                <w:szCs w:val="16"/>
                <w:vertAlign w:val="superscript"/>
              </w:rPr>
              <w:t>[</w:t>
            </w:r>
            <w:r w:rsidR="006D4D62" w:rsidRPr="00C806D0">
              <w:rPr>
                <w:noProof/>
                <w:sz w:val="16"/>
                <w:szCs w:val="16"/>
                <w:vertAlign w:val="superscript"/>
              </w:rPr>
              <w:t>36</w:t>
            </w:r>
            <w:r w:rsidR="00155D84" w:rsidRPr="00C806D0">
              <w:rPr>
                <w:noProof/>
                <w:sz w:val="16"/>
                <w:szCs w:val="16"/>
                <w:vertAlign w:val="superscript"/>
              </w:rPr>
              <w:t>]</w:t>
            </w:r>
          </w:p>
          <w:p w:rsidR="00E34C7C" w:rsidRPr="00C806D0" w:rsidRDefault="00E34C7C"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rFonts w:cs="AdvP49811"/>
                <w:sz w:val="16"/>
                <w:szCs w:val="16"/>
              </w:rPr>
            </w:pPr>
            <w:r w:rsidRPr="00C806D0">
              <w:rPr>
                <w:rFonts w:cs="AdvP49811"/>
                <w:sz w:val="16"/>
                <w:szCs w:val="16"/>
              </w:rPr>
              <w:t>Cohort study</w:t>
            </w:r>
          </w:p>
        </w:tc>
        <w:tc>
          <w:tcPr>
            <w:tcW w:w="915" w:type="pct"/>
            <w:tcBorders>
              <w:top w:val="nil"/>
              <w:left w:val="nil"/>
              <w:bottom w:val="nil"/>
              <w:right w:val="nil"/>
            </w:tcBorders>
          </w:tcPr>
          <w:p w:rsidR="004442E4" w:rsidRPr="00C806D0" w:rsidRDefault="004442E4" w:rsidP="004442E4">
            <w:pPr>
              <w:pStyle w:val="NoSpacing"/>
              <w:rPr>
                <w:sz w:val="16"/>
                <w:szCs w:val="16"/>
              </w:rPr>
            </w:pPr>
            <w:r w:rsidRPr="00C806D0">
              <w:rPr>
                <w:rFonts w:cs="AdvP49811"/>
                <w:sz w:val="16"/>
                <w:szCs w:val="16"/>
              </w:rPr>
              <w:t xml:space="preserve">Moderate and severe TBI </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Norway</w:t>
            </w:r>
          </w:p>
          <w:p w:rsidR="004442E4" w:rsidRPr="00C806D0" w:rsidRDefault="004442E4" w:rsidP="004442E4">
            <w:pPr>
              <w:pStyle w:val="NoSpacing"/>
              <w:rPr>
                <w:sz w:val="16"/>
                <w:szCs w:val="16"/>
              </w:rPr>
            </w:pP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1995-1996</w:t>
            </w:r>
          </w:p>
          <w:p w:rsidR="004442E4" w:rsidRPr="00C806D0" w:rsidRDefault="004442E4" w:rsidP="004442E4">
            <w:pPr>
              <w:pStyle w:val="NoSpacing"/>
              <w:rPr>
                <w:sz w:val="16"/>
                <w:szCs w:val="16"/>
              </w:rPr>
            </w:pP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62</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10 years</w:t>
            </w:r>
          </w:p>
          <w:p w:rsidR="004442E4" w:rsidRPr="00C806D0" w:rsidRDefault="004442E4" w:rsidP="004442E4">
            <w:pPr>
              <w:pStyle w:val="NoSpacing"/>
              <w:rPr>
                <w:sz w:val="16"/>
                <w:szCs w:val="16"/>
              </w:rPr>
            </w:pPr>
          </w:p>
        </w:tc>
        <w:tc>
          <w:tcPr>
            <w:tcW w:w="377" w:type="pct"/>
            <w:tcBorders>
              <w:top w:val="nil"/>
              <w:left w:val="nil"/>
              <w:bottom w:val="nil"/>
              <w:right w:val="nil"/>
            </w:tcBorders>
            <w:shd w:val="clear" w:color="auto" w:fill="auto"/>
          </w:tcPr>
          <w:p w:rsidR="004442E4" w:rsidRPr="00C806D0" w:rsidRDefault="004442E4" w:rsidP="004442E4">
            <w:pPr>
              <w:pStyle w:val="NoSpacing"/>
              <w:rPr>
                <w:sz w:val="16"/>
                <w:szCs w:val="16"/>
              </w:rPr>
            </w:pPr>
            <w:r w:rsidRPr="00C806D0">
              <w:rPr>
                <w:sz w:val="16"/>
                <w:szCs w:val="16"/>
              </w:rPr>
              <w:t xml:space="preserve">Extended GOS </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Bayen 2012</w:t>
            </w:r>
            <w:r w:rsidR="00155D84" w:rsidRPr="00C806D0">
              <w:rPr>
                <w:noProof/>
                <w:sz w:val="16"/>
                <w:szCs w:val="16"/>
                <w:vertAlign w:val="superscript"/>
              </w:rPr>
              <w:t>[</w:t>
            </w:r>
            <w:r w:rsidR="006D4D62" w:rsidRPr="00C806D0">
              <w:rPr>
                <w:noProof/>
                <w:sz w:val="16"/>
                <w:szCs w:val="16"/>
                <w:vertAlign w:val="superscript"/>
              </w:rPr>
              <w:t>37</w:t>
            </w:r>
            <w:r w:rsidR="00155D84" w:rsidRPr="00C806D0">
              <w:rPr>
                <w:noProof/>
                <w:sz w:val="16"/>
                <w:szCs w:val="16"/>
                <w:vertAlign w:val="superscript"/>
              </w:rPr>
              <w:t>]</w:t>
            </w:r>
          </w:p>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Severe TBI</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France</w:t>
            </w:r>
          </w:p>
          <w:p w:rsidR="004442E4" w:rsidRPr="00C806D0" w:rsidRDefault="004442E4" w:rsidP="004442E4">
            <w:pPr>
              <w:pStyle w:val="NoSpacing"/>
              <w:rPr>
                <w:sz w:val="16"/>
                <w:szCs w:val="16"/>
              </w:rPr>
            </w:pP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2005</w:t>
            </w:r>
          </w:p>
          <w:p w:rsidR="004442E4" w:rsidRPr="00C806D0" w:rsidRDefault="004442E4" w:rsidP="004442E4">
            <w:pPr>
              <w:pStyle w:val="NoSpacing"/>
              <w:rPr>
                <w:sz w:val="16"/>
                <w:szCs w:val="16"/>
              </w:rPr>
            </w:pP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66</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p w:rsidR="004442E4" w:rsidRPr="00C806D0" w:rsidRDefault="004442E4" w:rsidP="004442E4">
            <w:pPr>
              <w:pStyle w:val="NoSpacing"/>
              <w:rPr>
                <w:sz w:val="16"/>
                <w:szCs w:val="16"/>
              </w:rPr>
            </w:pP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Bell 2005</w:t>
            </w:r>
            <w:r w:rsidR="00155D84" w:rsidRPr="00C806D0">
              <w:rPr>
                <w:noProof/>
                <w:sz w:val="16"/>
                <w:szCs w:val="16"/>
                <w:vertAlign w:val="superscript"/>
              </w:rPr>
              <w:t>[</w:t>
            </w:r>
            <w:r w:rsidR="006D4D62" w:rsidRPr="00C806D0">
              <w:rPr>
                <w:noProof/>
                <w:sz w:val="16"/>
                <w:szCs w:val="16"/>
                <w:vertAlign w:val="superscript"/>
              </w:rPr>
              <w:t>38</w:t>
            </w:r>
            <w:r w:rsidR="00155D84" w:rsidRPr="00C806D0">
              <w:rPr>
                <w:noProof/>
                <w:sz w:val="16"/>
                <w:szCs w:val="16"/>
                <w:vertAlign w:val="superscript"/>
              </w:rPr>
              <w:t>]</w:t>
            </w:r>
          </w:p>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Randomised controlled trial</w:t>
            </w:r>
          </w:p>
          <w:p w:rsidR="004442E4" w:rsidRPr="00C806D0" w:rsidRDefault="004442E4" w:rsidP="004442E4">
            <w:pPr>
              <w:pStyle w:val="NoSpacing"/>
              <w:rPr>
                <w:sz w:val="16"/>
                <w:szCs w:val="16"/>
              </w:rPr>
            </w:pPr>
          </w:p>
        </w:tc>
        <w:tc>
          <w:tcPr>
            <w:tcW w:w="91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TBI undergoing rehabilitation</w:t>
            </w:r>
          </w:p>
          <w:p w:rsidR="004442E4" w:rsidRPr="00C806D0" w:rsidRDefault="004442E4" w:rsidP="004442E4">
            <w:pPr>
              <w:pStyle w:val="NoSpacing"/>
              <w:rPr>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Telephone follow up</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USA</w:t>
            </w:r>
          </w:p>
          <w:p w:rsidR="004442E4" w:rsidRPr="00C806D0" w:rsidRDefault="004442E4" w:rsidP="004442E4">
            <w:pPr>
              <w:pStyle w:val="NoSpacing"/>
              <w:rPr>
                <w:sz w:val="16"/>
                <w:szCs w:val="16"/>
              </w:rPr>
            </w:pP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1999-2001</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180</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p w:rsidR="004442E4" w:rsidRPr="00C806D0" w:rsidRDefault="004442E4" w:rsidP="004442E4">
            <w:pPr>
              <w:pStyle w:val="NoSpacing"/>
              <w:rPr>
                <w:sz w:val="16"/>
                <w:szCs w:val="16"/>
              </w:rPr>
            </w:pPr>
            <w:r w:rsidRPr="00C806D0">
              <w:rPr>
                <w:sz w:val="16"/>
                <w:szCs w:val="16"/>
              </w:rPr>
              <w:t>SF-36</w:t>
            </w:r>
          </w:p>
          <w:p w:rsidR="004442E4" w:rsidRPr="00C806D0" w:rsidRDefault="004442E4" w:rsidP="004442E4">
            <w:pPr>
              <w:pStyle w:val="NoSpacing"/>
              <w:rPr>
                <w:sz w:val="16"/>
                <w:szCs w:val="16"/>
              </w:rPr>
            </w:pP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Bell 2011</w:t>
            </w:r>
            <w:r w:rsidR="00155D84" w:rsidRPr="00C806D0">
              <w:rPr>
                <w:noProof/>
                <w:sz w:val="16"/>
                <w:szCs w:val="16"/>
                <w:vertAlign w:val="superscript"/>
              </w:rPr>
              <w:t>[</w:t>
            </w:r>
            <w:r w:rsidR="006D4D62" w:rsidRPr="00C806D0">
              <w:rPr>
                <w:noProof/>
                <w:sz w:val="16"/>
                <w:szCs w:val="16"/>
                <w:vertAlign w:val="superscript"/>
              </w:rPr>
              <w:t>39</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Randomised controlled trial</w:t>
            </w:r>
          </w:p>
          <w:p w:rsidR="004442E4" w:rsidRPr="00C806D0" w:rsidRDefault="004442E4" w:rsidP="004442E4">
            <w:pPr>
              <w:pStyle w:val="NoSpacing"/>
              <w:rPr>
                <w:rFonts w:cs="AdvP49811"/>
                <w:sz w:val="16"/>
                <w:szCs w:val="16"/>
              </w:rPr>
            </w:pPr>
          </w:p>
        </w:tc>
        <w:tc>
          <w:tcPr>
            <w:tcW w:w="915" w:type="pct"/>
            <w:tcBorders>
              <w:top w:val="nil"/>
              <w:left w:val="nil"/>
              <w:bottom w:val="nil"/>
              <w:right w:val="nil"/>
            </w:tcBorders>
          </w:tcPr>
          <w:p w:rsidR="004442E4" w:rsidRPr="00C806D0" w:rsidRDefault="004442E4" w:rsidP="004442E4">
            <w:pPr>
              <w:pStyle w:val="NoSpacing"/>
              <w:rPr>
                <w:rFonts w:cs="AdvP49811"/>
                <w:sz w:val="16"/>
                <w:szCs w:val="16"/>
              </w:rPr>
            </w:pPr>
            <w:r w:rsidRPr="00C806D0">
              <w:rPr>
                <w:rFonts w:cs="AdvP49811"/>
                <w:sz w:val="16"/>
                <w:szCs w:val="16"/>
              </w:rPr>
              <w:t xml:space="preserve">Moderate-severe TBI </w:t>
            </w:r>
            <w:r w:rsidRPr="00C806D0">
              <w:rPr>
                <w:sz w:val="16"/>
                <w:szCs w:val="16"/>
              </w:rPr>
              <w:t>undergoing rehabilitation</w:t>
            </w:r>
          </w:p>
          <w:p w:rsidR="004442E4" w:rsidRPr="00C806D0" w:rsidRDefault="004442E4" w:rsidP="004442E4">
            <w:pPr>
              <w:pStyle w:val="NoSpacing"/>
              <w:rPr>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Scheduled telephone intervention</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USA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2005-2008</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433</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p w:rsidR="004442E4" w:rsidRPr="00C806D0" w:rsidRDefault="004442E4" w:rsidP="004442E4">
            <w:pPr>
              <w:pStyle w:val="NoSpacing"/>
              <w:rPr>
                <w:sz w:val="16"/>
                <w:szCs w:val="16"/>
              </w:rPr>
            </w:pPr>
            <w:r w:rsidRPr="00C806D0">
              <w:rPr>
                <w:sz w:val="16"/>
                <w:szCs w:val="16"/>
              </w:rPr>
              <w:t>SF-12</w:t>
            </w:r>
          </w:p>
          <w:p w:rsidR="004442E4" w:rsidRPr="00C806D0" w:rsidRDefault="004442E4" w:rsidP="004442E4">
            <w:pPr>
              <w:pStyle w:val="NoSpacing"/>
              <w:rPr>
                <w:sz w:val="16"/>
                <w:szCs w:val="16"/>
              </w:rPr>
            </w:pP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Blair 2010</w:t>
            </w:r>
            <w:r w:rsidR="00155D84" w:rsidRPr="00C806D0">
              <w:rPr>
                <w:noProof/>
                <w:sz w:val="16"/>
                <w:szCs w:val="16"/>
                <w:vertAlign w:val="superscript"/>
              </w:rPr>
              <w:t>[</w:t>
            </w:r>
            <w:r w:rsidR="006D4D62" w:rsidRPr="00C806D0">
              <w:rPr>
                <w:noProof/>
                <w:sz w:val="16"/>
                <w:szCs w:val="16"/>
                <w:vertAlign w:val="superscript"/>
              </w:rPr>
              <w:t>40</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TBI undergoing rehabilitation</w:t>
            </w:r>
          </w:p>
          <w:p w:rsidR="004442E4" w:rsidRPr="00C806D0" w:rsidRDefault="004442E4" w:rsidP="004442E4">
            <w:pPr>
              <w:pStyle w:val="NoSpacing"/>
              <w:rPr>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UK</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2000-2007</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28</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1-10 years</w:t>
            </w:r>
          </w:p>
          <w:p w:rsidR="004442E4" w:rsidRPr="00C806D0" w:rsidRDefault="004442E4" w:rsidP="004442E4">
            <w:pPr>
              <w:pStyle w:val="NoSpacing"/>
              <w:rPr>
                <w:sz w:val="16"/>
                <w:szCs w:val="16"/>
              </w:rPr>
            </w:pP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Boserelle 2010</w:t>
            </w:r>
            <w:r w:rsidR="00155D84" w:rsidRPr="00C806D0">
              <w:rPr>
                <w:noProof/>
                <w:sz w:val="16"/>
                <w:szCs w:val="16"/>
                <w:vertAlign w:val="superscript"/>
              </w:rPr>
              <w:t>[</w:t>
            </w:r>
            <w:r w:rsidR="006D4D62" w:rsidRPr="00C806D0">
              <w:rPr>
                <w:noProof/>
                <w:sz w:val="16"/>
                <w:szCs w:val="16"/>
                <w:vertAlign w:val="superscript"/>
              </w:rPr>
              <w:t>41</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Severe TBI</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France</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2004</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518</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Pr>
        <w:tc>
          <w:tcPr>
            <w:tcW w:w="382" w:type="pct"/>
            <w:tcBorders>
              <w:top w:val="nil"/>
              <w:left w:val="nil"/>
              <w:bottom w:val="nil"/>
              <w:right w:val="nil"/>
            </w:tcBorders>
          </w:tcPr>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p>
        </w:tc>
        <w:tc>
          <w:tcPr>
            <w:tcW w:w="915" w:type="pct"/>
            <w:tcBorders>
              <w:top w:val="nil"/>
              <w:left w:val="nil"/>
              <w:bottom w:val="nil"/>
              <w:right w:val="nil"/>
            </w:tcBorders>
          </w:tcPr>
          <w:p w:rsidR="004442E4" w:rsidRPr="00C806D0" w:rsidRDefault="004442E4" w:rsidP="004442E4">
            <w:pPr>
              <w:pStyle w:val="NoSpacing"/>
              <w:rPr>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p>
        </w:tc>
        <w:tc>
          <w:tcPr>
            <w:tcW w:w="384" w:type="pct"/>
            <w:tcBorders>
              <w:top w:val="nil"/>
              <w:left w:val="nil"/>
              <w:bottom w:val="nil"/>
              <w:right w:val="nil"/>
            </w:tcBorders>
          </w:tcPr>
          <w:p w:rsidR="004442E4" w:rsidRPr="00C806D0" w:rsidRDefault="004442E4" w:rsidP="004442E4">
            <w:pPr>
              <w:pStyle w:val="NoSpacing"/>
              <w:rPr>
                <w:sz w:val="16"/>
                <w:szCs w:val="16"/>
              </w:rPr>
            </w:pPr>
          </w:p>
        </w:tc>
        <w:tc>
          <w:tcPr>
            <w:tcW w:w="344" w:type="pct"/>
            <w:tcBorders>
              <w:top w:val="nil"/>
              <w:left w:val="nil"/>
              <w:bottom w:val="nil"/>
              <w:right w:val="nil"/>
            </w:tcBorders>
          </w:tcPr>
          <w:p w:rsidR="004442E4" w:rsidRPr="00C806D0" w:rsidRDefault="004442E4" w:rsidP="004442E4">
            <w:pPr>
              <w:pStyle w:val="NoSpacing"/>
              <w:rPr>
                <w:rFonts w:cs="MyriadPro-Regular"/>
                <w:sz w:val="16"/>
                <w:szCs w:val="16"/>
              </w:rPr>
            </w:pPr>
          </w:p>
        </w:tc>
        <w:tc>
          <w:tcPr>
            <w:tcW w:w="205" w:type="pct"/>
            <w:tcBorders>
              <w:top w:val="nil"/>
              <w:left w:val="nil"/>
              <w:bottom w:val="nil"/>
              <w:right w:val="nil"/>
            </w:tcBorders>
          </w:tcPr>
          <w:p w:rsidR="004442E4" w:rsidRPr="00C806D0" w:rsidRDefault="004442E4" w:rsidP="004442E4">
            <w:pPr>
              <w:pStyle w:val="NoSpacing"/>
              <w:rPr>
                <w:rFonts w:cs="MyriadPro-Regula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p>
        </w:tc>
        <w:tc>
          <w:tcPr>
            <w:tcW w:w="377" w:type="pct"/>
            <w:tcBorders>
              <w:top w:val="nil"/>
              <w:left w:val="nil"/>
              <w:bottom w:val="nil"/>
              <w:right w:val="nil"/>
            </w:tcBorders>
          </w:tcPr>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Coplin 2001</w:t>
            </w:r>
            <w:r w:rsidR="00155D84" w:rsidRPr="00C806D0">
              <w:rPr>
                <w:noProof/>
                <w:sz w:val="16"/>
                <w:szCs w:val="16"/>
                <w:vertAlign w:val="superscript"/>
              </w:rPr>
              <w:t>[</w:t>
            </w:r>
            <w:r w:rsidR="006D4D62" w:rsidRPr="00C806D0">
              <w:rPr>
                <w:noProof/>
                <w:sz w:val="16"/>
                <w:szCs w:val="16"/>
                <w:vertAlign w:val="superscript"/>
              </w:rPr>
              <w:t>42</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Randomised controlled trial</w:t>
            </w:r>
          </w:p>
          <w:p w:rsidR="004442E4" w:rsidRPr="00C806D0" w:rsidRDefault="004442E4" w:rsidP="004442E4">
            <w:pPr>
              <w:pStyle w:val="NoSpacing"/>
              <w:rPr>
                <w:sz w:val="16"/>
                <w:szCs w:val="16"/>
              </w:rPr>
            </w:pPr>
          </w:p>
        </w:tc>
        <w:tc>
          <w:tcPr>
            <w:tcW w:w="91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Severe TBI with raised ICP</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Decompressive craniectomy </w:t>
            </w:r>
          </w:p>
          <w:p w:rsidR="004442E4" w:rsidRPr="00C806D0" w:rsidRDefault="004442E4" w:rsidP="004442E4">
            <w:pPr>
              <w:pStyle w:val="NoSpacing"/>
              <w:rPr>
                <w:sz w:val="16"/>
                <w:szCs w:val="16"/>
              </w:rPr>
            </w:pP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USA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92</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 months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lastRenderedPageBreak/>
              <w:t>Corteen 2012</w:t>
            </w:r>
            <w:r w:rsidR="00155D84" w:rsidRPr="00C806D0">
              <w:rPr>
                <w:noProof/>
                <w:sz w:val="16"/>
                <w:szCs w:val="16"/>
                <w:vertAlign w:val="superscript"/>
              </w:rPr>
              <w:t>[</w:t>
            </w:r>
            <w:r w:rsidR="006D4D62" w:rsidRPr="00C806D0">
              <w:rPr>
                <w:noProof/>
                <w:sz w:val="16"/>
                <w:szCs w:val="16"/>
                <w:vertAlign w:val="superscript"/>
              </w:rPr>
              <w:t>43</w:t>
            </w:r>
            <w:r w:rsidR="00155D84" w:rsidRPr="00C806D0">
              <w:rPr>
                <w:noProof/>
                <w:sz w:val="16"/>
                <w:szCs w:val="16"/>
                <w:vertAlign w:val="superscript"/>
              </w:rPr>
              <w:t>]</w:t>
            </w:r>
          </w:p>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Randomised controlled trial</w:t>
            </w:r>
          </w:p>
        </w:tc>
        <w:tc>
          <w:tcPr>
            <w:tcW w:w="91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Severe TBI with refractory raised ICP</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Decompressive craniotomy</w:t>
            </w:r>
          </w:p>
          <w:p w:rsidR="004442E4" w:rsidRPr="00C806D0" w:rsidRDefault="004442E4" w:rsidP="004442E4">
            <w:pPr>
              <w:pStyle w:val="NoSpacing"/>
              <w:rPr>
                <w:sz w:val="16"/>
                <w:szCs w:val="16"/>
              </w:rPr>
            </w:pPr>
            <w:r w:rsidRPr="00C806D0">
              <w:rPr>
                <w:sz w:val="16"/>
                <w:szCs w:val="16"/>
              </w:rPr>
              <w:t>Medical ICP management</w:t>
            </w:r>
          </w:p>
          <w:p w:rsidR="004442E4" w:rsidRPr="00C806D0" w:rsidRDefault="004442E4" w:rsidP="004442E4">
            <w:pPr>
              <w:pStyle w:val="NoSpacing"/>
              <w:rPr>
                <w:sz w:val="16"/>
                <w:szCs w:val="16"/>
              </w:rPr>
            </w:pP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UK</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Ongoing</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 months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Ongoing RESCUE ICP trial </w:t>
            </w:r>
          </w:p>
        </w:tc>
      </w:tr>
      <w:tr w:rsidR="004442E4" w:rsidRPr="00C806D0" w:rsidTr="00E34C7C">
        <w:trPr>
          <w:cantSplit/>
          <w:trHeight w:val="74"/>
        </w:trPr>
        <w:tc>
          <w:tcPr>
            <w:tcW w:w="382" w:type="pct"/>
            <w:tcBorders>
              <w:top w:val="nil"/>
              <w:left w:val="nil"/>
              <w:bottom w:val="nil"/>
              <w:right w:val="nil"/>
            </w:tcBorders>
            <w:shd w:val="clear" w:color="auto" w:fill="FFFFFF" w:themeFill="background1"/>
          </w:tcPr>
          <w:p w:rsidR="004442E4" w:rsidRPr="00C806D0" w:rsidRDefault="004442E4" w:rsidP="004442E4">
            <w:pPr>
              <w:pStyle w:val="NoSpacing"/>
              <w:rPr>
                <w:sz w:val="16"/>
                <w:szCs w:val="16"/>
              </w:rPr>
            </w:pPr>
            <w:r w:rsidRPr="00C806D0">
              <w:rPr>
                <w:sz w:val="16"/>
                <w:szCs w:val="16"/>
              </w:rPr>
              <w:t>Davanzo 2008</w:t>
            </w:r>
            <w:r w:rsidR="00155D84" w:rsidRPr="00C806D0">
              <w:rPr>
                <w:noProof/>
                <w:sz w:val="16"/>
                <w:szCs w:val="16"/>
                <w:vertAlign w:val="superscript"/>
              </w:rPr>
              <w:t>[</w:t>
            </w:r>
            <w:r w:rsidR="006D4D62" w:rsidRPr="00C806D0">
              <w:rPr>
                <w:noProof/>
                <w:sz w:val="16"/>
                <w:szCs w:val="16"/>
                <w:vertAlign w:val="superscript"/>
              </w:rPr>
              <w:t>44</w:t>
            </w:r>
            <w:r w:rsidR="00155D84" w:rsidRPr="00C806D0">
              <w:rPr>
                <w:noProof/>
                <w:sz w:val="16"/>
                <w:szCs w:val="16"/>
                <w:vertAlign w:val="superscript"/>
              </w:rPr>
              <w:t>]</w:t>
            </w:r>
          </w:p>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Cross sectional study</w:t>
            </w:r>
          </w:p>
          <w:p w:rsidR="004442E4" w:rsidRPr="00C806D0" w:rsidRDefault="004442E4" w:rsidP="004442E4">
            <w:pPr>
              <w:pStyle w:val="NoSpacing"/>
              <w:rPr>
                <w:sz w:val="16"/>
                <w:szCs w:val="16"/>
              </w:rPr>
            </w:pPr>
          </w:p>
        </w:tc>
        <w:tc>
          <w:tcPr>
            <w:tcW w:w="91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TBI (not further specified)</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USA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60</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PhD thesis, only abstract available.</w:t>
            </w: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Dikman  2003</w:t>
            </w:r>
            <w:r w:rsidR="00155D84" w:rsidRPr="00C806D0">
              <w:rPr>
                <w:noProof/>
                <w:sz w:val="16"/>
                <w:szCs w:val="16"/>
                <w:vertAlign w:val="superscript"/>
              </w:rPr>
              <w:t>[</w:t>
            </w:r>
            <w:r w:rsidR="006D4D62" w:rsidRPr="00C806D0">
              <w:rPr>
                <w:noProof/>
                <w:sz w:val="16"/>
                <w:szCs w:val="16"/>
                <w:vertAlign w:val="superscript"/>
              </w:rPr>
              <w:t>45</w:t>
            </w:r>
            <w:r w:rsidR="00155D84" w:rsidRPr="00C806D0">
              <w:rPr>
                <w:noProof/>
                <w:sz w:val="16"/>
                <w:szCs w:val="16"/>
                <w:vertAlign w:val="superscript"/>
              </w:rPr>
              <w:t>]</w:t>
            </w:r>
          </w:p>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pStyle w:val="NoSpacing"/>
              <w:rPr>
                <w:rFonts w:cs="AdvP49811"/>
                <w:sz w:val="16"/>
                <w:szCs w:val="16"/>
              </w:rPr>
            </w:pPr>
            <w:r w:rsidRPr="00C806D0">
              <w:rPr>
                <w:rFonts w:cs="AdvP49811"/>
                <w:sz w:val="16"/>
                <w:szCs w:val="16"/>
              </w:rPr>
              <w:t>Moderate and severe TBI at high risk of post-traumatic seizures</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USA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1991-1994</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210</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3- 5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Basic GOS </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Dimopolou 2004</w:t>
            </w:r>
            <w:r w:rsidR="00155D84" w:rsidRPr="00C806D0">
              <w:rPr>
                <w:noProof/>
                <w:sz w:val="16"/>
                <w:szCs w:val="16"/>
                <w:vertAlign w:val="superscript"/>
              </w:rPr>
              <w:t>[</w:t>
            </w:r>
            <w:r w:rsidR="006D4D62" w:rsidRPr="00C806D0">
              <w:rPr>
                <w:noProof/>
                <w:sz w:val="16"/>
                <w:szCs w:val="16"/>
                <w:vertAlign w:val="superscript"/>
              </w:rPr>
              <w:t>46</w:t>
            </w:r>
            <w:r w:rsidR="00155D84" w:rsidRPr="00C806D0">
              <w:rPr>
                <w:noProof/>
                <w:sz w:val="16"/>
                <w:szCs w:val="16"/>
                <w:vertAlign w:val="superscript"/>
              </w:rPr>
              <w:t>]</w:t>
            </w:r>
          </w:p>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pStyle w:val="NoSpacing"/>
              <w:rPr>
                <w:rFonts w:cs="AdvP49811"/>
                <w:sz w:val="16"/>
                <w:szCs w:val="16"/>
              </w:rPr>
            </w:pPr>
            <w:r w:rsidRPr="00C806D0">
              <w:rPr>
                <w:rFonts w:cs="AdvP49811"/>
                <w:sz w:val="16"/>
                <w:szCs w:val="16"/>
              </w:rPr>
              <w:t>Multiple trauma (including head injury)</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Greece</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1999-2000</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87</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Basic GOS </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Rosser disability scale</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Gabbe 2010</w:t>
            </w:r>
            <w:r w:rsidR="00155D84" w:rsidRPr="00C806D0">
              <w:rPr>
                <w:noProof/>
                <w:sz w:val="16"/>
                <w:szCs w:val="16"/>
                <w:vertAlign w:val="superscript"/>
              </w:rPr>
              <w:t>[</w:t>
            </w:r>
            <w:r w:rsidR="006D4D62" w:rsidRPr="00C806D0">
              <w:rPr>
                <w:noProof/>
                <w:sz w:val="16"/>
                <w:szCs w:val="16"/>
                <w:vertAlign w:val="superscript"/>
              </w:rPr>
              <w:t>47</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TimesNewRomanPS"/>
                <w:sz w:val="16"/>
                <w:szCs w:val="16"/>
              </w:rPr>
            </w:pPr>
            <w:r w:rsidRPr="00C806D0">
              <w:rPr>
                <w:rFonts w:cs="AdvP49811"/>
                <w:sz w:val="16"/>
                <w:szCs w:val="16"/>
              </w:rPr>
              <w:t>TBI with:</w:t>
            </w:r>
            <w:r w:rsidRPr="00C806D0">
              <w:rPr>
                <w:rFonts w:cs="TimesNewRomanPS"/>
                <w:sz w:val="16"/>
                <w:szCs w:val="16"/>
              </w:rPr>
              <w:t xml:space="preserve"> death after injury; an Injury Severity Score </w:t>
            </w:r>
            <w:r w:rsidRPr="00C806D0">
              <w:rPr>
                <w:rFonts w:cs="Universal-GreekwithMathPi"/>
                <w:sz w:val="16"/>
                <w:szCs w:val="16"/>
              </w:rPr>
              <w:t>&gt;</w:t>
            </w:r>
            <w:r w:rsidRPr="00C806D0">
              <w:rPr>
                <w:rFonts w:cs="TimesNewRomanPS"/>
                <w:sz w:val="16"/>
                <w:szCs w:val="16"/>
              </w:rPr>
              <w:t xml:space="preserve">15; an intensive care unit stay </w:t>
            </w:r>
            <w:r w:rsidRPr="00C806D0">
              <w:rPr>
                <w:rFonts w:cs="Universal-GreekwithMathPi"/>
                <w:sz w:val="16"/>
                <w:szCs w:val="16"/>
              </w:rPr>
              <w:t>&gt;</w:t>
            </w:r>
            <w:r w:rsidRPr="00C806D0">
              <w:rPr>
                <w:rFonts w:cs="TimesNewRomanPS"/>
                <w:sz w:val="16"/>
                <w:szCs w:val="16"/>
              </w:rPr>
              <w:t>24 hours requiring mechanical ventilation; and urgent surgery.</w:t>
            </w:r>
          </w:p>
          <w:p w:rsidR="004442E4" w:rsidRPr="00C806D0" w:rsidRDefault="004442E4" w:rsidP="004442E4">
            <w:pPr>
              <w:autoSpaceDE w:val="0"/>
              <w:autoSpaceDN w:val="0"/>
              <w:adjustRightInd w:val="0"/>
              <w:spacing w:line="240" w:lineRule="auto"/>
              <w:rPr>
                <w:rFonts w:cs="AdvP49811"/>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Australia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Ongoing</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 months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p w:rsidR="004442E4" w:rsidRPr="00C806D0" w:rsidRDefault="004442E4" w:rsidP="004442E4">
            <w:pPr>
              <w:pStyle w:val="NoSpacing"/>
              <w:rPr>
                <w:sz w:val="16"/>
                <w:szCs w:val="16"/>
              </w:rPr>
            </w:pPr>
            <w:r w:rsidRPr="00C806D0">
              <w:rPr>
                <w:sz w:val="16"/>
                <w:szCs w:val="16"/>
              </w:rPr>
              <w:t>SF-12</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Guilfoyle 2010</w:t>
            </w:r>
            <w:r w:rsidR="00155D84" w:rsidRPr="00C806D0">
              <w:rPr>
                <w:noProof/>
                <w:sz w:val="16"/>
                <w:szCs w:val="16"/>
                <w:vertAlign w:val="superscript"/>
              </w:rPr>
              <w:t>[</w:t>
            </w:r>
            <w:r w:rsidR="006D4D62" w:rsidRPr="00C806D0">
              <w:rPr>
                <w:noProof/>
                <w:sz w:val="16"/>
                <w:szCs w:val="16"/>
                <w:vertAlign w:val="superscript"/>
              </w:rPr>
              <w:t>48</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TBI patients attending neurotrauma outpatients with GOSE 3-8</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UK</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514</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1-2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Harrison 2013</w:t>
            </w:r>
            <w:r w:rsidR="00155D84" w:rsidRPr="00C806D0">
              <w:rPr>
                <w:noProof/>
                <w:sz w:val="16"/>
                <w:szCs w:val="16"/>
                <w:vertAlign w:val="superscript"/>
              </w:rPr>
              <w:t>[</w:t>
            </w:r>
            <w:r w:rsidR="006D4D62" w:rsidRPr="00C806D0">
              <w:rPr>
                <w:noProof/>
                <w:sz w:val="16"/>
                <w:szCs w:val="16"/>
                <w:vertAlign w:val="superscript"/>
              </w:rPr>
              <w:t>49</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TBI patients with initial GCS&lt;15 requiring critical care</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UK</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2008-2009</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3,210</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 months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p>
        </w:tc>
        <w:tc>
          <w:tcPr>
            <w:tcW w:w="384" w:type="pct"/>
            <w:tcBorders>
              <w:top w:val="nil"/>
              <w:left w:val="nil"/>
              <w:bottom w:val="nil"/>
              <w:right w:val="nil"/>
            </w:tcBorders>
          </w:tcPr>
          <w:p w:rsidR="004442E4" w:rsidRPr="00C806D0" w:rsidRDefault="004442E4" w:rsidP="004442E4">
            <w:pPr>
              <w:pStyle w:val="NoSpacing"/>
              <w:rPr>
                <w:sz w:val="16"/>
                <w:szCs w:val="16"/>
              </w:rPr>
            </w:pPr>
          </w:p>
        </w:tc>
        <w:tc>
          <w:tcPr>
            <w:tcW w:w="344" w:type="pct"/>
            <w:tcBorders>
              <w:top w:val="nil"/>
              <w:left w:val="nil"/>
              <w:bottom w:val="nil"/>
              <w:right w:val="nil"/>
            </w:tcBorders>
          </w:tcPr>
          <w:p w:rsidR="004442E4" w:rsidRPr="00C806D0" w:rsidRDefault="004442E4" w:rsidP="004442E4">
            <w:pPr>
              <w:pStyle w:val="NoSpacing"/>
              <w:rPr>
                <w:sz w:val="16"/>
                <w:szCs w:val="16"/>
              </w:rPr>
            </w:pPr>
          </w:p>
        </w:tc>
        <w:tc>
          <w:tcPr>
            <w:tcW w:w="205" w:type="pct"/>
            <w:tcBorders>
              <w:top w:val="nil"/>
              <w:left w:val="nil"/>
              <w:bottom w:val="nil"/>
              <w:right w:val="nil"/>
            </w:tcBorders>
          </w:tcPr>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p>
        </w:tc>
        <w:tc>
          <w:tcPr>
            <w:tcW w:w="377" w:type="pct"/>
            <w:tcBorders>
              <w:top w:val="nil"/>
              <w:left w:val="nil"/>
              <w:bottom w:val="nil"/>
              <w:right w:val="nil"/>
            </w:tcBorders>
          </w:tcPr>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Hawthorne 2009</w:t>
            </w:r>
            <w:r w:rsidR="00155D84" w:rsidRPr="00C806D0">
              <w:rPr>
                <w:noProof/>
                <w:sz w:val="16"/>
                <w:szCs w:val="16"/>
                <w:vertAlign w:val="superscript"/>
              </w:rPr>
              <w:t>[</w:t>
            </w:r>
            <w:r w:rsidR="006D4D62" w:rsidRPr="00C806D0">
              <w:rPr>
                <w:noProof/>
                <w:sz w:val="16"/>
                <w:szCs w:val="16"/>
                <w:vertAlign w:val="superscript"/>
              </w:rPr>
              <w:t>50</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Cross sectional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TBI with EGOS&gt;3.</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Australia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66</w:t>
            </w:r>
          </w:p>
        </w:tc>
        <w:tc>
          <w:tcPr>
            <w:tcW w:w="416" w:type="pct"/>
            <w:tcBorders>
              <w:top w:val="nil"/>
              <w:left w:val="nil"/>
              <w:bottom w:val="nil"/>
              <w:right w:val="nil"/>
            </w:tcBorders>
            <w:shd w:val="clear" w:color="auto" w:fill="FFFFFF" w:themeFill="background1"/>
          </w:tcPr>
          <w:p w:rsidR="004442E4" w:rsidRPr="00C806D0" w:rsidRDefault="004442E4" w:rsidP="004442E4">
            <w:pPr>
              <w:pStyle w:val="NoSpacing"/>
              <w:rPr>
                <w:sz w:val="16"/>
                <w:szCs w:val="16"/>
              </w:rPr>
            </w:pPr>
            <w:r w:rsidRPr="00C806D0">
              <w:rPr>
                <w:sz w:val="16"/>
                <w:szCs w:val="16"/>
              </w:rPr>
              <w:t>3 months-15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Extended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p w:rsidR="004442E4" w:rsidRPr="00C806D0" w:rsidRDefault="004442E4" w:rsidP="004442E4">
            <w:pPr>
              <w:pStyle w:val="NoSpacing"/>
              <w:rPr>
                <w:sz w:val="16"/>
                <w:szCs w:val="16"/>
              </w:rPr>
            </w:pPr>
            <w:r w:rsidRPr="00C806D0">
              <w:rPr>
                <w:sz w:val="16"/>
                <w:szCs w:val="16"/>
              </w:rPr>
              <w:t>SF-6D</w:t>
            </w:r>
          </w:p>
          <w:p w:rsidR="004442E4" w:rsidRPr="00C806D0" w:rsidRDefault="004442E4" w:rsidP="004442E4">
            <w:pPr>
              <w:pStyle w:val="NoSpacing"/>
              <w:rPr>
                <w:sz w:val="16"/>
                <w:szCs w:val="16"/>
              </w:rPr>
            </w:pPr>
            <w:r w:rsidRPr="00C806D0">
              <w:rPr>
                <w:sz w:val="16"/>
                <w:szCs w:val="16"/>
              </w:rPr>
              <w:t>AQoL</w:t>
            </w:r>
          </w:p>
          <w:p w:rsidR="004442E4" w:rsidRPr="00C806D0" w:rsidRDefault="004442E4" w:rsidP="004442E4">
            <w:pPr>
              <w:pStyle w:val="NoSpacing"/>
              <w:rPr>
                <w:sz w:val="16"/>
                <w:szCs w:val="16"/>
              </w:rPr>
            </w:pP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615"/>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Hawthorne 2011</w:t>
            </w:r>
            <w:r w:rsidR="00155D84" w:rsidRPr="00C806D0">
              <w:rPr>
                <w:noProof/>
                <w:sz w:val="16"/>
                <w:szCs w:val="16"/>
                <w:vertAlign w:val="superscript"/>
              </w:rPr>
              <w:t>[</w:t>
            </w:r>
            <w:r w:rsidR="006D4D62" w:rsidRPr="00C806D0">
              <w:rPr>
                <w:noProof/>
                <w:sz w:val="16"/>
                <w:szCs w:val="16"/>
                <w:vertAlign w:val="superscript"/>
              </w:rPr>
              <w:t>51</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Cross sectional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TBI with EGOS&gt;3.</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Australia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66</w:t>
            </w:r>
          </w:p>
        </w:tc>
        <w:tc>
          <w:tcPr>
            <w:tcW w:w="416" w:type="pct"/>
            <w:tcBorders>
              <w:top w:val="nil"/>
              <w:left w:val="nil"/>
              <w:bottom w:val="nil"/>
              <w:right w:val="nil"/>
            </w:tcBorders>
            <w:shd w:val="clear" w:color="auto" w:fill="FFFFFF" w:themeFill="background1"/>
          </w:tcPr>
          <w:p w:rsidR="004442E4" w:rsidRPr="00C806D0" w:rsidRDefault="004442E4" w:rsidP="004442E4">
            <w:pPr>
              <w:pStyle w:val="NoSpacing"/>
              <w:rPr>
                <w:sz w:val="16"/>
                <w:szCs w:val="16"/>
              </w:rPr>
            </w:pPr>
            <w:r w:rsidRPr="00C806D0">
              <w:rPr>
                <w:sz w:val="16"/>
                <w:szCs w:val="16"/>
              </w:rPr>
              <w:t>3 months-15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Extended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p w:rsidR="004442E4" w:rsidRPr="00C806D0" w:rsidRDefault="004442E4" w:rsidP="004442E4">
            <w:pPr>
              <w:pStyle w:val="NoSpacing"/>
              <w:rPr>
                <w:sz w:val="16"/>
                <w:szCs w:val="16"/>
              </w:rPr>
            </w:pPr>
            <w:r w:rsidRPr="00C806D0">
              <w:rPr>
                <w:sz w:val="16"/>
                <w:szCs w:val="16"/>
              </w:rPr>
              <w:t>SF-6D</w:t>
            </w:r>
          </w:p>
          <w:p w:rsidR="004442E4" w:rsidRPr="00C806D0" w:rsidRDefault="004442E4" w:rsidP="004442E4">
            <w:pPr>
              <w:pStyle w:val="NoSpacing"/>
              <w:rPr>
                <w:sz w:val="16"/>
                <w:szCs w:val="16"/>
              </w:rPr>
            </w:pPr>
            <w:r w:rsidRPr="00C806D0">
              <w:rPr>
                <w:sz w:val="16"/>
                <w:szCs w:val="16"/>
              </w:rPr>
              <w:t>AQoL</w:t>
            </w:r>
          </w:p>
          <w:p w:rsidR="004442E4" w:rsidRPr="00C806D0" w:rsidRDefault="004442E4" w:rsidP="004442E4">
            <w:pPr>
              <w:pStyle w:val="NoSpacing"/>
              <w:rPr>
                <w:sz w:val="16"/>
                <w:szCs w:val="16"/>
              </w:rPr>
            </w:pPr>
          </w:p>
        </w:tc>
        <w:tc>
          <w:tcPr>
            <w:tcW w:w="48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Unclear if different sample from Hawthorne 2009</w:t>
            </w:r>
          </w:p>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Heijenbrok-kal 2009</w:t>
            </w:r>
            <w:r w:rsidR="00155D84" w:rsidRPr="00C806D0">
              <w:rPr>
                <w:noProof/>
                <w:sz w:val="16"/>
                <w:szCs w:val="16"/>
                <w:vertAlign w:val="superscript"/>
              </w:rPr>
              <w:t>[</w:t>
            </w:r>
            <w:r w:rsidR="006D4D62" w:rsidRPr="00C806D0">
              <w:rPr>
                <w:noProof/>
                <w:sz w:val="16"/>
                <w:szCs w:val="16"/>
                <w:vertAlign w:val="superscript"/>
              </w:rPr>
              <w:t>52</w:t>
            </w:r>
            <w:r w:rsidR="00155D84" w:rsidRPr="00C806D0">
              <w:rPr>
                <w:noProof/>
                <w:sz w:val="16"/>
                <w:szCs w:val="16"/>
                <w:vertAlign w:val="superscript"/>
              </w:rPr>
              <w:t>]</w:t>
            </w:r>
          </w:p>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Moderate and severe TBII</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Netherlands</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1999-2005</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113</w:t>
            </w:r>
          </w:p>
        </w:tc>
        <w:tc>
          <w:tcPr>
            <w:tcW w:w="416" w:type="pct"/>
            <w:tcBorders>
              <w:top w:val="nil"/>
              <w:left w:val="nil"/>
              <w:bottom w:val="nil"/>
              <w:right w:val="nil"/>
            </w:tcBorders>
            <w:shd w:val="clear" w:color="auto" w:fill="FFFFFF" w:themeFill="background1"/>
          </w:tcPr>
          <w:p w:rsidR="004442E4" w:rsidRPr="00C806D0" w:rsidRDefault="004442E4" w:rsidP="004442E4">
            <w:pPr>
              <w:pStyle w:val="NoSpacing"/>
              <w:rPr>
                <w:sz w:val="16"/>
                <w:szCs w:val="16"/>
              </w:rPr>
            </w:pPr>
            <w:r w:rsidRPr="00C806D0">
              <w:rPr>
                <w:sz w:val="16"/>
                <w:szCs w:val="16"/>
              </w:rPr>
              <w:t>3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Basic GOS </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lastRenderedPageBreak/>
              <w:t>Holte 2012</w:t>
            </w:r>
            <w:r w:rsidR="00155D84" w:rsidRPr="00C806D0">
              <w:rPr>
                <w:noProof/>
                <w:sz w:val="16"/>
                <w:szCs w:val="16"/>
                <w:vertAlign w:val="superscript"/>
              </w:rPr>
              <w:t>[</w:t>
            </w:r>
            <w:r w:rsidR="006D4D62" w:rsidRPr="00C806D0">
              <w:rPr>
                <w:noProof/>
                <w:sz w:val="16"/>
                <w:szCs w:val="16"/>
                <w:vertAlign w:val="superscript"/>
              </w:rPr>
              <w:t>53</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NR</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Norway</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Holtslag 2007</w:t>
            </w:r>
            <w:r w:rsidR="00155D84" w:rsidRPr="00C806D0">
              <w:rPr>
                <w:noProof/>
                <w:sz w:val="16"/>
                <w:szCs w:val="16"/>
                <w:vertAlign w:val="superscript"/>
              </w:rPr>
              <w:t>[</w:t>
            </w:r>
            <w:r w:rsidR="006D4D62" w:rsidRPr="00C806D0">
              <w:rPr>
                <w:noProof/>
                <w:sz w:val="16"/>
                <w:szCs w:val="16"/>
                <w:vertAlign w:val="superscript"/>
              </w:rPr>
              <w:t>54</w:t>
            </w:r>
            <w:r w:rsidR="00155D84" w:rsidRPr="00C806D0">
              <w:rPr>
                <w:noProof/>
                <w:sz w:val="16"/>
                <w:szCs w:val="16"/>
                <w:vertAlign w:val="superscript"/>
              </w:rPr>
              <w:t>]</w:t>
            </w:r>
          </w:p>
          <w:p w:rsidR="004442E4" w:rsidRPr="00C806D0" w:rsidRDefault="004442E4" w:rsidP="004442E4">
            <w:pPr>
              <w:pStyle w:val="NoSpacing"/>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TBI with injury severity score &gt;15</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Netherlands</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1999-2000</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181</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Basic GOS </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Intiso 2011</w:t>
            </w:r>
            <w:r w:rsidR="00155D84" w:rsidRPr="00C806D0">
              <w:rPr>
                <w:noProof/>
                <w:sz w:val="16"/>
                <w:szCs w:val="16"/>
                <w:vertAlign w:val="superscript"/>
              </w:rPr>
              <w:t>[</w:t>
            </w:r>
            <w:r w:rsidR="006D4D62" w:rsidRPr="00C806D0">
              <w:rPr>
                <w:noProof/>
                <w:sz w:val="16"/>
                <w:szCs w:val="16"/>
                <w:vertAlign w:val="superscript"/>
              </w:rPr>
              <w:t>55</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sz w:val="16"/>
                <w:szCs w:val="16"/>
              </w:rPr>
            </w:pPr>
            <w:r w:rsidRPr="00C806D0">
              <w:rPr>
                <w:sz w:val="16"/>
                <w:szCs w:val="16"/>
              </w:rPr>
              <w:t>Severe TBI following decompressive craniectomy</w:t>
            </w:r>
          </w:p>
          <w:p w:rsidR="004442E4" w:rsidRPr="00C806D0" w:rsidRDefault="004442E4" w:rsidP="004442E4">
            <w:pPr>
              <w:autoSpaceDE w:val="0"/>
              <w:autoSpaceDN w:val="0"/>
              <w:adjustRightInd w:val="0"/>
              <w:spacing w:line="240" w:lineRule="auto"/>
              <w:rPr>
                <w:rFonts w:cs="AdvP49811"/>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Italy</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2003-2007</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70</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p w:rsidR="004442E4" w:rsidRPr="00C806D0" w:rsidRDefault="004442E4" w:rsidP="004442E4">
            <w:pPr>
              <w:pStyle w:val="NoSpacing"/>
              <w:rPr>
                <w:sz w:val="16"/>
                <w:szCs w:val="16"/>
              </w:rPr>
            </w:pP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Basic GOS </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Ksibi 2010</w:t>
            </w:r>
            <w:r w:rsidR="00155D84" w:rsidRPr="00C806D0">
              <w:rPr>
                <w:noProof/>
                <w:sz w:val="16"/>
                <w:szCs w:val="16"/>
                <w:vertAlign w:val="superscript"/>
              </w:rPr>
              <w:t>[</w:t>
            </w:r>
            <w:r w:rsidR="006D4D62" w:rsidRPr="00C806D0">
              <w:rPr>
                <w:noProof/>
                <w:sz w:val="16"/>
                <w:szCs w:val="16"/>
                <w:vertAlign w:val="superscript"/>
              </w:rPr>
              <w:t>56</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Cross sectional study</w:t>
            </w:r>
          </w:p>
          <w:p w:rsidR="004442E4" w:rsidRPr="00C806D0" w:rsidRDefault="004442E4" w:rsidP="004442E4">
            <w:pPr>
              <w:pStyle w:val="NoSpacing"/>
              <w:rPr>
                <w:sz w:val="16"/>
                <w:szCs w:val="16"/>
              </w:rPr>
            </w:pP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sz w:val="16"/>
                <w:szCs w:val="16"/>
              </w:rPr>
            </w:pPr>
            <w:r w:rsidRPr="00C806D0">
              <w:rPr>
                <w:sz w:val="16"/>
                <w:szCs w:val="16"/>
              </w:rPr>
              <w:t>NR</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Tunisia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2006</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60</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Basic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Translated from French</w:t>
            </w: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Lecky 2013</w:t>
            </w:r>
            <w:r w:rsidR="00155D84" w:rsidRPr="00C806D0">
              <w:rPr>
                <w:noProof/>
                <w:sz w:val="16"/>
                <w:szCs w:val="16"/>
                <w:vertAlign w:val="superscript"/>
              </w:rPr>
              <w:t>[</w:t>
            </w:r>
            <w:r w:rsidR="006D4D62" w:rsidRPr="00C806D0">
              <w:rPr>
                <w:noProof/>
                <w:sz w:val="16"/>
                <w:szCs w:val="16"/>
                <w:vertAlign w:val="superscript"/>
              </w:rPr>
              <w:t>57</w:t>
            </w:r>
            <w:r w:rsidR="00155D84" w:rsidRPr="00C806D0">
              <w:rPr>
                <w:noProof/>
                <w:sz w:val="16"/>
                <w:szCs w:val="16"/>
                <w:vertAlign w:val="superscript"/>
              </w:rPr>
              <w:t>]</w:t>
            </w:r>
            <w:r w:rsidRPr="00C806D0">
              <w:rPr>
                <w:sz w:val="16"/>
                <w:szCs w:val="16"/>
              </w:rPr>
              <w:t xml:space="preserve"> </w:t>
            </w:r>
          </w:p>
          <w:p w:rsidR="004442E4" w:rsidRPr="00C806D0" w:rsidRDefault="004442E4" w:rsidP="004442E4">
            <w:pPr>
              <w:pStyle w:val="NoSpacing"/>
              <w:ind w:left="360"/>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Cluster randomised trial</w:t>
            </w:r>
          </w:p>
          <w:p w:rsidR="004442E4" w:rsidRPr="00C806D0" w:rsidRDefault="004442E4" w:rsidP="004442E4">
            <w:pPr>
              <w:pStyle w:val="NoSpacing"/>
              <w:rPr>
                <w:sz w:val="16"/>
                <w:szCs w:val="16"/>
              </w:rPr>
            </w:pP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sz w:val="16"/>
                <w:szCs w:val="16"/>
              </w:rPr>
            </w:pPr>
            <w:r w:rsidRPr="00C806D0">
              <w:rPr>
                <w:sz w:val="16"/>
                <w:szCs w:val="16"/>
              </w:rPr>
              <w:t>External signs of head injury, prehospital GCS&lt;13, stable field vital signs.</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Prehospital triage and bypass</w:t>
            </w:r>
          </w:p>
          <w:p w:rsidR="004442E4" w:rsidRPr="00C806D0" w:rsidRDefault="004442E4" w:rsidP="004442E4">
            <w:pPr>
              <w:pStyle w:val="NoSpacing"/>
              <w:rPr>
                <w:sz w:val="16"/>
                <w:szCs w:val="16"/>
              </w:rPr>
            </w:pPr>
            <w:r w:rsidRPr="00C806D0">
              <w:rPr>
                <w:sz w:val="16"/>
                <w:szCs w:val="16"/>
              </w:rPr>
              <w:t>Current care</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UK</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2012-2013</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262</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 months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Malmivaari 2009</w:t>
            </w:r>
            <w:r w:rsidR="00155D84" w:rsidRPr="00C806D0">
              <w:rPr>
                <w:noProof/>
                <w:sz w:val="16"/>
                <w:szCs w:val="16"/>
                <w:vertAlign w:val="superscript"/>
              </w:rPr>
              <w:t>[</w:t>
            </w:r>
            <w:r w:rsidR="006D4D62" w:rsidRPr="00C806D0">
              <w:rPr>
                <w:noProof/>
                <w:sz w:val="16"/>
                <w:szCs w:val="16"/>
                <w:vertAlign w:val="superscript"/>
              </w:rPr>
              <w:t>58</w:t>
            </w:r>
            <w:r w:rsidR="00155D84" w:rsidRPr="00C806D0">
              <w:rPr>
                <w:noProof/>
                <w:sz w:val="16"/>
                <w:szCs w:val="16"/>
                <w:vertAlign w:val="superscript"/>
              </w:rPr>
              <w:t>]</w:t>
            </w:r>
          </w:p>
          <w:p w:rsidR="004442E4" w:rsidRPr="00C806D0" w:rsidRDefault="004442E4" w:rsidP="004442E4">
            <w:pPr>
              <w:pStyle w:val="NoSpacing"/>
              <w:ind w:left="360"/>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sz w:val="16"/>
                <w:szCs w:val="16"/>
              </w:rPr>
            </w:pPr>
            <w:r w:rsidRPr="00C806D0">
              <w:rPr>
                <w:sz w:val="16"/>
                <w:szCs w:val="16"/>
              </w:rPr>
              <w:t xml:space="preserve">TBI patients discharged from ICU requiring ventilator support </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Finland</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2000-2003</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176</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1,2 &amp; 5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SF-12D</w:t>
            </w:r>
          </w:p>
          <w:p w:rsidR="004442E4" w:rsidRPr="00C806D0" w:rsidRDefault="004442E4" w:rsidP="004442E4">
            <w:pPr>
              <w:pStyle w:val="NoSpacing"/>
              <w:rPr>
                <w:sz w:val="16"/>
                <w:szCs w:val="16"/>
              </w:rPr>
            </w:pPr>
            <w:r w:rsidRPr="00C806D0">
              <w:rPr>
                <w:sz w:val="16"/>
                <w:szCs w:val="16"/>
              </w:rPr>
              <w:t>EQ5D</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Malmivaari 2011</w:t>
            </w:r>
            <w:r w:rsidR="00155D84" w:rsidRPr="00C806D0">
              <w:rPr>
                <w:noProof/>
                <w:sz w:val="16"/>
                <w:szCs w:val="16"/>
                <w:vertAlign w:val="superscript"/>
              </w:rPr>
              <w:t>[</w:t>
            </w:r>
            <w:r w:rsidR="006D4D62" w:rsidRPr="00C806D0">
              <w:rPr>
                <w:noProof/>
                <w:sz w:val="16"/>
                <w:szCs w:val="16"/>
                <w:vertAlign w:val="superscript"/>
              </w:rPr>
              <w:t>59</w:t>
            </w:r>
            <w:r w:rsidR="00155D84" w:rsidRPr="00C806D0">
              <w:rPr>
                <w:noProof/>
                <w:sz w:val="16"/>
                <w:szCs w:val="16"/>
                <w:vertAlign w:val="superscript"/>
              </w:rPr>
              <w:t>]</w:t>
            </w:r>
          </w:p>
          <w:p w:rsidR="004442E4" w:rsidRPr="00C806D0" w:rsidRDefault="004442E4" w:rsidP="004442E4">
            <w:pPr>
              <w:pStyle w:val="NoSpacing"/>
              <w:ind w:left="360"/>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sz w:val="16"/>
                <w:szCs w:val="16"/>
              </w:rPr>
            </w:pPr>
            <w:r w:rsidRPr="00C806D0">
              <w:rPr>
                <w:sz w:val="16"/>
                <w:szCs w:val="16"/>
              </w:rPr>
              <w:t>Severe TBI following decompressive craniectomy</w:t>
            </w:r>
          </w:p>
          <w:p w:rsidR="004442E4" w:rsidRPr="00C806D0" w:rsidRDefault="004442E4" w:rsidP="004442E4">
            <w:pPr>
              <w:autoSpaceDE w:val="0"/>
              <w:autoSpaceDN w:val="0"/>
              <w:adjustRightInd w:val="0"/>
              <w:spacing w:line="240" w:lineRule="auto"/>
              <w:rPr>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Finland</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2000-2006</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54</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Basic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McMillan 2013</w:t>
            </w:r>
            <w:r w:rsidR="00155D84" w:rsidRPr="00C806D0">
              <w:rPr>
                <w:noProof/>
                <w:sz w:val="16"/>
                <w:szCs w:val="16"/>
                <w:vertAlign w:val="superscript"/>
              </w:rPr>
              <w:t>[</w:t>
            </w:r>
            <w:r w:rsidR="006D4D62" w:rsidRPr="00C806D0">
              <w:rPr>
                <w:noProof/>
                <w:sz w:val="16"/>
                <w:szCs w:val="16"/>
                <w:vertAlign w:val="superscript"/>
              </w:rPr>
              <w:t>60</w:t>
            </w:r>
            <w:r w:rsidR="00155D84" w:rsidRPr="00C806D0">
              <w:rPr>
                <w:noProof/>
                <w:sz w:val="16"/>
                <w:szCs w:val="16"/>
                <w:vertAlign w:val="superscript"/>
              </w:rPr>
              <w:t>]</w:t>
            </w:r>
          </w:p>
          <w:p w:rsidR="004442E4" w:rsidRPr="00C806D0" w:rsidRDefault="004442E4" w:rsidP="004442E4">
            <w:pPr>
              <w:pStyle w:val="NoSpacing"/>
              <w:ind w:left="360"/>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sz w:val="16"/>
                <w:szCs w:val="16"/>
              </w:rPr>
            </w:pPr>
            <w:r w:rsidRPr="00C806D0">
              <w:rPr>
                <w:sz w:val="16"/>
                <w:szCs w:val="16"/>
              </w:rPr>
              <w:t>TBI patients admitted to hospital for&gt;24 hours</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UK</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77</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Discharge</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Extended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Nelson 2012</w:t>
            </w:r>
            <w:r w:rsidR="00155D84" w:rsidRPr="00C806D0">
              <w:rPr>
                <w:noProof/>
                <w:sz w:val="16"/>
                <w:szCs w:val="16"/>
                <w:vertAlign w:val="superscript"/>
              </w:rPr>
              <w:t>[</w:t>
            </w:r>
            <w:r w:rsidR="006D4D62" w:rsidRPr="00C806D0">
              <w:rPr>
                <w:noProof/>
                <w:sz w:val="16"/>
                <w:szCs w:val="16"/>
                <w:vertAlign w:val="superscript"/>
              </w:rPr>
              <w:t>61</w:t>
            </w:r>
            <w:r w:rsidR="00155D84" w:rsidRPr="00C806D0">
              <w:rPr>
                <w:noProof/>
                <w:sz w:val="16"/>
                <w:szCs w:val="16"/>
                <w:vertAlign w:val="superscript"/>
              </w:rPr>
              <w:t>]</w:t>
            </w:r>
          </w:p>
          <w:p w:rsidR="004442E4" w:rsidRPr="00C806D0" w:rsidRDefault="004442E4" w:rsidP="004442E4">
            <w:pPr>
              <w:pStyle w:val="NoSpacing"/>
              <w:ind w:left="360"/>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Randomised controlled trial</w:t>
            </w:r>
          </w:p>
          <w:p w:rsidR="004442E4" w:rsidRPr="00C806D0" w:rsidRDefault="004442E4" w:rsidP="004442E4">
            <w:pPr>
              <w:pStyle w:val="NoSpacing"/>
              <w:rPr>
                <w:sz w:val="16"/>
                <w:szCs w:val="16"/>
              </w:rPr>
            </w:pP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sz w:val="16"/>
                <w:szCs w:val="16"/>
              </w:rPr>
            </w:pPr>
            <w:r w:rsidRPr="00C806D0">
              <w:rPr>
                <w:sz w:val="16"/>
                <w:szCs w:val="16"/>
              </w:rPr>
              <w:t>Severe TBI</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Progesterone v current practice</w:t>
            </w:r>
          </w:p>
        </w:tc>
        <w:tc>
          <w:tcPr>
            <w:tcW w:w="384" w:type="pct"/>
            <w:tcBorders>
              <w:top w:val="nil"/>
              <w:left w:val="nil"/>
              <w:bottom w:val="nil"/>
              <w:right w:val="nil"/>
            </w:tcBorders>
          </w:tcPr>
          <w:p w:rsidR="004442E4" w:rsidRPr="00C806D0" w:rsidRDefault="004442E4" w:rsidP="00E34C7C">
            <w:pPr>
              <w:pStyle w:val="NoSpacing"/>
              <w:rPr>
                <w:sz w:val="16"/>
                <w:szCs w:val="16"/>
              </w:rPr>
            </w:pPr>
            <w:r w:rsidRPr="00C806D0">
              <w:rPr>
                <w:sz w:val="16"/>
                <w:szCs w:val="16"/>
              </w:rPr>
              <w:t>Multicentre</w:t>
            </w:r>
            <w:r w:rsidR="00E34C7C" w:rsidRPr="00C806D0">
              <w:rPr>
                <w:sz w:val="16"/>
                <w:szCs w:val="16"/>
              </w:rPr>
              <w:t>,</w:t>
            </w:r>
            <w:r w:rsidRPr="00C806D0">
              <w:rPr>
                <w:sz w:val="16"/>
                <w:szCs w:val="16"/>
              </w:rPr>
              <w:t xml:space="preserve"> international </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Ongoing</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 months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Ongoing SYNAPSE study</w:t>
            </w:r>
          </w:p>
        </w:tc>
      </w:tr>
      <w:tr w:rsidR="004442E4" w:rsidRPr="00C806D0" w:rsidTr="00E34C7C">
        <w:trPr>
          <w:cantSplit/>
          <w:trHeight w:val="465"/>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Ripley 2008</w:t>
            </w:r>
            <w:r w:rsidR="00155D84" w:rsidRPr="00C806D0">
              <w:rPr>
                <w:noProof/>
                <w:sz w:val="16"/>
                <w:szCs w:val="16"/>
                <w:vertAlign w:val="superscript"/>
              </w:rPr>
              <w:t>[</w:t>
            </w:r>
            <w:r w:rsidR="006D4D62" w:rsidRPr="00C806D0">
              <w:rPr>
                <w:noProof/>
                <w:sz w:val="16"/>
                <w:szCs w:val="16"/>
                <w:vertAlign w:val="superscript"/>
              </w:rPr>
              <w:t>62</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p w:rsidR="004442E4" w:rsidRPr="00C806D0" w:rsidRDefault="004442E4" w:rsidP="004442E4">
            <w:pPr>
              <w:pStyle w:val="NoSpacing"/>
              <w:rPr>
                <w:sz w:val="16"/>
                <w:szCs w:val="16"/>
              </w:rPr>
            </w:pP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sz w:val="16"/>
                <w:szCs w:val="16"/>
              </w:rPr>
            </w:pPr>
            <w:r w:rsidRPr="00C806D0">
              <w:rPr>
                <w:sz w:val="16"/>
                <w:szCs w:val="16"/>
              </w:rPr>
              <w:t>Female TBI patients requiring inpatient rehabilitation</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USA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2001-2005</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30</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1-3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SF-12</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STITCH</w:t>
            </w:r>
          </w:p>
          <w:p w:rsidR="004442E4" w:rsidRPr="00C806D0" w:rsidRDefault="004442E4" w:rsidP="004442E4">
            <w:pPr>
              <w:pStyle w:val="NoSpacing"/>
              <w:rPr>
                <w:sz w:val="16"/>
                <w:szCs w:val="16"/>
              </w:rPr>
            </w:pPr>
            <w:r w:rsidRPr="00C806D0">
              <w:rPr>
                <w:sz w:val="16"/>
                <w:szCs w:val="16"/>
              </w:rPr>
              <w:t>2010</w:t>
            </w:r>
            <w:r w:rsidR="00155D84" w:rsidRPr="00C806D0">
              <w:rPr>
                <w:noProof/>
                <w:sz w:val="16"/>
                <w:szCs w:val="16"/>
                <w:vertAlign w:val="superscript"/>
              </w:rPr>
              <w:t>[</w:t>
            </w:r>
            <w:r w:rsidR="006D4D62" w:rsidRPr="00C806D0">
              <w:rPr>
                <w:noProof/>
                <w:sz w:val="16"/>
                <w:szCs w:val="16"/>
                <w:vertAlign w:val="superscript"/>
              </w:rPr>
              <w:t>63</w:t>
            </w:r>
            <w:r w:rsidR="00155D84" w:rsidRPr="00C806D0">
              <w:rPr>
                <w:noProof/>
                <w:sz w:val="16"/>
                <w:szCs w:val="16"/>
                <w:vertAlign w:val="superscript"/>
              </w:rPr>
              <w:t>]</w:t>
            </w:r>
          </w:p>
          <w:p w:rsidR="004442E4" w:rsidRPr="00C806D0" w:rsidRDefault="004442E4" w:rsidP="004442E4">
            <w:pPr>
              <w:pStyle w:val="NoSpacing"/>
              <w:ind w:left="360"/>
              <w:rPr>
                <w:sz w:val="16"/>
                <w:szCs w:val="16"/>
              </w:rPr>
            </w:pPr>
          </w:p>
        </w:tc>
        <w:tc>
          <w:tcPr>
            <w:tcW w:w="416" w:type="pct"/>
            <w:tcBorders>
              <w:top w:val="nil"/>
              <w:left w:val="nil"/>
              <w:bottom w:val="nil"/>
              <w:right w:val="nil"/>
            </w:tcBorders>
          </w:tcPr>
          <w:p w:rsidR="004442E4" w:rsidRPr="00C806D0" w:rsidRDefault="004442E4" w:rsidP="004442E4">
            <w:pPr>
              <w:pStyle w:val="NoSpacing"/>
              <w:rPr>
                <w:rFonts w:ascii="Calibri" w:hAnsi="Calibri"/>
                <w:sz w:val="16"/>
                <w:szCs w:val="16"/>
              </w:rPr>
            </w:pPr>
            <w:r w:rsidRPr="00C806D0">
              <w:rPr>
                <w:rFonts w:ascii="Calibri" w:hAnsi="Calibri"/>
                <w:sz w:val="16"/>
                <w:szCs w:val="16"/>
              </w:rPr>
              <w:t>Randomised controlled trial</w:t>
            </w:r>
          </w:p>
          <w:p w:rsidR="004442E4" w:rsidRPr="00C806D0" w:rsidRDefault="004442E4" w:rsidP="004442E4">
            <w:pPr>
              <w:pStyle w:val="NoSpacing"/>
              <w:rPr>
                <w:rFonts w:ascii="Calibri" w:hAnsi="Calibri"/>
                <w:sz w:val="16"/>
                <w:szCs w:val="16"/>
              </w:rPr>
            </w:pP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S43EDDE"/>
                <w:sz w:val="16"/>
                <w:szCs w:val="16"/>
              </w:rPr>
            </w:pPr>
            <w:r w:rsidRPr="00C806D0">
              <w:rPr>
                <w:rFonts w:cs="AdvPS43EDDE"/>
                <w:sz w:val="16"/>
                <w:szCs w:val="16"/>
              </w:rPr>
              <w:t>TBI with intracerebral haematomas</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Surgical or conservative management</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UK</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2010-2012</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170</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 months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Extended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tc>
        <w:tc>
          <w:tcPr>
            <w:tcW w:w="48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Trial stopped due to poor recruitment</w:t>
            </w: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Temkin 2003</w:t>
            </w:r>
            <w:r w:rsidR="00155D84" w:rsidRPr="00C806D0">
              <w:rPr>
                <w:noProof/>
                <w:sz w:val="16"/>
                <w:szCs w:val="16"/>
                <w:vertAlign w:val="superscript"/>
              </w:rPr>
              <w:t>[</w:t>
            </w:r>
            <w:r w:rsidR="006D4D62" w:rsidRPr="00C806D0">
              <w:rPr>
                <w:noProof/>
                <w:sz w:val="16"/>
                <w:szCs w:val="16"/>
                <w:vertAlign w:val="superscript"/>
              </w:rPr>
              <w:t>64</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Moderate-severe TBI at high risk of post-traumatic seizures</w:t>
            </w:r>
          </w:p>
          <w:p w:rsidR="004442E4" w:rsidRPr="00C806D0" w:rsidRDefault="004442E4" w:rsidP="004442E4">
            <w:pPr>
              <w:autoSpaceDE w:val="0"/>
              <w:autoSpaceDN w:val="0"/>
              <w:adjustRightInd w:val="0"/>
              <w:spacing w:line="240" w:lineRule="auto"/>
              <w:rPr>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USA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1991-1994</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209</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3-5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lastRenderedPageBreak/>
              <w:t>Timofeev 2006</w:t>
            </w:r>
            <w:r w:rsidR="00155D84" w:rsidRPr="00C806D0">
              <w:rPr>
                <w:noProof/>
                <w:sz w:val="16"/>
                <w:szCs w:val="16"/>
                <w:vertAlign w:val="superscript"/>
              </w:rPr>
              <w:t>[</w:t>
            </w:r>
            <w:r w:rsidR="006D4D62" w:rsidRPr="00C806D0">
              <w:rPr>
                <w:noProof/>
                <w:sz w:val="16"/>
                <w:szCs w:val="16"/>
                <w:vertAlign w:val="superscript"/>
              </w:rPr>
              <w:t>65</w:t>
            </w:r>
            <w:r w:rsidR="00155D84" w:rsidRPr="00C806D0">
              <w:rPr>
                <w:noProof/>
                <w:sz w:val="16"/>
                <w:szCs w:val="16"/>
                <w:vertAlign w:val="superscript"/>
              </w:rPr>
              <w:t>]</w:t>
            </w:r>
          </w:p>
          <w:p w:rsidR="004442E4" w:rsidRPr="00C806D0" w:rsidRDefault="004442E4" w:rsidP="004442E4">
            <w:pPr>
              <w:pStyle w:val="NoSpacing"/>
              <w:ind w:left="360"/>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TBI patients undergoing decompressive craniectomy</w:t>
            </w:r>
          </w:p>
          <w:p w:rsidR="004442E4" w:rsidRPr="00C806D0" w:rsidRDefault="004442E4" w:rsidP="004442E4">
            <w:pPr>
              <w:autoSpaceDE w:val="0"/>
              <w:autoSpaceDN w:val="0"/>
              <w:adjustRightInd w:val="0"/>
              <w:spacing w:line="240" w:lineRule="auto"/>
              <w:rPr>
                <w:rFonts w:cs="AdvP49811"/>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n/s</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UK</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2000-2003</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49</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 months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Tomberg 2005</w:t>
            </w:r>
            <w:r w:rsidR="00155D84" w:rsidRPr="00C806D0">
              <w:rPr>
                <w:noProof/>
                <w:sz w:val="16"/>
                <w:szCs w:val="16"/>
                <w:vertAlign w:val="superscript"/>
              </w:rPr>
              <w:t>[</w:t>
            </w:r>
            <w:r w:rsidR="006D4D62" w:rsidRPr="00C806D0">
              <w:rPr>
                <w:noProof/>
                <w:sz w:val="16"/>
                <w:szCs w:val="16"/>
                <w:vertAlign w:val="superscript"/>
              </w:rPr>
              <w:t>66</w:t>
            </w:r>
            <w:r w:rsidR="00155D84" w:rsidRPr="00C806D0">
              <w:rPr>
                <w:noProof/>
                <w:sz w:val="16"/>
                <w:szCs w:val="16"/>
                <w:vertAlign w:val="superscript"/>
              </w:rPr>
              <w:t>]</w:t>
            </w:r>
          </w:p>
          <w:p w:rsidR="004442E4" w:rsidRPr="00C806D0" w:rsidRDefault="004442E4" w:rsidP="004442E4">
            <w:pPr>
              <w:pStyle w:val="NoSpacing"/>
              <w:ind w:left="360"/>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Moderate and severe TBI</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Estonia</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1996-1998</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85</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1-3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Townend 2001</w:t>
            </w:r>
            <w:r w:rsidR="00155D84" w:rsidRPr="00C806D0">
              <w:rPr>
                <w:noProof/>
                <w:sz w:val="16"/>
                <w:szCs w:val="16"/>
                <w:vertAlign w:val="superscript"/>
              </w:rPr>
              <w:t>[</w:t>
            </w:r>
            <w:r w:rsidR="006D4D62" w:rsidRPr="00C806D0">
              <w:rPr>
                <w:noProof/>
                <w:sz w:val="16"/>
                <w:szCs w:val="16"/>
                <w:vertAlign w:val="superscript"/>
              </w:rPr>
              <w:t>67</w:t>
            </w:r>
            <w:r w:rsidR="00155D84" w:rsidRPr="00C806D0">
              <w:rPr>
                <w:noProof/>
                <w:sz w:val="16"/>
                <w:szCs w:val="16"/>
                <w:vertAlign w:val="superscript"/>
              </w:rPr>
              <w:t>]</w:t>
            </w:r>
          </w:p>
          <w:p w:rsidR="004442E4" w:rsidRPr="00C806D0" w:rsidRDefault="004442E4" w:rsidP="004442E4">
            <w:pPr>
              <w:pStyle w:val="NoSpacing"/>
              <w:ind w:left="360"/>
              <w:rPr>
                <w:sz w:val="16"/>
                <w:szCs w:val="16"/>
              </w:rPr>
            </w:pP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49811"/>
                <w:sz w:val="16"/>
                <w:szCs w:val="16"/>
              </w:rPr>
            </w:pPr>
            <w:r w:rsidRPr="00C806D0">
              <w:rPr>
                <w:rFonts w:cs="AdvP49811"/>
                <w:sz w:val="16"/>
                <w:szCs w:val="16"/>
              </w:rPr>
              <w:t>Isolated mild to severe TBI</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UK</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121</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month</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EQ5D</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Ulfarsson 2013</w:t>
            </w:r>
            <w:r w:rsidR="00155D84" w:rsidRPr="00C806D0">
              <w:rPr>
                <w:noProof/>
                <w:sz w:val="16"/>
                <w:szCs w:val="16"/>
                <w:vertAlign w:val="superscript"/>
              </w:rPr>
              <w:t>[</w:t>
            </w:r>
            <w:r w:rsidR="006D4D62" w:rsidRPr="00C806D0">
              <w:rPr>
                <w:noProof/>
                <w:sz w:val="16"/>
                <w:szCs w:val="16"/>
                <w:vertAlign w:val="superscript"/>
              </w:rPr>
              <w:t>68</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rFonts w:ascii="Calibri" w:hAnsi="Calibri"/>
                <w:sz w:val="16"/>
                <w:szCs w:val="16"/>
              </w:rPr>
            </w:pPr>
            <w:r w:rsidRPr="00C806D0">
              <w:rPr>
                <w:rFonts w:ascii="Calibri" w:hAnsi="Calibri"/>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S43EDDE"/>
                <w:sz w:val="16"/>
                <w:szCs w:val="16"/>
              </w:rPr>
            </w:pPr>
            <w:r w:rsidRPr="00C806D0">
              <w:rPr>
                <w:rFonts w:cs="AdvPS43EDDE"/>
                <w:sz w:val="16"/>
                <w:szCs w:val="16"/>
              </w:rPr>
              <w:t>TBI with post-traumatic hypopituitarism</w:t>
            </w:r>
          </w:p>
          <w:p w:rsidR="004442E4" w:rsidRPr="00C806D0" w:rsidRDefault="004442E4" w:rsidP="004442E4">
            <w:pPr>
              <w:autoSpaceDE w:val="0"/>
              <w:autoSpaceDN w:val="0"/>
              <w:adjustRightInd w:val="0"/>
              <w:spacing w:line="240" w:lineRule="auto"/>
              <w:rPr>
                <w:rFonts w:cs="AdvP49811"/>
                <w:sz w:val="16"/>
                <w:szCs w:val="16"/>
              </w:rPr>
            </w:pP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Sweden</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1999-2001</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51</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2-10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Van Baalen 2006</w:t>
            </w:r>
            <w:r w:rsidR="00155D84" w:rsidRPr="00C806D0">
              <w:rPr>
                <w:noProof/>
                <w:sz w:val="16"/>
                <w:szCs w:val="16"/>
                <w:vertAlign w:val="superscript"/>
              </w:rPr>
              <w:t>[</w:t>
            </w:r>
            <w:r w:rsidR="006D4D62" w:rsidRPr="00C806D0">
              <w:rPr>
                <w:noProof/>
                <w:sz w:val="16"/>
                <w:szCs w:val="16"/>
                <w:vertAlign w:val="superscript"/>
              </w:rPr>
              <w:t>69</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rFonts w:ascii="Calibri" w:hAnsi="Calibri"/>
                <w:sz w:val="16"/>
                <w:szCs w:val="16"/>
              </w:rPr>
            </w:pPr>
            <w:r w:rsidRPr="00C806D0">
              <w:rPr>
                <w:rFonts w:ascii="Calibri" w:hAnsi="Calibri"/>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S43EDDE"/>
                <w:sz w:val="16"/>
                <w:szCs w:val="16"/>
              </w:rPr>
            </w:pPr>
            <w:r w:rsidRPr="00C806D0">
              <w:rPr>
                <w:rFonts w:cs="AdvPS43EDDE"/>
                <w:sz w:val="16"/>
                <w:szCs w:val="16"/>
              </w:rPr>
              <w:t>Moderate and severe TBI</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Netherlands</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25</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Hospital discharge and 1 year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p w:rsidR="004442E4" w:rsidRPr="00C806D0" w:rsidRDefault="004442E4" w:rsidP="004442E4">
            <w:pPr>
              <w:pStyle w:val="NoSpacing"/>
              <w:rPr>
                <w:sz w:val="16"/>
                <w:szCs w:val="16"/>
              </w:rPr>
            </w:pPr>
            <w:r w:rsidRPr="00C806D0">
              <w:rPr>
                <w:sz w:val="16"/>
                <w:szCs w:val="16"/>
              </w:rPr>
              <w:t>Extended GOS</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Van Baalen 2010</w:t>
            </w:r>
            <w:r w:rsidR="00155D84" w:rsidRPr="00C806D0">
              <w:rPr>
                <w:noProof/>
                <w:sz w:val="16"/>
                <w:szCs w:val="16"/>
                <w:vertAlign w:val="superscript"/>
              </w:rPr>
              <w:t>[</w:t>
            </w:r>
            <w:r w:rsidR="006D4D62" w:rsidRPr="00C806D0">
              <w:rPr>
                <w:noProof/>
                <w:sz w:val="16"/>
                <w:szCs w:val="16"/>
                <w:vertAlign w:val="superscript"/>
              </w:rPr>
              <w:t>70</w:t>
            </w:r>
            <w:r w:rsidR="00155D84" w:rsidRPr="00C806D0">
              <w:rPr>
                <w:noProof/>
                <w:sz w:val="16"/>
                <w:szCs w:val="16"/>
                <w:vertAlign w:val="superscript"/>
              </w:rPr>
              <w:t>]</w:t>
            </w:r>
          </w:p>
          <w:p w:rsidR="004442E4" w:rsidRPr="00C806D0" w:rsidRDefault="004442E4" w:rsidP="004442E4">
            <w:pPr>
              <w:pStyle w:val="NoSpacing"/>
              <w:ind w:left="360"/>
              <w:rPr>
                <w:sz w:val="16"/>
                <w:szCs w:val="16"/>
              </w:rPr>
            </w:pPr>
          </w:p>
        </w:tc>
        <w:tc>
          <w:tcPr>
            <w:tcW w:w="416" w:type="pct"/>
            <w:tcBorders>
              <w:top w:val="nil"/>
              <w:left w:val="nil"/>
              <w:bottom w:val="nil"/>
              <w:right w:val="nil"/>
            </w:tcBorders>
          </w:tcPr>
          <w:p w:rsidR="004442E4" w:rsidRPr="00C806D0" w:rsidRDefault="004442E4" w:rsidP="004442E4">
            <w:pPr>
              <w:pStyle w:val="NoSpacing"/>
              <w:rPr>
                <w:rFonts w:ascii="Calibri" w:hAnsi="Calibri"/>
                <w:sz w:val="16"/>
                <w:szCs w:val="16"/>
              </w:rPr>
            </w:pPr>
            <w:r w:rsidRPr="00C806D0">
              <w:rPr>
                <w:rFonts w:ascii="Calibri" w:hAnsi="Calibri"/>
                <w:sz w:val="16"/>
                <w:szCs w:val="16"/>
              </w:rPr>
              <w:t>Cohort study</w:t>
            </w:r>
          </w:p>
          <w:p w:rsidR="004442E4" w:rsidRPr="00C806D0" w:rsidRDefault="004442E4" w:rsidP="004442E4">
            <w:pPr>
              <w:pStyle w:val="NoSpacing"/>
              <w:rPr>
                <w:rFonts w:ascii="Calibri" w:hAnsi="Calibri"/>
                <w:sz w:val="16"/>
                <w:szCs w:val="16"/>
              </w:rPr>
            </w:pP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S43EDDE"/>
                <w:sz w:val="16"/>
                <w:szCs w:val="16"/>
              </w:rPr>
            </w:pPr>
            <w:r w:rsidRPr="00C806D0">
              <w:rPr>
                <w:rFonts w:cs="AdvPS43EDDE"/>
                <w:sz w:val="16"/>
                <w:szCs w:val="16"/>
              </w:rPr>
              <w:t>Moderate and severe TBI</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Netherlands</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126</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 year</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Von Elm 2008</w:t>
            </w:r>
            <w:r w:rsidR="00155D84" w:rsidRPr="00C806D0">
              <w:rPr>
                <w:noProof/>
                <w:sz w:val="16"/>
                <w:szCs w:val="16"/>
                <w:vertAlign w:val="superscript"/>
              </w:rPr>
              <w:t>[</w:t>
            </w:r>
            <w:r w:rsidR="006D4D62" w:rsidRPr="00C806D0">
              <w:rPr>
                <w:noProof/>
                <w:sz w:val="16"/>
                <w:szCs w:val="16"/>
                <w:vertAlign w:val="superscript"/>
              </w:rPr>
              <w:t>71</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rFonts w:ascii="Calibri" w:hAnsi="Calibri"/>
                <w:sz w:val="16"/>
                <w:szCs w:val="16"/>
              </w:rPr>
            </w:pPr>
            <w:r w:rsidRPr="00C806D0">
              <w:rPr>
                <w:rFonts w:ascii="Calibri" w:hAnsi="Calibri"/>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S43EDDE"/>
                <w:sz w:val="16"/>
                <w:szCs w:val="16"/>
              </w:rPr>
            </w:pPr>
            <w:r w:rsidRPr="00C806D0">
              <w:rPr>
                <w:rFonts w:cs="AdvPS43EDDE"/>
                <w:sz w:val="16"/>
                <w:szCs w:val="16"/>
              </w:rPr>
              <w:t>Severe TBI</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Switzerland</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2005</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101</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 months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 xml:space="preserve">Extended GOS </w:t>
            </w:r>
          </w:p>
          <w:p w:rsidR="004442E4" w:rsidRPr="00C806D0" w:rsidRDefault="004442E4" w:rsidP="004442E4">
            <w:pPr>
              <w:pStyle w:val="NoSpacing"/>
              <w:rPr>
                <w:sz w:val="16"/>
                <w:szCs w:val="16"/>
              </w:rPr>
            </w:pP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SF-12</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Von Steinbuchel 2010</w:t>
            </w:r>
            <w:r w:rsidR="00155D84" w:rsidRPr="00C806D0">
              <w:rPr>
                <w:noProof/>
                <w:sz w:val="16"/>
                <w:szCs w:val="16"/>
                <w:vertAlign w:val="superscript"/>
              </w:rPr>
              <w:t>[</w:t>
            </w:r>
            <w:r w:rsidR="006D4D62" w:rsidRPr="00C806D0">
              <w:rPr>
                <w:noProof/>
                <w:sz w:val="16"/>
                <w:szCs w:val="16"/>
                <w:vertAlign w:val="superscript"/>
              </w:rPr>
              <w:t>72</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rFonts w:ascii="Calibri" w:hAnsi="Calibri"/>
                <w:sz w:val="16"/>
                <w:szCs w:val="16"/>
              </w:rPr>
            </w:pPr>
            <w:r w:rsidRPr="00C806D0">
              <w:rPr>
                <w:rFonts w:ascii="Calibri" w:hAnsi="Calibri"/>
                <w:sz w:val="16"/>
                <w:szCs w:val="16"/>
              </w:rPr>
              <w:t xml:space="preserve">Cross sectional study </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S43EDDE"/>
                <w:sz w:val="16"/>
                <w:szCs w:val="16"/>
              </w:rPr>
            </w:pPr>
            <w:r w:rsidRPr="00C806D0">
              <w:rPr>
                <w:rFonts w:cs="AdvPS43EDDE"/>
                <w:sz w:val="16"/>
                <w:szCs w:val="16"/>
              </w:rPr>
              <w:t>Mild to severe TBI with GOSE&gt;2</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Netherlands, UK, Finland, France, Germany, Italy</w:t>
            </w:r>
          </w:p>
          <w:p w:rsidR="004442E4" w:rsidRPr="00C806D0" w:rsidRDefault="004442E4" w:rsidP="004442E4">
            <w:pPr>
              <w:pStyle w:val="NoSpacing"/>
              <w:rPr>
                <w:sz w:val="16"/>
                <w:szCs w:val="16"/>
              </w:rPr>
            </w:pP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795</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3 months to 15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Extended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Wilson 2000</w:t>
            </w:r>
            <w:r w:rsidR="00155D84" w:rsidRPr="00C806D0">
              <w:rPr>
                <w:noProof/>
                <w:sz w:val="16"/>
                <w:szCs w:val="16"/>
                <w:vertAlign w:val="superscript"/>
              </w:rPr>
              <w:t>[</w:t>
            </w:r>
            <w:r w:rsidR="006D4D62" w:rsidRPr="00C806D0">
              <w:rPr>
                <w:noProof/>
                <w:sz w:val="16"/>
                <w:szCs w:val="16"/>
                <w:vertAlign w:val="superscript"/>
              </w:rPr>
              <w:t>73</w:t>
            </w:r>
            <w:r w:rsidR="00155D84" w:rsidRPr="00C806D0">
              <w:rPr>
                <w:noProof/>
                <w:sz w:val="16"/>
                <w:szCs w:val="16"/>
                <w:vertAlign w:val="superscript"/>
              </w:rPr>
              <w:t>]</w:t>
            </w:r>
            <w:r w:rsidRPr="00C806D0">
              <w:rPr>
                <w:sz w:val="16"/>
                <w:szCs w:val="16"/>
              </w:rPr>
              <w:t>`</w:t>
            </w:r>
          </w:p>
        </w:tc>
        <w:tc>
          <w:tcPr>
            <w:tcW w:w="416" w:type="pct"/>
            <w:tcBorders>
              <w:top w:val="nil"/>
              <w:left w:val="nil"/>
              <w:bottom w:val="nil"/>
              <w:right w:val="nil"/>
            </w:tcBorders>
          </w:tcPr>
          <w:p w:rsidR="004442E4" w:rsidRPr="00C806D0" w:rsidRDefault="004442E4" w:rsidP="004442E4">
            <w:pPr>
              <w:pStyle w:val="NoSpacing"/>
              <w:rPr>
                <w:rFonts w:ascii="Calibri" w:hAnsi="Calibri"/>
                <w:sz w:val="16"/>
                <w:szCs w:val="16"/>
              </w:rPr>
            </w:pPr>
            <w:r w:rsidRPr="00C806D0">
              <w:rPr>
                <w:rFonts w:ascii="Calibri" w:hAnsi="Calibri"/>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S43EDDE"/>
                <w:sz w:val="16"/>
                <w:szCs w:val="16"/>
              </w:rPr>
            </w:pPr>
            <w:r w:rsidRPr="00C806D0">
              <w:rPr>
                <w:rFonts w:cs="AdvPS43EDDE"/>
                <w:sz w:val="16"/>
                <w:szCs w:val="16"/>
              </w:rPr>
              <w:t>TBI admitted to specialist neuroscience centre</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UK</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NR</w:t>
            </w: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135</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 months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p w:rsidR="004442E4" w:rsidRPr="00C806D0" w:rsidRDefault="004442E4" w:rsidP="004442E4">
            <w:pPr>
              <w:pStyle w:val="NoSpacing"/>
              <w:rPr>
                <w:sz w:val="16"/>
                <w:szCs w:val="16"/>
              </w:rPr>
            </w:pPr>
            <w:r w:rsidRPr="00C806D0">
              <w:rPr>
                <w:sz w:val="16"/>
                <w:szCs w:val="16"/>
              </w:rPr>
              <w:t>Extended GOS</w:t>
            </w:r>
          </w:p>
          <w:p w:rsidR="004442E4" w:rsidRPr="00C806D0" w:rsidRDefault="004442E4" w:rsidP="004442E4">
            <w:pPr>
              <w:pStyle w:val="NoSpacing"/>
              <w:rPr>
                <w:sz w:val="16"/>
                <w:szCs w:val="16"/>
              </w:rPr>
            </w:pP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SF-36</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nil"/>
              <w:right w:val="nil"/>
            </w:tcBorders>
          </w:tcPr>
          <w:p w:rsidR="004442E4" w:rsidRPr="00C806D0" w:rsidRDefault="004442E4" w:rsidP="006D4D62">
            <w:pPr>
              <w:pStyle w:val="NoSpacing"/>
              <w:rPr>
                <w:sz w:val="16"/>
                <w:szCs w:val="16"/>
              </w:rPr>
            </w:pPr>
            <w:r w:rsidRPr="00C806D0">
              <w:rPr>
                <w:sz w:val="16"/>
                <w:szCs w:val="16"/>
              </w:rPr>
              <w:t>Zeckey 2011</w:t>
            </w:r>
            <w:r w:rsidR="00155D84" w:rsidRPr="00C806D0">
              <w:rPr>
                <w:noProof/>
                <w:sz w:val="16"/>
                <w:szCs w:val="16"/>
                <w:vertAlign w:val="superscript"/>
              </w:rPr>
              <w:t>[</w:t>
            </w:r>
            <w:r w:rsidR="006D4D62" w:rsidRPr="00C806D0">
              <w:rPr>
                <w:noProof/>
                <w:sz w:val="16"/>
                <w:szCs w:val="16"/>
                <w:vertAlign w:val="superscript"/>
              </w:rPr>
              <w:t>74</w:t>
            </w:r>
            <w:r w:rsidR="00155D84" w:rsidRPr="00C806D0">
              <w:rPr>
                <w:noProof/>
                <w:sz w:val="16"/>
                <w:szCs w:val="16"/>
                <w:vertAlign w:val="superscript"/>
              </w:rPr>
              <w:t>]</w:t>
            </w:r>
          </w:p>
        </w:tc>
        <w:tc>
          <w:tcPr>
            <w:tcW w:w="416" w:type="pct"/>
            <w:tcBorders>
              <w:top w:val="nil"/>
              <w:left w:val="nil"/>
              <w:bottom w:val="nil"/>
              <w:right w:val="nil"/>
            </w:tcBorders>
          </w:tcPr>
          <w:p w:rsidR="004442E4" w:rsidRPr="00C806D0" w:rsidRDefault="004442E4" w:rsidP="004442E4">
            <w:pPr>
              <w:pStyle w:val="NoSpacing"/>
              <w:rPr>
                <w:rFonts w:ascii="Calibri" w:hAnsi="Calibri"/>
                <w:sz w:val="16"/>
                <w:szCs w:val="16"/>
              </w:rPr>
            </w:pPr>
            <w:r w:rsidRPr="00C806D0">
              <w:rPr>
                <w:rFonts w:ascii="Calibri" w:hAnsi="Calibri"/>
                <w:sz w:val="16"/>
                <w:szCs w:val="16"/>
              </w:rPr>
              <w:t>Cohort study</w:t>
            </w:r>
          </w:p>
        </w:tc>
        <w:tc>
          <w:tcPr>
            <w:tcW w:w="915" w:type="pct"/>
            <w:tcBorders>
              <w:top w:val="nil"/>
              <w:left w:val="nil"/>
              <w:bottom w:val="nil"/>
              <w:right w:val="nil"/>
            </w:tcBorders>
          </w:tcPr>
          <w:p w:rsidR="004442E4" w:rsidRPr="00C806D0" w:rsidRDefault="004442E4" w:rsidP="004442E4">
            <w:pPr>
              <w:autoSpaceDE w:val="0"/>
              <w:autoSpaceDN w:val="0"/>
              <w:adjustRightInd w:val="0"/>
              <w:spacing w:line="240" w:lineRule="auto"/>
              <w:rPr>
                <w:rFonts w:cs="AdvPS43EDDE"/>
                <w:sz w:val="16"/>
                <w:szCs w:val="16"/>
              </w:rPr>
            </w:pPr>
            <w:r w:rsidRPr="00C806D0">
              <w:rPr>
                <w:rFonts w:cs="AdvPS43EDDE"/>
                <w:sz w:val="16"/>
                <w:szCs w:val="16"/>
              </w:rPr>
              <w:t>Multiple trauma patients with moderate and severe TBI</w:t>
            </w:r>
          </w:p>
        </w:tc>
        <w:tc>
          <w:tcPr>
            <w:tcW w:w="62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n/a</w:t>
            </w:r>
          </w:p>
        </w:tc>
        <w:tc>
          <w:tcPr>
            <w:tcW w:w="38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Germany</w:t>
            </w:r>
          </w:p>
        </w:tc>
        <w:tc>
          <w:tcPr>
            <w:tcW w:w="344"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1973-1990</w:t>
            </w:r>
          </w:p>
          <w:p w:rsidR="004442E4" w:rsidRPr="00C806D0" w:rsidRDefault="004442E4" w:rsidP="004442E4">
            <w:pPr>
              <w:pStyle w:val="NoSpacing"/>
              <w:rPr>
                <w:sz w:val="16"/>
                <w:szCs w:val="16"/>
              </w:rPr>
            </w:pPr>
          </w:p>
        </w:tc>
        <w:tc>
          <w:tcPr>
            <w:tcW w:w="205"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620</w:t>
            </w:r>
          </w:p>
        </w:tc>
        <w:tc>
          <w:tcPr>
            <w:tcW w:w="416"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10-23 years</w:t>
            </w:r>
          </w:p>
        </w:tc>
        <w:tc>
          <w:tcPr>
            <w:tcW w:w="377"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Basic GOS</w:t>
            </w:r>
          </w:p>
        </w:tc>
        <w:tc>
          <w:tcPr>
            <w:tcW w:w="451" w:type="pct"/>
            <w:tcBorders>
              <w:top w:val="nil"/>
              <w:left w:val="nil"/>
              <w:bottom w:val="nil"/>
              <w:right w:val="nil"/>
            </w:tcBorders>
          </w:tcPr>
          <w:p w:rsidR="004442E4" w:rsidRPr="00C806D0" w:rsidRDefault="004442E4" w:rsidP="004442E4">
            <w:pPr>
              <w:pStyle w:val="NoSpacing"/>
              <w:rPr>
                <w:sz w:val="16"/>
                <w:szCs w:val="16"/>
              </w:rPr>
            </w:pPr>
            <w:r w:rsidRPr="00C806D0">
              <w:rPr>
                <w:sz w:val="16"/>
                <w:szCs w:val="16"/>
              </w:rPr>
              <w:t>SF-12</w:t>
            </w:r>
          </w:p>
        </w:tc>
        <w:tc>
          <w:tcPr>
            <w:tcW w:w="486" w:type="pct"/>
            <w:tcBorders>
              <w:top w:val="nil"/>
              <w:left w:val="nil"/>
              <w:bottom w:val="nil"/>
              <w:right w:val="nil"/>
            </w:tcBorders>
          </w:tcPr>
          <w:p w:rsidR="004442E4" w:rsidRPr="00C806D0" w:rsidRDefault="004442E4" w:rsidP="004442E4">
            <w:pPr>
              <w:pStyle w:val="NoSpacing"/>
              <w:rPr>
                <w:sz w:val="16"/>
                <w:szCs w:val="16"/>
              </w:rPr>
            </w:pPr>
          </w:p>
        </w:tc>
      </w:tr>
      <w:tr w:rsidR="004442E4" w:rsidRPr="00C806D0" w:rsidTr="00E34C7C">
        <w:trPr>
          <w:cantSplit/>
          <w:trHeight w:val="74"/>
        </w:trPr>
        <w:tc>
          <w:tcPr>
            <w:tcW w:w="382" w:type="pct"/>
            <w:tcBorders>
              <w:top w:val="nil"/>
              <w:left w:val="nil"/>
              <w:bottom w:val="single" w:sz="4" w:space="0" w:color="auto"/>
              <w:right w:val="nil"/>
            </w:tcBorders>
          </w:tcPr>
          <w:p w:rsidR="004442E4" w:rsidRPr="00C806D0" w:rsidRDefault="004442E4" w:rsidP="004442E4">
            <w:pPr>
              <w:pStyle w:val="NoSpacing"/>
              <w:rPr>
                <w:sz w:val="16"/>
                <w:szCs w:val="16"/>
              </w:rPr>
            </w:pPr>
          </w:p>
        </w:tc>
        <w:tc>
          <w:tcPr>
            <w:tcW w:w="416" w:type="pct"/>
            <w:tcBorders>
              <w:top w:val="nil"/>
              <w:left w:val="nil"/>
              <w:bottom w:val="single" w:sz="4" w:space="0" w:color="auto"/>
              <w:right w:val="nil"/>
            </w:tcBorders>
          </w:tcPr>
          <w:p w:rsidR="004442E4" w:rsidRPr="00C806D0" w:rsidRDefault="004442E4" w:rsidP="004442E4">
            <w:pPr>
              <w:pStyle w:val="NoSpacing"/>
              <w:rPr>
                <w:rFonts w:ascii="Calibri" w:hAnsi="Calibri"/>
                <w:sz w:val="16"/>
                <w:szCs w:val="16"/>
              </w:rPr>
            </w:pPr>
          </w:p>
        </w:tc>
        <w:tc>
          <w:tcPr>
            <w:tcW w:w="915" w:type="pct"/>
            <w:tcBorders>
              <w:top w:val="nil"/>
              <w:left w:val="nil"/>
              <w:bottom w:val="single" w:sz="4" w:space="0" w:color="auto"/>
              <w:right w:val="nil"/>
            </w:tcBorders>
          </w:tcPr>
          <w:p w:rsidR="004442E4" w:rsidRPr="00C806D0" w:rsidRDefault="004442E4" w:rsidP="004442E4">
            <w:pPr>
              <w:autoSpaceDE w:val="0"/>
              <w:autoSpaceDN w:val="0"/>
              <w:adjustRightInd w:val="0"/>
              <w:spacing w:line="240" w:lineRule="auto"/>
              <w:rPr>
                <w:rFonts w:cs="AdvPS43EDDE"/>
                <w:sz w:val="16"/>
                <w:szCs w:val="16"/>
              </w:rPr>
            </w:pPr>
          </w:p>
        </w:tc>
        <w:tc>
          <w:tcPr>
            <w:tcW w:w="624" w:type="pct"/>
            <w:tcBorders>
              <w:top w:val="nil"/>
              <w:left w:val="nil"/>
              <w:bottom w:val="single" w:sz="4" w:space="0" w:color="auto"/>
              <w:right w:val="nil"/>
            </w:tcBorders>
          </w:tcPr>
          <w:p w:rsidR="004442E4" w:rsidRPr="00C806D0" w:rsidRDefault="004442E4" w:rsidP="004442E4">
            <w:pPr>
              <w:pStyle w:val="NoSpacing"/>
              <w:rPr>
                <w:sz w:val="16"/>
                <w:szCs w:val="16"/>
              </w:rPr>
            </w:pPr>
          </w:p>
        </w:tc>
        <w:tc>
          <w:tcPr>
            <w:tcW w:w="384" w:type="pct"/>
            <w:tcBorders>
              <w:top w:val="nil"/>
              <w:left w:val="nil"/>
              <w:bottom w:val="single" w:sz="4" w:space="0" w:color="auto"/>
              <w:right w:val="nil"/>
            </w:tcBorders>
          </w:tcPr>
          <w:p w:rsidR="004442E4" w:rsidRPr="00C806D0" w:rsidRDefault="004442E4" w:rsidP="004442E4">
            <w:pPr>
              <w:pStyle w:val="NoSpacing"/>
              <w:rPr>
                <w:sz w:val="16"/>
                <w:szCs w:val="16"/>
              </w:rPr>
            </w:pPr>
          </w:p>
        </w:tc>
        <w:tc>
          <w:tcPr>
            <w:tcW w:w="344" w:type="pct"/>
            <w:tcBorders>
              <w:top w:val="nil"/>
              <w:left w:val="nil"/>
              <w:bottom w:val="single" w:sz="4" w:space="0" w:color="auto"/>
              <w:right w:val="nil"/>
            </w:tcBorders>
          </w:tcPr>
          <w:p w:rsidR="004442E4" w:rsidRPr="00C806D0" w:rsidRDefault="004442E4" w:rsidP="004442E4">
            <w:pPr>
              <w:pStyle w:val="NoSpacing"/>
              <w:rPr>
                <w:sz w:val="16"/>
                <w:szCs w:val="16"/>
              </w:rPr>
            </w:pPr>
          </w:p>
        </w:tc>
        <w:tc>
          <w:tcPr>
            <w:tcW w:w="205" w:type="pct"/>
            <w:tcBorders>
              <w:top w:val="nil"/>
              <w:left w:val="nil"/>
              <w:bottom w:val="single" w:sz="4" w:space="0" w:color="auto"/>
              <w:right w:val="nil"/>
            </w:tcBorders>
          </w:tcPr>
          <w:p w:rsidR="004442E4" w:rsidRPr="00C806D0" w:rsidRDefault="004442E4" w:rsidP="004442E4">
            <w:pPr>
              <w:pStyle w:val="NoSpacing"/>
              <w:rPr>
                <w:sz w:val="16"/>
                <w:szCs w:val="16"/>
              </w:rPr>
            </w:pPr>
          </w:p>
        </w:tc>
        <w:tc>
          <w:tcPr>
            <w:tcW w:w="416" w:type="pct"/>
            <w:tcBorders>
              <w:top w:val="nil"/>
              <w:left w:val="nil"/>
              <w:bottom w:val="single" w:sz="4" w:space="0" w:color="auto"/>
              <w:right w:val="nil"/>
            </w:tcBorders>
          </w:tcPr>
          <w:p w:rsidR="004442E4" w:rsidRPr="00C806D0" w:rsidRDefault="004442E4" w:rsidP="004442E4">
            <w:pPr>
              <w:pStyle w:val="NoSpacing"/>
              <w:rPr>
                <w:sz w:val="16"/>
                <w:szCs w:val="16"/>
              </w:rPr>
            </w:pPr>
          </w:p>
        </w:tc>
        <w:tc>
          <w:tcPr>
            <w:tcW w:w="377" w:type="pct"/>
            <w:tcBorders>
              <w:top w:val="nil"/>
              <w:left w:val="nil"/>
              <w:bottom w:val="single" w:sz="4" w:space="0" w:color="auto"/>
              <w:right w:val="nil"/>
            </w:tcBorders>
          </w:tcPr>
          <w:p w:rsidR="004442E4" w:rsidRPr="00C806D0" w:rsidRDefault="004442E4" w:rsidP="004442E4">
            <w:pPr>
              <w:pStyle w:val="NoSpacing"/>
              <w:rPr>
                <w:sz w:val="16"/>
                <w:szCs w:val="16"/>
              </w:rPr>
            </w:pPr>
          </w:p>
        </w:tc>
        <w:tc>
          <w:tcPr>
            <w:tcW w:w="451" w:type="pct"/>
            <w:tcBorders>
              <w:top w:val="nil"/>
              <w:left w:val="nil"/>
              <w:bottom w:val="single" w:sz="4" w:space="0" w:color="auto"/>
              <w:right w:val="nil"/>
            </w:tcBorders>
          </w:tcPr>
          <w:p w:rsidR="004442E4" w:rsidRPr="00C806D0" w:rsidRDefault="004442E4" w:rsidP="004442E4">
            <w:pPr>
              <w:pStyle w:val="NoSpacing"/>
              <w:rPr>
                <w:sz w:val="16"/>
                <w:szCs w:val="16"/>
              </w:rPr>
            </w:pPr>
          </w:p>
        </w:tc>
        <w:tc>
          <w:tcPr>
            <w:tcW w:w="486" w:type="pct"/>
            <w:tcBorders>
              <w:top w:val="nil"/>
              <w:left w:val="nil"/>
              <w:bottom w:val="single" w:sz="4" w:space="0" w:color="auto"/>
              <w:right w:val="nil"/>
            </w:tcBorders>
          </w:tcPr>
          <w:p w:rsidR="004442E4" w:rsidRPr="00C806D0" w:rsidRDefault="004442E4" w:rsidP="004442E4">
            <w:pPr>
              <w:pStyle w:val="NoSpacing"/>
              <w:rPr>
                <w:sz w:val="16"/>
                <w:szCs w:val="16"/>
              </w:rPr>
            </w:pPr>
          </w:p>
        </w:tc>
      </w:tr>
    </w:tbl>
    <w:p w:rsidR="004442E4" w:rsidRPr="00C806D0" w:rsidRDefault="004442E4" w:rsidP="004442E4"/>
    <w:p w:rsidR="004442E4" w:rsidRPr="00C806D0" w:rsidRDefault="004442E4" w:rsidP="004442E4"/>
    <w:p w:rsidR="004442E4" w:rsidRPr="00C806D0" w:rsidRDefault="004442E4" w:rsidP="002A360F">
      <w:pPr>
        <w:pStyle w:val="Heading3"/>
      </w:pPr>
      <w:r w:rsidRPr="00C806D0">
        <w:lastRenderedPageBreak/>
        <w:t xml:space="preserve">Detailed risk of bias assessments for included GOS HSPW studies </w:t>
      </w:r>
    </w:p>
    <w:p w:rsidR="004442E4" w:rsidRPr="00C806D0" w:rsidRDefault="004442E4" w:rsidP="004442E4">
      <w:pPr>
        <w:rPr>
          <w:b/>
        </w:rPr>
      </w:pPr>
      <w:r w:rsidRPr="00C806D0">
        <w:rPr>
          <w:b/>
        </w:rPr>
        <w:t>Table F7. Risk of bias assessment for Kosty 2012 study</w:t>
      </w:r>
    </w:p>
    <w:tbl>
      <w:tblPr>
        <w:tblStyle w:val="TableGrid"/>
        <w:tblW w:w="0" w:type="auto"/>
        <w:tblLook w:val="04A0" w:firstRow="1" w:lastRow="0" w:firstColumn="1" w:lastColumn="0" w:noHBand="0" w:noVBand="1"/>
      </w:tblPr>
      <w:tblGrid>
        <w:gridCol w:w="1382"/>
        <w:gridCol w:w="2580"/>
        <w:gridCol w:w="3030"/>
        <w:gridCol w:w="2677"/>
        <w:gridCol w:w="3254"/>
        <w:gridCol w:w="1863"/>
      </w:tblGrid>
      <w:tr w:rsidR="004442E4" w:rsidRPr="00C806D0" w:rsidTr="004442E4">
        <w:trPr>
          <w:trHeight w:val="274"/>
        </w:trPr>
        <w:tc>
          <w:tcPr>
            <w:tcW w:w="0" w:type="auto"/>
            <w:gridSpan w:val="6"/>
            <w:tcBorders>
              <w:left w:val="nil"/>
              <w:bottom w:val="nil"/>
              <w:right w:val="nil"/>
            </w:tcBorders>
            <w:shd w:val="clear" w:color="auto" w:fill="auto"/>
          </w:tcPr>
          <w:p w:rsidR="004442E4" w:rsidRPr="00C806D0" w:rsidRDefault="004442E4" w:rsidP="006D4D62">
            <w:pPr>
              <w:pStyle w:val="ListParagraph"/>
              <w:ind w:left="360"/>
              <w:jc w:val="center"/>
              <w:rPr>
                <w:b/>
                <w:sz w:val="20"/>
                <w:szCs w:val="20"/>
                <w:vertAlign w:val="superscript"/>
              </w:rPr>
            </w:pPr>
            <w:r w:rsidRPr="00C806D0">
              <w:rPr>
                <w:b/>
                <w:sz w:val="20"/>
                <w:szCs w:val="20"/>
              </w:rPr>
              <w:t>Kosty 2012</w:t>
            </w:r>
            <w:r w:rsidR="00155D84" w:rsidRPr="00C806D0">
              <w:rPr>
                <w:b/>
                <w:noProof/>
                <w:sz w:val="20"/>
                <w:szCs w:val="20"/>
                <w:vertAlign w:val="superscript"/>
              </w:rPr>
              <w:t>[</w:t>
            </w:r>
            <w:r w:rsidR="006D4D62" w:rsidRPr="00C806D0">
              <w:rPr>
                <w:b/>
                <w:noProof/>
                <w:sz w:val="20"/>
                <w:szCs w:val="20"/>
                <w:vertAlign w:val="superscript"/>
              </w:rPr>
              <w:t>75</w:t>
            </w:r>
            <w:r w:rsidR="00155D84" w:rsidRPr="00C806D0">
              <w:rPr>
                <w:b/>
                <w:noProof/>
                <w:sz w:val="20"/>
                <w:szCs w:val="20"/>
                <w:vertAlign w:val="superscript"/>
              </w:rPr>
              <w:t>]</w:t>
            </w:r>
          </w:p>
        </w:tc>
      </w:tr>
      <w:tr w:rsidR="004442E4" w:rsidRPr="00C806D0" w:rsidTr="004442E4">
        <w:trPr>
          <w:trHeight w:val="274"/>
        </w:trPr>
        <w:tc>
          <w:tcPr>
            <w:tcW w:w="0" w:type="auto"/>
            <w:tcBorders>
              <w:left w:val="nil"/>
              <w:bottom w:val="nil"/>
              <w:right w:val="nil"/>
            </w:tcBorders>
          </w:tcPr>
          <w:p w:rsidR="004442E4" w:rsidRPr="00C806D0" w:rsidRDefault="004442E4" w:rsidP="004442E4">
            <w:pPr>
              <w:jc w:val="center"/>
              <w:rPr>
                <w:b/>
                <w:sz w:val="20"/>
                <w:szCs w:val="20"/>
              </w:rPr>
            </w:pPr>
          </w:p>
        </w:tc>
        <w:tc>
          <w:tcPr>
            <w:tcW w:w="0" w:type="auto"/>
            <w:gridSpan w:val="2"/>
            <w:tcBorders>
              <w:left w:val="nil"/>
              <w:bottom w:val="nil"/>
              <w:right w:val="nil"/>
            </w:tcBorders>
          </w:tcPr>
          <w:p w:rsidR="004442E4" w:rsidRPr="00C806D0" w:rsidRDefault="004442E4" w:rsidP="004442E4">
            <w:pPr>
              <w:jc w:val="center"/>
              <w:rPr>
                <w:b/>
                <w:sz w:val="20"/>
                <w:szCs w:val="20"/>
              </w:rPr>
            </w:pPr>
            <w:r w:rsidRPr="00C806D0">
              <w:rPr>
                <w:b/>
                <w:sz w:val="20"/>
                <w:szCs w:val="20"/>
              </w:rPr>
              <w:t>Health state description &amp; measurement</w:t>
            </w:r>
          </w:p>
        </w:tc>
        <w:tc>
          <w:tcPr>
            <w:tcW w:w="0" w:type="auto"/>
            <w:gridSpan w:val="2"/>
            <w:tcBorders>
              <w:left w:val="nil"/>
              <w:bottom w:val="nil"/>
              <w:right w:val="nil"/>
            </w:tcBorders>
          </w:tcPr>
          <w:p w:rsidR="004442E4" w:rsidRPr="00C806D0" w:rsidRDefault="004442E4" w:rsidP="004442E4">
            <w:pPr>
              <w:jc w:val="center"/>
              <w:rPr>
                <w:b/>
                <w:sz w:val="20"/>
                <w:szCs w:val="20"/>
              </w:rPr>
            </w:pPr>
            <w:r w:rsidRPr="00C806D0">
              <w:rPr>
                <w:b/>
                <w:sz w:val="20"/>
                <w:szCs w:val="20"/>
              </w:rPr>
              <w:t>Health state valuation</w:t>
            </w:r>
          </w:p>
        </w:tc>
        <w:tc>
          <w:tcPr>
            <w:tcW w:w="0" w:type="auto"/>
            <w:tcBorders>
              <w:left w:val="nil"/>
              <w:bottom w:val="nil"/>
              <w:right w:val="nil"/>
            </w:tcBorders>
          </w:tcPr>
          <w:p w:rsidR="004442E4" w:rsidRPr="00C806D0" w:rsidRDefault="004442E4" w:rsidP="004442E4">
            <w:pPr>
              <w:jc w:val="center"/>
              <w:rPr>
                <w:b/>
                <w:sz w:val="20"/>
                <w:szCs w:val="20"/>
              </w:rPr>
            </w:pPr>
            <w:r w:rsidRPr="00C806D0">
              <w:rPr>
                <w:b/>
                <w:sz w:val="20"/>
                <w:szCs w:val="20"/>
              </w:rPr>
              <w:t>Other</w:t>
            </w:r>
          </w:p>
        </w:tc>
      </w:tr>
      <w:tr w:rsidR="004442E4" w:rsidRPr="00C806D0" w:rsidTr="004442E4">
        <w:trPr>
          <w:trHeight w:val="749"/>
        </w:trPr>
        <w:tc>
          <w:tcPr>
            <w:tcW w:w="0" w:type="auto"/>
            <w:tcBorders>
              <w:top w:val="nil"/>
              <w:left w:val="nil"/>
              <w:right w:val="nil"/>
            </w:tcBorders>
          </w:tcPr>
          <w:p w:rsidR="004442E4" w:rsidRPr="00C806D0" w:rsidRDefault="004442E4" w:rsidP="004442E4">
            <w:pPr>
              <w:rPr>
                <w:b/>
                <w:sz w:val="20"/>
                <w:szCs w:val="20"/>
              </w:rPr>
            </w:pPr>
            <w:r w:rsidRPr="00C806D0">
              <w:rPr>
                <w:b/>
                <w:sz w:val="20"/>
                <w:szCs w:val="20"/>
              </w:rPr>
              <w:t>Risk of bias domain:</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1:</w:t>
            </w:r>
            <w:r w:rsidRPr="00C806D0">
              <w:rPr>
                <w:sz w:val="20"/>
                <w:szCs w:val="20"/>
              </w:rPr>
              <w:t xml:space="preserve"> Selection bias (Representative population describing health s</w:t>
            </w:r>
            <w:r w:rsidR="00E34C7C" w:rsidRPr="00C806D0">
              <w:rPr>
                <w:sz w:val="20"/>
                <w:szCs w:val="20"/>
              </w:rPr>
              <w:t>t</w:t>
            </w:r>
            <w:r w:rsidRPr="00C806D0">
              <w:rPr>
                <w:sz w:val="20"/>
                <w:szCs w:val="20"/>
              </w:rPr>
              <w: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2</w:t>
            </w:r>
            <w:r w:rsidRPr="00C806D0">
              <w:rPr>
                <w:sz w:val="20"/>
                <w:szCs w:val="20"/>
              </w:rPr>
              <w:t>: Information bias (Accurate and reproducible measurement of health states?)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3:</w:t>
            </w:r>
            <w:r w:rsidRPr="00C806D0">
              <w:rPr>
                <w:sz w:val="20"/>
                <w:szCs w:val="20"/>
              </w:rPr>
              <w:t xml:space="preserve"> Selection bias (Representative population valuing health s</w:t>
            </w:r>
            <w:r w:rsidR="00E34C7C" w:rsidRPr="00C806D0">
              <w:rPr>
                <w:sz w:val="20"/>
                <w:szCs w:val="20"/>
              </w:rPr>
              <w:t>t</w:t>
            </w:r>
            <w:r w:rsidRPr="00C806D0">
              <w:rPr>
                <w:sz w:val="20"/>
                <w:szCs w:val="20"/>
              </w:rPr>
              <w: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4:</w:t>
            </w:r>
            <w:r w:rsidRPr="00C806D0">
              <w:rPr>
                <w:sz w:val="20"/>
                <w:szCs w:val="20"/>
              </w:rPr>
              <w:t xml:space="preserve"> Information bias (Accurate and reproducible valuation of preference for health states?):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5:</w:t>
            </w:r>
            <w:r w:rsidRPr="00C806D0">
              <w:rPr>
                <w:sz w:val="20"/>
                <w:szCs w:val="20"/>
              </w:rPr>
              <w:t xml:space="preserve"> Other sources of bias:</w:t>
            </w:r>
          </w:p>
        </w:tc>
      </w:tr>
      <w:tr w:rsidR="004442E4" w:rsidRPr="00C806D0" w:rsidTr="004442E4">
        <w:trPr>
          <w:trHeight w:val="692"/>
        </w:trPr>
        <w:tc>
          <w:tcPr>
            <w:tcW w:w="0" w:type="auto"/>
            <w:tcBorders>
              <w:left w:val="nil"/>
              <w:bottom w:val="single" w:sz="4" w:space="0" w:color="auto"/>
              <w:right w:val="nil"/>
            </w:tcBorders>
          </w:tcPr>
          <w:p w:rsidR="004442E4" w:rsidRPr="00C806D0" w:rsidRDefault="004442E4" w:rsidP="004442E4">
            <w:pPr>
              <w:pStyle w:val="NoSpacing"/>
              <w:rPr>
                <w:b/>
                <w:sz w:val="20"/>
                <w:szCs w:val="20"/>
              </w:rPr>
            </w:pPr>
            <w:r w:rsidRPr="00C806D0">
              <w:rPr>
                <w:b/>
                <w:sz w:val="20"/>
                <w:szCs w:val="20"/>
              </w:rPr>
              <w:t>Bias judgement:</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Not applicable</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Low risk</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High risk</w:t>
            </w:r>
          </w:p>
          <w:p w:rsidR="004442E4" w:rsidRPr="00C806D0" w:rsidRDefault="004442E4" w:rsidP="004442E4">
            <w:pPr>
              <w:pStyle w:val="NoSpacing"/>
              <w:rPr>
                <w:sz w:val="20"/>
                <w:szCs w:val="20"/>
              </w:rPr>
            </w:pP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 xml:space="preserve">Low risk </w:t>
            </w:r>
          </w:p>
        </w:tc>
        <w:tc>
          <w:tcPr>
            <w:tcW w:w="0" w:type="auto"/>
            <w:tcBorders>
              <w:left w:val="nil"/>
              <w:bottom w:val="single" w:sz="4" w:space="0" w:color="auto"/>
              <w:right w:val="nil"/>
            </w:tcBorders>
          </w:tcPr>
          <w:p w:rsidR="004442E4" w:rsidRPr="00C806D0" w:rsidRDefault="004442E4" w:rsidP="004442E4">
            <w:pPr>
              <w:rPr>
                <w:sz w:val="20"/>
                <w:szCs w:val="20"/>
              </w:rPr>
            </w:pPr>
            <w:r w:rsidRPr="00C806D0">
              <w:rPr>
                <w:sz w:val="20"/>
                <w:szCs w:val="20"/>
              </w:rPr>
              <w:t>Low risk</w:t>
            </w:r>
          </w:p>
        </w:tc>
      </w:tr>
      <w:tr w:rsidR="004442E4" w:rsidRPr="00C806D0" w:rsidTr="004442E4">
        <w:trPr>
          <w:trHeight w:val="975"/>
        </w:trPr>
        <w:tc>
          <w:tcPr>
            <w:tcW w:w="0" w:type="auto"/>
            <w:tcBorders>
              <w:left w:val="nil"/>
              <w:bottom w:val="single" w:sz="4" w:space="0" w:color="auto"/>
              <w:right w:val="nil"/>
            </w:tcBorders>
          </w:tcPr>
          <w:p w:rsidR="004442E4" w:rsidRPr="00C806D0" w:rsidRDefault="004442E4" w:rsidP="004442E4">
            <w:pPr>
              <w:pStyle w:val="NoSpacing"/>
              <w:rPr>
                <w:b/>
                <w:sz w:val="20"/>
                <w:szCs w:val="20"/>
              </w:rPr>
            </w:pPr>
            <w:r w:rsidRPr="00C806D0">
              <w:rPr>
                <w:b/>
                <w:sz w:val="20"/>
                <w:szCs w:val="20"/>
              </w:rPr>
              <w:t>Support for judgement:</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Health states measured using scenarios</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Well designed health state descriptions meeting consensus standards.</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GOS category for Good Recovery Upper assigned perfect health.</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 xml:space="preserve">Relevant functional dimensions of GOS categories included. </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Heterogeneity of GOS states not fully accounted for e.g. Moderate disability addresses limitations in work only.</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Target population providing preferences was the USA general population.</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The study sample comprised a non-representative sample of the general population.</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 xml:space="preserve">50% of sample was young adults attending college. </w:t>
            </w:r>
          </w:p>
        </w:tc>
        <w:tc>
          <w:tcPr>
            <w:tcW w:w="0" w:type="auto"/>
            <w:tcBorders>
              <w:left w:val="nil"/>
              <w:bottom w:val="single" w:sz="4" w:space="0" w:color="auto"/>
              <w:right w:val="nil"/>
            </w:tcBorders>
          </w:tcPr>
          <w:p w:rsidR="004442E4" w:rsidRPr="00C806D0" w:rsidRDefault="004442E4" w:rsidP="004442E4">
            <w:pPr>
              <w:pStyle w:val="NoSpacing"/>
              <w:rPr>
                <w:sz w:val="20"/>
                <w:szCs w:val="20"/>
                <w:vertAlign w:val="superscript"/>
              </w:rPr>
            </w:pPr>
            <w:r w:rsidRPr="00C806D0">
              <w:rPr>
                <w:sz w:val="20"/>
                <w:szCs w:val="20"/>
              </w:rPr>
              <w:t>Direct valuation method using standard gamble performed appropriately.</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Structured interviews use to obtain preferences. Full details on methods not described e.g. use of props or training exercises.</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GOS category for Good Recovery Upper assigned perfect health.</w:t>
            </w:r>
          </w:p>
          <w:p w:rsidR="004442E4" w:rsidRPr="00C806D0" w:rsidRDefault="004442E4" w:rsidP="004442E4">
            <w:pPr>
              <w:pStyle w:val="NoSpacing"/>
              <w:rPr>
                <w:sz w:val="20"/>
                <w:szCs w:val="20"/>
              </w:rPr>
            </w:pP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No other sources of bias identified likely to influence results.</w:t>
            </w:r>
          </w:p>
          <w:p w:rsidR="004442E4" w:rsidRPr="00C806D0" w:rsidRDefault="004442E4" w:rsidP="004442E4">
            <w:pPr>
              <w:pStyle w:val="NoSpacing"/>
              <w:rPr>
                <w:sz w:val="20"/>
                <w:szCs w:val="20"/>
              </w:rPr>
            </w:pPr>
          </w:p>
        </w:tc>
      </w:tr>
    </w:tbl>
    <w:p w:rsidR="004442E4" w:rsidRPr="00C806D0" w:rsidRDefault="004442E4" w:rsidP="004442E4"/>
    <w:p w:rsidR="004442E4" w:rsidRPr="00C806D0" w:rsidRDefault="004442E4" w:rsidP="004442E4"/>
    <w:p w:rsidR="004442E4" w:rsidRPr="00C806D0" w:rsidRDefault="004442E4" w:rsidP="004442E4">
      <w:r w:rsidRPr="00C806D0">
        <w:rPr>
          <w:b/>
        </w:rPr>
        <w:lastRenderedPageBreak/>
        <w:t>Table F8. Risk of bias assessment for Smits 2010 study</w:t>
      </w:r>
    </w:p>
    <w:tbl>
      <w:tblPr>
        <w:tblStyle w:val="TableGrid"/>
        <w:tblW w:w="0" w:type="auto"/>
        <w:tblLook w:val="04A0" w:firstRow="1" w:lastRow="0" w:firstColumn="1" w:lastColumn="0" w:noHBand="0" w:noVBand="1"/>
      </w:tblPr>
      <w:tblGrid>
        <w:gridCol w:w="1322"/>
        <w:gridCol w:w="2658"/>
        <w:gridCol w:w="2720"/>
        <w:gridCol w:w="2630"/>
        <w:gridCol w:w="3843"/>
        <w:gridCol w:w="1613"/>
      </w:tblGrid>
      <w:tr w:rsidR="004442E4" w:rsidRPr="00C806D0" w:rsidTr="004442E4">
        <w:trPr>
          <w:trHeight w:val="274"/>
        </w:trPr>
        <w:tc>
          <w:tcPr>
            <w:tcW w:w="0" w:type="auto"/>
            <w:gridSpan w:val="6"/>
            <w:tcBorders>
              <w:left w:val="nil"/>
              <w:bottom w:val="nil"/>
              <w:right w:val="nil"/>
            </w:tcBorders>
            <w:shd w:val="clear" w:color="auto" w:fill="auto"/>
          </w:tcPr>
          <w:p w:rsidR="004442E4" w:rsidRPr="00C806D0" w:rsidRDefault="004442E4" w:rsidP="006D4D62">
            <w:pPr>
              <w:pStyle w:val="ListParagraph"/>
              <w:ind w:left="360"/>
              <w:jc w:val="center"/>
              <w:rPr>
                <w:b/>
                <w:sz w:val="20"/>
                <w:szCs w:val="20"/>
                <w:vertAlign w:val="superscript"/>
              </w:rPr>
            </w:pPr>
            <w:r w:rsidRPr="00C806D0">
              <w:rPr>
                <w:b/>
                <w:sz w:val="20"/>
                <w:szCs w:val="20"/>
              </w:rPr>
              <w:t>Smits 2010</w:t>
            </w:r>
            <w:r w:rsidR="00155D84" w:rsidRPr="00C806D0">
              <w:rPr>
                <w:b/>
                <w:noProof/>
                <w:sz w:val="20"/>
                <w:szCs w:val="20"/>
                <w:vertAlign w:val="superscript"/>
              </w:rPr>
              <w:t>[</w:t>
            </w:r>
            <w:r w:rsidR="006D4D62" w:rsidRPr="00C806D0">
              <w:rPr>
                <w:b/>
                <w:noProof/>
                <w:sz w:val="20"/>
                <w:szCs w:val="20"/>
                <w:vertAlign w:val="superscript"/>
              </w:rPr>
              <w:t>29</w:t>
            </w:r>
            <w:r w:rsidR="00155D84" w:rsidRPr="00C806D0">
              <w:rPr>
                <w:b/>
                <w:noProof/>
                <w:sz w:val="20"/>
                <w:szCs w:val="20"/>
                <w:vertAlign w:val="superscript"/>
              </w:rPr>
              <w:t xml:space="preserve">, </w:t>
            </w:r>
            <w:r w:rsidR="006D4D62" w:rsidRPr="00C806D0">
              <w:rPr>
                <w:b/>
                <w:noProof/>
                <w:sz w:val="20"/>
                <w:szCs w:val="20"/>
                <w:vertAlign w:val="superscript"/>
              </w:rPr>
              <w:t>76</w:t>
            </w:r>
            <w:r w:rsidR="00155D84" w:rsidRPr="00C806D0">
              <w:rPr>
                <w:b/>
                <w:noProof/>
                <w:sz w:val="20"/>
                <w:szCs w:val="20"/>
                <w:vertAlign w:val="superscript"/>
              </w:rPr>
              <w:t>]</w:t>
            </w:r>
          </w:p>
        </w:tc>
      </w:tr>
      <w:tr w:rsidR="004442E4" w:rsidRPr="00C806D0" w:rsidTr="004442E4">
        <w:trPr>
          <w:trHeight w:val="274"/>
        </w:trPr>
        <w:tc>
          <w:tcPr>
            <w:tcW w:w="0" w:type="auto"/>
            <w:tcBorders>
              <w:left w:val="nil"/>
              <w:bottom w:val="nil"/>
              <w:right w:val="nil"/>
            </w:tcBorders>
          </w:tcPr>
          <w:p w:rsidR="004442E4" w:rsidRPr="00C806D0" w:rsidRDefault="004442E4" w:rsidP="004442E4">
            <w:pPr>
              <w:jc w:val="center"/>
              <w:rPr>
                <w:b/>
                <w:sz w:val="20"/>
                <w:szCs w:val="20"/>
              </w:rPr>
            </w:pPr>
          </w:p>
        </w:tc>
        <w:tc>
          <w:tcPr>
            <w:tcW w:w="0" w:type="auto"/>
            <w:gridSpan w:val="2"/>
            <w:tcBorders>
              <w:left w:val="nil"/>
              <w:bottom w:val="nil"/>
              <w:right w:val="nil"/>
            </w:tcBorders>
          </w:tcPr>
          <w:p w:rsidR="004442E4" w:rsidRPr="00C806D0" w:rsidRDefault="004442E4" w:rsidP="004442E4">
            <w:pPr>
              <w:jc w:val="center"/>
              <w:rPr>
                <w:b/>
                <w:sz w:val="20"/>
                <w:szCs w:val="20"/>
              </w:rPr>
            </w:pPr>
            <w:r w:rsidRPr="00C806D0">
              <w:rPr>
                <w:b/>
                <w:sz w:val="20"/>
                <w:szCs w:val="20"/>
              </w:rPr>
              <w:t>Health state description &amp; measurement</w:t>
            </w:r>
          </w:p>
        </w:tc>
        <w:tc>
          <w:tcPr>
            <w:tcW w:w="0" w:type="auto"/>
            <w:gridSpan w:val="2"/>
            <w:tcBorders>
              <w:left w:val="nil"/>
              <w:bottom w:val="nil"/>
              <w:right w:val="nil"/>
            </w:tcBorders>
          </w:tcPr>
          <w:p w:rsidR="004442E4" w:rsidRPr="00C806D0" w:rsidRDefault="004442E4" w:rsidP="004442E4">
            <w:pPr>
              <w:jc w:val="center"/>
              <w:rPr>
                <w:b/>
                <w:sz w:val="20"/>
                <w:szCs w:val="20"/>
              </w:rPr>
            </w:pPr>
            <w:r w:rsidRPr="00C806D0">
              <w:rPr>
                <w:b/>
                <w:sz w:val="20"/>
                <w:szCs w:val="20"/>
              </w:rPr>
              <w:t>Health state valuation</w:t>
            </w:r>
          </w:p>
        </w:tc>
        <w:tc>
          <w:tcPr>
            <w:tcW w:w="0" w:type="auto"/>
            <w:tcBorders>
              <w:left w:val="nil"/>
              <w:bottom w:val="nil"/>
              <w:right w:val="nil"/>
            </w:tcBorders>
          </w:tcPr>
          <w:p w:rsidR="004442E4" w:rsidRPr="00C806D0" w:rsidRDefault="004442E4" w:rsidP="004442E4">
            <w:pPr>
              <w:jc w:val="center"/>
              <w:rPr>
                <w:b/>
                <w:sz w:val="20"/>
                <w:szCs w:val="20"/>
              </w:rPr>
            </w:pPr>
            <w:r w:rsidRPr="00C806D0">
              <w:rPr>
                <w:b/>
                <w:sz w:val="20"/>
                <w:szCs w:val="20"/>
              </w:rPr>
              <w:t>Other</w:t>
            </w:r>
          </w:p>
        </w:tc>
      </w:tr>
      <w:tr w:rsidR="004442E4" w:rsidRPr="00C806D0" w:rsidTr="004442E4">
        <w:trPr>
          <w:trHeight w:val="749"/>
        </w:trPr>
        <w:tc>
          <w:tcPr>
            <w:tcW w:w="0" w:type="auto"/>
            <w:tcBorders>
              <w:top w:val="nil"/>
              <w:left w:val="nil"/>
              <w:right w:val="nil"/>
            </w:tcBorders>
          </w:tcPr>
          <w:p w:rsidR="004442E4" w:rsidRPr="00C806D0" w:rsidRDefault="004442E4" w:rsidP="004442E4">
            <w:pPr>
              <w:rPr>
                <w:b/>
                <w:sz w:val="20"/>
                <w:szCs w:val="20"/>
              </w:rPr>
            </w:pPr>
            <w:r w:rsidRPr="00C806D0">
              <w:rPr>
                <w:b/>
                <w:sz w:val="20"/>
                <w:szCs w:val="20"/>
              </w:rPr>
              <w:t>Domain:</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1:</w:t>
            </w:r>
            <w:r w:rsidRPr="00C806D0">
              <w:rPr>
                <w:sz w:val="20"/>
                <w:szCs w:val="20"/>
              </w:rPr>
              <w:t xml:space="preserve"> Selection bias (Representative population describing health s</w:t>
            </w:r>
            <w:r w:rsidR="00E34C7C" w:rsidRPr="00C806D0">
              <w:rPr>
                <w:sz w:val="20"/>
                <w:szCs w:val="20"/>
              </w:rPr>
              <w:t>t</w:t>
            </w:r>
            <w:r w:rsidRPr="00C806D0">
              <w:rPr>
                <w:sz w:val="20"/>
                <w:szCs w:val="20"/>
              </w:rPr>
              <w: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2</w:t>
            </w:r>
            <w:r w:rsidRPr="00C806D0">
              <w:rPr>
                <w:sz w:val="20"/>
                <w:szCs w:val="20"/>
              </w:rPr>
              <w:t>: Information bias (Accurate and reproducible measurement of health states?)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3:</w:t>
            </w:r>
            <w:r w:rsidRPr="00C806D0">
              <w:rPr>
                <w:sz w:val="20"/>
                <w:szCs w:val="20"/>
              </w:rPr>
              <w:t xml:space="preserve"> Selection bias (Representative population valuing health s</w:t>
            </w:r>
            <w:r w:rsidR="00E34C7C" w:rsidRPr="00C806D0">
              <w:rPr>
                <w:sz w:val="20"/>
                <w:szCs w:val="20"/>
              </w:rPr>
              <w:t>t</w:t>
            </w:r>
            <w:r w:rsidRPr="00C806D0">
              <w:rPr>
                <w:sz w:val="20"/>
                <w:szCs w:val="20"/>
              </w:rPr>
              <w: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4:</w:t>
            </w:r>
            <w:r w:rsidRPr="00C806D0">
              <w:rPr>
                <w:sz w:val="20"/>
                <w:szCs w:val="20"/>
              </w:rPr>
              <w:t xml:space="preserve"> Information bias (Accurate and reproducible valuation of preference for health states?):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5:</w:t>
            </w:r>
            <w:r w:rsidRPr="00C806D0">
              <w:rPr>
                <w:sz w:val="20"/>
                <w:szCs w:val="20"/>
              </w:rPr>
              <w:t xml:space="preserve"> Other sources of bias:</w:t>
            </w:r>
          </w:p>
        </w:tc>
      </w:tr>
      <w:tr w:rsidR="004442E4" w:rsidRPr="00C806D0" w:rsidTr="004442E4">
        <w:trPr>
          <w:trHeight w:val="692"/>
        </w:trPr>
        <w:tc>
          <w:tcPr>
            <w:tcW w:w="0" w:type="auto"/>
            <w:tcBorders>
              <w:left w:val="nil"/>
              <w:bottom w:val="single" w:sz="4" w:space="0" w:color="auto"/>
              <w:right w:val="nil"/>
            </w:tcBorders>
          </w:tcPr>
          <w:p w:rsidR="004442E4" w:rsidRPr="00C806D0" w:rsidRDefault="004442E4" w:rsidP="004442E4">
            <w:pPr>
              <w:pStyle w:val="NoSpacing"/>
              <w:rPr>
                <w:b/>
                <w:sz w:val="20"/>
                <w:szCs w:val="20"/>
              </w:rPr>
            </w:pPr>
            <w:r w:rsidRPr="00C806D0">
              <w:rPr>
                <w:b/>
                <w:sz w:val="20"/>
                <w:szCs w:val="20"/>
              </w:rPr>
              <w:t>Bias judgement:</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High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Low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Low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Low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Low risk</w:t>
            </w:r>
          </w:p>
        </w:tc>
      </w:tr>
      <w:tr w:rsidR="004442E4" w:rsidRPr="00C806D0" w:rsidTr="004442E4">
        <w:trPr>
          <w:trHeight w:val="975"/>
        </w:trPr>
        <w:tc>
          <w:tcPr>
            <w:tcW w:w="0" w:type="auto"/>
            <w:tcBorders>
              <w:left w:val="nil"/>
              <w:bottom w:val="single" w:sz="4" w:space="0" w:color="auto"/>
              <w:right w:val="nil"/>
            </w:tcBorders>
          </w:tcPr>
          <w:p w:rsidR="004442E4" w:rsidRPr="00C806D0" w:rsidRDefault="004442E4" w:rsidP="004442E4">
            <w:pPr>
              <w:pStyle w:val="NoSpacing"/>
              <w:rPr>
                <w:b/>
                <w:sz w:val="20"/>
                <w:szCs w:val="20"/>
              </w:rPr>
            </w:pPr>
            <w:r w:rsidRPr="00C806D0">
              <w:rPr>
                <w:b/>
                <w:sz w:val="20"/>
                <w:szCs w:val="20"/>
              </w:rPr>
              <w:t>Support for judgement:</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 xml:space="preserve">Target population for measuring health states was a sample of consecutive patients with complicated mild TBI. </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Substantial loss to follow up for measurement using EQ5D</w:t>
            </w:r>
            <w:r w:rsidR="002E56F6" w:rsidRPr="00C806D0">
              <w:rPr>
                <w:sz w:val="20"/>
                <w:szCs w:val="20"/>
              </w:rPr>
              <w:t xml:space="preserve"> (6</w:t>
            </w:r>
            <w:r w:rsidRPr="00C806D0">
              <w:rPr>
                <w:sz w:val="20"/>
                <w:szCs w:val="20"/>
              </w:rPr>
              <w:t>8%).</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Differences in case mix between included and excluded patients in terms of gender, age and TBI pathology.</w:t>
            </w:r>
          </w:p>
          <w:p w:rsidR="004442E4" w:rsidRPr="00C806D0" w:rsidRDefault="004442E4" w:rsidP="004442E4">
            <w:pPr>
              <w:pStyle w:val="NoSpacing"/>
              <w:rPr>
                <w:sz w:val="20"/>
                <w:szCs w:val="20"/>
              </w:rPr>
            </w:pP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Validated preference based multiattribute health description instrument used with adequate coverage for GOS states – EQ5D.</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Telephone interviews used to measure health states. Full details on methods not described e.g. structured interviews.</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Health states valued by a sample of Dutch population representative of the target Dutch general population.</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 xml:space="preserve">Preferences obtained indirectly using Dutch EQ5D tariff; derived from study meeting methodological standards for obtaining Preferences obtained indirectly using Dutch EQ5D tariff an algorithm for preferences. </w:t>
            </w:r>
          </w:p>
          <w:p w:rsidR="004442E4" w:rsidRPr="00C806D0" w:rsidRDefault="004442E4" w:rsidP="004442E4">
            <w:pPr>
              <w:pStyle w:val="NoSpacing"/>
              <w:rPr>
                <w:sz w:val="20"/>
                <w:szCs w:val="20"/>
              </w:rPr>
            </w:pP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No other sources of bias identified likely to influence results.</w:t>
            </w:r>
          </w:p>
          <w:p w:rsidR="004442E4" w:rsidRPr="00C806D0" w:rsidRDefault="004442E4" w:rsidP="004442E4">
            <w:pPr>
              <w:pStyle w:val="NoSpacing"/>
              <w:rPr>
                <w:sz w:val="20"/>
                <w:szCs w:val="20"/>
              </w:rPr>
            </w:pPr>
          </w:p>
        </w:tc>
      </w:tr>
    </w:tbl>
    <w:p w:rsidR="004442E4" w:rsidRPr="00C806D0" w:rsidRDefault="004442E4" w:rsidP="004442E4"/>
    <w:p w:rsidR="004442E4" w:rsidRPr="00C806D0" w:rsidRDefault="004442E4" w:rsidP="004442E4"/>
    <w:p w:rsidR="004442E4" w:rsidRPr="00C806D0" w:rsidRDefault="004442E4" w:rsidP="004442E4">
      <w:r w:rsidRPr="00C806D0">
        <w:rPr>
          <w:b/>
        </w:rPr>
        <w:lastRenderedPageBreak/>
        <w:t>Table F9. Risk of bias assessment for Djikers 2004 study</w:t>
      </w:r>
    </w:p>
    <w:tbl>
      <w:tblPr>
        <w:tblStyle w:val="TableGrid"/>
        <w:tblW w:w="0" w:type="auto"/>
        <w:tblLook w:val="04A0" w:firstRow="1" w:lastRow="0" w:firstColumn="1" w:lastColumn="0" w:noHBand="0" w:noVBand="1"/>
      </w:tblPr>
      <w:tblGrid>
        <w:gridCol w:w="1421"/>
        <w:gridCol w:w="2777"/>
        <w:gridCol w:w="2845"/>
        <w:gridCol w:w="2728"/>
        <w:gridCol w:w="2993"/>
        <w:gridCol w:w="2022"/>
      </w:tblGrid>
      <w:tr w:rsidR="004442E4" w:rsidRPr="00C806D0" w:rsidTr="004442E4">
        <w:trPr>
          <w:trHeight w:val="274"/>
        </w:trPr>
        <w:tc>
          <w:tcPr>
            <w:tcW w:w="0" w:type="auto"/>
            <w:gridSpan w:val="6"/>
            <w:tcBorders>
              <w:left w:val="nil"/>
              <w:bottom w:val="nil"/>
              <w:right w:val="nil"/>
            </w:tcBorders>
            <w:shd w:val="clear" w:color="auto" w:fill="auto"/>
          </w:tcPr>
          <w:p w:rsidR="004442E4" w:rsidRPr="00C806D0" w:rsidRDefault="004442E4" w:rsidP="006D4D62">
            <w:pPr>
              <w:pStyle w:val="ListParagraph"/>
              <w:ind w:left="360"/>
              <w:jc w:val="center"/>
              <w:rPr>
                <w:b/>
                <w:sz w:val="20"/>
                <w:szCs w:val="20"/>
                <w:vertAlign w:val="superscript"/>
              </w:rPr>
            </w:pPr>
            <w:r w:rsidRPr="00C806D0">
              <w:rPr>
                <w:b/>
                <w:sz w:val="20"/>
                <w:szCs w:val="20"/>
              </w:rPr>
              <w:t>Djikers 2004</w:t>
            </w:r>
            <w:r w:rsidR="00155D84" w:rsidRPr="00C806D0">
              <w:rPr>
                <w:b/>
                <w:noProof/>
                <w:sz w:val="20"/>
                <w:szCs w:val="20"/>
                <w:vertAlign w:val="superscript"/>
              </w:rPr>
              <w:t>[</w:t>
            </w:r>
            <w:r w:rsidR="006D4D62" w:rsidRPr="00C806D0">
              <w:rPr>
                <w:b/>
                <w:noProof/>
                <w:sz w:val="20"/>
                <w:szCs w:val="20"/>
                <w:vertAlign w:val="superscript"/>
              </w:rPr>
              <w:t>77</w:t>
            </w:r>
            <w:r w:rsidR="00155D84" w:rsidRPr="00C806D0">
              <w:rPr>
                <w:b/>
                <w:noProof/>
                <w:sz w:val="20"/>
                <w:szCs w:val="20"/>
                <w:vertAlign w:val="superscript"/>
              </w:rPr>
              <w:t>]</w:t>
            </w:r>
          </w:p>
        </w:tc>
      </w:tr>
      <w:tr w:rsidR="004442E4" w:rsidRPr="00C806D0" w:rsidTr="004442E4">
        <w:trPr>
          <w:trHeight w:val="274"/>
        </w:trPr>
        <w:tc>
          <w:tcPr>
            <w:tcW w:w="0" w:type="auto"/>
            <w:tcBorders>
              <w:left w:val="nil"/>
              <w:bottom w:val="nil"/>
              <w:right w:val="nil"/>
            </w:tcBorders>
          </w:tcPr>
          <w:p w:rsidR="004442E4" w:rsidRPr="00C806D0" w:rsidRDefault="004442E4" w:rsidP="004442E4">
            <w:pPr>
              <w:jc w:val="center"/>
              <w:rPr>
                <w:b/>
                <w:sz w:val="20"/>
                <w:szCs w:val="20"/>
              </w:rPr>
            </w:pPr>
          </w:p>
        </w:tc>
        <w:tc>
          <w:tcPr>
            <w:tcW w:w="0" w:type="auto"/>
            <w:gridSpan w:val="2"/>
            <w:tcBorders>
              <w:left w:val="nil"/>
              <w:bottom w:val="nil"/>
              <w:right w:val="nil"/>
            </w:tcBorders>
          </w:tcPr>
          <w:p w:rsidR="004442E4" w:rsidRPr="00C806D0" w:rsidRDefault="004442E4" w:rsidP="004442E4">
            <w:pPr>
              <w:jc w:val="center"/>
              <w:rPr>
                <w:b/>
                <w:sz w:val="20"/>
                <w:szCs w:val="20"/>
              </w:rPr>
            </w:pPr>
            <w:r w:rsidRPr="00C806D0">
              <w:rPr>
                <w:b/>
                <w:sz w:val="20"/>
                <w:szCs w:val="20"/>
              </w:rPr>
              <w:t>Health state description &amp; measurement</w:t>
            </w:r>
          </w:p>
        </w:tc>
        <w:tc>
          <w:tcPr>
            <w:tcW w:w="0" w:type="auto"/>
            <w:gridSpan w:val="2"/>
            <w:tcBorders>
              <w:left w:val="nil"/>
              <w:bottom w:val="nil"/>
              <w:right w:val="nil"/>
            </w:tcBorders>
          </w:tcPr>
          <w:p w:rsidR="004442E4" w:rsidRPr="00C806D0" w:rsidRDefault="004442E4" w:rsidP="004442E4">
            <w:pPr>
              <w:jc w:val="center"/>
              <w:rPr>
                <w:b/>
                <w:sz w:val="20"/>
                <w:szCs w:val="20"/>
              </w:rPr>
            </w:pPr>
            <w:r w:rsidRPr="00C806D0">
              <w:rPr>
                <w:b/>
                <w:sz w:val="20"/>
                <w:szCs w:val="20"/>
              </w:rPr>
              <w:t>Health state valuation</w:t>
            </w:r>
          </w:p>
        </w:tc>
        <w:tc>
          <w:tcPr>
            <w:tcW w:w="0" w:type="auto"/>
            <w:tcBorders>
              <w:left w:val="nil"/>
              <w:bottom w:val="nil"/>
              <w:right w:val="nil"/>
            </w:tcBorders>
          </w:tcPr>
          <w:p w:rsidR="004442E4" w:rsidRPr="00C806D0" w:rsidRDefault="004442E4" w:rsidP="004442E4">
            <w:pPr>
              <w:jc w:val="center"/>
              <w:rPr>
                <w:b/>
                <w:sz w:val="20"/>
                <w:szCs w:val="20"/>
              </w:rPr>
            </w:pPr>
            <w:r w:rsidRPr="00C806D0">
              <w:rPr>
                <w:b/>
                <w:sz w:val="20"/>
                <w:szCs w:val="20"/>
              </w:rPr>
              <w:t>Other</w:t>
            </w:r>
          </w:p>
        </w:tc>
      </w:tr>
      <w:tr w:rsidR="004442E4" w:rsidRPr="00C806D0" w:rsidTr="004442E4">
        <w:trPr>
          <w:trHeight w:val="749"/>
        </w:trPr>
        <w:tc>
          <w:tcPr>
            <w:tcW w:w="0" w:type="auto"/>
            <w:tcBorders>
              <w:top w:val="nil"/>
              <w:left w:val="nil"/>
              <w:right w:val="nil"/>
            </w:tcBorders>
          </w:tcPr>
          <w:p w:rsidR="004442E4" w:rsidRPr="00C806D0" w:rsidRDefault="004442E4" w:rsidP="004442E4">
            <w:pPr>
              <w:rPr>
                <w:b/>
                <w:sz w:val="20"/>
                <w:szCs w:val="20"/>
              </w:rPr>
            </w:pPr>
            <w:r w:rsidRPr="00C806D0">
              <w:rPr>
                <w:b/>
                <w:sz w:val="20"/>
                <w:szCs w:val="20"/>
              </w:rPr>
              <w:t>Risk of bias domain:</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1:</w:t>
            </w:r>
            <w:r w:rsidRPr="00C806D0">
              <w:rPr>
                <w:sz w:val="20"/>
                <w:szCs w:val="20"/>
              </w:rPr>
              <w:t xml:space="preserve"> Selection bias (Representative population describing health s</w:t>
            </w:r>
            <w:r w:rsidR="00E34C7C" w:rsidRPr="00C806D0">
              <w:rPr>
                <w:sz w:val="20"/>
                <w:szCs w:val="20"/>
              </w:rPr>
              <w:t>t</w:t>
            </w:r>
            <w:r w:rsidRPr="00C806D0">
              <w:rPr>
                <w:sz w:val="20"/>
                <w:szCs w:val="20"/>
              </w:rPr>
              <w: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2</w:t>
            </w:r>
            <w:r w:rsidRPr="00C806D0">
              <w:rPr>
                <w:sz w:val="20"/>
                <w:szCs w:val="20"/>
              </w:rPr>
              <w:t>: Information bias (Accurate and reproducible measurement of health states?)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3:</w:t>
            </w:r>
            <w:r w:rsidRPr="00C806D0">
              <w:rPr>
                <w:sz w:val="20"/>
                <w:szCs w:val="20"/>
              </w:rPr>
              <w:t xml:space="preserve"> Selection bias (Representative population valuing health s</w:t>
            </w:r>
            <w:r w:rsidR="00E34C7C" w:rsidRPr="00C806D0">
              <w:rPr>
                <w:sz w:val="20"/>
                <w:szCs w:val="20"/>
              </w:rPr>
              <w:t>t</w:t>
            </w:r>
            <w:r w:rsidRPr="00C806D0">
              <w:rPr>
                <w:sz w:val="20"/>
                <w:szCs w:val="20"/>
              </w:rPr>
              <w: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4:</w:t>
            </w:r>
            <w:r w:rsidRPr="00C806D0">
              <w:rPr>
                <w:sz w:val="20"/>
                <w:szCs w:val="20"/>
              </w:rPr>
              <w:t xml:space="preserve"> Information bias (Accurate and reproducible valuation of preference for health states?):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5:</w:t>
            </w:r>
            <w:r w:rsidRPr="00C806D0">
              <w:rPr>
                <w:sz w:val="20"/>
                <w:szCs w:val="20"/>
              </w:rPr>
              <w:t xml:space="preserve"> Other sources of bias:</w:t>
            </w:r>
          </w:p>
        </w:tc>
      </w:tr>
      <w:tr w:rsidR="004442E4" w:rsidRPr="00C806D0" w:rsidTr="004442E4">
        <w:trPr>
          <w:trHeight w:val="692"/>
        </w:trPr>
        <w:tc>
          <w:tcPr>
            <w:tcW w:w="0" w:type="auto"/>
            <w:tcBorders>
              <w:left w:val="nil"/>
              <w:bottom w:val="single" w:sz="4" w:space="0" w:color="auto"/>
              <w:right w:val="nil"/>
            </w:tcBorders>
          </w:tcPr>
          <w:p w:rsidR="004442E4" w:rsidRPr="00C806D0" w:rsidRDefault="004442E4" w:rsidP="004442E4">
            <w:pPr>
              <w:pStyle w:val="NoSpacing"/>
              <w:rPr>
                <w:b/>
                <w:sz w:val="20"/>
                <w:szCs w:val="20"/>
              </w:rPr>
            </w:pPr>
            <w:r w:rsidRPr="00C806D0">
              <w:rPr>
                <w:b/>
                <w:sz w:val="20"/>
                <w:szCs w:val="20"/>
              </w:rPr>
              <w:t>Bias judgement:</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Not applicable</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High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High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Low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Low risk</w:t>
            </w:r>
          </w:p>
        </w:tc>
      </w:tr>
      <w:tr w:rsidR="004442E4" w:rsidRPr="00C806D0" w:rsidTr="004442E4">
        <w:trPr>
          <w:trHeight w:val="975"/>
        </w:trPr>
        <w:tc>
          <w:tcPr>
            <w:tcW w:w="0" w:type="auto"/>
            <w:tcBorders>
              <w:left w:val="nil"/>
              <w:bottom w:val="single" w:sz="4" w:space="0" w:color="auto"/>
              <w:right w:val="nil"/>
            </w:tcBorders>
          </w:tcPr>
          <w:p w:rsidR="004442E4" w:rsidRPr="00C806D0" w:rsidRDefault="004442E4" w:rsidP="004442E4">
            <w:pPr>
              <w:pStyle w:val="NoSpacing"/>
              <w:rPr>
                <w:b/>
                <w:sz w:val="20"/>
                <w:szCs w:val="20"/>
              </w:rPr>
            </w:pPr>
            <w:r w:rsidRPr="00C806D0">
              <w:rPr>
                <w:b/>
                <w:sz w:val="20"/>
                <w:szCs w:val="20"/>
              </w:rPr>
              <w:t>Support for judgement:</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Health states measured using scenarios</w:t>
            </w:r>
          </w:p>
        </w:tc>
        <w:tc>
          <w:tcPr>
            <w:tcW w:w="0" w:type="auto"/>
            <w:tcBorders>
              <w:left w:val="nil"/>
              <w:bottom w:val="single" w:sz="4" w:space="0" w:color="auto"/>
              <w:right w:val="nil"/>
            </w:tcBorders>
          </w:tcPr>
          <w:p w:rsidR="004442E4" w:rsidRPr="00C806D0" w:rsidRDefault="002E56F6" w:rsidP="004442E4">
            <w:pPr>
              <w:pStyle w:val="NoSpacing"/>
              <w:rPr>
                <w:sz w:val="20"/>
                <w:szCs w:val="20"/>
              </w:rPr>
            </w:pPr>
            <w:r w:rsidRPr="00C806D0">
              <w:rPr>
                <w:sz w:val="20"/>
                <w:szCs w:val="20"/>
              </w:rPr>
              <w:t>Rudimentary h</w:t>
            </w:r>
            <w:r w:rsidR="004442E4" w:rsidRPr="00C806D0">
              <w:rPr>
                <w:sz w:val="20"/>
                <w:szCs w:val="20"/>
              </w:rPr>
              <w:t xml:space="preserve">ealth states based on expert opinion. </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 xml:space="preserve">Relevant functional dimensions of GOS categories included. </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Target population providing preferences is health professionals.</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The study sample comprised the study author only.</w:t>
            </w:r>
          </w:p>
          <w:p w:rsidR="004442E4" w:rsidRPr="00C806D0" w:rsidRDefault="004442E4" w:rsidP="004442E4">
            <w:pPr>
              <w:pStyle w:val="NoSpacing"/>
              <w:rPr>
                <w:sz w:val="20"/>
                <w:szCs w:val="20"/>
              </w:rPr>
            </w:pP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 xml:space="preserve">Preferences obtained indirectly using HUI-3 and QWB scoring algorithms. </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No other sources of bias identified likely to influence results.</w:t>
            </w:r>
          </w:p>
          <w:p w:rsidR="004442E4" w:rsidRPr="00C806D0" w:rsidRDefault="004442E4" w:rsidP="004442E4">
            <w:pPr>
              <w:pStyle w:val="NoSpacing"/>
              <w:rPr>
                <w:sz w:val="20"/>
                <w:szCs w:val="20"/>
              </w:rPr>
            </w:pPr>
          </w:p>
        </w:tc>
      </w:tr>
    </w:tbl>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r w:rsidRPr="00C806D0">
        <w:rPr>
          <w:b/>
        </w:rPr>
        <w:lastRenderedPageBreak/>
        <w:t>Table F10. Risk of bias assessment for Tsauo 1999 study</w:t>
      </w:r>
    </w:p>
    <w:tbl>
      <w:tblPr>
        <w:tblStyle w:val="TableGrid"/>
        <w:tblW w:w="0" w:type="auto"/>
        <w:tblLook w:val="04A0" w:firstRow="1" w:lastRow="0" w:firstColumn="1" w:lastColumn="0" w:noHBand="0" w:noVBand="1"/>
      </w:tblPr>
      <w:tblGrid>
        <w:gridCol w:w="1335"/>
        <w:gridCol w:w="3257"/>
        <w:gridCol w:w="3538"/>
        <w:gridCol w:w="2581"/>
        <w:gridCol w:w="2402"/>
        <w:gridCol w:w="1673"/>
      </w:tblGrid>
      <w:tr w:rsidR="004442E4" w:rsidRPr="00C806D0" w:rsidTr="004442E4">
        <w:trPr>
          <w:trHeight w:val="274"/>
        </w:trPr>
        <w:tc>
          <w:tcPr>
            <w:tcW w:w="0" w:type="auto"/>
            <w:gridSpan w:val="6"/>
            <w:tcBorders>
              <w:left w:val="nil"/>
              <w:bottom w:val="nil"/>
              <w:right w:val="nil"/>
            </w:tcBorders>
            <w:shd w:val="clear" w:color="auto" w:fill="auto"/>
          </w:tcPr>
          <w:p w:rsidR="004442E4" w:rsidRPr="00C806D0" w:rsidRDefault="004442E4" w:rsidP="006D4D62">
            <w:pPr>
              <w:pStyle w:val="ListParagraph"/>
              <w:ind w:left="360"/>
              <w:jc w:val="center"/>
              <w:rPr>
                <w:b/>
                <w:sz w:val="20"/>
                <w:szCs w:val="20"/>
                <w:vertAlign w:val="superscript"/>
              </w:rPr>
            </w:pPr>
            <w:r w:rsidRPr="00C806D0">
              <w:rPr>
                <w:rFonts w:cs="Arial"/>
                <w:b/>
                <w:sz w:val="20"/>
                <w:szCs w:val="20"/>
              </w:rPr>
              <w:t>Tsauo 1999</w:t>
            </w:r>
            <w:r w:rsidR="00155D84" w:rsidRPr="00C806D0">
              <w:rPr>
                <w:rFonts w:cs="Arial"/>
                <w:b/>
                <w:noProof/>
                <w:sz w:val="20"/>
                <w:szCs w:val="20"/>
                <w:vertAlign w:val="superscript"/>
              </w:rPr>
              <w:t>[</w:t>
            </w:r>
            <w:r w:rsidR="006D4D62" w:rsidRPr="00C806D0">
              <w:rPr>
                <w:rFonts w:cs="Arial"/>
                <w:b/>
                <w:noProof/>
                <w:sz w:val="20"/>
                <w:szCs w:val="20"/>
                <w:vertAlign w:val="superscript"/>
              </w:rPr>
              <w:t>78</w:t>
            </w:r>
            <w:r w:rsidR="00155D84" w:rsidRPr="00C806D0">
              <w:rPr>
                <w:rFonts w:cs="Arial"/>
                <w:b/>
                <w:noProof/>
                <w:sz w:val="20"/>
                <w:szCs w:val="20"/>
                <w:vertAlign w:val="superscript"/>
              </w:rPr>
              <w:t>]</w:t>
            </w:r>
          </w:p>
        </w:tc>
      </w:tr>
      <w:tr w:rsidR="004442E4" w:rsidRPr="00C806D0" w:rsidTr="004442E4">
        <w:trPr>
          <w:trHeight w:val="274"/>
        </w:trPr>
        <w:tc>
          <w:tcPr>
            <w:tcW w:w="0" w:type="auto"/>
            <w:tcBorders>
              <w:left w:val="nil"/>
              <w:bottom w:val="nil"/>
              <w:right w:val="nil"/>
            </w:tcBorders>
          </w:tcPr>
          <w:p w:rsidR="004442E4" w:rsidRPr="00C806D0" w:rsidRDefault="004442E4" w:rsidP="004442E4">
            <w:pPr>
              <w:jc w:val="center"/>
              <w:rPr>
                <w:b/>
                <w:sz w:val="20"/>
                <w:szCs w:val="20"/>
              </w:rPr>
            </w:pPr>
          </w:p>
        </w:tc>
        <w:tc>
          <w:tcPr>
            <w:tcW w:w="0" w:type="auto"/>
            <w:gridSpan w:val="2"/>
            <w:tcBorders>
              <w:left w:val="nil"/>
              <w:bottom w:val="nil"/>
              <w:right w:val="nil"/>
            </w:tcBorders>
          </w:tcPr>
          <w:p w:rsidR="004442E4" w:rsidRPr="00C806D0" w:rsidRDefault="004442E4" w:rsidP="004442E4">
            <w:pPr>
              <w:jc w:val="center"/>
              <w:rPr>
                <w:b/>
                <w:sz w:val="20"/>
                <w:szCs w:val="20"/>
              </w:rPr>
            </w:pPr>
            <w:r w:rsidRPr="00C806D0">
              <w:rPr>
                <w:b/>
                <w:sz w:val="20"/>
                <w:szCs w:val="20"/>
              </w:rPr>
              <w:t>Health state description &amp; measurement</w:t>
            </w:r>
          </w:p>
        </w:tc>
        <w:tc>
          <w:tcPr>
            <w:tcW w:w="0" w:type="auto"/>
            <w:gridSpan w:val="2"/>
            <w:tcBorders>
              <w:left w:val="nil"/>
              <w:bottom w:val="nil"/>
              <w:right w:val="nil"/>
            </w:tcBorders>
          </w:tcPr>
          <w:p w:rsidR="004442E4" w:rsidRPr="00C806D0" w:rsidRDefault="004442E4" w:rsidP="004442E4">
            <w:pPr>
              <w:jc w:val="center"/>
              <w:rPr>
                <w:b/>
                <w:sz w:val="20"/>
                <w:szCs w:val="20"/>
              </w:rPr>
            </w:pPr>
            <w:r w:rsidRPr="00C806D0">
              <w:rPr>
                <w:b/>
                <w:sz w:val="20"/>
                <w:szCs w:val="20"/>
              </w:rPr>
              <w:t>Health state valuation</w:t>
            </w:r>
          </w:p>
        </w:tc>
        <w:tc>
          <w:tcPr>
            <w:tcW w:w="0" w:type="auto"/>
            <w:tcBorders>
              <w:left w:val="nil"/>
              <w:bottom w:val="nil"/>
              <w:right w:val="nil"/>
            </w:tcBorders>
          </w:tcPr>
          <w:p w:rsidR="004442E4" w:rsidRPr="00C806D0" w:rsidRDefault="004442E4" w:rsidP="004442E4">
            <w:pPr>
              <w:jc w:val="center"/>
              <w:rPr>
                <w:b/>
                <w:sz w:val="20"/>
                <w:szCs w:val="20"/>
              </w:rPr>
            </w:pPr>
            <w:r w:rsidRPr="00C806D0">
              <w:rPr>
                <w:b/>
                <w:sz w:val="20"/>
                <w:szCs w:val="20"/>
              </w:rPr>
              <w:t>Other</w:t>
            </w:r>
          </w:p>
        </w:tc>
      </w:tr>
      <w:tr w:rsidR="004442E4" w:rsidRPr="00C806D0" w:rsidTr="004442E4">
        <w:trPr>
          <w:trHeight w:val="749"/>
        </w:trPr>
        <w:tc>
          <w:tcPr>
            <w:tcW w:w="0" w:type="auto"/>
            <w:tcBorders>
              <w:top w:val="nil"/>
              <w:left w:val="nil"/>
              <w:right w:val="nil"/>
            </w:tcBorders>
          </w:tcPr>
          <w:p w:rsidR="004442E4" w:rsidRPr="00C806D0" w:rsidRDefault="004442E4" w:rsidP="004442E4">
            <w:pPr>
              <w:rPr>
                <w:b/>
                <w:sz w:val="20"/>
                <w:szCs w:val="20"/>
              </w:rPr>
            </w:pPr>
            <w:r w:rsidRPr="00C806D0">
              <w:rPr>
                <w:b/>
                <w:sz w:val="20"/>
                <w:szCs w:val="20"/>
              </w:rPr>
              <w:t>Risk of bias domain:</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1:</w:t>
            </w:r>
            <w:r w:rsidRPr="00C806D0">
              <w:rPr>
                <w:sz w:val="20"/>
                <w:szCs w:val="20"/>
              </w:rPr>
              <w:t xml:space="preserve"> Selection bias (Representative population describing health s</w:t>
            </w:r>
            <w:r w:rsidR="00E34C7C" w:rsidRPr="00C806D0">
              <w:rPr>
                <w:sz w:val="20"/>
                <w:szCs w:val="20"/>
              </w:rPr>
              <w:t>t</w:t>
            </w:r>
            <w:r w:rsidRPr="00C806D0">
              <w:rPr>
                <w:sz w:val="20"/>
                <w:szCs w:val="20"/>
              </w:rPr>
              <w: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2</w:t>
            </w:r>
            <w:r w:rsidRPr="00C806D0">
              <w:rPr>
                <w:sz w:val="20"/>
                <w:szCs w:val="20"/>
              </w:rPr>
              <w:t>: Information bias (Accurate and reproducible measurement of health states?)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3:</w:t>
            </w:r>
            <w:r w:rsidRPr="00C806D0">
              <w:rPr>
                <w:sz w:val="20"/>
                <w:szCs w:val="20"/>
              </w:rPr>
              <w:t xml:space="preserve"> Selection bias (Representative population valuing health s</w:t>
            </w:r>
            <w:r w:rsidR="00E34C7C" w:rsidRPr="00C806D0">
              <w:rPr>
                <w:sz w:val="20"/>
                <w:szCs w:val="20"/>
              </w:rPr>
              <w:t>t</w:t>
            </w:r>
            <w:r w:rsidRPr="00C806D0">
              <w:rPr>
                <w:sz w:val="20"/>
                <w:szCs w:val="20"/>
              </w:rPr>
              <w: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4:</w:t>
            </w:r>
            <w:r w:rsidRPr="00C806D0">
              <w:rPr>
                <w:sz w:val="20"/>
                <w:szCs w:val="20"/>
              </w:rPr>
              <w:t xml:space="preserve"> Information bias (Accurate and reproducible valuation of preference for health states?):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5:</w:t>
            </w:r>
            <w:r w:rsidRPr="00C806D0">
              <w:rPr>
                <w:sz w:val="20"/>
                <w:szCs w:val="20"/>
              </w:rPr>
              <w:t xml:space="preserve"> Other sources of bias:</w:t>
            </w:r>
          </w:p>
        </w:tc>
      </w:tr>
      <w:tr w:rsidR="004442E4" w:rsidRPr="00C806D0" w:rsidTr="004442E4">
        <w:trPr>
          <w:trHeight w:val="692"/>
        </w:trPr>
        <w:tc>
          <w:tcPr>
            <w:tcW w:w="0" w:type="auto"/>
            <w:tcBorders>
              <w:left w:val="nil"/>
              <w:bottom w:val="single" w:sz="4" w:space="0" w:color="auto"/>
              <w:right w:val="nil"/>
            </w:tcBorders>
          </w:tcPr>
          <w:p w:rsidR="004442E4" w:rsidRPr="00C806D0" w:rsidRDefault="004442E4" w:rsidP="004442E4">
            <w:pPr>
              <w:pStyle w:val="NoSpacing"/>
              <w:rPr>
                <w:rFonts w:ascii="Calibri" w:hAnsi="Calibri" w:cs="Arial"/>
                <w:b/>
                <w:sz w:val="20"/>
                <w:szCs w:val="20"/>
              </w:rPr>
            </w:pPr>
            <w:r w:rsidRPr="00C806D0">
              <w:rPr>
                <w:rFonts w:ascii="Calibri" w:hAnsi="Calibri" w:cs="Arial"/>
                <w:b/>
                <w:sz w:val="20"/>
                <w:szCs w:val="20"/>
              </w:rPr>
              <w:t>Bias judgement:</w:t>
            </w:r>
          </w:p>
        </w:tc>
        <w:tc>
          <w:tcPr>
            <w:tcW w:w="0" w:type="auto"/>
            <w:tcBorders>
              <w:left w:val="nil"/>
              <w:bottom w:val="single" w:sz="4" w:space="0" w:color="auto"/>
              <w:right w:val="nil"/>
            </w:tcBorders>
          </w:tcPr>
          <w:p w:rsidR="004442E4" w:rsidRPr="00C806D0" w:rsidRDefault="004442E4" w:rsidP="004442E4">
            <w:pPr>
              <w:pStyle w:val="NoSpacing"/>
              <w:rPr>
                <w:rFonts w:ascii="Calibri" w:hAnsi="Calibri" w:cs="Arial"/>
                <w:sz w:val="20"/>
                <w:szCs w:val="20"/>
              </w:rPr>
            </w:pPr>
            <w:r w:rsidRPr="00C806D0">
              <w:rPr>
                <w:rFonts w:ascii="Calibri" w:hAnsi="Calibri" w:cs="Arial"/>
                <w:sz w:val="20"/>
                <w:szCs w:val="20"/>
              </w:rPr>
              <w:t>High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rFonts w:cs="Arial"/>
                <w:sz w:val="20"/>
                <w:szCs w:val="20"/>
              </w:rPr>
            </w:pPr>
            <w:r w:rsidRPr="00C806D0">
              <w:rPr>
                <w:rFonts w:cs="Arial"/>
                <w:sz w:val="20"/>
                <w:szCs w:val="20"/>
              </w:rPr>
              <w:t>High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rFonts w:cs="Arial"/>
                <w:sz w:val="20"/>
                <w:szCs w:val="20"/>
              </w:rPr>
            </w:pPr>
            <w:r w:rsidRPr="00C806D0">
              <w:rPr>
                <w:rFonts w:cs="Arial"/>
                <w:sz w:val="20"/>
                <w:szCs w:val="20"/>
              </w:rPr>
              <w:t>Unclear</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rFonts w:cs="Arial"/>
                <w:sz w:val="20"/>
                <w:szCs w:val="20"/>
              </w:rPr>
            </w:pPr>
            <w:r w:rsidRPr="00C806D0">
              <w:rPr>
                <w:rFonts w:cs="Arial"/>
                <w:sz w:val="20"/>
                <w:szCs w:val="20"/>
              </w:rPr>
              <w:t>Unclear</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rFonts w:cs="Arial"/>
                <w:sz w:val="20"/>
                <w:szCs w:val="20"/>
              </w:rPr>
            </w:pPr>
            <w:r w:rsidRPr="00C806D0">
              <w:rPr>
                <w:rFonts w:cs="Arial"/>
                <w:sz w:val="20"/>
                <w:szCs w:val="20"/>
              </w:rPr>
              <w:t>Low risk</w:t>
            </w:r>
          </w:p>
        </w:tc>
      </w:tr>
      <w:tr w:rsidR="004442E4" w:rsidRPr="00C806D0" w:rsidTr="004442E4">
        <w:trPr>
          <w:trHeight w:val="975"/>
        </w:trPr>
        <w:tc>
          <w:tcPr>
            <w:tcW w:w="0" w:type="auto"/>
            <w:tcBorders>
              <w:left w:val="nil"/>
              <w:bottom w:val="single" w:sz="4" w:space="0" w:color="auto"/>
              <w:right w:val="nil"/>
            </w:tcBorders>
          </w:tcPr>
          <w:p w:rsidR="004442E4" w:rsidRPr="00C806D0" w:rsidRDefault="004442E4" w:rsidP="004442E4">
            <w:pPr>
              <w:pStyle w:val="NoSpacing"/>
              <w:rPr>
                <w:rFonts w:ascii="Calibri" w:hAnsi="Calibri" w:cs="Arial"/>
                <w:b/>
                <w:sz w:val="20"/>
                <w:szCs w:val="20"/>
              </w:rPr>
            </w:pPr>
            <w:r w:rsidRPr="00C806D0">
              <w:rPr>
                <w:rFonts w:ascii="Calibri" w:hAnsi="Calibri" w:cs="Arial"/>
                <w:b/>
                <w:sz w:val="20"/>
                <w:szCs w:val="20"/>
              </w:rPr>
              <w:t>Support for judgement:</w:t>
            </w:r>
          </w:p>
        </w:tc>
        <w:tc>
          <w:tcPr>
            <w:tcW w:w="0" w:type="auto"/>
            <w:tcBorders>
              <w:left w:val="nil"/>
              <w:bottom w:val="single" w:sz="4" w:space="0" w:color="auto"/>
              <w:right w:val="nil"/>
            </w:tcBorders>
          </w:tcPr>
          <w:p w:rsidR="004442E4" w:rsidRPr="00C806D0" w:rsidRDefault="004442E4" w:rsidP="004442E4">
            <w:pPr>
              <w:pStyle w:val="NoSpacing"/>
              <w:rPr>
                <w:rFonts w:ascii="Calibri" w:hAnsi="Calibri" w:cs="Arial"/>
                <w:sz w:val="20"/>
                <w:szCs w:val="20"/>
              </w:rPr>
            </w:pPr>
            <w:r w:rsidRPr="00C806D0">
              <w:rPr>
                <w:rFonts w:ascii="Calibri" w:hAnsi="Calibri" w:cs="Arial"/>
                <w:sz w:val="20"/>
                <w:szCs w:val="20"/>
              </w:rPr>
              <w:t xml:space="preserve">Target population for measuring health states was patients with head injury following motorcycle accidents. </w:t>
            </w:r>
          </w:p>
          <w:p w:rsidR="004442E4" w:rsidRPr="00C806D0" w:rsidRDefault="004442E4" w:rsidP="004442E4">
            <w:pPr>
              <w:pStyle w:val="NoSpacing"/>
              <w:rPr>
                <w:rFonts w:ascii="Calibri" w:hAnsi="Calibri" w:cs="Arial"/>
                <w:sz w:val="20"/>
                <w:szCs w:val="20"/>
              </w:rPr>
            </w:pPr>
          </w:p>
          <w:p w:rsidR="004442E4" w:rsidRPr="00C806D0" w:rsidRDefault="004442E4" w:rsidP="004442E4">
            <w:pPr>
              <w:pStyle w:val="NoSpacing"/>
              <w:rPr>
                <w:rFonts w:ascii="Calibri" w:hAnsi="Calibri" w:cs="Arial"/>
                <w:sz w:val="20"/>
                <w:szCs w:val="20"/>
              </w:rPr>
            </w:pPr>
            <w:r w:rsidRPr="00C806D0">
              <w:rPr>
                <w:rFonts w:ascii="Calibri" w:hAnsi="Calibri" w:cs="Arial"/>
                <w:sz w:val="20"/>
                <w:szCs w:val="20"/>
              </w:rPr>
              <w:t xml:space="preserve">Study sample suffered from substantial loss to follow up </w:t>
            </w:r>
            <w:r w:rsidR="002E56F6" w:rsidRPr="00C806D0">
              <w:rPr>
                <w:rFonts w:ascii="Calibri" w:hAnsi="Calibri" w:cs="Arial"/>
                <w:sz w:val="20"/>
                <w:szCs w:val="20"/>
              </w:rPr>
              <w:t>(72</w:t>
            </w:r>
            <w:r w:rsidRPr="00C806D0">
              <w:rPr>
                <w:rFonts w:ascii="Calibri" w:hAnsi="Calibri" w:cs="Arial"/>
                <w:sz w:val="20"/>
                <w:szCs w:val="20"/>
              </w:rPr>
              <w:t>%) with risk of selection bias if unrepresentative patients described health states</w:t>
            </w:r>
          </w:p>
          <w:p w:rsidR="004442E4" w:rsidRPr="00C806D0" w:rsidRDefault="004442E4" w:rsidP="004442E4">
            <w:pPr>
              <w:pStyle w:val="NoSpacing"/>
              <w:rPr>
                <w:rFonts w:ascii="Calibri" w:hAnsi="Calibri" w:cs="Arial"/>
                <w:sz w:val="20"/>
                <w:szCs w:val="20"/>
              </w:rPr>
            </w:pPr>
          </w:p>
          <w:p w:rsidR="004442E4" w:rsidRPr="00C806D0" w:rsidRDefault="004442E4" w:rsidP="004442E4">
            <w:pPr>
              <w:pStyle w:val="NoSpacing"/>
              <w:rPr>
                <w:rFonts w:ascii="Calibri" w:hAnsi="Calibri" w:cs="Arial"/>
                <w:sz w:val="20"/>
                <w:szCs w:val="20"/>
              </w:rPr>
            </w:pPr>
          </w:p>
        </w:tc>
        <w:tc>
          <w:tcPr>
            <w:tcW w:w="0" w:type="auto"/>
            <w:tcBorders>
              <w:left w:val="nil"/>
              <w:bottom w:val="single" w:sz="4" w:space="0" w:color="auto"/>
              <w:right w:val="nil"/>
            </w:tcBorders>
          </w:tcPr>
          <w:p w:rsidR="004442E4" w:rsidRPr="00C806D0" w:rsidRDefault="004442E4" w:rsidP="004442E4">
            <w:pPr>
              <w:pStyle w:val="NoSpacing"/>
              <w:rPr>
                <w:rFonts w:ascii="Calibri" w:hAnsi="Calibri" w:cs="Arial"/>
                <w:sz w:val="20"/>
                <w:szCs w:val="20"/>
              </w:rPr>
            </w:pPr>
            <w:r w:rsidRPr="00C806D0">
              <w:rPr>
                <w:rFonts w:ascii="Calibri" w:hAnsi="Calibri" w:cs="Arial"/>
                <w:sz w:val="20"/>
                <w:szCs w:val="20"/>
              </w:rPr>
              <w:t>Patients asked to describe health state several years previously with concomitant risk of recall bias.</w:t>
            </w:r>
          </w:p>
          <w:p w:rsidR="004442E4" w:rsidRPr="00C806D0" w:rsidRDefault="004442E4" w:rsidP="004442E4">
            <w:pPr>
              <w:pStyle w:val="NoSpacing"/>
              <w:rPr>
                <w:rFonts w:ascii="Calibri" w:hAnsi="Calibri" w:cs="Arial"/>
                <w:sz w:val="20"/>
                <w:szCs w:val="20"/>
              </w:rPr>
            </w:pPr>
          </w:p>
          <w:p w:rsidR="004442E4" w:rsidRPr="00C806D0" w:rsidRDefault="004442E4" w:rsidP="004442E4">
            <w:pPr>
              <w:pStyle w:val="NoSpacing"/>
              <w:rPr>
                <w:rFonts w:ascii="Calibri" w:hAnsi="Calibri" w:cs="Arial"/>
                <w:sz w:val="20"/>
                <w:szCs w:val="20"/>
              </w:rPr>
            </w:pPr>
            <w:r w:rsidRPr="00C806D0">
              <w:rPr>
                <w:rFonts w:ascii="Calibri" w:hAnsi="Calibri" w:cs="Arial"/>
                <w:sz w:val="20"/>
                <w:szCs w:val="20"/>
              </w:rPr>
              <w:t>Un</w:t>
            </w:r>
            <w:r w:rsidR="002E56F6" w:rsidRPr="00C806D0">
              <w:rPr>
                <w:rFonts w:ascii="Calibri" w:hAnsi="Calibri" w:cs="Arial"/>
                <w:sz w:val="20"/>
                <w:szCs w:val="20"/>
              </w:rPr>
              <w:t>tested</w:t>
            </w:r>
            <w:r w:rsidRPr="00C806D0">
              <w:rPr>
                <w:rFonts w:ascii="Calibri" w:hAnsi="Calibri" w:cs="Arial"/>
                <w:sz w:val="20"/>
                <w:szCs w:val="20"/>
              </w:rPr>
              <w:t xml:space="preserve"> translation of preference based multi-attribute health description instrument used with adequate coverage for GOS states (Rosser Index of health related quality of life).</w:t>
            </w:r>
          </w:p>
          <w:p w:rsidR="004442E4" w:rsidRPr="00C806D0" w:rsidRDefault="004442E4" w:rsidP="004442E4">
            <w:pPr>
              <w:pStyle w:val="NoSpacing"/>
              <w:rPr>
                <w:rFonts w:ascii="Calibri" w:hAnsi="Calibri" w:cs="Arial"/>
                <w:sz w:val="20"/>
                <w:szCs w:val="20"/>
              </w:rPr>
            </w:pPr>
          </w:p>
          <w:p w:rsidR="004442E4" w:rsidRPr="00C806D0" w:rsidRDefault="004442E4" w:rsidP="004442E4">
            <w:pPr>
              <w:pStyle w:val="NoSpacing"/>
              <w:rPr>
                <w:rFonts w:ascii="Calibri" w:hAnsi="Calibri" w:cs="Arial"/>
                <w:sz w:val="20"/>
                <w:szCs w:val="20"/>
              </w:rPr>
            </w:pPr>
            <w:r w:rsidRPr="00C806D0">
              <w:rPr>
                <w:rFonts w:ascii="Calibri" w:hAnsi="Calibri" w:cs="Arial"/>
                <w:sz w:val="20"/>
                <w:szCs w:val="20"/>
              </w:rPr>
              <w:t>Telephone interviews used to measure health states. Full details on methods not described e.g. structured interviews.</w:t>
            </w:r>
          </w:p>
          <w:p w:rsidR="004442E4" w:rsidRPr="00C806D0" w:rsidRDefault="004442E4" w:rsidP="004442E4">
            <w:pPr>
              <w:pStyle w:val="NoSpacing"/>
              <w:rPr>
                <w:rFonts w:ascii="Calibri" w:hAnsi="Calibri" w:cs="Arial"/>
                <w:sz w:val="20"/>
                <w:szCs w:val="20"/>
              </w:rPr>
            </w:pPr>
          </w:p>
          <w:p w:rsidR="004442E4" w:rsidRPr="00C806D0" w:rsidRDefault="004442E4" w:rsidP="004442E4">
            <w:pPr>
              <w:pStyle w:val="NoSpacing"/>
              <w:rPr>
                <w:rFonts w:ascii="Calibri" w:hAnsi="Calibri" w:cs="Arial"/>
                <w:sz w:val="20"/>
                <w:szCs w:val="20"/>
              </w:rPr>
            </w:pPr>
          </w:p>
        </w:tc>
        <w:tc>
          <w:tcPr>
            <w:tcW w:w="0" w:type="auto"/>
            <w:tcBorders>
              <w:left w:val="nil"/>
              <w:bottom w:val="single" w:sz="4" w:space="0" w:color="auto"/>
              <w:right w:val="nil"/>
            </w:tcBorders>
          </w:tcPr>
          <w:p w:rsidR="004442E4" w:rsidRPr="00C806D0" w:rsidRDefault="004442E4" w:rsidP="004442E4">
            <w:pPr>
              <w:pStyle w:val="NoSpacing"/>
              <w:rPr>
                <w:rFonts w:ascii="Calibri" w:hAnsi="Calibri" w:cs="Arial"/>
                <w:sz w:val="20"/>
                <w:szCs w:val="20"/>
              </w:rPr>
            </w:pPr>
            <w:r w:rsidRPr="00C806D0">
              <w:rPr>
                <w:rFonts w:ascii="Calibri" w:hAnsi="Calibri" w:cs="Arial"/>
                <w:sz w:val="20"/>
                <w:szCs w:val="20"/>
              </w:rPr>
              <w:t>Population valuing health states in the Rosser Index of health related quality of life not reported.</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Direct valuation method using standard gamble.</w:t>
            </w:r>
          </w:p>
          <w:p w:rsidR="004442E4" w:rsidRPr="00C806D0" w:rsidRDefault="004442E4" w:rsidP="004442E4">
            <w:pPr>
              <w:pStyle w:val="NoSpacing"/>
              <w:rPr>
                <w:sz w:val="20"/>
                <w:szCs w:val="20"/>
              </w:rPr>
            </w:pPr>
          </w:p>
          <w:p w:rsidR="004442E4" w:rsidRPr="00C806D0" w:rsidRDefault="004442E4" w:rsidP="004442E4">
            <w:pPr>
              <w:pStyle w:val="NoSpacing"/>
              <w:rPr>
                <w:rFonts w:ascii="Calibri" w:hAnsi="Calibri" w:cs="Arial"/>
                <w:sz w:val="20"/>
                <w:szCs w:val="20"/>
              </w:rPr>
            </w:pPr>
            <w:r w:rsidRPr="00C806D0">
              <w:rPr>
                <w:sz w:val="20"/>
                <w:szCs w:val="20"/>
              </w:rPr>
              <w:t>Details of valuation exercises not published.</w:t>
            </w:r>
          </w:p>
        </w:tc>
        <w:tc>
          <w:tcPr>
            <w:tcW w:w="0" w:type="auto"/>
            <w:tcBorders>
              <w:left w:val="nil"/>
              <w:bottom w:val="single" w:sz="4" w:space="0" w:color="auto"/>
              <w:right w:val="nil"/>
            </w:tcBorders>
          </w:tcPr>
          <w:p w:rsidR="004442E4" w:rsidRPr="00C806D0" w:rsidRDefault="004442E4" w:rsidP="004442E4">
            <w:pPr>
              <w:pStyle w:val="NoSpacing"/>
              <w:rPr>
                <w:rFonts w:ascii="Calibri" w:hAnsi="Calibri" w:cs="Arial"/>
                <w:sz w:val="20"/>
                <w:szCs w:val="20"/>
              </w:rPr>
            </w:pPr>
            <w:r w:rsidRPr="00C806D0">
              <w:rPr>
                <w:rFonts w:ascii="Calibri" w:hAnsi="Calibri" w:cs="Arial"/>
                <w:sz w:val="20"/>
                <w:szCs w:val="20"/>
              </w:rPr>
              <w:t>No other sources of bias identified likely to influence results.</w:t>
            </w:r>
          </w:p>
          <w:p w:rsidR="004442E4" w:rsidRPr="00C806D0" w:rsidRDefault="004442E4" w:rsidP="004442E4">
            <w:pPr>
              <w:pStyle w:val="NoSpacing"/>
              <w:rPr>
                <w:rFonts w:ascii="Calibri" w:hAnsi="Calibri" w:cs="Arial"/>
                <w:sz w:val="20"/>
                <w:szCs w:val="20"/>
              </w:rPr>
            </w:pPr>
          </w:p>
        </w:tc>
      </w:tr>
    </w:tbl>
    <w:p w:rsidR="004442E4" w:rsidRPr="00C806D0" w:rsidRDefault="004442E4" w:rsidP="004442E4"/>
    <w:p w:rsidR="004442E4" w:rsidRPr="00C806D0" w:rsidRDefault="004442E4" w:rsidP="004442E4">
      <w:r w:rsidRPr="00C806D0">
        <w:rPr>
          <w:b/>
        </w:rPr>
        <w:lastRenderedPageBreak/>
        <w:t>Table F11. Risk of bias assessment for Aoki 1998 study</w:t>
      </w:r>
    </w:p>
    <w:tbl>
      <w:tblPr>
        <w:tblStyle w:val="TableGrid"/>
        <w:tblW w:w="0" w:type="auto"/>
        <w:tblLook w:val="04A0" w:firstRow="1" w:lastRow="0" w:firstColumn="1" w:lastColumn="0" w:noHBand="0" w:noVBand="1"/>
      </w:tblPr>
      <w:tblGrid>
        <w:gridCol w:w="1370"/>
        <w:gridCol w:w="2521"/>
        <w:gridCol w:w="3126"/>
        <w:gridCol w:w="2802"/>
        <w:gridCol w:w="3151"/>
        <w:gridCol w:w="1816"/>
      </w:tblGrid>
      <w:tr w:rsidR="004442E4" w:rsidRPr="00C806D0" w:rsidTr="004442E4">
        <w:trPr>
          <w:trHeight w:val="274"/>
        </w:trPr>
        <w:tc>
          <w:tcPr>
            <w:tcW w:w="0" w:type="auto"/>
            <w:gridSpan w:val="6"/>
            <w:tcBorders>
              <w:left w:val="nil"/>
              <w:bottom w:val="nil"/>
              <w:right w:val="nil"/>
            </w:tcBorders>
            <w:shd w:val="clear" w:color="auto" w:fill="auto"/>
          </w:tcPr>
          <w:p w:rsidR="004442E4" w:rsidRPr="00C806D0" w:rsidRDefault="004442E4" w:rsidP="006D4D62">
            <w:pPr>
              <w:pStyle w:val="ListParagraph"/>
              <w:ind w:left="360"/>
              <w:jc w:val="center"/>
              <w:rPr>
                <w:b/>
                <w:sz w:val="20"/>
                <w:szCs w:val="20"/>
                <w:vertAlign w:val="superscript"/>
              </w:rPr>
            </w:pPr>
            <w:r w:rsidRPr="00C806D0">
              <w:rPr>
                <w:b/>
                <w:sz w:val="20"/>
                <w:szCs w:val="20"/>
              </w:rPr>
              <w:t>Aoki 1998</w:t>
            </w:r>
            <w:r w:rsidR="00155D84" w:rsidRPr="00C806D0">
              <w:rPr>
                <w:b/>
                <w:noProof/>
                <w:sz w:val="20"/>
                <w:szCs w:val="20"/>
                <w:vertAlign w:val="superscript"/>
              </w:rPr>
              <w:t>[</w:t>
            </w:r>
            <w:r w:rsidR="006D4D62" w:rsidRPr="00C806D0">
              <w:rPr>
                <w:b/>
                <w:noProof/>
                <w:sz w:val="20"/>
                <w:szCs w:val="20"/>
                <w:vertAlign w:val="superscript"/>
              </w:rPr>
              <w:t>79</w:t>
            </w:r>
            <w:r w:rsidR="00155D84" w:rsidRPr="00C806D0">
              <w:rPr>
                <w:b/>
                <w:noProof/>
                <w:sz w:val="20"/>
                <w:szCs w:val="20"/>
                <w:vertAlign w:val="superscript"/>
              </w:rPr>
              <w:t>]</w:t>
            </w:r>
          </w:p>
        </w:tc>
      </w:tr>
      <w:tr w:rsidR="004442E4" w:rsidRPr="00C806D0" w:rsidTr="004442E4">
        <w:trPr>
          <w:trHeight w:val="274"/>
        </w:trPr>
        <w:tc>
          <w:tcPr>
            <w:tcW w:w="0" w:type="auto"/>
            <w:tcBorders>
              <w:left w:val="nil"/>
              <w:bottom w:val="nil"/>
              <w:right w:val="nil"/>
            </w:tcBorders>
          </w:tcPr>
          <w:p w:rsidR="004442E4" w:rsidRPr="00C806D0" w:rsidRDefault="004442E4" w:rsidP="004442E4">
            <w:pPr>
              <w:jc w:val="center"/>
              <w:rPr>
                <w:b/>
                <w:sz w:val="20"/>
                <w:szCs w:val="20"/>
              </w:rPr>
            </w:pPr>
          </w:p>
        </w:tc>
        <w:tc>
          <w:tcPr>
            <w:tcW w:w="0" w:type="auto"/>
            <w:gridSpan w:val="2"/>
            <w:tcBorders>
              <w:left w:val="nil"/>
              <w:bottom w:val="nil"/>
              <w:right w:val="nil"/>
            </w:tcBorders>
          </w:tcPr>
          <w:p w:rsidR="004442E4" w:rsidRPr="00C806D0" w:rsidRDefault="004442E4" w:rsidP="004442E4">
            <w:pPr>
              <w:jc w:val="center"/>
              <w:rPr>
                <w:b/>
                <w:sz w:val="20"/>
                <w:szCs w:val="20"/>
              </w:rPr>
            </w:pPr>
            <w:r w:rsidRPr="00C806D0">
              <w:rPr>
                <w:b/>
                <w:sz w:val="20"/>
                <w:szCs w:val="20"/>
              </w:rPr>
              <w:t>Health state description &amp; measurement</w:t>
            </w:r>
          </w:p>
        </w:tc>
        <w:tc>
          <w:tcPr>
            <w:tcW w:w="0" w:type="auto"/>
            <w:gridSpan w:val="2"/>
            <w:tcBorders>
              <w:left w:val="nil"/>
              <w:bottom w:val="nil"/>
              <w:right w:val="nil"/>
            </w:tcBorders>
          </w:tcPr>
          <w:p w:rsidR="004442E4" w:rsidRPr="00C806D0" w:rsidRDefault="004442E4" w:rsidP="004442E4">
            <w:pPr>
              <w:jc w:val="center"/>
              <w:rPr>
                <w:b/>
                <w:sz w:val="20"/>
                <w:szCs w:val="20"/>
              </w:rPr>
            </w:pPr>
            <w:r w:rsidRPr="00C806D0">
              <w:rPr>
                <w:b/>
                <w:sz w:val="20"/>
                <w:szCs w:val="20"/>
              </w:rPr>
              <w:t>Health state valuation</w:t>
            </w:r>
          </w:p>
        </w:tc>
        <w:tc>
          <w:tcPr>
            <w:tcW w:w="0" w:type="auto"/>
            <w:tcBorders>
              <w:left w:val="nil"/>
              <w:bottom w:val="nil"/>
              <w:right w:val="nil"/>
            </w:tcBorders>
          </w:tcPr>
          <w:p w:rsidR="004442E4" w:rsidRPr="00C806D0" w:rsidRDefault="004442E4" w:rsidP="004442E4">
            <w:pPr>
              <w:jc w:val="center"/>
              <w:rPr>
                <w:b/>
                <w:sz w:val="20"/>
                <w:szCs w:val="20"/>
              </w:rPr>
            </w:pPr>
            <w:r w:rsidRPr="00C806D0">
              <w:rPr>
                <w:b/>
                <w:sz w:val="20"/>
                <w:szCs w:val="20"/>
              </w:rPr>
              <w:t>Other</w:t>
            </w:r>
          </w:p>
        </w:tc>
      </w:tr>
      <w:tr w:rsidR="004442E4" w:rsidRPr="00C806D0" w:rsidTr="004442E4">
        <w:trPr>
          <w:trHeight w:val="749"/>
        </w:trPr>
        <w:tc>
          <w:tcPr>
            <w:tcW w:w="0" w:type="auto"/>
            <w:tcBorders>
              <w:top w:val="nil"/>
              <w:left w:val="nil"/>
              <w:right w:val="nil"/>
            </w:tcBorders>
          </w:tcPr>
          <w:p w:rsidR="004442E4" w:rsidRPr="00C806D0" w:rsidRDefault="004442E4" w:rsidP="004442E4">
            <w:pPr>
              <w:rPr>
                <w:b/>
                <w:sz w:val="20"/>
                <w:szCs w:val="20"/>
              </w:rPr>
            </w:pPr>
            <w:r w:rsidRPr="00C806D0">
              <w:rPr>
                <w:b/>
                <w:sz w:val="20"/>
                <w:szCs w:val="20"/>
              </w:rPr>
              <w:t>Domain:</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1:</w:t>
            </w:r>
            <w:r w:rsidRPr="00C806D0">
              <w:rPr>
                <w:sz w:val="20"/>
                <w:szCs w:val="20"/>
              </w:rPr>
              <w:t xml:space="preserve"> Selection bias (Representative population describing health s</w:t>
            </w:r>
            <w:r w:rsidR="00E34C7C" w:rsidRPr="00C806D0">
              <w:rPr>
                <w:sz w:val="20"/>
                <w:szCs w:val="20"/>
              </w:rPr>
              <w:t>t</w:t>
            </w:r>
            <w:r w:rsidRPr="00C806D0">
              <w:rPr>
                <w:sz w:val="20"/>
                <w:szCs w:val="20"/>
              </w:rPr>
              <w: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2</w:t>
            </w:r>
            <w:r w:rsidRPr="00C806D0">
              <w:rPr>
                <w:sz w:val="20"/>
                <w:szCs w:val="20"/>
              </w:rPr>
              <w:t>: Information bias (Accurate and reproducible measurement of health states?)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3:</w:t>
            </w:r>
            <w:r w:rsidRPr="00C806D0">
              <w:rPr>
                <w:sz w:val="20"/>
                <w:szCs w:val="20"/>
              </w:rPr>
              <w:t xml:space="preserve"> Selection bias (Representative population valuing health s</w:t>
            </w:r>
            <w:r w:rsidR="00E34C7C" w:rsidRPr="00C806D0">
              <w:rPr>
                <w:sz w:val="20"/>
                <w:szCs w:val="20"/>
              </w:rPr>
              <w:t>t</w:t>
            </w:r>
            <w:r w:rsidRPr="00C806D0">
              <w:rPr>
                <w:sz w:val="20"/>
                <w:szCs w:val="20"/>
              </w:rPr>
              <w: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4:</w:t>
            </w:r>
            <w:r w:rsidRPr="00C806D0">
              <w:rPr>
                <w:sz w:val="20"/>
                <w:szCs w:val="20"/>
              </w:rPr>
              <w:t xml:space="preserve"> Information bias (Accurate and reproducible valuation of preference for health states?):</w:t>
            </w:r>
          </w:p>
        </w:tc>
        <w:tc>
          <w:tcPr>
            <w:tcW w:w="0" w:type="auto"/>
            <w:tcBorders>
              <w:top w:val="nil"/>
              <w:left w:val="nil"/>
              <w:right w:val="nil"/>
            </w:tcBorders>
          </w:tcPr>
          <w:p w:rsidR="004442E4" w:rsidRPr="00C806D0" w:rsidRDefault="004442E4" w:rsidP="004442E4">
            <w:pPr>
              <w:rPr>
                <w:sz w:val="20"/>
                <w:szCs w:val="20"/>
              </w:rPr>
            </w:pPr>
            <w:r w:rsidRPr="00C806D0">
              <w:rPr>
                <w:b/>
                <w:sz w:val="20"/>
                <w:szCs w:val="20"/>
              </w:rPr>
              <w:t>Domain 5:</w:t>
            </w:r>
            <w:r w:rsidRPr="00C806D0">
              <w:rPr>
                <w:sz w:val="20"/>
                <w:szCs w:val="20"/>
              </w:rPr>
              <w:t xml:space="preserve"> Other sources of bias:</w:t>
            </w:r>
          </w:p>
        </w:tc>
      </w:tr>
      <w:tr w:rsidR="004442E4" w:rsidRPr="00C806D0" w:rsidTr="004442E4">
        <w:trPr>
          <w:trHeight w:val="692"/>
        </w:trPr>
        <w:tc>
          <w:tcPr>
            <w:tcW w:w="0" w:type="auto"/>
            <w:tcBorders>
              <w:left w:val="nil"/>
              <w:bottom w:val="single" w:sz="4" w:space="0" w:color="auto"/>
              <w:right w:val="nil"/>
            </w:tcBorders>
          </w:tcPr>
          <w:p w:rsidR="004442E4" w:rsidRPr="00C806D0" w:rsidRDefault="004442E4" w:rsidP="004442E4">
            <w:pPr>
              <w:pStyle w:val="NoSpacing"/>
              <w:rPr>
                <w:b/>
                <w:sz w:val="20"/>
                <w:szCs w:val="20"/>
              </w:rPr>
            </w:pPr>
            <w:r w:rsidRPr="00C806D0">
              <w:rPr>
                <w:b/>
                <w:sz w:val="20"/>
                <w:szCs w:val="20"/>
              </w:rPr>
              <w:t>Bias judgement:</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Not applicable</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High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Unclear</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Low risk</w:t>
            </w:r>
          </w:p>
        </w:tc>
        <w:tc>
          <w:tcPr>
            <w:tcW w:w="0" w:type="auto"/>
            <w:tcBorders>
              <w:left w:val="nil"/>
              <w:bottom w:val="single" w:sz="4" w:space="0" w:color="auto"/>
              <w:right w:val="nil"/>
            </w:tcBorders>
          </w:tcPr>
          <w:p w:rsidR="004442E4" w:rsidRPr="00C806D0" w:rsidRDefault="004442E4" w:rsidP="004442E4">
            <w:pPr>
              <w:autoSpaceDE w:val="0"/>
              <w:autoSpaceDN w:val="0"/>
              <w:adjustRightInd w:val="0"/>
              <w:rPr>
                <w:sz w:val="20"/>
                <w:szCs w:val="20"/>
              </w:rPr>
            </w:pPr>
            <w:r w:rsidRPr="00C806D0">
              <w:rPr>
                <w:sz w:val="20"/>
                <w:szCs w:val="20"/>
              </w:rPr>
              <w:t>Low risk</w:t>
            </w:r>
          </w:p>
        </w:tc>
      </w:tr>
      <w:tr w:rsidR="004442E4" w:rsidRPr="00C806D0" w:rsidTr="004442E4">
        <w:trPr>
          <w:trHeight w:val="975"/>
        </w:trPr>
        <w:tc>
          <w:tcPr>
            <w:tcW w:w="0" w:type="auto"/>
            <w:tcBorders>
              <w:left w:val="nil"/>
              <w:bottom w:val="single" w:sz="4" w:space="0" w:color="auto"/>
              <w:right w:val="nil"/>
            </w:tcBorders>
          </w:tcPr>
          <w:p w:rsidR="004442E4" w:rsidRPr="00C806D0" w:rsidRDefault="004442E4" w:rsidP="004442E4">
            <w:pPr>
              <w:pStyle w:val="NoSpacing"/>
              <w:rPr>
                <w:b/>
                <w:sz w:val="20"/>
                <w:szCs w:val="20"/>
              </w:rPr>
            </w:pPr>
            <w:r w:rsidRPr="00C806D0">
              <w:rPr>
                <w:b/>
                <w:sz w:val="20"/>
                <w:szCs w:val="20"/>
              </w:rPr>
              <w:t>Support for judgement:</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Health states measured using scenarios</w:t>
            </w: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Health state descriptions do not meet consensus methodological standards.</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 xml:space="preserve">Brief health state descriptions which don’t include all relevant functional dimensions of GOS categories. </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Heterogeneity of GOS states not accounted for e.g. Moderate disability doesn’t address limitations in leisure activities</w:t>
            </w:r>
          </w:p>
          <w:p w:rsidR="004442E4" w:rsidRPr="00C806D0" w:rsidRDefault="004442E4" w:rsidP="004442E4">
            <w:pPr>
              <w:pStyle w:val="NoSpacing"/>
              <w:rPr>
                <w:sz w:val="20"/>
                <w:szCs w:val="20"/>
              </w:rPr>
            </w:pP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Target population is Japanese health professionals.</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Insufficient information reported on inclusion criteria and sample selection to allow assessment.</w:t>
            </w:r>
          </w:p>
        </w:tc>
        <w:tc>
          <w:tcPr>
            <w:tcW w:w="0" w:type="auto"/>
            <w:tcBorders>
              <w:left w:val="nil"/>
              <w:bottom w:val="single" w:sz="4" w:space="0" w:color="auto"/>
              <w:right w:val="nil"/>
            </w:tcBorders>
          </w:tcPr>
          <w:p w:rsidR="004442E4" w:rsidRPr="00C806D0" w:rsidRDefault="004442E4" w:rsidP="004442E4">
            <w:pPr>
              <w:pStyle w:val="NoSpacing"/>
              <w:rPr>
                <w:sz w:val="20"/>
                <w:szCs w:val="20"/>
                <w:vertAlign w:val="superscript"/>
              </w:rPr>
            </w:pPr>
            <w:r w:rsidRPr="00C806D0">
              <w:rPr>
                <w:sz w:val="20"/>
                <w:szCs w:val="20"/>
              </w:rPr>
              <w:t>Direct valuation method using standard gamble performed appropriately.</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r w:rsidRPr="00C806D0">
              <w:rPr>
                <w:sz w:val="20"/>
                <w:szCs w:val="20"/>
              </w:rPr>
              <w:t>Structured interviews use to obtain preferences. Full details on methods not described e.g. use of props or training exercises.</w:t>
            </w:r>
          </w:p>
          <w:p w:rsidR="004442E4" w:rsidRPr="00C806D0" w:rsidRDefault="004442E4" w:rsidP="004442E4">
            <w:pPr>
              <w:pStyle w:val="NoSpacing"/>
              <w:rPr>
                <w:sz w:val="20"/>
                <w:szCs w:val="20"/>
              </w:rPr>
            </w:pPr>
          </w:p>
        </w:tc>
        <w:tc>
          <w:tcPr>
            <w:tcW w:w="0" w:type="auto"/>
            <w:tcBorders>
              <w:left w:val="nil"/>
              <w:bottom w:val="single" w:sz="4" w:space="0" w:color="auto"/>
              <w:right w:val="nil"/>
            </w:tcBorders>
          </w:tcPr>
          <w:p w:rsidR="004442E4" w:rsidRPr="00C806D0" w:rsidRDefault="004442E4" w:rsidP="004442E4">
            <w:pPr>
              <w:pStyle w:val="NoSpacing"/>
              <w:rPr>
                <w:sz w:val="20"/>
                <w:szCs w:val="20"/>
              </w:rPr>
            </w:pPr>
            <w:r w:rsidRPr="00C806D0">
              <w:rPr>
                <w:sz w:val="20"/>
                <w:szCs w:val="20"/>
              </w:rPr>
              <w:t>No other sources of bias identified likely to influence results.</w:t>
            </w:r>
          </w:p>
          <w:p w:rsidR="004442E4" w:rsidRPr="00C806D0" w:rsidRDefault="004442E4" w:rsidP="004442E4">
            <w:pPr>
              <w:pStyle w:val="NoSpacing"/>
              <w:rPr>
                <w:sz w:val="20"/>
                <w:szCs w:val="20"/>
              </w:rPr>
            </w:pPr>
          </w:p>
        </w:tc>
      </w:tr>
    </w:tbl>
    <w:p w:rsidR="004442E4" w:rsidRPr="00C806D0" w:rsidRDefault="004442E4" w:rsidP="004442E4">
      <w:pPr>
        <w:pStyle w:val="ListParagraph"/>
        <w:ind w:left="360"/>
      </w:pPr>
    </w:p>
    <w:p w:rsidR="00776188" w:rsidRPr="00C806D0" w:rsidRDefault="00776188" w:rsidP="004442E4">
      <w:pPr>
        <w:pStyle w:val="ListParagraph"/>
        <w:ind w:left="360"/>
      </w:pPr>
    </w:p>
    <w:p w:rsidR="004442E4" w:rsidRPr="00C806D0" w:rsidRDefault="004442E4" w:rsidP="004442E4">
      <w:pPr>
        <w:pStyle w:val="ListParagraph"/>
        <w:ind w:left="360"/>
      </w:pPr>
    </w:p>
    <w:p w:rsidR="004442E4" w:rsidRPr="00C806D0" w:rsidRDefault="003A4BDE" w:rsidP="00550C9C">
      <w:pPr>
        <w:pStyle w:val="Heading3"/>
        <w:numPr>
          <w:ilvl w:val="2"/>
          <w:numId w:val="19"/>
        </w:numPr>
        <w:spacing w:before="240"/>
        <w:ind w:left="1288"/>
      </w:pPr>
      <w:r w:rsidRPr="00C806D0">
        <w:lastRenderedPageBreak/>
        <w:t>C</w:t>
      </w:r>
      <w:r w:rsidR="004442E4" w:rsidRPr="00C806D0">
        <w:t>ovariance matrix of predictive model for mean 12 month EQ5D including basic GOS category and patient age</w:t>
      </w:r>
    </w:p>
    <w:p w:rsidR="004442E4" w:rsidRPr="00C806D0" w:rsidRDefault="004442E4" w:rsidP="004442E4">
      <w:pPr>
        <w:pStyle w:val="Heading3"/>
        <w:numPr>
          <w:ilvl w:val="0"/>
          <w:numId w:val="0"/>
        </w:numPr>
        <w:ind w:left="568"/>
      </w:pPr>
      <w:r w:rsidRPr="00C806D0">
        <w:t>Table F12. Covariance matrix for initial model including basic GOS and age</w:t>
      </w:r>
    </w:p>
    <w:tbl>
      <w:tblPr>
        <w:tblW w:w="14174" w:type="dxa"/>
        <w:tblLook w:val="04A0" w:firstRow="1" w:lastRow="0" w:firstColumn="1" w:lastColumn="0" w:noHBand="0" w:noVBand="1"/>
      </w:tblPr>
      <w:tblGrid>
        <w:gridCol w:w="336"/>
        <w:gridCol w:w="217"/>
        <w:gridCol w:w="216"/>
        <w:gridCol w:w="216"/>
        <w:gridCol w:w="216"/>
        <w:gridCol w:w="287"/>
        <w:gridCol w:w="216"/>
        <w:gridCol w:w="216"/>
        <w:gridCol w:w="462"/>
        <w:gridCol w:w="520"/>
        <w:gridCol w:w="519"/>
        <w:gridCol w:w="519"/>
        <w:gridCol w:w="519"/>
        <w:gridCol w:w="519"/>
        <w:gridCol w:w="519"/>
        <w:gridCol w:w="519"/>
        <w:gridCol w:w="519"/>
        <w:gridCol w:w="519"/>
        <w:gridCol w:w="519"/>
        <w:gridCol w:w="519"/>
        <w:gridCol w:w="519"/>
        <w:gridCol w:w="519"/>
        <w:gridCol w:w="519"/>
        <w:gridCol w:w="519"/>
        <w:gridCol w:w="519"/>
        <w:gridCol w:w="752"/>
        <w:gridCol w:w="519"/>
        <w:gridCol w:w="519"/>
        <w:gridCol w:w="519"/>
        <w:gridCol w:w="519"/>
        <w:gridCol w:w="752"/>
        <w:gridCol w:w="519"/>
      </w:tblGrid>
      <w:tr w:rsidR="004442E4" w:rsidRPr="00C806D0" w:rsidTr="004442E4">
        <w:trPr>
          <w:trHeight w:val="300"/>
        </w:trPr>
        <w:tc>
          <w:tcPr>
            <w:tcW w:w="37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p>
        </w:tc>
        <w:tc>
          <w:tcPr>
            <w:tcW w:w="3453" w:type="dxa"/>
            <w:gridSpan w:val="11"/>
            <w:tcBorders>
              <w:top w:val="single" w:sz="4" w:space="0" w:color="auto"/>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b/>
                <w:bCs/>
                <w:color w:val="000000"/>
                <w:sz w:val="16"/>
                <w:szCs w:val="16"/>
                <w:lang w:eastAsia="en-GB"/>
              </w:rPr>
              <w:t>Explanatory variables within component 1</w:t>
            </w:r>
          </w:p>
        </w:tc>
        <w:tc>
          <w:tcPr>
            <w:tcW w:w="2480" w:type="dxa"/>
            <w:gridSpan w:val="5"/>
            <w:tcBorders>
              <w:top w:val="single" w:sz="4" w:space="0" w:color="auto"/>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b/>
                <w:bCs/>
                <w:color w:val="000000"/>
                <w:sz w:val="16"/>
                <w:szCs w:val="16"/>
                <w:lang w:eastAsia="en-GB"/>
              </w:rPr>
              <w:t>Explanatory variables within component 2</w:t>
            </w:r>
          </w:p>
        </w:tc>
        <w:tc>
          <w:tcPr>
            <w:tcW w:w="2480" w:type="dxa"/>
            <w:gridSpan w:val="5"/>
            <w:tcBorders>
              <w:top w:val="single" w:sz="4" w:space="0" w:color="auto"/>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b/>
                <w:bCs/>
                <w:color w:val="000000"/>
                <w:sz w:val="16"/>
                <w:szCs w:val="16"/>
                <w:lang w:eastAsia="en-GB"/>
              </w:rPr>
              <w:t>Explanatory variables within component 3</w:t>
            </w:r>
          </w:p>
        </w:tc>
        <w:tc>
          <w:tcPr>
            <w:tcW w:w="2695" w:type="dxa"/>
            <w:gridSpan w:val="5"/>
            <w:tcBorders>
              <w:top w:val="single" w:sz="4" w:space="0" w:color="auto"/>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bCs/>
                <w:color w:val="000000"/>
                <w:sz w:val="16"/>
                <w:szCs w:val="16"/>
                <w:lang w:eastAsia="en-GB"/>
              </w:rPr>
            </w:pPr>
            <w:r w:rsidRPr="00C806D0">
              <w:rPr>
                <w:rFonts w:ascii="Calibri" w:eastAsia="Times New Roman" w:hAnsi="Calibri" w:cs="Times New Roman"/>
                <w:b/>
                <w:bCs/>
                <w:color w:val="000000" w:themeColor="text1" w:themeShade="BF"/>
                <w:sz w:val="16"/>
                <w:szCs w:val="16"/>
                <w:lang w:eastAsia="en-GB"/>
              </w:rPr>
              <w:t>Explanatory variables explaining the probability of component 1 membership</w:t>
            </w:r>
          </w:p>
        </w:tc>
        <w:tc>
          <w:tcPr>
            <w:tcW w:w="2695" w:type="dxa"/>
            <w:gridSpan w:val="5"/>
            <w:tcBorders>
              <w:top w:val="single" w:sz="4" w:space="0" w:color="auto"/>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bCs/>
                <w:color w:val="000000"/>
                <w:sz w:val="16"/>
                <w:szCs w:val="16"/>
                <w:lang w:eastAsia="en-GB"/>
              </w:rPr>
            </w:pPr>
            <w:r w:rsidRPr="00C806D0">
              <w:rPr>
                <w:rFonts w:ascii="Calibri" w:eastAsia="Times New Roman" w:hAnsi="Calibri" w:cs="Times New Roman"/>
                <w:b/>
                <w:bCs/>
                <w:color w:val="000000" w:themeColor="text1" w:themeShade="BF"/>
                <w:sz w:val="16"/>
                <w:szCs w:val="16"/>
                <w:lang w:eastAsia="en-GB"/>
              </w:rPr>
              <w:t>Explanatory variables explaining the probability of component 2 membership</w:t>
            </w:r>
          </w:p>
        </w:tc>
      </w:tr>
      <w:tr w:rsidR="004442E4" w:rsidRPr="00C806D0" w:rsidTr="004442E4">
        <w:trPr>
          <w:trHeight w:val="273"/>
        </w:trPr>
        <w:tc>
          <w:tcPr>
            <w:tcW w:w="37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p>
        </w:tc>
        <w:tc>
          <w:tcPr>
            <w:tcW w:w="1131" w:type="dxa"/>
            <w:gridSpan w:val="5"/>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VS</w:t>
            </w:r>
          </w:p>
        </w:tc>
        <w:tc>
          <w:tcPr>
            <w:tcW w:w="834" w:type="dxa"/>
            <w:gridSpan w:val="3"/>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SD</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MD</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Age</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Cons</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VS</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SD</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MD</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Age</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Cons</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VS</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SD</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MD</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Age</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Cons</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VS</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SD</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MD</w:t>
            </w:r>
          </w:p>
        </w:tc>
        <w:tc>
          <w:tcPr>
            <w:tcW w:w="711"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Age</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Cons</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VS</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SD</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MD</w:t>
            </w:r>
          </w:p>
        </w:tc>
        <w:tc>
          <w:tcPr>
            <w:tcW w:w="711"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Age</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Cons</w:t>
            </w:r>
          </w:p>
        </w:tc>
      </w:tr>
      <w:tr w:rsidR="004442E4" w:rsidRPr="00C806D0" w:rsidTr="004442E4">
        <w:trPr>
          <w:trHeight w:val="300"/>
        </w:trPr>
        <w:tc>
          <w:tcPr>
            <w:tcW w:w="5808" w:type="dxa"/>
            <w:gridSpan w:val="16"/>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color w:val="000000"/>
                <w:sz w:val="16"/>
                <w:szCs w:val="16"/>
                <w:lang w:eastAsia="en-GB"/>
              </w:rPr>
            </w:pPr>
            <w:r w:rsidRPr="00C806D0">
              <w:rPr>
                <w:rFonts w:ascii="Calibri" w:eastAsia="Times New Roman" w:hAnsi="Calibri" w:cs="Times New Roman"/>
                <w:b/>
                <w:bCs/>
                <w:color w:val="000000"/>
                <w:sz w:val="16"/>
                <w:szCs w:val="16"/>
                <w:lang w:eastAsia="en-GB"/>
              </w:rPr>
              <w:t>Explanatory variables within component 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866" w:type="dxa"/>
            <w:gridSpan w:val="4"/>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VS</w:t>
            </w:r>
          </w:p>
        </w:tc>
        <w:tc>
          <w:tcPr>
            <w:tcW w:w="636"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0.02137</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866" w:type="dxa"/>
            <w:gridSpan w:val="4"/>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SD</w:t>
            </w:r>
          </w:p>
        </w:tc>
        <w:tc>
          <w:tcPr>
            <w:tcW w:w="636"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0.00195</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0.00341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866" w:type="dxa"/>
            <w:gridSpan w:val="4"/>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MD</w:t>
            </w:r>
          </w:p>
        </w:tc>
        <w:tc>
          <w:tcPr>
            <w:tcW w:w="636"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0.00238</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0.00175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0.02167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866" w:type="dxa"/>
            <w:gridSpan w:val="4"/>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Age</w:t>
            </w:r>
          </w:p>
        </w:tc>
        <w:tc>
          <w:tcPr>
            <w:tcW w:w="636"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866" w:type="dxa"/>
            <w:gridSpan w:val="4"/>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Cons</w:t>
            </w:r>
          </w:p>
        </w:tc>
        <w:tc>
          <w:tcPr>
            <w:tcW w:w="636"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-0.00286</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-0.00110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-0.00274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0.00513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6304" w:type="dxa"/>
            <w:gridSpan w:val="17"/>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color w:val="000000"/>
                <w:sz w:val="16"/>
                <w:szCs w:val="16"/>
                <w:lang w:eastAsia="en-GB"/>
              </w:rPr>
            </w:pPr>
            <w:r w:rsidRPr="00C806D0">
              <w:rPr>
                <w:rFonts w:ascii="Calibri" w:eastAsia="Times New Roman" w:hAnsi="Calibri" w:cs="Times New Roman"/>
                <w:b/>
                <w:bCs/>
                <w:color w:val="000000"/>
                <w:sz w:val="16"/>
                <w:szCs w:val="16"/>
                <w:lang w:eastAsia="en-GB"/>
              </w:rPr>
              <w:t>Explanatory variables within component 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1113" w:type="dxa"/>
            <w:gridSpan w:val="5"/>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VS</w:t>
            </w:r>
          </w:p>
        </w:tc>
        <w:tc>
          <w:tcPr>
            <w:tcW w:w="727"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0.00057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0.02741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1113" w:type="dxa"/>
            <w:gridSpan w:val="5"/>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SD</w:t>
            </w:r>
          </w:p>
        </w:tc>
        <w:tc>
          <w:tcPr>
            <w:tcW w:w="727"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0.00070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0.00074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1113" w:type="dxa"/>
            <w:gridSpan w:val="5"/>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MD</w:t>
            </w:r>
          </w:p>
        </w:tc>
        <w:tc>
          <w:tcPr>
            <w:tcW w:w="727"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0.00070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0.00069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0.00072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1113" w:type="dxa"/>
            <w:gridSpan w:val="5"/>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Age</w:t>
            </w:r>
          </w:p>
        </w:tc>
        <w:tc>
          <w:tcPr>
            <w:tcW w:w="727"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1113" w:type="dxa"/>
            <w:gridSpan w:val="5"/>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Cons</w:t>
            </w:r>
          </w:p>
        </w:tc>
        <w:tc>
          <w:tcPr>
            <w:tcW w:w="727"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-0.00068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-0.00067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-0.00072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0.00080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7296" w:type="dxa"/>
            <w:gridSpan w:val="19"/>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color w:val="000000"/>
                <w:sz w:val="16"/>
                <w:szCs w:val="16"/>
                <w:lang w:eastAsia="en-GB"/>
              </w:rPr>
            </w:pPr>
            <w:r w:rsidRPr="00C806D0">
              <w:rPr>
                <w:rFonts w:ascii="Calibri" w:eastAsia="Times New Roman" w:hAnsi="Calibri" w:cs="Times New Roman"/>
                <w:b/>
                <w:bCs/>
                <w:color w:val="000000"/>
                <w:sz w:val="16"/>
                <w:szCs w:val="16"/>
                <w:lang w:eastAsia="en-GB"/>
              </w:rPr>
              <w:t>Explanatory variables within component 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1113" w:type="dxa"/>
            <w:gridSpan w:val="5"/>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VS</w:t>
            </w:r>
          </w:p>
        </w:tc>
        <w:tc>
          <w:tcPr>
            <w:tcW w:w="560"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663"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1113" w:type="dxa"/>
            <w:gridSpan w:val="5"/>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SD</w:t>
            </w:r>
          </w:p>
        </w:tc>
        <w:tc>
          <w:tcPr>
            <w:tcW w:w="560"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0.00013</w:t>
            </w:r>
          </w:p>
        </w:tc>
        <w:tc>
          <w:tcPr>
            <w:tcW w:w="663"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0.00062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0.00136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1113" w:type="dxa"/>
            <w:gridSpan w:val="5"/>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MD</w:t>
            </w:r>
          </w:p>
        </w:tc>
        <w:tc>
          <w:tcPr>
            <w:tcW w:w="560"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0.00013</w:t>
            </w:r>
          </w:p>
        </w:tc>
        <w:tc>
          <w:tcPr>
            <w:tcW w:w="663"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-0.00068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0.00053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0.00096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1113" w:type="dxa"/>
            <w:gridSpan w:val="5"/>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Age</w:t>
            </w:r>
          </w:p>
        </w:tc>
        <w:tc>
          <w:tcPr>
            <w:tcW w:w="560"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663"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1113" w:type="dxa"/>
            <w:gridSpan w:val="5"/>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lastRenderedPageBreak/>
              <w:t>Cons</w:t>
            </w:r>
          </w:p>
        </w:tc>
        <w:tc>
          <w:tcPr>
            <w:tcW w:w="560"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-0.00021</w:t>
            </w:r>
          </w:p>
        </w:tc>
        <w:tc>
          <w:tcPr>
            <w:tcW w:w="663"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-0.00148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-0.00091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0.00215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8288" w:type="dxa"/>
            <w:gridSpan w:val="21"/>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color w:val="000000"/>
                <w:sz w:val="16"/>
                <w:szCs w:val="16"/>
                <w:lang w:eastAsia="en-GB"/>
              </w:rPr>
            </w:pPr>
            <w:r w:rsidRPr="00C806D0">
              <w:rPr>
                <w:rFonts w:ascii="Calibri" w:eastAsia="Times New Roman" w:hAnsi="Calibri" w:cs="Times New Roman"/>
                <w:b/>
                <w:bCs/>
                <w:color w:val="000000" w:themeColor="text1" w:themeShade="BF"/>
                <w:sz w:val="16"/>
                <w:szCs w:val="16"/>
                <w:lang w:eastAsia="en-GB"/>
              </w:rPr>
              <w:t>Explanatory variables explaining the probability of component 1 membership</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587"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VS</w:t>
            </w:r>
          </w:p>
        </w:tc>
        <w:tc>
          <w:tcPr>
            <w:tcW w:w="915" w:type="dxa"/>
            <w:gridSpan w:val="4"/>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0.00004</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-0.00020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587"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SD</w:t>
            </w:r>
          </w:p>
        </w:tc>
        <w:tc>
          <w:tcPr>
            <w:tcW w:w="915" w:type="dxa"/>
            <w:gridSpan w:val="4"/>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0.00048</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0.00352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0.02059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-0.00021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0.00907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0.00246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0.00080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0.00476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-0.00651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0.01146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-0.00511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-0.01628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-0.00066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1.51204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587"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MD</w:t>
            </w:r>
          </w:p>
        </w:tc>
        <w:tc>
          <w:tcPr>
            <w:tcW w:w="915" w:type="dxa"/>
            <w:gridSpan w:val="4"/>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0.00054</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0.01268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0.00442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-0.00026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0.01042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0.00098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-0.00183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0.00706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0.00180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-0.00525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-0.00114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0.24522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0.26766</w:t>
            </w: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587"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Age</w:t>
            </w:r>
          </w:p>
        </w:tc>
        <w:tc>
          <w:tcPr>
            <w:tcW w:w="915" w:type="dxa"/>
            <w:gridSpan w:val="4"/>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0.06782</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0.01209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-0.00632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0.03398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0.00094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-0.00151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0.00474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0.00461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-0.01144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0.17562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0.08822</w:t>
            </w: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253940.67000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587" w:type="dxa"/>
            <w:gridSpan w:val="2"/>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Cons</w:t>
            </w:r>
          </w:p>
        </w:tc>
        <w:tc>
          <w:tcPr>
            <w:tcW w:w="915" w:type="dxa"/>
            <w:gridSpan w:val="4"/>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-0.00633</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0.00321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-0.00502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0.01238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-0.00240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-0.00110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-0.00183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0.00261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-0.00393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0.00958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-0.00255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-0.14813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-0.04902</w:t>
            </w: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-0.12817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0.23255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00"/>
        </w:trPr>
        <w:tc>
          <w:tcPr>
            <w:tcW w:w="8288" w:type="dxa"/>
            <w:gridSpan w:val="21"/>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color w:val="000000"/>
                <w:sz w:val="16"/>
                <w:szCs w:val="16"/>
                <w:lang w:eastAsia="en-GB"/>
              </w:rPr>
            </w:pPr>
            <w:r w:rsidRPr="00C806D0">
              <w:rPr>
                <w:rFonts w:ascii="Calibri" w:eastAsia="Times New Roman" w:hAnsi="Calibri" w:cs="Times New Roman"/>
                <w:b/>
                <w:bCs/>
                <w:color w:val="000000" w:themeColor="text1" w:themeShade="BF"/>
                <w:sz w:val="16"/>
                <w:szCs w:val="16"/>
                <w:lang w:eastAsia="en-GB"/>
              </w:rPr>
              <w:t>Explanatory variables explaining the probability of component 2 membership</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4"/>
                <w:szCs w:val="14"/>
                <w:lang w:eastAsia="en-GB"/>
              </w:rPr>
            </w:pPr>
          </w:p>
        </w:tc>
      </w:tr>
      <w:tr w:rsidR="004442E4" w:rsidRPr="00C806D0" w:rsidTr="004442E4">
        <w:trPr>
          <w:trHeight w:val="315"/>
        </w:trPr>
        <w:tc>
          <w:tcPr>
            <w:tcW w:w="70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VS</w:t>
            </w:r>
          </w:p>
        </w:tc>
        <w:tc>
          <w:tcPr>
            <w:tcW w:w="798"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-0.00088</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-0.00052</w:t>
            </w: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r>
      <w:tr w:rsidR="004442E4" w:rsidRPr="00C806D0" w:rsidTr="004442E4">
        <w:trPr>
          <w:trHeight w:val="300"/>
        </w:trPr>
        <w:tc>
          <w:tcPr>
            <w:tcW w:w="70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SD</w:t>
            </w:r>
          </w:p>
        </w:tc>
        <w:tc>
          <w:tcPr>
            <w:tcW w:w="798"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0.00307</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-0.00452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0.02093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0.00270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0.00117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0.00375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-0.00584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0.01329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0.01126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-0.03229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-0.00072</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0.61324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0.20068</w:t>
            </w: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0.26339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-0.22811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-0.00043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0.81215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r>
      <w:tr w:rsidR="004442E4" w:rsidRPr="00C806D0" w:rsidTr="004442E4">
        <w:trPr>
          <w:trHeight w:val="300"/>
        </w:trPr>
        <w:tc>
          <w:tcPr>
            <w:tcW w:w="70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MD</w:t>
            </w:r>
          </w:p>
        </w:tc>
        <w:tc>
          <w:tcPr>
            <w:tcW w:w="798"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0.00178</w:t>
            </w:r>
          </w:p>
        </w:tc>
        <w:tc>
          <w:tcPr>
            <w:tcW w:w="834" w:type="dxa"/>
            <w:gridSpan w:val="3"/>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0.00127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0.02224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-0.00016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0.00514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0.00206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0.00107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0.00334</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-0.00543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0.01336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0.01079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0.00030</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-0.02883</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-0.00105</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0.48636</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0.27500</w:t>
            </w: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0.23937</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-0.19419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-0.00069</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0.73301</w:t>
            </w: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0.73537</w:t>
            </w:r>
          </w:p>
        </w:tc>
        <w:tc>
          <w:tcPr>
            <w:tcW w:w="711"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c>
          <w:tcPr>
            <w:tcW w:w="49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r>
      <w:tr w:rsidR="004442E4" w:rsidRPr="00C806D0" w:rsidTr="004442E4">
        <w:trPr>
          <w:trHeight w:val="300"/>
        </w:trPr>
        <w:tc>
          <w:tcPr>
            <w:tcW w:w="704" w:type="dxa"/>
            <w:gridSpan w:val="3"/>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Age</w:t>
            </w:r>
          </w:p>
        </w:tc>
        <w:tc>
          <w:tcPr>
            <w:tcW w:w="798" w:type="dxa"/>
            <w:gridSpan w:val="3"/>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-0.21802</w:t>
            </w:r>
          </w:p>
        </w:tc>
        <w:tc>
          <w:tcPr>
            <w:tcW w:w="834" w:type="dxa"/>
            <w:gridSpan w:val="3"/>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0.00255</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0.02693</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-0.00034</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0.01477</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-0.11306</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0.00068</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0.00275</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0.00005</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-0.00468</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0.01580</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0.01246</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0.00032</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-0.03132</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-0.00327</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0.46356</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0.25944</w:t>
            </w:r>
          </w:p>
        </w:tc>
        <w:tc>
          <w:tcPr>
            <w:tcW w:w="711"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253938.31000</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-0.10277</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-0.00126</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0.77011</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0.74337</w:t>
            </w:r>
          </w:p>
        </w:tc>
        <w:tc>
          <w:tcPr>
            <w:tcW w:w="711"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253947.49000</w:t>
            </w:r>
          </w:p>
        </w:tc>
        <w:tc>
          <w:tcPr>
            <w:tcW w:w="49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p>
        </w:tc>
      </w:tr>
      <w:tr w:rsidR="004442E4" w:rsidRPr="00C806D0" w:rsidTr="004442E4">
        <w:trPr>
          <w:trHeight w:val="300"/>
        </w:trPr>
        <w:tc>
          <w:tcPr>
            <w:tcW w:w="704" w:type="dxa"/>
            <w:gridSpan w:val="3"/>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6"/>
                <w:szCs w:val="16"/>
                <w:lang w:eastAsia="en-GB"/>
              </w:rPr>
            </w:pPr>
            <w:r w:rsidRPr="00C806D0">
              <w:rPr>
                <w:rFonts w:ascii="Calibri" w:eastAsia="Times New Roman" w:hAnsi="Calibri" w:cs="Times New Roman"/>
                <w:color w:val="000000"/>
                <w:sz w:val="16"/>
                <w:szCs w:val="16"/>
                <w:lang w:eastAsia="en-GB"/>
              </w:rPr>
              <w:t>Cons</w:t>
            </w:r>
          </w:p>
        </w:tc>
        <w:tc>
          <w:tcPr>
            <w:tcW w:w="798" w:type="dxa"/>
            <w:gridSpan w:val="3"/>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-0.00419</w:t>
            </w:r>
          </w:p>
        </w:tc>
        <w:tc>
          <w:tcPr>
            <w:tcW w:w="834" w:type="dxa"/>
            <w:gridSpan w:val="3"/>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0.00643</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-0.02125</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-0.00003</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0.00512</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-0.00322</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-0.00162</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-0.00367</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-0.00004</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0.00549</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0.00000</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-0.01052</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-0.01230</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-0.00034</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0.03089</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-0.00038</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-0.39078</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-0.15761</w:t>
            </w:r>
          </w:p>
        </w:tc>
        <w:tc>
          <w:tcPr>
            <w:tcW w:w="711"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-0.25220</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0.26579</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-0.00036</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-0.73744</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-0.67005</w:t>
            </w:r>
          </w:p>
        </w:tc>
        <w:tc>
          <w:tcPr>
            <w:tcW w:w="711"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-0.68930</w:t>
            </w:r>
          </w:p>
        </w:tc>
        <w:tc>
          <w:tcPr>
            <w:tcW w:w="49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2"/>
                <w:szCs w:val="12"/>
                <w:lang w:eastAsia="en-GB"/>
              </w:rPr>
            </w:pPr>
            <w:r w:rsidRPr="00C806D0">
              <w:rPr>
                <w:rFonts w:ascii="Calibri" w:eastAsia="Times New Roman" w:hAnsi="Calibri" w:cs="Times New Roman"/>
                <w:color w:val="000000"/>
                <w:sz w:val="12"/>
                <w:szCs w:val="12"/>
                <w:lang w:eastAsia="en-GB"/>
              </w:rPr>
              <w:t>0.73211</w:t>
            </w:r>
          </w:p>
        </w:tc>
      </w:tr>
    </w:tbl>
    <w:p w:rsidR="006F2FC6" w:rsidRPr="00C806D0" w:rsidRDefault="006F2FC6" w:rsidP="002A360F">
      <w:pPr>
        <w:pStyle w:val="Heading3"/>
        <w:sectPr w:rsidR="006F2FC6" w:rsidRPr="00C806D0" w:rsidSect="006F2FC6">
          <w:pgSz w:w="16838" w:h="11906" w:orient="landscape"/>
          <w:pgMar w:top="2268" w:right="1134" w:bottom="1134" w:left="1134" w:header="709" w:footer="709" w:gutter="0"/>
          <w:cols w:space="708"/>
          <w:docGrid w:linePitch="360"/>
        </w:sectPr>
      </w:pPr>
    </w:p>
    <w:p w:rsidR="004442E4" w:rsidRPr="00C806D0" w:rsidRDefault="004442E4" w:rsidP="002A360F">
      <w:pPr>
        <w:pStyle w:val="Heading3"/>
      </w:pPr>
      <w:r w:rsidRPr="00C806D0">
        <w:lastRenderedPageBreak/>
        <w:t xml:space="preserve">Formula to predict mean 12 month EQ5D from adjusted limited dependent variable mixture model </w:t>
      </w:r>
    </w:p>
    <w:p w:rsidR="004442E4" w:rsidRPr="00C806D0" w:rsidRDefault="004442E4" w:rsidP="004442E4"/>
    <w:p w:rsidR="004442E4" w:rsidRPr="00C806D0" w:rsidRDefault="004442E4" w:rsidP="004442E4"/>
    <w:p w:rsidR="004442E4" w:rsidRPr="00C806D0" w:rsidRDefault="004442E4" w:rsidP="004442E4">
      <w:r w:rsidRPr="00C806D0">
        <w:rPr>
          <w:noProof/>
          <w:lang w:val="en-US"/>
        </w:rPr>
        <w:drawing>
          <wp:inline distT="0" distB="0" distL="0" distR="0">
            <wp:extent cx="5731510" cy="1635125"/>
            <wp:effectExtent l="19050" t="0" r="2540" b="0"/>
            <wp:docPr id="11" name="Picture 7" descr="ALDVMM prediction formul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VMM prediction formula FINAL.jpg"/>
                    <pic:cNvPicPr/>
                  </pic:nvPicPr>
                  <pic:blipFill>
                    <a:blip r:embed="rId20" cstate="print"/>
                    <a:stretch>
                      <a:fillRect/>
                    </a:stretch>
                  </pic:blipFill>
                  <pic:spPr>
                    <a:xfrm>
                      <a:off x="0" y="0"/>
                      <a:ext cx="5731510" cy="1635125"/>
                    </a:xfrm>
                    <a:prstGeom prst="rect">
                      <a:avLst/>
                    </a:prstGeom>
                  </pic:spPr>
                </pic:pic>
              </a:graphicData>
            </a:graphic>
          </wp:inline>
        </w:drawing>
      </w:r>
    </w:p>
    <w:p w:rsidR="004442E4" w:rsidRPr="00C806D0" w:rsidRDefault="004442E4" w:rsidP="004442E4"/>
    <w:p w:rsidR="004442E4" w:rsidRPr="00C806D0" w:rsidRDefault="004442E4" w:rsidP="004442E4">
      <w:r w:rsidRPr="00C806D0">
        <w:t>Where:</w:t>
      </w:r>
    </w:p>
    <w:p w:rsidR="004442E4" w:rsidRPr="00C806D0" w:rsidRDefault="004442E4" w:rsidP="004442E4">
      <w:r w:rsidRPr="00C806D0">
        <w:t>E=conditional expectation</w:t>
      </w:r>
    </w:p>
    <w:p w:rsidR="004442E4" w:rsidRPr="00C806D0" w:rsidRDefault="004442E4" w:rsidP="004442E4">
      <w:r w:rsidRPr="00C806D0">
        <w:t>y</w:t>
      </w:r>
      <w:r w:rsidRPr="00C806D0">
        <w:rPr>
          <w:vertAlign w:val="subscript"/>
        </w:rPr>
        <w:t>i</w:t>
      </w:r>
      <w:r w:rsidRPr="00C806D0">
        <w:t>= EQ5D value</w:t>
      </w:r>
    </w:p>
    <w:p w:rsidR="004442E4" w:rsidRPr="00C806D0" w:rsidRDefault="004442E4" w:rsidP="004442E4">
      <w:r w:rsidRPr="00C806D0">
        <w:t>x</w:t>
      </w:r>
      <w:r w:rsidRPr="00C806D0">
        <w:rPr>
          <w:vertAlign w:val="subscript"/>
        </w:rPr>
        <w:t>i</w:t>
      </w:r>
      <w:r w:rsidRPr="00C806D0">
        <w:rPr>
          <w:vertAlign w:val="superscript"/>
        </w:rPr>
        <w:t>’</w:t>
      </w:r>
      <w:r w:rsidRPr="00C806D0">
        <w:t>=Vector of covariates</w:t>
      </w:r>
    </w:p>
    <w:p w:rsidR="004442E4" w:rsidRPr="00C806D0" w:rsidRDefault="004442E4" w:rsidP="004442E4">
      <w:r w:rsidRPr="00C806D0">
        <w:t>w</w:t>
      </w:r>
      <w:r w:rsidRPr="00C806D0">
        <w:rPr>
          <w:vertAlign w:val="subscript"/>
        </w:rPr>
        <w:t>i</w:t>
      </w:r>
      <w:r w:rsidRPr="00C806D0">
        <w:rPr>
          <w:vertAlign w:val="superscript"/>
        </w:rPr>
        <w:t>’</w:t>
      </w:r>
      <w:r w:rsidRPr="00C806D0">
        <w:t>=Vector of variables affecting latent class membership</w:t>
      </w:r>
    </w:p>
    <w:p w:rsidR="004442E4" w:rsidRPr="00C806D0" w:rsidRDefault="004442E4" w:rsidP="004442E4">
      <w:r w:rsidRPr="00C806D0">
        <w:t>δ</w:t>
      </w:r>
      <w:r w:rsidRPr="00C806D0">
        <w:rPr>
          <w:vertAlign w:val="subscript"/>
        </w:rPr>
        <w:t>c</w:t>
      </w:r>
      <w:r w:rsidRPr="00C806D0">
        <w:t>=Vector of coefficients corresponding to vector of variables affecting latent class membership</w:t>
      </w:r>
    </w:p>
    <w:p w:rsidR="004442E4" w:rsidRPr="00C806D0" w:rsidRDefault="004442E4" w:rsidP="004442E4">
      <w:r w:rsidRPr="00C806D0">
        <w:t>C= Number of latent classes used in the analysis</w:t>
      </w:r>
    </w:p>
    <w:p w:rsidR="004442E4" w:rsidRPr="00C806D0" w:rsidRDefault="004442E4" w:rsidP="004442E4">
      <w:r w:rsidRPr="00C806D0">
        <w:t>s,c=Individual latent classes</w:t>
      </w:r>
    </w:p>
    <w:p w:rsidR="004442E4" w:rsidRPr="00C806D0" w:rsidRDefault="004442E4" w:rsidP="004442E4">
      <m:oMath>
        <m:r>
          <w:rPr>
            <w:rFonts w:ascii="Cambria Math" w:hAnsi="Cambria Math"/>
          </w:rPr>
          <m:t>∅</m:t>
        </m:r>
      </m:oMath>
      <w:r w:rsidRPr="00C806D0">
        <w:rPr>
          <w:rFonts w:eastAsiaTheme="minorEastAsia"/>
        </w:rPr>
        <w:t>(.)=Standard normal density function</w:t>
      </w:r>
    </w:p>
    <w:p w:rsidR="004442E4" w:rsidRPr="00C806D0" w:rsidRDefault="004442E4" w:rsidP="004442E4">
      <w:r w:rsidRPr="00C806D0">
        <w:t>φ(.)=Standard cumulative normal function</w:t>
      </w:r>
    </w:p>
    <w:p w:rsidR="004442E4" w:rsidRPr="00C806D0" w:rsidRDefault="004442E4" w:rsidP="004442E4">
      <w:r w:rsidRPr="00C806D0">
        <w:t>ψ</w:t>
      </w:r>
      <w:r w:rsidRPr="00C806D0">
        <w:rPr>
          <w:vertAlign w:val="subscript"/>
        </w:rPr>
        <w:t>1</w:t>
      </w:r>
      <w:r w:rsidRPr="00C806D0">
        <w:t>=0.0883</w:t>
      </w:r>
    </w:p>
    <w:p w:rsidR="004442E4" w:rsidRPr="00C806D0" w:rsidRDefault="004442E4" w:rsidP="004442E4">
      <w:r w:rsidRPr="00C806D0">
        <w:t>ψ</w:t>
      </w:r>
      <w:r w:rsidRPr="00C806D0">
        <w:rPr>
          <w:vertAlign w:val="subscript"/>
        </w:rPr>
        <w:t>2</w:t>
      </w:r>
      <w:r w:rsidRPr="00C806D0">
        <w:t>=-0.594</w:t>
      </w:r>
    </w:p>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2A360F">
      <w:pPr>
        <w:pStyle w:val="Heading3"/>
      </w:pPr>
      <w:r w:rsidRPr="00C806D0">
        <w:lastRenderedPageBreak/>
        <w:t xml:space="preserve">Predictive model for mean 12 month EQ5D including basic GOS category and patient characteristics of age, gender, </w:t>
      </w:r>
      <w:r w:rsidR="002A16B4" w:rsidRPr="00C806D0">
        <w:t>extracranial</w:t>
      </w:r>
      <w:r w:rsidRPr="00C806D0">
        <w:t xml:space="preserve"> injury and co-morbidity</w:t>
      </w:r>
    </w:p>
    <w:p w:rsidR="004442E4" w:rsidRPr="00C806D0" w:rsidRDefault="004442E4" w:rsidP="004442E4">
      <w:pPr>
        <w:ind w:left="720" w:hanging="720"/>
        <w:rPr>
          <w:b/>
        </w:rPr>
      </w:pPr>
      <w:r w:rsidRPr="00C806D0">
        <w:rPr>
          <w:b/>
        </w:rPr>
        <w:t>Table F13. Model coefficients for detailed model including basic GOS</w:t>
      </w:r>
      <w:r w:rsidR="00295AB8" w:rsidRPr="00C806D0">
        <w:rPr>
          <w:b/>
        </w:rPr>
        <w:t>, age, gender, extracranial injury and co-morbidity</w:t>
      </w:r>
    </w:p>
    <w:p w:rsidR="00295AB8" w:rsidRPr="00C806D0" w:rsidRDefault="00295AB8" w:rsidP="004442E4">
      <w:pPr>
        <w:ind w:left="720" w:hanging="720"/>
        <w:rPr>
          <w:b/>
        </w:rPr>
      </w:pPr>
    </w:p>
    <w:tbl>
      <w:tblPr>
        <w:tblStyle w:val="LightShading1"/>
        <w:tblW w:w="4966" w:type="pct"/>
        <w:jc w:val="center"/>
        <w:tblLook w:val="0620" w:firstRow="1" w:lastRow="0" w:firstColumn="0" w:lastColumn="0" w:noHBand="1" w:noVBand="1"/>
      </w:tblPr>
      <w:tblGrid>
        <w:gridCol w:w="3310"/>
        <w:gridCol w:w="1143"/>
        <w:gridCol w:w="949"/>
        <w:gridCol w:w="1026"/>
        <w:gridCol w:w="1156"/>
        <w:gridCol w:w="1077"/>
      </w:tblGrid>
      <w:tr w:rsidR="004442E4" w:rsidRPr="00C806D0" w:rsidTr="004442E4">
        <w:trPr>
          <w:cnfStyle w:val="100000000000" w:firstRow="1" w:lastRow="0" w:firstColumn="0" w:lastColumn="0" w:oddVBand="0" w:evenVBand="0" w:oddHBand="0" w:evenHBand="0" w:firstRowFirstColumn="0" w:firstRowLastColumn="0" w:lastRowFirstColumn="0" w:lastRowLastColumn="0"/>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 xml:space="preserve">Variable* </w:t>
            </w:r>
          </w:p>
        </w:tc>
        <w:tc>
          <w:tcPr>
            <w:tcW w:w="678"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Coefficient</w:t>
            </w:r>
          </w:p>
        </w:tc>
        <w:tc>
          <w:tcPr>
            <w:tcW w:w="566"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SE</w:t>
            </w:r>
          </w:p>
        </w:tc>
        <w:tc>
          <w:tcPr>
            <w:tcW w:w="610"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p-Value</w:t>
            </w:r>
          </w:p>
        </w:tc>
        <w:tc>
          <w:tcPr>
            <w:tcW w:w="1217" w:type="pct"/>
            <w:gridSpan w:val="2"/>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95% Confidence Interval</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1</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0.716</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83.529</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0.993</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-162.999</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164.431</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Good recovery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1.153</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0.079</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0.998</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1.307</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0.314</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0.005</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Female gender</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-0.149</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0.066</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0.023</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-0.277</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-0.020</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Limiting or critical co-morbidity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-0.342</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0.114</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0.003</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-0.566</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-0.118</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 xml:space="preserve">Major </w:t>
            </w:r>
            <w:r w:rsidR="002A16B4" w:rsidRPr="00C806D0">
              <w:rPr>
                <w:rFonts w:ascii="Calibri" w:hAnsi="Calibri"/>
                <w:sz w:val="20"/>
                <w:szCs w:val="20"/>
                <w:lang w:eastAsia="en-GB"/>
              </w:rPr>
              <w:t>extracranial</w:t>
            </w:r>
            <w:r w:rsidRPr="00C806D0">
              <w:rPr>
                <w:rFonts w:ascii="Calibri" w:hAnsi="Calibri"/>
                <w:sz w:val="20"/>
                <w:szCs w:val="20"/>
                <w:lang w:eastAsia="en-GB"/>
              </w:rPr>
              <w:t xml:space="preserve"> injury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-0.085</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0.054</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0.117</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-0.191</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0.021</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0.021</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0.092</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0.816</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-0.159</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0.201</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2</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0.074</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0.009</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0.057</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0.091</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Good recovery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0.169</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0.012</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0.146</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0.191</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Female gender</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-0.019</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0.007</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0.008</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-0.033</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-0.005</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Limiting or critical co-morbidity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-0.006</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0.008</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0.439</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-0.023</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0.010</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 xml:space="preserve">Major </w:t>
            </w:r>
            <w:r w:rsidR="002A16B4" w:rsidRPr="00C806D0">
              <w:rPr>
                <w:rFonts w:ascii="Calibri" w:hAnsi="Calibri"/>
                <w:sz w:val="20"/>
                <w:szCs w:val="20"/>
                <w:lang w:eastAsia="en-GB"/>
              </w:rPr>
              <w:t>extracranial</w:t>
            </w:r>
            <w:r w:rsidRPr="00C806D0">
              <w:rPr>
                <w:rFonts w:ascii="Calibri" w:hAnsi="Calibri"/>
                <w:sz w:val="20"/>
                <w:szCs w:val="20"/>
                <w:lang w:eastAsia="en-GB"/>
              </w:rPr>
              <w:t xml:space="preserve"> injury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-0.036</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0.007</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-0.050</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-0.023</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0.765</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0.013</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0.739</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0.791</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3</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0.036</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0.033</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0.270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-0.028</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0.100</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Good recovery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0.064</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0.044</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0.149</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-0.023</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0.151</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0.014</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Female gender</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-0.027</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0.020</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0.160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-0.066</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0.011</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Limiting or critical co-morbidity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0.006</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0.024</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0.794</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-0.040</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0.053</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 xml:space="preserve">Major </w:t>
            </w:r>
            <w:r w:rsidR="002A16B4" w:rsidRPr="00C806D0">
              <w:rPr>
                <w:rFonts w:ascii="Calibri" w:hAnsi="Calibri"/>
                <w:sz w:val="20"/>
                <w:szCs w:val="20"/>
                <w:lang w:eastAsia="en-GB"/>
              </w:rPr>
              <w:t>extracranial</w:t>
            </w:r>
            <w:r w:rsidRPr="00C806D0">
              <w:rPr>
                <w:rFonts w:ascii="Calibri" w:hAnsi="Calibri"/>
                <w:sz w:val="20"/>
                <w:szCs w:val="20"/>
                <w:lang w:eastAsia="en-GB"/>
              </w:rPr>
              <w:t xml:space="preserve"> injury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-0.047</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0.021</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0.026</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-0.088</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-0.005</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0.229</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0.047</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0.137</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0.321</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b/>
                <w:sz w:val="20"/>
                <w:szCs w:val="20"/>
              </w:rPr>
              <w:t>Explanatory variables explaining the probability of component 1 membership</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-0.023</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0.007</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-0.037</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-0.008</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Good recovery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-13.597</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580.960</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0.981</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-1152.258</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1125.063</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3.549</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0.627</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2.321</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4.777</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Female gender</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-0.448</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0.441</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0.310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-1.312</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0.416</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Limiting or critical co-morbidity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-1.063</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0.542</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0.050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-2.126</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r>
      <w:tr w:rsidR="004442E4" w:rsidRPr="00C806D0" w:rsidTr="004442E4">
        <w:trPr>
          <w:trHeight w:val="300"/>
          <w:jc w:val="center"/>
        </w:trPr>
        <w:tc>
          <w:tcPr>
            <w:tcW w:w="1929" w:type="pct"/>
            <w:noWrap/>
            <w:hideMark/>
          </w:tcPr>
          <w:p w:rsidR="004442E4" w:rsidRPr="00C806D0" w:rsidRDefault="002A16B4" w:rsidP="004442E4">
            <w:pPr>
              <w:rPr>
                <w:rFonts w:ascii="Calibri" w:hAnsi="Calibri"/>
                <w:sz w:val="20"/>
                <w:szCs w:val="20"/>
                <w:lang w:eastAsia="en-GB"/>
              </w:rPr>
            </w:pPr>
            <w:r w:rsidRPr="00C806D0">
              <w:rPr>
                <w:rFonts w:ascii="Calibri" w:hAnsi="Calibri"/>
                <w:sz w:val="20"/>
                <w:szCs w:val="20"/>
                <w:lang w:eastAsia="en-GB"/>
              </w:rPr>
              <w:t>Extracranial</w:t>
            </w:r>
            <w:r w:rsidR="004442E4" w:rsidRPr="00C806D0">
              <w:rPr>
                <w:rFonts w:ascii="Calibri" w:hAnsi="Calibri"/>
                <w:sz w:val="20"/>
                <w:szCs w:val="20"/>
                <w:lang w:eastAsia="en-GB"/>
              </w:rPr>
              <w:t xml:space="preserve"> injury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0.413</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0.320</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0.197</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-0.214</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1.041</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0.618</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0.618</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0.317</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-0.593</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1.830</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b/>
                <w:sz w:val="20"/>
                <w:szCs w:val="20"/>
              </w:rPr>
              <w:lastRenderedPageBreak/>
              <w:t>Explanatory variables explaining the probability of component 2 membership</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0.005</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0.003</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0.161</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0.011</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Good recovery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1.108</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0.196</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0.724</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1.493</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3.119</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0.303</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2.525</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3.712</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Female gender</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-0.173</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0.132</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0.191</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-0.431</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0.086</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Limiting or critical co-morbidity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-0.404</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0.147</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0.006</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-0.693</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-0.115</w:t>
            </w:r>
          </w:p>
        </w:tc>
      </w:tr>
      <w:tr w:rsidR="004442E4" w:rsidRPr="00C806D0" w:rsidTr="004442E4">
        <w:trPr>
          <w:trHeight w:val="300"/>
          <w:jc w:val="center"/>
        </w:trPr>
        <w:tc>
          <w:tcPr>
            <w:tcW w:w="1929" w:type="pct"/>
            <w:noWrap/>
            <w:hideMark/>
          </w:tcPr>
          <w:p w:rsidR="004442E4" w:rsidRPr="00C806D0" w:rsidRDefault="002A16B4" w:rsidP="004442E4">
            <w:pPr>
              <w:rPr>
                <w:rFonts w:ascii="Calibri" w:hAnsi="Calibri"/>
                <w:sz w:val="20"/>
                <w:szCs w:val="20"/>
              </w:rPr>
            </w:pPr>
            <w:r w:rsidRPr="00C806D0">
              <w:rPr>
                <w:rFonts w:ascii="Calibri" w:hAnsi="Calibri"/>
                <w:sz w:val="20"/>
                <w:szCs w:val="20"/>
                <w:lang w:eastAsia="en-GB"/>
              </w:rPr>
              <w:t>Extracranial</w:t>
            </w:r>
            <w:r w:rsidR="004442E4" w:rsidRPr="00C806D0">
              <w:rPr>
                <w:rFonts w:ascii="Calibri" w:hAnsi="Calibri"/>
                <w:sz w:val="20"/>
                <w:szCs w:val="20"/>
                <w:lang w:eastAsia="en-GB"/>
              </w:rPr>
              <w:t xml:space="preserve"> injury</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0.169</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0.135</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0.211</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-0.096</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0.434</w:t>
            </w:r>
          </w:p>
        </w:tc>
      </w:tr>
      <w:tr w:rsidR="004442E4" w:rsidRPr="00C806D0" w:rsidTr="004442E4">
        <w:trPr>
          <w:trHeight w:val="300"/>
          <w:jc w:val="center"/>
        </w:trPr>
        <w:tc>
          <w:tcPr>
            <w:tcW w:w="1929"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7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0.197</w:t>
            </w:r>
          </w:p>
        </w:tc>
        <w:tc>
          <w:tcPr>
            <w:tcW w:w="56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0.290</w:t>
            </w:r>
          </w:p>
        </w:tc>
        <w:tc>
          <w:tcPr>
            <w:tcW w:w="61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0.498</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-0.373</w:t>
            </w:r>
          </w:p>
        </w:tc>
        <w:tc>
          <w:tcPr>
            <w:tcW w:w="58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0.766</w:t>
            </w:r>
          </w:p>
        </w:tc>
      </w:tr>
    </w:tbl>
    <w:p w:rsidR="004442E4" w:rsidRPr="00C806D0" w:rsidRDefault="004442E4" w:rsidP="004442E4">
      <w:pPr>
        <w:rPr>
          <w:rFonts w:ascii="Caecilia-Roman" w:hAnsi="Caecilia-Roman" w:cs="Caecilia-Roman"/>
          <w:sz w:val="20"/>
          <w:szCs w:val="20"/>
        </w:rPr>
      </w:pPr>
      <w:r w:rsidRPr="00C806D0">
        <w:rPr>
          <w:sz w:val="20"/>
          <w:szCs w:val="20"/>
        </w:rPr>
        <w:t>*Basic GOS coded as indicator variable with GOS 3, severe disability, as the baseline category. Basic GOS category 1, death, not modelled as this will equal zero by definition. Vegetative state excluded due to model instability/lack of convergence secondary to low number of patients in this GOS category.</w:t>
      </w:r>
    </w:p>
    <w:p w:rsidR="004442E4" w:rsidRPr="00C806D0" w:rsidRDefault="004442E4" w:rsidP="004442E4">
      <w:pPr>
        <w:rPr>
          <w:sz w:val="20"/>
          <w:szCs w:val="20"/>
        </w:rPr>
      </w:pPr>
      <w:r w:rsidRPr="00C806D0">
        <w:rPr>
          <w:sz w:val="20"/>
          <w:szCs w:val="20"/>
        </w:rPr>
        <w:t>Covariance matrix available from author on request.</w:t>
      </w:r>
    </w:p>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2A360F" w:rsidRPr="00C806D0" w:rsidRDefault="002A360F" w:rsidP="004442E4"/>
    <w:p w:rsidR="004442E4" w:rsidRPr="00C806D0" w:rsidRDefault="004442E4" w:rsidP="002A360F">
      <w:pPr>
        <w:pStyle w:val="Heading3"/>
      </w:pPr>
      <w:r w:rsidRPr="00C806D0">
        <w:lastRenderedPageBreak/>
        <w:t>Predictive model for mean 12 month EQ5D including extended GOS category and age</w:t>
      </w:r>
    </w:p>
    <w:p w:rsidR="004442E4" w:rsidRPr="00C806D0" w:rsidRDefault="004442E4" w:rsidP="004442E4">
      <w:pPr>
        <w:ind w:left="720" w:hanging="720"/>
      </w:pPr>
      <w:r w:rsidRPr="00C806D0">
        <w:rPr>
          <w:b/>
        </w:rPr>
        <w:t>Table F14. Model coefficients for secondary initial model including extended GOS</w:t>
      </w:r>
      <w:r w:rsidR="00295AB8" w:rsidRPr="00C806D0">
        <w:rPr>
          <w:b/>
        </w:rPr>
        <w:t xml:space="preserve"> and age</w:t>
      </w:r>
    </w:p>
    <w:tbl>
      <w:tblPr>
        <w:tblStyle w:val="LightShading1"/>
        <w:tblW w:w="4966" w:type="pct"/>
        <w:jc w:val="center"/>
        <w:tblLook w:val="0620" w:firstRow="1" w:lastRow="0" w:firstColumn="0" w:lastColumn="0" w:noHBand="1" w:noVBand="1"/>
      </w:tblPr>
      <w:tblGrid>
        <w:gridCol w:w="3422"/>
        <w:gridCol w:w="1258"/>
        <w:gridCol w:w="1060"/>
        <w:gridCol w:w="811"/>
        <w:gridCol w:w="1091"/>
        <w:gridCol w:w="1019"/>
      </w:tblGrid>
      <w:tr w:rsidR="004442E4" w:rsidRPr="00C806D0" w:rsidTr="004442E4">
        <w:trPr>
          <w:cnfStyle w:val="100000000000" w:firstRow="1" w:lastRow="0" w:firstColumn="0" w:lastColumn="0" w:oddVBand="0" w:evenVBand="0" w:oddHBand="0" w:evenHBand="0" w:firstRowFirstColumn="0" w:firstRowLastColumn="0" w:lastRowFirstColumn="0" w:lastRowLastColumn="0"/>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Variable*</w:t>
            </w:r>
          </w:p>
        </w:tc>
        <w:tc>
          <w:tcPr>
            <w:tcW w:w="726" w:type="pct"/>
            <w:noWrap/>
            <w:hideMark/>
          </w:tcPr>
          <w:p w:rsidR="004442E4" w:rsidRPr="00C806D0" w:rsidRDefault="004442E4" w:rsidP="004442E4">
            <w:pPr>
              <w:spacing w:line="276" w:lineRule="auto"/>
              <w:jc w:val="center"/>
              <w:rPr>
                <w:rFonts w:ascii="Calibri" w:hAnsi="Calibri"/>
                <w:sz w:val="18"/>
                <w:szCs w:val="18"/>
                <w:lang w:eastAsia="en-GB"/>
              </w:rPr>
            </w:pPr>
            <w:r w:rsidRPr="00C806D0">
              <w:rPr>
                <w:rFonts w:ascii="Calibri" w:hAnsi="Calibri"/>
                <w:sz w:val="18"/>
                <w:szCs w:val="18"/>
                <w:lang w:eastAsia="en-GB"/>
              </w:rPr>
              <w:t>Coefficient</w:t>
            </w:r>
          </w:p>
        </w:tc>
        <w:tc>
          <w:tcPr>
            <w:tcW w:w="612" w:type="pct"/>
            <w:noWrap/>
            <w:hideMark/>
          </w:tcPr>
          <w:p w:rsidR="004442E4" w:rsidRPr="00C806D0" w:rsidRDefault="004442E4" w:rsidP="004442E4">
            <w:pPr>
              <w:spacing w:line="276" w:lineRule="auto"/>
              <w:jc w:val="center"/>
              <w:rPr>
                <w:rFonts w:ascii="Calibri" w:hAnsi="Calibri"/>
                <w:sz w:val="18"/>
                <w:szCs w:val="18"/>
                <w:lang w:eastAsia="en-GB"/>
              </w:rPr>
            </w:pPr>
            <w:r w:rsidRPr="00C806D0">
              <w:rPr>
                <w:rFonts w:ascii="Calibri" w:hAnsi="Calibri"/>
                <w:sz w:val="18"/>
                <w:szCs w:val="18"/>
                <w:lang w:eastAsia="en-GB"/>
              </w:rPr>
              <w:t>SE</w:t>
            </w:r>
          </w:p>
        </w:tc>
        <w:tc>
          <w:tcPr>
            <w:tcW w:w="468" w:type="pct"/>
            <w:noWrap/>
            <w:hideMark/>
          </w:tcPr>
          <w:p w:rsidR="004442E4" w:rsidRPr="00C806D0" w:rsidRDefault="004442E4" w:rsidP="004442E4">
            <w:pPr>
              <w:spacing w:line="276" w:lineRule="auto"/>
              <w:jc w:val="center"/>
              <w:rPr>
                <w:rFonts w:ascii="Calibri" w:hAnsi="Calibri"/>
                <w:sz w:val="18"/>
                <w:szCs w:val="18"/>
                <w:lang w:eastAsia="en-GB"/>
              </w:rPr>
            </w:pPr>
            <w:r w:rsidRPr="00C806D0">
              <w:rPr>
                <w:rFonts w:ascii="Calibri" w:hAnsi="Calibri"/>
                <w:sz w:val="18"/>
                <w:szCs w:val="18"/>
                <w:lang w:eastAsia="en-GB"/>
              </w:rPr>
              <w:t>p-Value</w:t>
            </w:r>
          </w:p>
        </w:tc>
        <w:tc>
          <w:tcPr>
            <w:tcW w:w="1218" w:type="pct"/>
            <w:gridSpan w:val="2"/>
            <w:noWrap/>
            <w:hideMark/>
          </w:tcPr>
          <w:p w:rsidR="004442E4" w:rsidRPr="00C806D0" w:rsidRDefault="004442E4" w:rsidP="004442E4">
            <w:pPr>
              <w:spacing w:line="276" w:lineRule="auto"/>
              <w:jc w:val="center"/>
              <w:rPr>
                <w:rFonts w:ascii="Calibri" w:hAnsi="Calibri"/>
                <w:sz w:val="18"/>
                <w:szCs w:val="18"/>
                <w:lang w:eastAsia="en-GB"/>
              </w:rPr>
            </w:pPr>
            <w:r w:rsidRPr="00C806D0">
              <w:rPr>
                <w:rFonts w:ascii="Calibri" w:hAnsi="Calibri"/>
                <w:sz w:val="18"/>
                <w:szCs w:val="18"/>
                <w:lang w:eastAsia="en-GB"/>
              </w:rPr>
              <w:t>95% Confidence Interval</w:t>
            </w:r>
          </w:p>
        </w:tc>
      </w:tr>
      <w:tr w:rsidR="004442E4" w:rsidRPr="00C806D0" w:rsidTr="004442E4">
        <w:trPr>
          <w:trHeight w:val="300"/>
          <w:jc w:val="center"/>
        </w:trPr>
        <w:tc>
          <w:tcPr>
            <w:tcW w:w="5000" w:type="pct"/>
            <w:gridSpan w:val="6"/>
            <w:noWrap/>
            <w:hideMark/>
          </w:tcPr>
          <w:p w:rsidR="004442E4" w:rsidRPr="00C806D0" w:rsidRDefault="004442E4" w:rsidP="004442E4">
            <w:pPr>
              <w:spacing w:line="276" w:lineRule="auto"/>
              <w:rPr>
                <w:rFonts w:ascii="Calibri" w:hAnsi="Calibri"/>
                <w:b/>
                <w:sz w:val="18"/>
                <w:szCs w:val="18"/>
                <w:lang w:eastAsia="en-GB"/>
              </w:rPr>
            </w:pPr>
            <w:r w:rsidRPr="00C806D0">
              <w:rPr>
                <w:rFonts w:ascii="Calibri" w:hAnsi="Calibri"/>
                <w:b/>
                <w:sz w:val="18"/>
                <w:szCs w:val="18"/>
                <w:lang w:eastAsia="en-GB"/>
              </w:rPr>
              <w:t>Explanatory variables within component 1</w:t>
            </w:r>
            <w:r w:rsidR="00295AB8" w:rsidRPr="00C806D0">
              <w:rPr>
                <w:rFonts w:ascii="Calibri" w:hAnsi="Calibri"/>
                <w:b/>
                <w:sz w:val="18"/>
                <w:szCs w:val="18"/>
                <w:lang w:eastAsia="en-GB"/>
              </w:rPr>
              <w:t>*</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Vegetative state</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-0.566</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0.166</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0.001</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-0.892</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-0.239</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Lower SD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-0.446</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0.094</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-0.630</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-0.263</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Upper SD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0.169</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0.109</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0.122</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-0.045</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0.382</w:t>
            </w:r>
          </w:p>
        </w:tc>
      </w:tr>
      <w:tr w:rsidR="004442E4" w:rsidRPr="00C806D0" w:rsidTr="004442E4">
        <w:trPr>
          <w:trHeight w:val="244"/>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Lower MD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0.263</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0.130</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0.044</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0.007</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0.519</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Upper MD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-0.110</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0.093</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0.240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-0.292</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0.073</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Lower GR</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-0.133</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0.099</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0.177</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-0.327</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0.060</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0.247</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0.099</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0.013</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0.053</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0.442</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-0.566</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0.166</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0.001</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-0.892</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-0.239</w:t>
            </w:r>
          </w:p>
        </w:tc>
      </w:tr>
      <w:tr w:rsidR="004442E4" w:rsidRPr="00C806D0" w:rsidTr="004442E4">
        <w:trPr>
          <w:trHeight w:val="300"/>
          <w:jc w:val="center"/>
        </w:trPr>
        <w:tc>
          <w:tcPr>
            <w:tcW w:w="5000" w:type="pct"/>
            <w:gridSpan w:val="6"/>
            <w:noWrap/>
            <w:hideMark/>
          </w:tcPr>
          <w:p w:rsidR="004442E4" w:rsidRPr="00C806D0" w:rsidRDefault="004442E4" w:rsidP="004442E4">
            <w:pPr>
              <w:spacing w:line="276" w:lineRule="auto"/>
              <w:rPr>
                <w:rFonts w:ascii="Calibri" w:hAnsi="Calibri"/>
                <w:b/>
                <w:sz w:val="18"/>
                <w:szCs w:val="18"/>
                <w:lang w:eastAsia="en-GB"/>
              </w:rPr>
            </w:pPr>
            <w:r w:rsidRPr="00C806D0">
              <w:rPr>
                <w:rFonts w:ascii="Calibri" w:hAnsi="Calibri"/>
                <w:b/>
                <w:sz w:val="18"/>
                <w:szCs w:val="18"/>
                <w:lang w:eastAsia="en-GB"/>
              </w:rPr>
              <w:t>Explanatory variables within component 2</w:t>
            </w:r>
            <w:r w:rsidR="00295AB8" w:rsidRPr="00C806D0">
              <w:rPr>
                <w:rFonts w:ascii="Calibri" w:hAnsi="Calibri"/>
                <w:b/>
                <w:sz w:val="18"/>
                <w:szCs w:val="18"/>
                <w:lang w:eastAsia="en-GB"/>
              </w:rPr>
              <w:t>*</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Vegetative state</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-1.284</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0.178</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-1.632</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-0.936</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Lower SD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-0.242</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0.013</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-0.267</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-0.217</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Upper SD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-0.225</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0.019</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-0.262</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-0.187</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Lower MD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-0.193</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0.013</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-0.218</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-0.168</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Upper MD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-0.157</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0.014</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-0.184</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-0.130</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Lower GR</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-0.090</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0.014</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-0.118</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-0.062</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0.995</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0.013</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0.970</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1.020</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-1.284</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0.178</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-1.632</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-0.936</w:t>
            </w:r>
          </w:p>
        </w:tc>
      </w:tr>
      <w:tr w:rsidR="004442E4" w:rsidRPr="00C806D0" w:rsidTr="004442E4">
        <w:trPr>
          <w:trHeight w:val="300"/>
          <w:jc w:val="center"/>
        </w:trPr>
        <w:tc>
          <w:tcPr>
            <w:tcW w:w="5000" w:type="pct"/>
            <w:gridSpan w:val="6"/>
            <w:noWrap/>
            <w:hideMark/>
          </w:tcPr>
          <w:p w:rsidR="004442E4" w:rsidRPr="00C806D0" w:rsidRDefault="004442E4" w:rsidP="004442E4">
            <w:pPr>
              <w:spacing w:line="276" w:lineRule="auto"/>
              <w:rPr>
                <w:rFonts w:ascii="Calibri" w:hAnsi="Calibri"/>
                <w:b/>
                <w:sz w:val="18"/>
                <w:szCs w:val="18"/>
                <w:lang w:eastAsia="en-GB"/>
              </w:rPr>
            </w:pPr>
            <w:r w:rsidRPr="00C806D0">
              <w:rPr>
                <w:rFonts w:ascii="Calibri" w:hAnsi="Calibri"/>
                <w:b/>
                <w:sz w:val="18"/>
                <w:szCs w:val="18"/>
                <w:lang w:eastAsia="en-GB"/>
              </w:rPr>
              <w:t>Explanatory variables within component 3</w:t>
            </w:r>
            <w:r w:rsidR="00295AB8" w:rsidRPr="00C806D0">
              <w:rPr>
                <w:rFonts w:ascii="Calibri" w:hAnsi="Calibri"/>
                <w:b/>
                <w:sz w:val="18"/>
                <w:szCs w:val="18"/>
                <w:lang w:eastAsia="en-GB"/>
              </w:rPr>
              <w:t>*</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Vegetative state</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-1.436</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2.209</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0.516</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-5.767</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2.894</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Lower SD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-1.180</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2.201</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0.592</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-5.493</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3.133</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Upper SD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-1.316</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2.200</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0.550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-5.627</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2.995</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Lower MD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-1.267</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2.199</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0.564</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-5.578</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3.043</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Upper MD</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-0.606</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2.200</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0.783</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-4.918</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3.706</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Lower GR</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-0.453</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2.199</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0.837</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-4.764</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3.857</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1.437</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2.198</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0.513</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-2.870</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5.744</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-1.436</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2.209</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0.516</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-5.767</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2.894</w:t>
            </w:r>
          </w:p>
        </w:tc>
      </w:tr>
      <w:tr w:rsidR="004442E4" w:rsidRPr="00C806D0" w:rsidTr="004442E4">
        <w:trPr>
          <w:trHeight w:val="300"/>
          <w:jc w:val="center"/>
        </w:trPr>
        <w:tc>
          <w:tcPr>
            <w:tcW w:w="5000" w:type="pct"/>
            <w:gridSpan w:val="6"/>
            <w:noWrap/>
            <w:hideMark/>
          </w:tcPr>
          <w:p w:rsidR="004442E4" w:rsidRPr="00C806D0" w:rsidRDefault="004442E4" w:rsidP="004442E4">
            <w:pPr>
              <w:spacing w:line="276" w:lineRule="auto"/>
              <w:rPr>
                <w:rFonts w:ascii="Calibri" w:hAnsi="Calibri"/>
                <w:b/>
                <w:sz w:val="18"/>
                <w:szCs w:val="18"/>
                <w:lang w:eastAsia="en-GB"/>
              </w:rPr>
            </w:pPr>
            <w:r w:rsidRPr="00C806D0">
              <w:rPr>
                <w:b/>
                <w:sz w:val="18"/>
                <w:szCs w:val="18"/>
              </w:rPr>
              <w:t>Explanatory variables explaining the probability of component 1 membership</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Extended GOS*</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-0.373</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0.152</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0.014</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-0.671</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-0.075</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0.010</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0.006</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0.075</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-0.001</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0.021</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0.983</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0.819</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0.230</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-0.623</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2.589</w:t>
            </w:r>
          </w:p>
        </w:tc>
      </w:tr>
      <w:tr w:rsidR="004442E4" w:rsidRPr="00C806D0" w:rsidTr="004442E4">
        <w:trPr>
          <w:trHeight w:val="300"/>
          <w:jc w:val="center"/>
        </w:trPr>
        <w:tc>
          <w:tcPr>
            <w:tcW w:w="5000" w:type="pct"/>
            <w:gridSpan w:val="6"/>
            <w:noWrap/>
            <w:hideMark/>
          </w:tcPr>
          <w:p w:rsidR="004442E4" w:rsidRPr="00C806D0" w:rsidRDefault="004442E4" w:rsidP="004442E4">
            <w:pPr>
              <w:spacing w:line="276" w:lineRule="auto"/>
              <w:rPr>
                <w:rFonts w:ascii="Calibri" w:hAnsi="Calibri"/>
                <w:b/>
                <w:sz w:val="18"/>
                <w:szCs w:val="18"/>
                <w:lang w:eastAsia="en-GB"/>
              </w:rPr>
            </w:pPr>
            <w:r w:rsidRPr="00C806D0">
              <w:rPr>
                <w:b/>
                <w:sz w:val="18"/>
                <w:szCs w:val="18"/>
              </w:rPr>
              <w:t>Explanatory variables explaining the probability of component 2 membership</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Extended GOS*</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0.290</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0.141</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0.039</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0.014</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0.566</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0.011</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0.004</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0.002</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0.004</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0.019</w:t>
            </w:r>
          </w:p>
        </w:tc>
      </w:tr>
      <w:tr w:rsidR="004442E4" w:rsidRPr="00C806D0" w:rsidTr="004442E4">
        <w:trPr>
          <w:trHeight w:val="300"/>
          <w:jc w:val="center"/>
        </w:trPr>
        <w:tc>
          <w:tcPr>
            <w:tcW w:w="1976" w:type="pct"/>
            <w:noWrap/>
            <w:hideMark/>
          </w:tcPr>
          <w:p w:rsidR="004442E4" w:rsidRPr="00C806D0" w:rsidRDefault="004442E4" w:rsidP="004442E4">
            <w:pPr>
              <w:spacing w:line="276" w:lineRule="auto"/>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-1.014</w:t>
            </w:r>
          </w:p>
        </w:tc>
        <w:tc>
          <w:tcPr>
            <w:tcW w:w="612"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0.662</w:t>
            </w:r>
          </w:p>
        </w:tc>
        <w:tc>
          <w:tcPr>
            <w:tcW w:w="46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0.125</w:t>
            </w:r>
          </w:p>
        </w:tc>
        <w:tc>
          <w:tcPr>
            <w:tcW w:w="630"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-2.311</w:t>
            </w:r>
          </w:p>
        </w:tc>
        <w:tc>
          <w:tcPr>
            <w:tcW w:w="588" w:type="pct"/>
            <w:noWrap/>
            <w:vAlign w:val="bottom"/>
            <w:hideMark/>
          </w:tcPr>
          <w:p w:rsidR="004442E4" w:rsidRPr="00C806D0" w:rsidRDefault="004442E4" w:rsidP="004442E4">
            <w:pPr>
              <w:spacing w:line="276" w:lineRule="auto"/>
              <w:jc w:val="center"/>
              <w:rPr>
                <w:rFonts w:ascii="Calibri" w:hAnsi="Calibri"/>
                <w:color w:val="000000"/>
                <w:sz w:val="18"/>
                <w:szCs w:val="18"/>
              </w:rPr>
            </w:pPr>
            <w:r w:rsidRPr="00C806D0">
              <w:rPr>
                <w:rFonts w:ascii="Calibri" w:hAnsi="Calibri"/>
                <w:color w:val="000000"/>
                <w:sz w:val="18"/>
                <w:szCs w:val="18"/>
              </w:rPr>
              <w:t>0.282</w:t>
            </w:r>
          </w:p>
        </w:tc>
      </w:tr>
    </w:tbl>
    <w:p w:rsidR="00295AB8" w:rsidRPr="00C806D0" w:rsidRDefault="00295AB8" w:rsidP="004442E4">
      <w:pPr>
        <w:rPr>
          <w:sz w:val="16"/>
          <w:szCs w:val="16"/>
        </w:rPr>
      </w:pPr>
      <w:r w:rsidRPr="00C806D0">
        <w:rPr>
          <w:sz w:val="16"/>
          <w:szCs w:val="16"/>
        </w:rPr>
        <w:t>*Extended GOS coded as indicator variable with GOS 8, upper good recovery, as the baseline category.</w:t>
      </w:r>
    </w:p>
    <w:p w:rsidR="004442E4" w:rsidRPr="00C806D0" w:rsidRDefault="004442E4" w:rsidP="004442E4">
      <w:pPr>
        <w:rPr>
          <w:sz w:val="16"/>
          <w:szCs w:val="16"/>
        </w:rPr>
      </w:pPr>
      <w:r w:rsidRPr="00C806D0">
        <w:rPr>
          <w:sz w:val="16"/>
          <w:szCs w:val="16"/>
        </w:rPr>
        <w:t>*</w:t>
      </w:r>
      <w:r w:rsidR="00295AB8" w:rsidRPr="00C806D0">
        <w:rPr>
          <w:sz w:val="16"/>
          <w:szCs w:val="16"/>
        </w:rPr>
        <w:t>*</w:t>
      </w:r>
      <w:r w:rsidRPr="00C806D0">
        <w:rPr>
          <w:sz w:val="16"/>
          <w:szCs w:val="16"/>
        </w:rPr>
        <w:t>Extended GOS included as continuous numeric variable to predict component membership.  Covarian</w:t>
      </w:r>
      <w:r w:rsidR="00295AB8" w:rsidRPr="00C806D0">
        <w:rPr>
          <w:sz w:val="16"/>
          <w:szCs w:val="16"/>
        </w:rPr>
        <w:t>ce matrix available from author on request.</w:t>
      </w:r>
    </w:p>
    <w:p w:rsidR="004442E4" w:rsidRPr="00C806D0" w:rsidRDefault="004442E4" w:rsidP="002A360F">
      <w:pPr>
        <w:pStyle w:val="Heading3"/>
      </w:pPr>
      <w:r w:rsidRPr="00C806D0">
        <w:lastRenderedPageBreak/>
        <w:t xml:space="preserve">Predictive model for mean 12 month EQ5D including extended GOS category and patient characteristics of age, gender, </w:t>
      </w:r>
      <w:r w:rsidR="002A16B4" w:rsidRPr="00C806D0">
        <w:t>extracranial</w:t>
      </w:r>
      <w:r w:rsidRPr="00C806D0">
        <w:t xml:space="preserve"> injury and co-morbidity</w:t>
      </w:r>
    </w:p>
    <w:p w:rsidR="004442E4" w:rsidRPr="00C806D0" w:rsidRDefault="004442E4" w:rsidP="004442E4">
      <w:pPr>
        <w:ind w:left="720" w:hanging="720"/>
      </w:pPr>
      <w:r w:rsidRPr="00C806D0">
        <w:rPr>
          <w:b/>
        </w:rPr>
        <w:t>Table F15. Model coefficients for secondary detailed model including extended GOS</w:t>
      </w:r>
      <w:r w:rsidR="00295AB8" w:rsidRPr="00C806D0">
        <w:rPr>
          <w:b/>
        </w:rPr>
        <w:t>,</w:t>
      </w:r>
      <w:r w:rsidR="00295AB8" w:rsidRPr="00C806D0">
        <w:t xml:space="preserve"> </w:t>
      </w:r>
      <w:r w:rsidR="00295AB8" w:rsidRPr="00C806D0">
        <w:rPr>
          <w:b/>
        </w:rPr>
        <w:t>age, gender, extracranial injury and co-morbidity</w:t>
      </w:r>
    </w:p>
    <w:tbl>
      <w:tblPr>
        <w:tblStyle w:val="LightShading1"/>
        <w:tblW w:w="4966" w:type="pct"/>
        <w:jc w:val="center"/>
        <w:tblLook w:val="0620" w:firstRow="1" w:lastRow="0" w:firstColumn="0" w:lastColumn="0" w:noHBand="1" w:noVBand="1"/>
      </w:tblPr>
      <w:tblGrid>
        <w:gridCol w:w="3422"/>
        <w:gridCol w:w="1258"/>
        <w:gridCol w:w="1060"/>
        <w:gridCol w:w="811"/>
        <w:gridCol w:w="1091"/>
        <w:gridCol w:w="1019"/>
      </w:tblGrid>
      <w:tr w:rsidR="004442E4" w:rsidRPr="00C806D0" w:rsidTr="004442E4">
        <w:trPr>
          <w:cnfStyle w:val="100000000000" w:firstRow="1" w:lastRow="0" w:firstColumn="0" w:lastColumn="0" w:oddVBand="0" w:evenVBand="0" w:oddHBand="0" w:evenHBand="0" w:firstRowFirstColumn="0" w:firstRowLastColumn="0" w:lastRowFirstColumn="0" w:lastRowLastColumn="0"/>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Variable*</w:t>
            </w:r>
          </w:p>
        </w:tc>
        <w:tc>
          <w:tcPr>
            <w:tcW w:w="726"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Coefficient</w:t>
            </w:r>
          </w:p>
        </w:tc>
        <w:tc>
          <w:tcPr>
            <w:tcW w:w="612"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SE</w:t>
            </w:r>
          </w:p>
        </w:tc>
        <w:tc>
          <w:tcPr>
            <w:tcW w:w="468"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p-Value</w:t>
            </w:r>
          </w:p>
        </w:tc>
        <w:tc>
          <w:tcPr>
            <w:tcW w:w="1218" w:type="pct"/>
            <w:gridSpan w:val="2"/>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95% Confidence Interval</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18"/>
                <w:szCs w:val="18"/>
                <w:lang w:eastAsia="en-GB"/>
              </w:rPr>
            </w:pPr>
            <w:r w:rsidRPr="00C806D0">
              <w:rPr>
                <w:rFonts w:ascii="Calibri" w:hAnsi="Calibri"/>
                <w:b/>
                <w:sz w:val="18"/>
                <w:szCs w:val="18"/>
                <w:lang w:eastAsia="en-GB"/>
              </w:rPr>
              <w:t>Explanatory variables within component 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SD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-0.206</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0.101</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0.043</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-0.404</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-0.007</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Upper SD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-0.151</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0.104</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0.146</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-0.354</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0.052</w:t>
            </w:r>
          </w:p>
        </w:tc>
      </w:tr>
      <w:tr w:rsidR="004442E4" w:rsidRPr="00C806D0" w:rsidTr="004442E4">
        <w:trPr>
          <w:trHeight w:val="244"/>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MD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-0.104</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0.102</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0.312</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-0.304</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0.097</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Upper MD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-0.003</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0.104</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0.975</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-0.208</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0.201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GR</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-0.040</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0.114</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0.724</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-0.263</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0.183</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0.737</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Female gender</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-0.026</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0.020</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0.187</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-0.066</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0.013</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Serious co-morbidity</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-0.002</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0.022</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0.931</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-0.045</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0.041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 xml:space="preserve">Major </w:t>
            </w:r>
            <w:r w:rsidR="002A16B4" w:rsidRPr="00C806D0">
              <w:rPr>
                <w:rFonts w:ascii="Calibri" w:hAnsi="Calibri"/>
                <w:sz w:val="18"/>
                <w:szCs w:val="18"/>
                <w:lang w:eastAsia="en-GB"/>
              </w:rPr>
              <w:t>extracranial</w:t>
            </w:r>
            <w:r w:rsidRPr="00C806D0">
              <w:rPr>
                <w:rFonts w:ascii="Calibri" w:hAnsi="Calibri"/>
                <w:sz w:val="18"/>
                <w:szCs w:val="18"/>
                <w:lang w:eastAsia="en-GB"/>
              </w:rPr>
              <w:t xml:space="preserve"> injury</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-0.064</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0.021</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0.002</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-0.104</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-0.023</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0.303</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0.103</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0.003</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0.102</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0.505</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18"/>
                <w:szCs w:val="18"/>
                <w:lang w:eastAsia="en-GB"/>
              </w:rPr>
            </w:pPr>
            <w:r w:rsidRPr="00C806D0">
              <w:rPr>
                <w:rFonts w:ascii="Calibri" w:hAnsi="Calibri"/>
                <w:b/>
                <w:sz w:val="18"/>
                <w:szCs w:val="18"/>
                <w:lang w:eastAsia="en-GB"/>
              </w:rPr>
              <w:t>Explanatory variables within component 2</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SD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-0.233</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0.012</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-0.257</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-0.210</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Upper SD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-0.227</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0.013</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-0.252</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-0.202</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MD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-0.181</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0.011</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-0.203</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-0.160</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Upper MD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-0.154</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0.009</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-0.172</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-0.136</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GR</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-0.087</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0.009</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-0.105</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-0.069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Female gender</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-0.023</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0.007</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-0.036</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-0.010</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Serious co-morbidity</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-0.026</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0.007</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-0.040</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-0.012</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 xml:space="preserve">Major </w:t>
            </w:r>
            <w:r w:rsidR="002A16B4" w:rsidRPr="00C806D0">
              <w:rPr>
                <w:rFonts w:ascii="Calibri" w:hAnsi="Calibri"/>
                <w:sz w:val="18"/>
                <w:szCs w:val="18"/>
                <w:lang w:eastAsia="en-GB"/>
              </w:rPr>
              <w:t>extracranial</w:t>
            </w:r>
            <w:r w:rsidRPr="00C806D0">
              <w:rPr>
                <w:rFonts w:ascii="Calibri" w:hAnsi="Calibri"/>
                <w:sz w:val="18"/>
                <w:szCs w:val="18"/>
                <w:lang w:eastAsia="en-GB"/>
              </w:rPr>
              <w:t xml:space="preserve"> injury</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-0.037</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0.006</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-0.050</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-0.025</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1.016</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0.010</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0.996</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1.037</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18"/>
                <w:szCs w:val="18"/>
                <w:lang w:eastAsia="en-GB"/>
              </w:rPr>
            </w:pPr>
            <w:r w:rsidRPr="00C806D0">
              <w:rPr>
                <w:rFonts w:ascii="Calibri" w:hAnsi="Calibri"/>
                <w:b/>
                <w:sz w:val="18"/>
                <w:szCs w:val="18"/>
                <w:lang w:eastAsia="en-GB"/>
              </w:rPr>
              <w:t>Explanatory variables within component 3</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SD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-0.550</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0.011</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-0.571</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-0.529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Upper SD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-0.619</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0.015</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-0.649</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-0.589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MD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-0.509</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0.016</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-0.540</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-0.478</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Upper MD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-0.478</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0.014</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-0.506</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-0.451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GR</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-0.446</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0.012</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-0.469</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-0.423</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-0.002</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-0.003</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-0.002</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Female gender</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0.006</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0.008</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0.425</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-0.009</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Serious co-morbidity</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-0.478</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0.008</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-0.494</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-0.461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 xml:space="preserve">Major </w:t>
            </w:r>
            <w:r w:rsidR="002A16B4" w:rsidRPr="00C806D0">
              <w:rPr>
                <w:rFonts w:ascii="Calibri" w:hAnsi="Calibri"/>
                <w:sz w:val="18"/>
                <w:szCs w:val="18"/>
                <w:lang w:eastAsia="en-GB"/>
              </w:rPr>
              <w:t>extracranial</w:t>
            </w:r>
            <w:r w:rsidRPr="00C806D0">
              <w:rPr>
                <w:rFonts w:ascii="Calibri" w:hAnsi="Calibri"/>
                <w:sz w:val="18"/>
                <w:szCs w:val="18"/>
                <w:lang w:eastAsia="en-GB"/>
              </w:rPr>
              <w:t xml:space="preserve"> injury</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0.015</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0.008</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0.061</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0.031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1.234</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0.019</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1.198</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1.271</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18"/>
                <w:szCs w:val="18"/>
                <w:lang w:eastAsia="en-GB"/>
              </w:rPr>
            </w:pPr>
            <w:r w:rsidRPr="00C806D0">
              <w:rPr>
                <w:b/>
                <w:sz w:val="18"/>
                <w:szCs w:val="18"/>
              </w:rPr>
              <w:t>Explanatory variables explaining the probability of component 1 membership</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SD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4.788</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0.727</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3.363</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6.212</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Upper SD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4.603</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0.927</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2.787</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6.420</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MD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3.797</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0.778</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2.272</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5.322</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lastRenderedPageBreak/>
              <w:t>Upper MD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2.984</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0.781</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1.454</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4.514</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GR</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2.233</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0.807</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0.006</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0.652</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3.815</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-0.008</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0.010</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0.429</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-0.029</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0.012</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Female gender</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-0.564</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0.379</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0.136</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-1.307</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0.178</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 xml:space="preserve">Major </w:t>
            </w:r>
            <w:r w:rsidR="002A16B4" w:rsidRPr="00C806D0">
              <w:rPr>
                <w:rFonts w:ascii="Calibri" w:hAnsi="Calibri"/>
                <w:sz w:val="18"/>
                <w:szCs w:val="18"/>
                <w:lang w:eastAsia="en-GB"/>
              </w:rPr>
              <w:t>extracranial</w:t>
            </w:r>
            <w:r w:rsidRPr="00C806D0">
              <w:rPr>
                <w:rFonts w:ascii="Calibri" w:hAnsi="Calibri"/>
                <w:sz w:val="18"/>
                <w:szCs w:val="18"/>
                <w:lang w:eastAsia="en-GB"/>
              </w:rPr>
              <w:t xml:space="preserve"> injury</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0.113</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0.411</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0.784</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-0.693</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0.919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Serious co-morbidity</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0.627</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0.459</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0.172</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-0.273</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1.526</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-1.581</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0.924</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0.087</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-3.393</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0.230</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18"/>
                <w:szCs w:val="18"/>
                <w:lang w:eastAsia="en-GB"/>
              </w:rPr>
            </w:pPr>
            <w:r w:rsidRPr="00C806D0">
              <w:rPr>
                <w:b/>
                <w:sz w:val="18"/>
                <w:szCs w:val="18"/>
              </w:rPr>
              <w:t>Explanatory variables explaining the probability of component 2 membership</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SD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-0.348</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0.606</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0.566</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-1.536</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0.840</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Upper SD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0.599</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0.827</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0.469</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-1.022</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2.221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MD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-0.019</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0.677</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0.978</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-1.346</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1.309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Upper MD</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0.433</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0.666</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0.516</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-0.872</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1.737</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Lower GR</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0.813</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0.650</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0.211</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-0.461</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2.087</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0.002</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0.010</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0.852</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-0.019</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0.023</w:t>
            </w:r>
          </w:p>
        </w:tc>
      </w:tr>
      <w:tr w:rsidR="004442E4" w:rsidRPr="00C806D0" w:rsidTr="004442E4">
        <w:trPr>
          <w:trHeight w:val="179"/>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Female gender</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-0.661</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0.373</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0.077</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-1.393</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0.071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 xml:space="preserve">Major </w:t>
            </w:r>
            <w:r w:rsidR="002A16B4" w:rsidRPr="00C806D0">
              <w:rPr>
                <w:rFonts w:ascii="Calibri" w:hAnsi="Calibri"/>
                <w:sz w:val="18"/>
                <w:szCs w:val="18"/>
                <w:lang w:eastAsia="en-GB"/>
              </w:rPr>
              <w:t>extracranial</w:t>
            </w:r>
            <w:r w:rsidRPr="00C806D0">
              <w:rPr>
                <w:rFonts w:ascii="Calibri" w:hAnsi="Calibri"/>
                <w:sz w:val="18"/>
                <w:szCs w:val="18"/>
                <w:lang w:eastAsia="en-GB"/>
              </w:rPr>
              <w:t xml:space="preserve"> injury</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0.172</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0.410</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0.675</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-0.632</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0.977</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Serious co-morbidity</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0.528</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0.429</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0.218</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-0.313</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1.369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2.536</w:t>
            </w:r>
          </w:p>
        </w:tc>
        <w:tc>
          <w:tcPr>
            <w:tcW w:w="61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0.859</w:t>
            </w:r>
          </w:p>
        </w:tc>
        <w:tc>
          <w:tcPr>
            <w:tcW w:w="46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0.003</w:t>
            </w:r>
          </w:p>
        </w:tc>
        <w:tc>
          <w:tcPr>
            <w:tcW w:w="63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0.853</w:t>
            </w:r>
          </w:p>
        </w:tc>
        <w:tc>
          <w:tcPr>
            <w:tcW w:w="588"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4.219</w:t>
            </w:r>
          </w:p>
        </w:tc>
      </w:tr>
    </w:tbl>
    <w:p w:rsidR="004442E4" w:rsidRPr="00C806D0" w:rsidRDefault="004442E4" w:rsidP="004442E4">
      <w:pPr>
        <w:rPr>
          <w:sz w:val="20"/>
          <w:szCs w:val="20"/>
        </w:rPr>
      </w:pPr>
      <w:r w:rsidRPr="00C806D0">
        <w:rPr>
          <w:sz w:val="20"/>
          <w:szCs w:val="20"/>
        </w:rPr>
        <w:t>Extended GOS coded as indicator variable with GOS 8, upper good recovery, as the baseline category. Extended GOS category 1, death, not modelled as this will equal zero by definition. Vegetative state excluded due to model instability/lack of convergence secondary to low number of patients in this GOS category. Covariance matrix available from author on request.</w:t>
      </w:r>
    </w:p>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2A360F">
      <w:pPr>
        <w:pStyle w:val="Heading3"/>
      </w:pPr>
      <w:r w:rsidRPr="00C806D0">
        <w:lastRenderedPageBreak/>
        <w:t>Predictive model for mean 12 month EQ5D including basic GOS category (excluding vegetative state) and age</w:t>
      </w:r>
    </w:p>
    <w:p w:rsidR="004442E4" w:rsidRPr="00C806D0" w:rsidRDefault="004442E4" w:rsidP="004442E4">
      <w:pPr>
        <w:ind w:left="720" w:hanging="720"/>
      </w:pPr>
      <w:r w:rsidRPr="00C806D0">
        <w:rPr>
          <w:b/>
        </w:rPr>
        <w:t>Table F16. Model coefficients for initial model including basic GOS (vegetative state excluded)</w:t>
      </w:r>
      <w:r w:rsidR="00295AB8" w:rsidRPr="00C806D0">
        <w:rPr>
          <w:b/>
        </w:rPr>
        <w:t xml:space="preserve"> and age</w:t>
      </w:r>
    </w:p>
    <w:tbl>
      <w:tblPr>
        <w:tblStyle w:val="LightShading1"/>
        <w:tblW w:w="4966" w:type="pct"/>
        <w:jc w:val="center"/>
        <w:tblLook w:val="0620" w:firstRow="1" w:lastRow="0" w:firstColumn="0" w:lastColumn="0" w:noHBand="1" w:noVBand="1"/>
      </w:tblPr>
      <w:tblGrid>
        <w:gridCol w:w="3366"/>
        <w:gridCol w:w="1200"/>
        <w:gridCol w:w="1003"/>
        <w:gridCol w:w="859"/>
        <w:gridCol w:w="1156"/>
        <w:gridCol w:w="1077"/>
      </w:tblGrid>
      <w:tr w:rsidR="004442E4" w:rsidRPr="00C806D0" w:rsidTr="00114C70">
        <w:trPr>
          <w:cnfStyle w:val="100000000000" w:firstRow="1" w:lastRow="0" w:firstColumn="0" w:lastColumn="0" w:oddVBand="0" w:evenVBand="0" w:oddHBand="0" w:evenHBand="0" w:firstRowFirstColumn="0" w:firstRowLastColumn="0" w:lastRowFirstColumn="0" w:lastRowLastColumn="0"/>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Variable*</w:t>
            </w:r>
          </w:p>
        </w:tc>
        <w:tc>
          <w:tcPr>
            <w:tcW w:w="693"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Coefficient</w:t>
            </w:r>
          </w:p>
        </w:tc>
        <w:tc>
          <w:tcPr>
            <w:tcW w:w="579"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SE</w:t>
            </w:r>
          </w:p>
        </w:tc>
        <w:tc>
          <w:tcPr>
            <w:tcW w:w="496"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p-Value</w:t>
            </w:r>
          </w:p>
        </w:tc>
        <w:tc>
          <w:tcPr>
            <w:tcW w:w="1289" w:type="pct"/>
            <w:gridSpan w:val="2"/>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95% Confidence Interval</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1</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Severe disability</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0.134</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0.022</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0.090</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0.178</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0.210</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0.049</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0.114</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0.307</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0.699</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0.078</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0.030</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0.008</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0.020</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0.136</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2</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Severe disability</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0.029</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0.008</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0.013</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0.045</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0.092</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0.013</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0.065</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0.118</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0.551</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0.857</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0.013</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0.832</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0.882</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3</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Severe disability</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0.064</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0.010</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0.044</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0.085</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0.168</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0.011</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0.145</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0.190</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0.695</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0.017</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0.661</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0.728</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b/>
                <w:sz w:val="20"/>
                <w:szCs w:val="20"/>
              </w:rPr>
              <w:t>Explanatory variables explaining the probability of component 1 membership</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Severe disability</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-0.008</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0.003</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0.005</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-0.013</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-1.503</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0.135</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-1.767</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-1.239</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-3.206</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0.229</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-3.656</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-2.756</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0.725</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0.202</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0.329</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1.121</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b/>
                <w:sz w:val="20"/>
                <w:szCs w:val="20"/>
              </w:rPr>
              <w:t>Explanatory variables explaining the probability of component 2 membership</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Severe disability</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-0.016</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0.004</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-0.023</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-0.008</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0.208</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0.233</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0.372</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-0.249</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0.666</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1.192</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0.234</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0.733</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1.652</w:t>
            </w:r>
          </w:p>
        </w:tc>
      </w:tr>
      <w:tr w:rsidR="004442E4" w:rsidRPr="00C806D0" w:rsidTr="00114C70">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93"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-0.505</w:t>
            </w:r>
          </w:p>
        </w:tc>
        <w:tc>
          <w:tcPr>
            <w:tcW w:w="579"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0.344</w:t>
            </w:r>
          </w:p>
        </w:tc>
        <w:tc>
          <w:tcPr>
            <w:tcW w:w="49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0.142</w:t>
            </w:r>
          </w:p>
        </w:tc>
        <w:tc>
          <w:tcPr>
            <w:tcW w:w="667"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-1.179</w:t>
            </w:r>
          </w:p>
        </w:tc>
        <w:tc>
          <w:tcPr>
            <w:tcW w:w="62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0.169</w:t>
            </w:r>
          </w:p>
        </w:tc>
      </w:tr>
    </w:tbl>
    <w:p w:rsidR="00114C70" w:rsidRPr="00C806D0" w:rsidRDefault="00114C70" w:rsidP="00114C70">
      <w:pPr>
        <w:rPr>
          <w:rFonts w:ascii="Caecilia-Roman" w:hAnsi="Caecilia-Roman" w:cs="Caecilia-Roman"/>
          <w:sz w:val="20"/>
          <w:szCs w:val="20"/>
        </w:rPr>
      </w:pPr>
      <w:r w:rsidRPr="00C806D0">
        <w:rPr>
          <w:sz w:val="20"/>
          <w:szCs w:val="20"/>
        </w:rPr>
        <w:t>Basic GOS coded as indicator variable with GOS 5, good recovery, as the baseline category. Basic GOS category 1, death, not modelled as this will equal zero by definition. Vegetative state excluded.</w:t>
      </w:r>
    </w:p>
    <w:p w:rsidR="00114C70" w:rsidRPr="00C806D0" w:rsidRDefault="00114C70" w:rsidP="00114C70">
      <w:pPr>
        <w:rPr>
          <w:sz w:val="20"/>
          <w:szCs w:val="20"/>
        </w:rPr>
      </w:pPr>
      <w:r w:rsidRPr="00C806D0">
        <w:rPr>
          <w:sz w:val="20"/>
          <w:szCs w:val="20"/>
        </w:rPr>
        <w:t>Covariance matrix available from author on request.</w:t>
      </w:r>
    </w:p>
    <w:p w:rsidR="004442E4" w:rsidRPr="00C806D0" w:rsidRDefault="004442E4" w:rsidP="00114C70"/>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2A360F">
      <w:pPr>
        <w:pStyle w:val="Heading3"/>
      </w:pPr>
      <w:r w:rsidRPr="00C806D0">
        <w:lastRenderedPageBreak/>
        <w:t>Predictive model for mean 12 month EQ5D including basic GOS category (combining vegetative state and severe disability) and age</w:t>
      </w:r>
    </w:p>
    <w:p w:rsidR="004442E4" w:rsidRPr="00C806D0" w:rsidRDefault="004442E4" w:rsidP="004442E4">
      <w:pPr>
        <w:ind w:left="720" w:hanging="720"/>
      </w:pPr>
      <w:r w:rsidRPr="00C806D0">
        <w:rPr>
          <w:b/>
        </w:rPr>
        <w:t>Table F17. Model coefficients for initial model including basic GOS (vegetative state/severe disability combined)</w:t>
      </w:r>
    </w:p>
    <w:tbl>
      <w:tblPr>
        <w:tblStyle w:val="LightShading1"/>
        <w:tblW w:w="4966" w:type="pct"/>
        <w:jc w:val="center"/>
        <w:tblLook w:val="0620" w:firstRow="1" w:lastRow="0" w:firstColumn="0" w:lastColumn="0" w:noHBand="1" w:noVBand="1"/>
      </w:tblPr>
      <w:tblGrid>
        <w:gridCol w:w="3366"/>
        <w:gridCol w:w="1200"/>
        <w:gridCol w:w="1003"/>
        <w:gridCol w:w="859"/>
        <w:gridCol w:w="1156"/>
        <w:gridCol w:w="1077"/>
      </w:tblGrid>
      <w:tr w:rsidR="004442E4" w:rsidRPr="00C806D0" w:rsidTr="00295AB8">
        <w:trPr>
          <w:cnfStyle w:val="100000000000" w:firstRow="1" w:lastRow="0" w:firstColumn="0" w:lastColumn="0" w:oddVBand="0" w:evenVBand="0" w:oddHBand="0" w:evenHBand="0" w:firstRowFirstColumn="0" w:firstRowLastColumn="0" w:lastRowFirstColumn="0" w:lastRowLastColumn="0"/>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Variable*</w:t>
            </w:r>
          </w:p>
        </w:tc>
        <w:tc>
          <w:tcPr>
            <w:tcW w:w="693"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Coefficient</w:t>
            </w:r>
          </w:p>
        </w:tc>
        <w:tc>
          <w:tcPr>
            <w:tcW w:w="579"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SE</w:t>
            </w:r>
          </w:p>
        </w:tc>
        <w:tc>
          <w:tcPr>
            <w:tcW w:w="496"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p-Value</w:t>
            </w:r>
          </w:p>
        </w:tc>
        <w:tc>
          <w:tcPr>
            <w:tcW w:w="1289" w:type="pct"/>
            <w:gridSpan w:val="2"/>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95% Confidence Interval</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1</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Vegetative state/ Severe disability</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-0.272</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0.059</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-0.387</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-0.158</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0.090</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0.150</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0.548</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-0.203</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0.383</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0.003</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0.005</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0.005</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0.108</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0.072</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0.135</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-0.034</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0.250</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2</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Vegetative state/ Severe disability</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-0.186</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0.027</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-0.239</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-0.133</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-0.112</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0.027</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-0.164</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-0.060</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0.917</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0.028</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0.862</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0.972</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3</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Vegetative state/ Severe disability</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-0.757</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0.037</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-0.829</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-0.684</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-0.789</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0.031</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-0.849</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-0.728</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-0.002</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-0.004</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1.063</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0.046</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0.974</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1.153</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b/>
                <w:sz w:val="20"/>
                <w:szCs w:val="20"/>
              </w:rPr>
              <w:t>Explanatory variables explaining the probability of component 1 membership</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Vegetative state/ Severe disability</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0.005</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0.008</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0.495</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-0.010</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0.020</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3.536</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0.511</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2.534</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4.539</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1.718</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1.258</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0.172</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-0.748</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4.184</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-3.481</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0.477</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-4.415</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-2.546</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b/>
                <w:sz w:val="20"/>
                <w:szCs w:val="20"/>
              </w:rPr>
              <w:t>Explanatory variables explaining the probability of component 2 membership</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Vegetative state/ Severe disability</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0.007</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0.004</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0.078</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0.015</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1.500</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0.850</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0.077</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-0.165</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3.165</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2.461</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0.888</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0.006</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0.720</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4.202</w:t>
            </w:r>
          </w:p>
        </w:tc>
      </w:tr>
      <w:tr w:rsidR="004442E4" w:rsidRPr="00C806D0" w:rsidTr="00295AB8">
        <w:trPr>
          <w:trHeight w:val="300"/>
          <w:jc w:val="center"/>
        </w:trPr>
        <w:tc>
          <w:tcPr>
            <w:tcW w:w="1943"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6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-1.066</w:t>
            </w:r>
          </w:p>
        </w:tc>
        <w:tc>
          <w:tcPr>
            <w:tcW w:w="579"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0.843</w:t>
            </w:r>
          </w:p>
        </w:tc>
        <w:tc>
          <w:tcPr>
            <w:tcW w:w="496"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0.206</w:t>
            </w:r>
          </w:p>
        </w:tc>
        <w:tc>
          <w:tcPr>
            <w:tcW w:w="667"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-2.718</w:t>
            </w:r>
          </w:p>
        </w:tc>
        <w:tc>
          <w:tcPr>
            <w:tcW w:w="622"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0.587</w:t>
            </w:r>
          </w:p>
        </w:tc>
      </w:tr>
    </w:tbl>
    <w:p w:rsidR="00295AB8" w:rsidRPr="00C806D0" w:rsidRDefault="00295AB8" w:rsidP="00295AB8">
      <w:r w:rsidRPr="00C806D0">
        <w:rPr>
          <w:sz w:val="20"/>
          <w:szCs w:val="20"/>
        </w:rPr>
        <w:t xml:space="preserve">Covariance matrix available from author on request. Basic GOS coded as indicator variable with GOS 3, severe disability, as the baseline category. Basic GOS category 1, death, not modelled as this will equal zero by definition. </w:t>
      </w:r>
    </w:p>
    <w:p w:rsidR="00295AB8" w:rsidRPr="00C806D0" w:rsidRDefault="00295AB8" w:rsidP="00295AB8"/>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1A19D4" w:rsidRPr="00C806D0" w:rsidRDefault="001A19D4" w:rsidP="002A360F">
      <w:pPr>
        <w:pStyle w:val="Heading3"/>
      </w:pPr>
      <w:r w:rsidRPr="00C806D0">
        <w:lastRenderedPageBreak/>
        <w:t>Effect of initial injury severity on mean EQ5D values for GOS categories</w:t>
      </w:r>
    </w:p>
    <w:p w:rsidR="001A19D4" w:rsidRPr="00C806D0" w:rsidRDefault="001A19D4" w:rsidP="001A19D4">
      <w:r w:rsidRPr="00C806D0">
        <w:t xml:space="preserve">To explore the possibility that initial injury severity influences utility values for a given 12 month GOS health state two additional secondary analyses were performed. Firstly, predicted mean EQ5D values from the simple </w:t>
      </w:r>
      <w:r w:rsidR="003371A8" w:rsidRPr="00C806D0">
        <w:t>adjusted limited dependent variable mixture model</w:t>
      </w:r>
      <w:r w:rsidRPr="00C806D0">
        <w:t xml:space="preserve"> </w:t>
      </w:r>
      <w:r w:rsidR="00472313" w:rsidRPr="00C806D0">
        <w:t xml:space="preserve">(ALDVMM, </w:t>
      </w:r>
      <w:r w:rsidRPr="00C806D0">
        <w:t>including age and basic GOS category only) were compared between patients with and without major trauma, defined as ISS&gt;15.</w:t>
      </w:r>
      <w:r w:rsidR="003371A8" w:rsidRPr="00C806D0">
        <w:t xml:space="preserve"> Linear regression of </w:t>
      </w:r>
      <w:r w:rsidR="00472313" w:rsidRPr="00C806D0">
        <w:t xml:space="preserve">an </w:t>
      </w:r>
      <w:r w:rsidR="003371A8" w:rsidRPr="00C806D0">
        <w:t>identically specified model was additionally performed to aid interpretation of results.</w:t>
      </w:r>
      <w:r w:rsidRPr="00C806D0">
        <w:t xml:space="preserve"> Secondly, ISS was specified as an additional predictor in the detailed </w:t>
      </w:r>
      <w:r w:rsidR="00472313" w:rsidRPr="00C806D0">
        <w:t>predictive ALDVMM</w:t>
      </w:r>
      <w:r w:rsidRPr="00C806D0">
        <w:t>, together with basic GOS category, age, comorbidity, gender and extra-cranial injury.</w:t>
      </w:r>
      <w:r w:rsidR="003371A8" w:rsidRPr="00C806D0">
        <w:t xml:space="preserve"> Again linear regression was a</w:t>
      </w:r>
      <w:r w:rsidR="00472313" w:rsidRPr="00C806D0">
        <w:t>lso</w:t>
      </w:r>
      <w:r w:rsidR="003371A8" w:rsidRPr="00C806D0">
        <w:t xml:space="preserve"> performed to allow more transparent interpretation of model coefficients.</w:t>
      </w:r>
    </w:p>
    <w:p w:rsidR="001A19D4" w:rsidRPr="00C806D0" w:rsidRDefault="001A19D4" w:rsidP="001A19D4"/>
    <w:p w:rsidR="003371A8" w:rsidRPr="00C806D0" w:rsidRDefault="003371A8" w:rsidP="001A19D4">
      <w:r w:rsidRPr="00C806D0">
        <w:t xml:space="preserve">Replicating GOS to EQ-5D mapping for the simple predictive model in </w:t>
      </w:r>
      <w:r w:rsidR="001A19D4" w:rsidRPr="00C806D0">
        <w:t>patients with and with</w:t>
      </w:r>
      <w:r w:rsidRPr="00C806D0">
        <w:t xml:space="preserve">out major trauma demonstrated that there was no </w:t>
      </w:r>
      <w:r w:rsidR="001A19D4" w:rsidRPr="00C806D0">
        <w:t>statistically</w:t>
      </w:r>
      <w:r w:rsidRPr="00C806D0">
        <w:t xml:space="preserve"> </w:t>
      </w:r>
      <w:r w:rsidR="001A19D4" w:rsidRPr="00C806D0">
        <w:t>significant difference in utility according to the presence o</w:t>
      </w:r>
      <w:r w:rsidRPr="00C806D0">
        <w:t xml:space="preserve">f major trauma (non-significant </w:t>
      </w:r>
      <w:r w:rsidR="00472313" w:rsidRPr="00C806D0">
        <w:t xml:space="preserve">component and latent class </w:t>
      </w:r>
      <w:r w:rsidRPr="00C806D0">
        <w:t>coefficients in ALDVM model, major trauma line</w:t>
      </w:r>
      <w:r w:rsidR="00010CE6" w:rsidRPr="00C806D0">
        <w:t>ar regression coefficient p=0.34</w:t>
      </w:r>
      <w:r w:rsidRPr="00C806D0">
        <w:t xml:space="preserve">). </w:t>
      </w:r>
      <w:r w:rsidR="00010CE6" w:rsidRPr="00C806D0">
        <w:t>However</w:t>
      </w:r>
      <w:r w:rsidR="00112797" w:rsidRPr="00C806D0">
        <w:t xml:space="preserve"> the relatively imprecise</w:t>
      </w:r>
      <w:r w:rsidR="00010CE6" w:rsidRPr="00C806D0">
        <w:t xml:space="preserve"> </w:t>
      </w:r>
      <w:r w:rsidR="00112797" w:rsidRPr="00C806D0">
        <w:t>95% confidence intervals</w:t>
      </w:r>
      <w:r w:rsidR="00010CE6" w:rsidRPr="00C806D0">
        <w:t xml:space="preserve"> were </w:t>
      </w:r>
      <w:r w:rsidR="00C3799E" w:rsidRPr="00C806D0">
        <w:t xml:space="preserve">potentially </w:t>
      </w:r>
      <w:r w:rsidR="00010CE6" w:rsidRPr="00C806D0">
        <w:t xml:space="preserve">consistent with a </w:t>
      </w:r>
      <w:r w:rsidR="00112797" w:rsidRPr="00C806D0">
        <w:t xml:space="preserve">small but </w:t>
      </w:r>
      <w:r w:rsidR="00C3799E" w:rsidRPr="00C806D0">
        <w:t>clinically significant difference in utility between patients presenting with and without major trauma, as shown in Figure F1.</w:t>
      </w:r>
    </w:p>
    <w:p w:rsidR="003371A8" w:rsidRPr="00C806D0" w:rsidRDefault="003371A8" w:rsidP="001A19D4"/>
    <w:p w:rsidR="001A19D4" w:rsidRPr="00C806D0" w:rsidRDefault="00C3799E" w:rsidP="001A19D4">
      <w:r w:rsidRPr="00C806D0">
        <w:t>Importantly</w:t>
      </w:r>
      <w:r w:rsidR="003371A8" w:rsidRPr="00C806D0">
        <w:t xml:space="preserve">, ISS was not a significant independent predictor of utility when included in </w:t>
      </w:r>
      <w:r w:rsidR="00472313" w:rsidRPr="00C806D0">
        <w:t xml:space="preserve">the </w:t>
      </w:r>
      <w:r w:rsidR="003371A8" w:rsidRPr="00C806D0">
        <w:t xml:space="preserve">detailed model </w:t>
      </w:r>
      <w:r w:rsidRPr="00C806D0">
        <w:t xml:space="preserve">with extracranial injury </w:t>
      </w:r>
      <w:r w:rsidR="003371A8" w:rsidRPr="00C806D0">
        <w:t>(</w:t>
      </w:r>
      <w:r w:rsidR="00472313" w:rsidRPr="00C806D0">
        <w:t xml:space="preserve">non-significant component and latent class coefficients in ALDVM model, </w:t>
      </w:r>
      <w:r w:rsidR="003371A8" w:rsidRPr="00C806D0">
        <w:t>ISS linear regression coefficient p=0.36</w:t>
      </w:r>
      <w:r w:rsidRPr="00C806D0">
        <w:t>),</w:t>
      </w:r>
      <w:r w:rsidR="00A61D6C" w:rsidRPr="00C806D0">
        <w:t xml:space="preserve"> suggesting </w:t>
      </w:r>
      <w:r w:rsidR="001C12FE" w:rsidRPr="00C806D0">
        <w:t>that</w:t>
      </w:r>
      <w:r w:rsidR="00A61D6C" w:rsidRPr="00C806D0">
        <w:t xml:space="preserve"> disability arising from non-head injuries</w:t>
      </w:r>
      <w:r w:rsidR="001C12FE" w:rsidRPr="00C806D0">
        <w:t xml:space="preserve"> is influential</w:t>
      </w:r>
      <w:r w:rsidRPr="00C806D0">
        <w:t>, rather than the overall severity of the intial injury.</w:t>
      </w:r>
    </w:p>
    <w:p w:rsidR="001A19D4" w:rsidRPr="00C806D0" w:rsidRDefault="001A19D4" w:rsidP="001A19D4"/>
    <w:p w:rsidR="001A19D4" w:rsidRPr="00C806D0" w:rsidRDefault="00472313" w:rsidP="001A19D4">
      <w:r w:rsidRPr="00C806D0">
        <w:t xml:space="preserve">Taken together these results </w:t>
      </w:r>
      <w:r w:rsidR="00A61D6C" w:rsidRPr="00C806D0">
        <w:t xml:space="preserve">indicate </w:t>
      </w:r>
      <w:r w:rsidRPr="00C806D0">
        <w:t>that a patient’s mean 12 month EQ5D is determined by their global disability level after treatement and recovery, rather than</w:t>
      </w:r>
      <w:r w:rsidR="00C3799E" w:rsidRPr="00C806D0">
        <w:t xml:space="preserve"> the presence of major trauma</w:t>
      </w:r>
      <w:r w:rsidR="00A61D6C" w:rsidRPr="00C806D0">
        <w:t xml:space="preserve"> </w:t>
      </w:r>
      <w:r w:rsidR="00A61D6C" w:rsidRPr="00C806D0">
        <w:rPr>
          <w:i/>
        </w:rPr>
        <w:t>per se</w:t>
      </w:r>
      <w:r w:rsidRPr="00C806D0">
        <w:t xml:space="preserve">. This is perhaps unsurprising as </w:t>
      </w:r>
      <w:r w:rsidR="001C12FE" w:rsidRPr="00C806D0">
        <w:t xml:space="preserve">GOS is designed as a stand alone outcome measure regardless of the magnitude of the intial insult; and </w:t>
      </w:r>
      <w:r w:rsidRPr="00C806D0">
        <w:t xml:space="preserve">HRQOL would be expected to decrease in the presence of pain, depression and anxiety caused by non-head injuries, but which are not fully assessed in the GOS. </w:t>
      </w:r>
    </w:p>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1A19D4" w:rsidRPr="00C806D0" w:rsidRDefault="00112797" w:rsidP="001A19D4">
      <w:r w:rsidRPr="00C806D0">
        <w:rPr>
          <w:noProof/>
          <w:lang w:val="en-US"/>
        </w:rPr>
        <w:drawing>
          <wp:inline distT="0" distB="0" distL="0" distR="0">
            <wp:extent cx="5400040" cy="3927475"/>
            <wp:effectExtent l="19050" t="0" r="0" b="0"/>
            <wp:docPr id="6" name="Picture 5" descr="Major_trauam_ut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_trauam_utility.JPG"/>
                    <pic:cNvPicPr/>
                  </pic:nvPicPr>
                  <pic:blipFill>
                    <a:blip r:embed="rId21" cstate="print"/>
                    <a:stretch>
                      <a:fillRect/>
                    </a:stretch>
                  </pic:blipFill>
                  <pic:spPr>
                    <a:xfrm>
                      <a:off x="0" y="0"/>
                      <a:ext cx="5400040" cy="3927475"/>
                    </a:xfrm>
                    <a:prstGeom prst="rect">
                      <a:avLst/>
                    </a:prstGeom>
                  </pic:spPr>
                </pic:pic>
              </a:graphicData>
            </a:graphic>
          </wp:inline>
        </w:drawing>
      </w:r>
    </w:p>
    <w:p w:rsidR="00112797" w:rsidRPr="00C806D0" w:rsidRDefault="00112797" w:rsidP="00112797">
      <w:pPr>
        <w:pStyle w:val="Heading7"/>
        <w:ind w:left="0" w:firstLine="0"/>
        <w:rPr>
          <w:rFonts w:ascii="Calibri" w:hAnsi="Calibri"/>
          <w:b/>
          <w:i w:val="0"/>
          <w:color w:val="auto"/>
        </w:rPr>
      </w:pPr>
      <w:bookmarkStart w:id="96" w:name="_Toc399247467"/>
      <w:r w:rsidRPr="00C806D0">
        <w:rPr>
          <w:rFonts w:ascii="Calibri" w:hAnsi="Calibri"/>
          <w:b/>
          <w:i w:val="0"/>
          <w:color w:val="auto"/>
        </w:rPr>
        <w:t xml:space="preserve">Figure F1. Mean predicted 12 month EQ5D for each basic GOS category </w:t>
      </w:r>
      <w:bookmarkEnd w:id="96"/>
      <w:r w:rsidRPr="00C806D0">
        <w:rPr>
          <w:rFonts w:ascii="Calibri" w:hAnsi="Calibri"/>
          <w:b/>
          <w:i w:val="0"/>
          <w:color w:val="auto"/>
        </w:rPr>
        <w:t>in patients with and without major trauma</w:t>
      </w:r>
    </w:p>
    <w:p w:rsidR="00112797" w:rsidRPr="00C806D0" w:rsidRDefault="00112797" w:rsidP="00112797">
      <w:pPr>
        <w:rPr>
          <w:sz w:val="20"/>
          <w:szCs w:val="20"/>
        </w:rPr>
      </w:pPr>
      <w:r w:rsidRPr="00C806D0">
        <w:rPr>
          <w:sz w:val="20"/>
          <w:szCs w:val="20"/>
        </w:rPr>
        <w:t>Symbols represent point estimates from the initial adjusted limited dependent variable mixture model for predicted mean EQ5D values for different subgroups  of patients aged 50 years (</w:t>
      </w:r>
      <w:r w:rsidRPr="00C806D0">
        <w:rPr>
          <w:color w:val="808080" w:themeColor="background1" w:themeShade="80"/>
          <w:sz w:val="20"/>
          <w:szCs w:val="20"/>
        </w:rPr>
        <w:sym w:font="Wingdings 2" w:char="F0D0"/>
      </w:r>
      <w:r w:rsidRPr="00C806D0">
        <w:rPr>
          <w:color w:val="808080" w:themeColor="background1" w:themeShade="80"/>
          <w:sz w:val="20"/>
          <w:szCs w:val="20"/>
        </w:rPr>
        <w:t xml:space="preserve">: </w:t>
      </w:r>
      <w:r w:rsidRPr="00C806D0">
        <w:rPr>
          <w:sz w:val="20"/>
          <w:szCs w:val="20"/>
        </w:rPr>
        <w:t xml:space="preserve">presented without major trauma, </w:t>
      </w:r>
      <w:r w:rsidRPr="00C806D0">
        <w:rPr>
          <w:sz w:val="20"/>
          <w:szCs w:val="20"/>
        </w:rPr>
        <w:sym w:font="Wingdings" w:char="F06E"/>
      </w:r>
      <w:r w:rsidRPr="00C806D0">
        <w:rPr>
          <w:sz w:val="20"/>
          <w:szCs w:val="20"/>
        </w:rPr>
        <w:t xml:space="preserve">:presented with major trauma </w:t>
      </w:r>
      <w:r w:rsidRPr="00C806D0">
        <w:rPr>
          <w:sz w:val="20"/>
          <w:szCs w:val="20"/>
        </w:rPr>
        <w:sym w:font="Wingdings 3" w:char="F081"/>
      </w:r>
      <w:r w:rsidRPr="00C806D0">
        <w:rPr>
          <w:sz w:val="20"/>
          <w:szCs w:val="20"/>
        </w:rPr>
        <w:t xml:space="preserve">:All patients) and basic GOS category (D:dead, VS: Vegetative state, SD: Severe disability, MD: Moderate disability, GR: Good recovery) . Error bars report 95% confidence interval for predicted mean. Note, no patients in vegetative state observed within the subgroup without major trauma. </w:t>
      </w:r>
    </w:p>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1A19D4" w:rsidRPr="00C806D0" w:rsidRDefault="001A19D4" w:rsidP="001A19D4"/>
    <w:p w:rsidR="004442E4" w:rsidRPr="00C806D0" w:rsidRDefault="004442E4" w:rsidP="002A360F">
      <w:pPr>
        <w:pStyle w:val="Heading3"/>
      </w:pPr>
      <w:r w:rsidRPr="00C806D0">
        <w:lastRenderedPageBreak/>
        <w:t>Mean EQ5D values for basic GOS categories based on non-UK preference tariffs</w:t>
      </w:r>
    </w:p>
    <w:p w:rsidR="004442E4" w:rsidRPr="00C806D0" w:rsidRDefault="004442E4" w:rsidP="004442E4">
      <w:pPr>
        <w:rPr>
          <w:b/>
        </w:rPr>
      </w:pPr>
      <w:r w:rsidRPr="00C806D0">
        <w:rPr>
          <w:b/>
        </w:rPr>
        <w:t>Table F18. Mean EQ5D values for basic GOS categories using a range of international preference tariffs</w:t>
      </w:r>
    </w:p>
    <w:tbl>
      <w:tblPr>
        <w:tblStyle w:val="LightShading1"/>
        <w:tblW w:w="5000" w:type="pct"/>
        <w:jc w:val="center"/>
        <w:tblLook w:val="0620" w:firstRow="1" w:lastRow="0" w:firstColumn="0" w:lastColumn="0" w:noHBand="1" w:noVBand="1"/>
      </w:tblPr>
      <w:tblGrid>
        <w:gridCol w:w="2243"/>
        <w:gridCol w:w="1339"/>
        <w:gridCol w:w="1142"/>
        <w:gridCol w:w="1280"/>
        <w:gridCol w:w="1500"/>
        <w:gridCol w:w="1216"/>
      </w:tblGrid>
      <w:tr w:rsidR="004442E4" w:rsidRPr="00C806D0" w:rsidTr="00295AB8">
        <w:trPr>
          <w:cnfStyle w:val="100000000000" w:firstRow="1" w:lastRow="0" w:firstColumn="0" w:lastColumn="0" w:oddVBand="0" w:evenVBand="0" w:oddHBand="0" w:evenHBand="0" w:firstRowFirstColumn="0" w:firstRowLastColumn="0" w:lastRowFirstColumn="0" w:lastRowLastColumn="0"/>
          <w:jc w:val="center"/>
        </w:trPr>
        <w:tc>
          <w:tcPr>
            <w:tcW w:w="1286" w:type="pct"/>
            <w:tcBorders>
              <w:bottom w:val="single" w:sz="4" w:space="0" w:color="auto"/>
            </w:tcBorders>
          </w:tcPr>
          <w:p w:rsidR="004442E4" w:rsidRPr="00C806D0" w:rsidRDefault="004442E4" w:rsidP="004442E4">
            <w:pPr>
              <w:pStyle w:val="NoSpacing"/>
              <w:jc w:val="center"/>
              <w:rPr>
                <w:rFonts w:ascii="Calibri" w:hAnsi="Calibri"/>
                <w:sz w:val="20"/>
                <w:szCs w:val="20"/>
              </w:rPr>
            </w:pPr>
          </w:p>
        </w:tc>
        <w:tc>
          <w:tcPr>
            <w:tcW w:w="3714" w:type="pct"/>
            <w:gridSpan w:val="5"/>
            <w:tcBorders>
              <w:bottom w:val="single" w:sz="4" w:space="0" w:color="auto"/>
            </w:tcBorders>
          </w:tcPr>
          <w:p w:rsidR="004442E4" w:rsidRPr="00C806D0" w:rsidRDefault="004442E4" w:rsidP="004442E4">
            <w:pPr>
              <w:pStyle w:val="NoSpacing"/>
              <w:jc w:val="center"/>
              <w:rPr>
                <w:rFonts w:ascii="Calibri" w:hAnsi="Calibri"/>
                <w:sz w:val="20"/>
                <w:szCs w:val="20"/>
              </w:rPr>
            </w:pPr>
            <w:r w:rsidRPr="00C806D0">
              <w:rPr>
                <w:rFonts w:ascii="Calibri" w:hAnsi="Calibri"/>
                <w:sz w:val="20"/>
                <w:szCs w:val="20"/>
              </w:rPr>
              <w:t>Glasgow Outcome Scale category: Mean (sd)</w:t>
            </w:r>
          </w:p>
          <w:p w:rsidR="004442E4" w:rsidRPr="00C806D0" w:rsidRDefault="004442E4" w:rsidP="004442E4">
            <w:pPr>
              <w:pStyle w:val="NoSpacing"/>
              <w:jc w:val="center"/>
              <w:rPr>
                <w:rFonts w:ascii="Calibri" w:hAnsi="Calibri"/>
                <w:sz w:val="20"/>
                <w:szCs w:val="20"/>
              </w:rPr>
            </w:pPr>
          </w:p>
        </w:tc>
      </w:tr>
      <w:tr w:rsidR="004442E4" w:rsidRPr="00C806D0" w:rsidTr="00295AB8">
        <w:trPr>
          <w:jc w:val="center"/>
        </w:trPr>
        <w:tc>
          <w:tcPr>
            <w:tcW w:w="1286"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20"/>
                <w:szCs w:val="20"/>
              </w:rPr>
            </w:pPr>
          </w:p>
        </w:tc>
        <w:tc>
          <w:tcPr>
            <w:tcW w:w="768"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20"/>
                <w:szCs w:val="20"/>
              </w:rPr>
            </w:pPr>
            <w:r w:rsidRPr="00C806D0">
              <w:rPr>
                <w:rFonts w:ascii="Calibri" w:hAnsi="Calibri"/>
                <w:b/>
                <w:sz w:val="20"/>
                <w:szCs w:val="20"/>
              </w:rPr>
              <w:t>GOS 1:</w:t>
            </w:r>
          </w:p>
          <w:p w:rsidR="004442E4" w:rsidRPr="00C806D0" w:rsidRDefault="004442E4" w:rsidP="004442E4">
            <w:pPr>
              <w:pStyle w:val="NoSpacing"/>
              <w:jc w:val="center"/>
              <w:rPr>
                <w:rFonts w:ascii="Calibri" w:hAnsi="Calibri"/>
                <w:b/>
                <w:sz w:val="20"/>
                <w:szCs w:val="20"/>
              </w:rPr>
            </w:pPr>
            <w:r w:rsidRPr="00C806D0">
              <w:rPr>
                <w:rFonts w:ascii="Calibri" w:hAnsi="Calibri"/>
                <w:b/>
                <w:sz w:val="20"/>
                <w:szCs w:val="20"/>
              </w:rPr>
              <w:t>Death</w:t>
            </w:r>
          </w:p>
        </w:tc>
        <w:tc>
          <w:tcPr>
            <w:tcW w:w="655"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20"/>
                <w:szCs w:val="20"/>
              </w:rPr>
            </w:pPr>
            <w:r w:rsidRPr="00C806D0">
              <w:rPr>
                <w:rFonts w:ascii="Calibri" w:hAnsi="Calibri"/>
                <w:b/>
                <w:sz w:val="20"/>
                <w:szCs w:val="20"/>
              </w:rPr>
              <w:t>GOS 2:</w:t>
            </w:r>
          </w:p>
          <w:p w:rsidR="004442E4" w:rsidRPr="00C806D0" w:rsidRDefault="004442E4" w:rsidP="004442E4">
            <w:pPr>
              <w:pStyle w:val="NoSpacing"/>
              <w:jc w:val="center"/>
              <w:rPr>
                <w:rFonts w:ascii="Calibri" w:hAnsi="Calibri"/>
                <w:b/>
                <w:sz w:val="20"/>
                <w:szCs w:val="20"/>
              </w:rPr>
            </w:pPr>
            <w:r w:rsidRPr="00C806D0">
              <w:rPr>
                <w:rFonts w:ascii="Calibri" w:hAnsi="Calibri"/>
                <w:b/>
                <w:sz w:val="20"/>
                <w:szCs w:val="20"/>
              </w:rPr>
              <w:t>Vegetative state</w:t>
            </w:r>
          </w:p>
        </w:tc>
        <w:tc>
          <w:tcPr>
            <w:tcW w:w="734"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20"/>
                <w:szCs w:val="20"/>
              </w:rPr>
            </w:pPr>
            <w:r w:rsidRPr="00C806D0">
              <w:rPr>
                <w:rFonts w:ascii="Calibri" w:hAnsi="Calibri"/>
                <w:b/>
                <w:sz w:val="20"/>
                <w:szCs w:val="20"/>
              </w:rPr>
              <w:t xml:space="preserve">GOS 3: </w:t>
            </w:r>
          </w:p>
          <w:p w:rsidR="004442E4" w:rsidRPr="00C806D0" w:rsidRDefault="004442E4" w:rsidP="004442E4">
            <w:pPr>
              <w:pStyle w:val="NoSpacing"/>
              <w:jc w:val="center"/>
              <w:rPr>
                <w:rFonts w:ascii="Calibri" w:hAnsi="Calibri"/>
                <w:b/>
                <w:sz w:val="20"/>
                <w:szCs w:val="20"/>
              </w:rPr>
            </w:pPr>
            <w:r w:rsidRPr="00C806D0">
              <w:rPr>
                <w:rFonts w:ascii="Calibri" w:hAnsi="Calibri"/>
                <w:b/>
                <w:sz w:val="20"/>
                <w:szCs w:val="20"/>
              </w:rPr>
              <w:t>Severe disability</w:t>
            </w:r>
          </w:p>
        </w:tc>
        <w:tc>
          <w:tcPr>
            <w:tcW w:w="860"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20"/>
                <w:szCs w:val="20"/>
              </w:rPr>
            </w:pPr>
            <w:r w:rsidRPr="00C806D0">
              <w:rPr>
                <w:rFonts w:ascii="Calibri" w:hAnsi="Calibri"/>
                <w:b/>
                <w:sz w:val="20"/>
                <w:szCs w:val="20"/>
              </w:rPr>
              <w:t>GOS 4:</w:t>
            </w:r>
          </w:p>
          <w:p w:rsidR="004442E4" w:rsidRPr="00C806D0" w:rsidRDefault="004442E4" w:rsidP="004442E4">
            <w:pPr>
              <w:pStyle w:val="NoSpacing"/>
              <w:jc w:val="center"/>
              <w:rPr>
                <w:rFonts w:ascii="Calibri" w:hAnsi="Calibri"/>
                <w:b/>
                <w:sz w:val="20"/>
                <w:szCs w:val="20"/>
              </w:rPr>
            </w:pPr>
            <w:r w:rsidRPr="00C806D0">
              <w:rPr>
                <w:rFonts w:ascii="Calibri" w:hAnsi="Calibri"/>
                <w:b/>
                <w:sz w:val="20"/>
                <w:szCs w:val="20"/>
              </w:rPr>
              <w:t>Moderate disability</w:t>
            </w:r>
          </w:p>
        </w:tc>
        <w:tc>
          <w:tcPr>
            <w:tcW w:w="698"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20"/>
                <w:szCs w:val="20"/>
              </w:rPr>
            </w:pPr>
            <w:r w:rsidRPr="00C806D0">
              <w:rPr>
                <w:rFonts w:ascii="Calibri" w:hAnsi="Calibri"/>
                <w:b/>
                <w:sz w:val="20"/>
                <w:szCs w:val="20"/>
              </w:rPr>
              <w:t>GOS 5:</w:t>
            </w:r>
          </w:p>
          <w:p w:rsidR="004442E4" w:rsidRPr="00C806D0" w:rsidRDefault="004442E4" w:rsidP="004442E4">
            <w:pPr>
              <w:pStyle w:val="NoSpacing"/>
              <w:jc w:val="center"/>
              <w:rPr>
                <w:rFonts w:ascii="Calibri" w:hAnsi="Calibri"/>
                <w:b/>
                <w:sz w:val="20"/>
                <w:szCs w:val="20"/>
              </w:rPr>
            </w:pPr>
            <w:r w:rsidRPr="00C806D0">
              <w:rPr>
                <w:rFonts w:ascii="Calibri" w:hAnsi="Calibri"/>
                <w:b/>
                <w:sz w:val="20"/>
                <w:szCs w:val="20"/>
              </w:rPr>
              <w:t>Good recovery</w:t>
            </w:r>
          </w:p>
        </w:tc>
      </w:tr>
      <w:tr w:rsidR="004442E4" w:rsidRPr="00C806D0" w:rsidTr="00295AB8">
        <w:trPr>
          <w:jc w:val="center"/>
        </w:trPr>
        <w:tc>
          <w:tcPr>
            <w:tcW w:w="1286" w:type="pct"/>
            <w:tcBorders>
              <w:top w:val="single" w:sz="4" w:space="0" w:color="auto"/>
              <w:bottom w:val="nil"/>
            </w:tcBorders>
          </w:tcPr>
          <w:p w:rsidR="004442E4" w:rsidRPr="00C806D0" w:rsidRDefault="004442E4" w:rsidP="004442E4">
            <w:pPr>
              <w:rPr>
                <w:rFonts w:ascii="Calibri" w:hAnsi="Calibri"/>
                <w:sz w:val="20"/>
                <w:szCs w:val="20"/>
              </w:rPr>
            </w:pPr>
            <w:r w:rsidRPr="00C806D0">
              <w:rPr>
                <w:rFonts w:ascii="Calibri" w:hAnsi="Calibri"/>
                <w:sz w:val="20"/>
                <w:szCs w:val="20"/>
              </w:rPr>
              <w:t>n=</w:t>
            </w:r>
          </w:p>
          <w:p w:rsidR="004442E4" w:rsidRPr="00C806D0" w:rsidRDefault="004442E4" w:rsidP="004442E4">
            <w:pPr>
              <w:rPr>
                <w:rFonts w:ascii="Calibri" w:hAnsi="Calibri"/>
                <w:sz w:val="20"/>
                <w:szCs w:val="20"/>
              </w:rPr>
            </w:pPr>
          </w:p>
        </w:tc>
        <w:tc>
          <w:tcPr>
            <w:tcW w:w="768"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w:t>
            </w:r>
          </w:p>
        </w:tc>
        <w:tc>
          <w:tcPr>
            <w:tcW w:w="655"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6</w:t>
            </w:r>
          </w:p>
        </w:tc>
        <w:tc>
          <w:tcPr>
            <w:tcW w:w="734"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900</w:t>
            </w:r>
          </w:p>
        </w:tc>
        <w:tc>
          <w:tcPr>
            <w:tcW w:w="860"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1,222</w:t>
            </w:r>
          </w:p>
        </w:tc>
        <w:tc>
          <w:tcPr>
            <w:tcW w:w="698"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1,309</w:t>
            </w:r>
          </w:p>
        </w:tc>
      </w:tr>
      <w:tr w:rsidR="004442E4" w:rsidRPr="00C806D0" w:rsidTr="00295AB8">
        <w:trPr>
          <w:jc w:val="center"/>
        </w:trPr>
        <w:tc>
          <w:tcPr>
            <w:tcW w:w="1286" w:type="pct"/>
            <w:tcBorders>
              <w:top w:val="nil"/>
              <w:bottom w:val="nil"/>
            </w:tcBorders>
          </w:tcPr>
          <w:p w:rsidR="004442E4" w:rsidRPr="00C806D0" w:rsidRDefault="004442E4" w:rsidP="004442E4">
            <w:pPr>
              <w:rPr>
                <w:rFonts w:ascii="Calibri" w:hAnsi="Calibri"/>
                <w:sz w:val="20"/>
                <w:szCs w:val="20"/>
              </w:rPr>
            </w:pPr>
            <w:r w:rsidRPr="00C806D0">
              <w:rPr>
                <w:rFonts w:ascii="Calibri" w:hAnsi="Calibri"/>
                <w:sz w:val="20"/>
                <w:szCs w:val="20"/>
              </w:rPr>
              <w:t>United Kingdom</w:t>
            </w:r>
          </w:p>
        </w:tc>
        <w:tc>
          <w:tcPr>
            <w:tcW w:w="768"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0</w:t>
            </w:r>
          </w:p>
          <w:p w:rsidR="004442E4" w:rsidRPr="00C806D0" w:rsidRDefault="004442E4" w:rsidP="004442E4">
            <w:pPr>
              <w:jc w:val="center"/>
              <w:rPr>
                <w:rFonts w:ascii="Calibri" w:hAnsi="Calibri"/>
                <w:sz w:val="20"/>
                <w:szCs w:val="20"/>
              </w:rPr>
            </w:pPr>
            <w:r w:rsidRPr="00C806D0">
              <w:rPr>
                <w:rFonts w:ascii="Calibri" w:hAnsi="Calibri"/>
                <w:sz w:val="20"/>
                <w:szCs w:val="20"/>
              </w:rPr>
              <w:t xml:space="preserve"> (-)</w:t>
            </w:r>
          </w:p>
          <w:p w:rsidR="004442E4" w:rsidRPr="00C806D0" w:rsidRDefault="004442E4" w:rsidP="004442E4">
            <w:pPr>
              <w:jc w:val="center"/>
              <w:rPr>
                <w:rFonts w:ascii="Calibri" w:hAnsi="Calibri"/>
                <w:sz w:val="20"/>
                <w:szCs w:val="20"/>
              </w:rPr>
            </w:pPr>
          </w:p>
        </w:tc>
        <w:tc>
          <w:tcPr>
            <w:tcW w:w="655"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-0.178 (0.19)</w:t>
            </w:r>
          </w:p>
        </w:tc>
        <w:tc>
          <w:tcPr>
            <w:tcW w:w="734"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 xml:space="preserve">0.382 </w:t>
            </w:r>
          </w:p>
          <w:p w:rsidR="004442E4" w:rsidRPr="00C806D0" w:rsidRDefault="004442E4" w:rsidP="004442E4">
            <w:pPr>
              <w:jc w:val="center"/>
              <w:rPr>
                <w:rFonts w:ascii="Calibri" w:hAnsi="Calibri"/>
                <w:sz w:val="20"/>
                <w:szCs w:val="20"/>
              </w:rPr>
            </w:pPr>
            <w:r w:rsidRPr="00C806D0">
              <w:rPr>
                <w:rFonts w:ascii="Calibri" w:hAnsi="Calibri"/>
                <w:sz w:val="20"/>
                <w:szCs w:val="20"/>
              </w:rPr>
              <w:t>(0.35)</w:t>
            </w:r>
          </w:p>
        </w:tc>
        <w:tc>
          <w:tcPr>
            <w:tcW w:w="860"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 xml:space="preserve">0.675 </w:t>
            </w:r>
          </w:p>
          <w:p w:rsidR="004442E4" w:rsidRPr="00C806D0" w:rsidRDefault="004442E4" w:rsidP="004442E4">
            <w:pPr>
              <w:jc w:val="center"/>
              <w:rPr>
                <w:rFonts w:ascii="Calibri" w:hAnsi="Calibri"/>
                <w:sz w:val="20"/>
                <w:szCs w:val="20"/>
              </w:rPr>
            </w:pPr>
            <w:r w:rsidRPr="00C806D0">
              <w:rPr>
                <w:rFonts w:ascii="Calibri" w:hAnsi="Calibri"/>
                <w:sz w:val="20"/>
                <w:szCs w:val="20"/>
              </w:rPr>
              <w:t>(0.27)</w:t>
            </w:r>
          </w:p>
        </w:tc>
        <w:tc>
          <w:tcPr>
            <w:tcW w:w="698"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 xml:space="preserve">0.894 </w:t>
            </w:r>
          </w:p>
          <w:p w:rsidR="004442E4" w:rsidRPr="00C806D0" w:rsidRDefault="004442E4" w:rsidP="004442E4">
            <w:pPr>
              <w:jc w:val="center"/>
              <w:rPr>
                <w:rFonts w:ascii="Calibri" w:hAnsi="Calibri"/>
                <w:sz w:val="20"/>
                <w:szCs w:val="20"/>
              </w:rPr>
            </w:pPr>
            <w:r w:rsidRPr="00C806D0">
              <w:rPr>
                <w:rFonts w:ascii="Calibri" w:hAnsi="Calibri"/>
                <w:sz w:val="20"/>
                <w:szCs w:val="20"/>
              </w:rPr>
              <w:t>(0.16)</w:t>
            </w:r>
          </w:p>
        </w:tc>
      </w:tr>
      <w:tr w:rsidR="004442E4" w:rsidRPr="00C806D0" w:rsidTr="00295AB8">
        <w:trPr>
          <w:jc w:val="center"/>
        </w:trPr>
        <w:tc>
          <w:tcPr>
            <w:tcW w:w="1286" w:type="pct"/>
            <w:tcBorders>
              <w:top w:val="nil"/>
            </w:tcBorders>
          </w:tcPr>
          <w:p w:rsidR="004442E4" w:rsidRPr="00C806D0" w:rsidRDefault="004442E4" w:rsidP="004442E4">
            <w:pPr>
              <w:pStyle w:val="NoSpacing"/>
              <w:rPr>
                <w:sz w:val="20"/>
                <w:szCs w:val="20"/>
              </w:rPr>
            </w:pPr>
            <w:r w:rsidRPr="00C806D0">
              <w:rPr>
                <w:sz w:val="20"/>
                <w:szCs w:val="20"/>
              </w:rPr>
              <w:t>Denmark</w:t>
            </w:r>
          </w:p>
          <w:p w:rsidR="004442E4" w:rsidRPr="00C806D0" w:rsidRDefault="004442E4" w:rsidP="004442E4">
            <w:pPr>
              <w:pStyle w:val="NoSpacing"/>
              <w:rPr>
                <w:sz w:val="20"/>
                <w:szCs w:val="20"/>
              </w:rPr>
            </w:pPr>
          </w:p>
          <w:p w:rsidR="004442E4" w:rsidRPr="00C806D0" w:rsidRDefault="004442E4" w:rsidP="004442E4">
            <w:pPr>
              <w:pStyle w:val="NoSpacing"/>
              <w:rPr>
                <w:sz w:val="20"/>
                <w:szCs w:val="20"/>
              </w:rPr>
            </w:pPr>
          </w:p>
        </w:tc>
        <w:tc>
          <w:tcPr>
            <w:tcW w:w="768" w:type="pct"/>
            <w:tcBorders>
              <w:top w:val="nil"/>
            </w:tcBorders>
          </w:tcPr>
          <w:p w:rsidR="004442E4" w:rsidRPr="00C806D0" w:rsidRDefault="004442E4" w:rsidP="004442E4">
            <w:pPr>
              <w:jc w:val="center"/>
              <w:rPr>
                <w:sz w:val="20"/>
                <w:szCs w:val="20"/>
              </w:rPr>
            </w:pPr>
            <w:r w:rsidRPr="00C806D0">
              <w:rPr>
                <w:sz w:val="20"/>
                <w:szCs w:val="20"/>
              </w:rPr>
              <w:t>0</w:t>
            </w:r>
          </w:p>
          <w:p w:rsidR="004442E4" w:rsidRPr="00C806D0" w:rsidRDefault="004442E4" w:rsidP="004442E4">
            <w:pPr>
              <w:jc w:val="center"/>
              <w:rPr>
                <w:sz w:val="20"/>
                <w:szCs w:val="20"/>
              </w:rPr>
            </w:pPr>
            <w:r w:rsidRPr="00C806D0">
              <w:rPr>
                <w:sz w:val="20"/>
                <w:szCs w:val="20"/>
              </w:rPr>
              <w:t xml:space="preserve"> (-)</w:t>
            </w:r>
          </w:p>
          <w:p w:rsidR="004442E4" w:rsidRPr="00C806D0" w:rsidRDefault="004442E4" w:rsidP="004442E4">
            <w:pPr>
              <w:jc w:val="center"/>
              <w:rPr>
                <w:sz w:val="20"/>
                <w:szCs w:val="20"/>
              </w:rPr>
            </w:pPr>
          </w:p>
        </w:tc>
        <w:tc>
          <w:tcPr>
            <w:tcW w:w="655" w:type="pct"/>
            <w:tcBorders>
              <w:top w:val="nil"/>
            </w:tcBorders>
          </w:tcPr>
          <w:p w:rsidR="004442E4" w:rsidRPr="00C806D0" w:rsidRDefault="004442E4" w:rsidP="004442E4">
            <w:pPr>
              <w:jc w:val="center"/>
              <w:rPr>
                <w:sz w:val="20"/>
                <w:szCs w:val="20"/>
              </w:rPr>
            </w:pPr>
            <w:r w:rsidRPr="00C806D0">
              <w:rPr>
                <w:sz w:val="20"/>
                <w:szCs w:val="20"/>
              </w:rPr>
              <w:t>-0.478</w:t>
            </w:r>
          </w:p>
          <w:p w:rsidR="004442E4" w:rsidRPr="00C806D0" w:rsidRDefault="004442E4" w:rsidP="004442E4">
            <w:pPr>
              <w:jc w:val="center"/>
              <w:rPr>
                <w:sz w:val="20"/>
                <w:szCs w:val="20"/>
              </w:rPr>
            </w:pPr>
            <w:r w:rsidRPr="00C806D0">
              <w:rPr>
                <w:sz w:val="20"/>
                <w:szCs w:val="20"/>
              </w:rPr>
              <w:t>(0.20)</w:t>
            </w:r>
          </w:p>
        </w:tc>
        <w:tc>
          <w:tcPr>
            <w:tcW w:w="734" w:type="pct"/>
            <w:tcBorders>
              <w:top w:val="nil"/>
            </w:tcBorders>
          </w:tcPr>
          <w:p w:rsidR="004442E4" w:rsidRPr="00C806D0" w:rsidRDefault="004442E4" w:rsidP="004442E4">
            <w:pPr>
              <w:jc w:val="center"/>
              <w:rPr>
                <w:sz w:val="20"/>
                <w:szCs w:val="20"/>
              </w:rPr>
            </w:pPr>
            <w:r w:rsidRPr="00C806D0">
              <w:rPr>
                <w:sz w:val="20"/>
                <w:szCs w:val="20"/>
              </w:rPr>
              <w:t>0.489</w:t>
            </w:r>
          </w:p>
          <w:p w:rsidR="004442E4" w:rsidRPr="00C806D0" w:rsidRDefault="004442E4" w:rsidP="004442E4">
            <w:pPr>
              <w:jc w:val="center"/>
              <w:rPr>
                <w:sz w:val="20"/>
                <w:szCs w:val="20"/>
              </w:rPr>
            </w:pPr>
            <w:r w:rsidRPr="00C806D0">
              <w:rPr>
                <w:sz w:val="20"/>
                <w:szCs w:val="20"/>
              </w:rPr>
              <w:t>(0.29)</w:t>
            </w:r>
          </w:p>
        </w:tc>
        <w:tc>
          <w:tcPr>
            <w:tcW w:w="860" w:type="pct"/>
            <w:tcBorders>
              <w:top w:val="nil"/>
            </w:tcBorders>
          </w:tcPr>
          <w:p w:rsidR="004442E4" w:rsidRPr="00C806D0" w:rsidRDefault="004442E4" w:rsidP="004442E4">
            <w:pPr>
              <w:jc w:val="center"/>
              <w:rPr>
                <w:sz w:val="20"/>
                <w:szCs w:val="20"/>
              </w:rPr>
            </w:pPr>
            <w:r w:rsidRPr="00C806D0">
              <w:rPr>
                <w:sz w:val="20"/>
                <w:szCs w:val="20"/>
              </w:rPr>
              <w:t>0.711</w:t>
            </w:r>
          </w:p>
          <w:p w:rsidR="004442E4" w:rsidRPr="00C806D0" w:rsidRDefault="004442E4" w:rsidP="004442E4">
            <w:pPr>
              <w:jc w:val="center"/>
              <w:rPr>
                <w:sz w:val="20"/>
                <w:szCs w:val="20"/>
              </w:rPr>
            </w:pPr>
            <w:r w:rsidRPr="00C806D0">
              <w:rPr>
                <w:sz w:val="20"/>
                <w:szCs w:val="20"/>
              </w:rPr>
              <w:t>(0.20)</w:t>
            </w:r>
          </w:p>
        </w:tc>
        <w:tc>
          <w:tcPr>
            <w:tcW w:w="698" w:type="pct"/>
            <w:tcBorders>
              <w:top w:val="nil"/>
            </w:tcBorders>
          </w:tcPr>
          <w:p w:rsidR="004442E4" w:rsidRPr="00C806D0" w:rsidRDefault="004442E4" w:rsidP="004442E4">
            <w:pPr>
              <w:jc w:val="center"/>
              <w:rPr>
                <w:sz w:val="20"/>
                <w:szCs w:val="20"/>
              </w:rPr>
            </w:pPr>
            <w:r w:rsidRPr="00C806D0">
              <w:rPr>
                <w:sz w:val="20"/>
                <w:szCs w:val="20"/>
              </w:rPr>
              <w:t>0.900</w:t>
            </w:r>
          </w:p>
          <w:p w:rsidR="004442E4" w:rsidRPr="00C806D0" w:rsidRDefault="004442E4" w:rsidP="004442E4">
            <w:pPr>
              <w:jc w:val="center"/>
              <w:rPr>
                <w:sz w:val="20"/>
                <w:szCs w:val="20"/>
              </w:rPr>
            </w:pPr>
            <w:r w:rsidRPr="00C806D0">
              <w:rPr>
                <w:sz w:val="20"/>
                <w:szCs w:val="20"/>
              </w:rPr>
              <w:t>(0.14)</w:t>
            </w:r>
          </w:p>
        </w:tc>
      </w:tr>
      <w:tr w:rsidR="004442E4" w:rsidRPr="00C806D0" w:rsidTr="00295AB8">
        <w:trPr>
          <w:jc w:val="center"/>
        </w:trPr>
        <w:tc>
          <w:tcPr>
            <w:tcW w:w="1286" w:type="pct"/>
          </w:tcPr>
          <w:p w:rsidR="004442E4" w:rsidRPr="00C806D0" w:rsidRDefault="004442E4" w:rsidP="004442E4">
            <w:pPr>
              <w:rPr>
                <w:sz w:val="20"/>
                <w:szCs w:val="20"/>
              </w:rPr>
            </w:pPr>
            <w:r w:rsidRPr="00C806D0">
              <w:rPr>
                <w:sz w:val="20"/>
                <w:szCs w:val="20"/>
              </w:rPr>
              <w:t>Germany</w:t>
            </w:r>
          </w:p>
        </w:tc>
        <w:tc>
          <w:tcPr>
            <w:tcW w:w="768" w:type="pct"/>
          </w:tcPr>
          <w:p w:rsidR="004442E4" w:rsidRPr="00C806D0" w:rsidRDefault="004442E4" w:rsidP="004442E4">
            <w:pPr>
              <w:jc w:val="center"/>
              <w:rPr>
                <w:sz w:val="20"/>
                <w:szCs w:val="20"/>
              </w:rPr>
            </w:pPr>
            <w:r w:rsidRPr="00C806D0">
              <w:rPr>
                <w:sz w:val="20"/>
                <w:szCs w:val="20"/>
              </w:rPr>
              <w:t>0</w:t>
            </w:r>
          </w:p>
          <w:p w:rsidR="004442E4" w:rsidRPr="00C806D0" w:rsidRDefault="004442E4" w:rsidP="004442E4">
            <w:pPr>
              <w:jc w:val="center"/>
              <w:rPr>
                <w:sz w:val="20"/>
                <w:szCs w:val="20"/>
              </w:rPr>
            </w:pPr>
            <w:r w:rsidRPr="00C806D0">
              <w:rPr>
                <w:sz w:val="20"/>
                <w:szCs w:val="20"/>
              </w:rPr>
              <w:t xml:space="preserve"> (-)</w:t>
            </w:r>
          </w:p>
          <w:p w:rsidR="004442E4" w:rsidRPr="00C806D0" w:rsidRDefault="004442E4" w:rsidP="004442E4">
            <w:pPr>
              <w:jc w:val="center"/>
              <w:rPr>
                <w:sz w:val="20"/>
                <w:szCs w:val="20"/>
              </w:rPr>
            </w:pPr>
          </w:p>
        </w:tc>
        <w:tc>
          <w:tcPr>
            <w:tcW w:w="655" w:type="pct"/>
          </w:tcPr>
          <w:p w:rsidR="004442E4" w:rsidRPr="00C806D0" w:rsidRDefault="004442E4" w:rsidP="004442E4">
            <w:pPr>
              <w:jc w:val="center"/>
              <w:rPr>
                <w:sz w:val="20"/>
                <w:szCs w:val="20"/>
              </w:rPr>
            </w:pPr>
            <w:r w:rsidRPr="00C806D0">
              <w:rPr>
                <w:sz w:val="20"/>
                <w:szCs w:val="20"/>
              </w:rPr>
              <w:t>0.327</w:t>
            </w:r>
          </w:p>
          <w:p w:rsidR="004442E4" w:rsidRPr="00C806D0" w:rsidRDefault="004442E4" w:rsidP="004442E4">
            <w:pPr>
              <w:jc w:val="center"/>
              <w:rPr>
                <w:sz w:val="20"/>
                <w:szCs w:val="20"/>
              </w:rPr>
            </w:pPr>
            <w:r w:rsidRPr="00C806D0">
              <w:rPr>
                <w:sz w:val="20"/>
                <w:szCs w:val="20"/>
              </w:rPr>
              <w:t>(0.14)</w:t>
            </w:r>
          </w:p>
        </w:tc>
        <w:tc>
          <w:tcPr>
            <w:tcW w:w="734" w:type="pct"/>
          </w:tcPr>
          <w:p w:rsidR="004442E4" w:rsidRPr="00C806D0" w:rsidRDefault="004442E4" w:rsidP="004442E4">
            <w:pPr>
              <w:jc w:val="center"/>
              <w:rPr>
                <w:sz w:val="20"/>
                <w:szCs w:val="20"/>
              </w:rPr>
            </w:pPr>
            <w:r w:rsidRPr="00C806D0">
              <w:rPr>
                <w:sz w:val="20"/>
                <w:szCs w:val="20"/>
              </w:rPr>
              <w:t>0.555</w:t>
            </w:r>
          </w:p>
          <w:p w:rsidR="004442E4" w:rsidRPr="00C806D0" w:rsidRDefault="004442E4" w:rsidP="004442E4">
            <w:pPr>
              <w:jc w:val="center"/>
              <w:rPr>
                <w:sz w:val="20"/>
                <w:szCs w:val="20"/>
              </w:rPr>
            </w:pPr>
            <w:r w:rsidRPr="00C806D0">
              <w:rPr>
                <w:sz w:val="20"/>
                <w:szCs w:val="20"/>
              </w:rPr>
              <w:t>(0.30)</w:t>
            </w:r>
          </w:p>
        </w:tc>
        <w:tc>
          <w:tcPr>
            <w:tcW w:w="860" w:type="pct"/>
          </w:tcPr>
          <w:p w:rsidR="004442E4" w:rsidRPr="00C806D0" w:rsidRDefault="004442E4" w:rsidP="004442E4">
            <w:pPr>
              <w:jc w:val="center"/>
              <w:rPr>
                <w:sz w:val="20"/>
                <w:szCs w:val="20"/>
              </w:rPr>
            </w:pPr>
            <w:r w:rsidRPr="00C806D0">
              <w:rPr>
                <w:sz w:val="20"/>
                <w:szCs w:val="20"/>
              </w:rPr>
              <w:t>0.811</w:t>
            </w:r>
          </w:p>
          <w:p w:rsidR="004442E4" w:rsidRPr="00C806D0" w:rsidRDefault="004442E4" w:rsidP="004442E4">
            <w:pPr>
              <w:jc w:val="center"/>
              <w:rPr>
                <w:sz w:val="20"/>
                <w:szCs w:val="20"/>
              </w:rPr>
            </w:pPr>
            <w:r w:rsidRPr="00C806D0">
              <w:rPr>
                <w:sz w:val="20"/>
                <w:szCs w:val="20"/>
              </w:rPr>
              <w:t>(0.22)</w:t>
            </w:r>
          </w:p>
        </w:tc>
        <w:tc>
          <w:tcPr>
            <w:tcW w:w="698" w:type="pct"/>
          </w:tcPr>
          <w:p w:rsidR="004442E4" w:rsidRPr="00C806D0" w:rsidRDefault="004442E4" w:rsidP="004442E4">
            <w:pPr>
              <w:jc w:val="center"/>
              <w:rPr>
                <w:sz w:val="20"/>
                <w:szCs w:val="20"/>
              </w:rPr>
            </w:pPr>
            <w:r w:rsidRPr="00C806D0">
              <w:rPr>
                <w:sz w:val="20"/>
                <w:szCs w:val="20"/>
              </w:rPr>
              <w:t>0.946</w:t>
            </w:r>
          </w:p>
          <w:p w:rsidR="004442E4" w:rsidRPr="00C806D0" w:rsidRDefault="004442E4" w:rsidP="004442E4">
            <w:pPr>
              <w:jc w:val="center"/>
              <w:rPr>
                <w:sz w:val="20"/>
                <w:szCs w:val="20"/>
              </w:rPr>
            </w:pPr>
            <w:r w:rsidRPr="00C806D0">
              <w:rPr>
                <w:sz w:val="20"/>
                <w:szCs w:val="20"/>
              </w:rPr>
              <w:t>(0.11)</w:t>
            </w:r>
          </w:p>
        </w:tc>
      </w:tr>
      <w:tr w:rsidR="004442E4" w:rsidRPr="00C806D0" w:rsidTr="00295AB8">
        <w:trPr>
          <w:jc w:val="center"/>
        </w:trPr>
        <w:tc>
          <w:tcPr>
            <w:tcW w:w="1286" w:type="pct"/>
          </w:tcPr>
          <w:p w:rsidR="004442E4" w:rsidRPr="00C806D0" w:rsidRDefault="004442E4" w:rsidP="004442E4">
            <w:pPr>
              <w:rPr>
                <w:sz w:val="20"/>
                <w:szCs w:val="20"/>
              </w:rPr>
            </w:pPr>
            <w:r w:rsidRPr="00C806D0">
              <w:rPr>
                <w:sz w:val="20"/>
                <w:szCs w:val="20"/>
              </w:rPr>
              <w:t>Netherlands</w:t>
            </w:r>
          </w:p>
          <w:p w:rsidR="004442E4" w:rsidRPr="00C806D0" w:rsidRDefault="004442E4" w:rsidP="004442E4">
            <w:pPr>
              <w:rPr>
                <w:sz w:val="20"/>
                <w:szCs w:val="20"/>
              </w:rPr>
            </w:pPr>
          </w:p>
        </w:tc>
        <w:tc>
          <w:tcPr>
            <w:tcW w:w="768" w:type="pct"/>
          </w:tcPr>
          <w:p w:rsidR="004442E4" w:rsidRPr="00C806D0" w:rsidRDefault="004442E4" w:rsidP="004442E4">
            <w:pPr>
              <w:jc w:val="center"/>
              <w:rPr>
                <w:sz w:val="20"/>
                <w:szCs w:val="20"/>
              </w:rPr>
            </w:pPr>
            <w:r w:rsidRPr="00C806D0">
              <w:rPr>
                <w:sz w:val="20"/>
                <w:szCs w:val="20"/>
              </w:rPr>
              <w:t xml:space="preserve">0 </w:t>
            </w:r>
          </w:p>
          <w:p w:rsidR="004442E4" w:rsidRPr="00C806D0" w:rsidRDefault="004442E4" w:rsidP="004442E4">
            <w:pPr>
              <w:jc w:val="center"/>
              <w:rPr>
                <w:sz w:val="20"/>
                <w:szCs w:val="20"/>
              </w:rPr>
            </w:pPr>
            <w:r w:rsidRPr="00C806D0">
              <w:rPr>
                <w:sz w:val="20"/>
                <w:szCs w:val="20"/>
              </w:rPr>
              <w:t>(-)</w:t>
            </w:r>
          </w:p>
          <w:p w:rsidR="004442E4" w:rsidRPr="00C806D0" w:rsidRDefault="004442E4" w:rsidP="004442E4">
            <w:pPr>
              <w:jc w:val="center"/>
              <w:rPr>
                <w:sz w:val="20"/>
                <w:szCs w:val="20"/>
              </w:rPr>
            </w:pPr>
          </w:p>
        </w:tc>
        <w:tc>
          <w:tcPr>
            <w:tcW w:w="655" w:type="pct"/>
          </w:tcPr>
          <w:p w:rsidR="004442E4" w:rsidRPr="00C806D0" w:rsidRDefault="004442E4" w:rsidP="004442E4">
            <w:pPr>
              <w:jc w:val="center"/>
              <w:rPr>
                <w:sz w:val="20"/>
                <w:szCs w:val="20"/>
              </w:rPr>
            </w:pPr>
            <w:r w:rsidRPr="00C806D0">
              <w:rPr>
                <w:sz w:val="20"/>
                <w:szCs w:val="20"/>
              </w:rPr>
              <w:t>0.125</w:t>
            </w:r>
          </w:p>
          <w:p w:rsidR="004442E4" w:rsidRPr="00C806D0" w:rsidRDefault="004442E4" w:rsidP="004442E4">
            <w:pPr>
              <w:jc w:val="center"/>
              <w:rPr>
                <w:sz w:val="20"/>
                <w:szCs w:val="20"/>
              </w:rPr>
            </w:pPr>
            <w:r w:rsidRPr="00C806D0">
              <w:rPr>
                <w:sz w:val="20"/>
                <w:szCs w:val="20"/>
              </w:rPr>
              <w:t>(0.18)</w:t>
            </w:r>
          </w:p>
        </w:tc>
        <w:tc>
          <w:tcPr>
            <w:tcW w:w="734" w:type="pct"/>
          </w:tcPr>
          <w:p w:rsidR="004442E4" w:rsidRPr="00C806D0" w:rsidRDefault="004442E4" w:rsidP="004442E4">
            <w:pPr>
              <w:jc w:val="center"/>
              <w:rPr>
                <w:sz w:val="20"/>
                <w:szCs w:val="20"/>
              </w:rPr>
            </w:pPr>
            <w:r w:rsidRPr="00C806D0">
              <w:rPr>
                <w:sz w:val="20"/>
                <w:szCs w:val="20"/>
              </w:rPr>
              <w:t>0.471</w:t>
            </w:r>
          </w:p>
          <w:p w:rsidR="004442E4" w:rsidRPr="00C806D0" w:rsidRDefault="004442E4" w:rsidP="004442E4">
            <w:pPr>
              <w:jc w:val="center"/>
              <w:rPr>
                <w:sz w:val="20"/>
                <w:szCs w:val="20"/>
              </w:rPr>
            </w:pPr>
            <w:r w:rsidRPr="00C806D0">
              <w:rPr>
                <w:sz w:val="20"/>
                <w:szCs w:val="20"/>
              </w:rPr>
              <w:t>(0.29)</w:t>
            </w:r>
          </w:p>
        </w:tc>
        <w:tc>
          <w:tcPr>
            <w:tcW w:w="860" w:type="pct"/>
          </w:tcPr>
          <w:p w:rsidR="004442E4" w:rsidRPr="00C806D0" w:rsidRDefault="004442E4" w:rsidP="004442E4">
            <w:pPr>
              <w:jc w:val="center"/>
              <w:rPr>
                <w:sz w:val="20"/>
                <w:szCs w:val="20"/>
              </w:rPr>
            </w:pPr>
            <w:r w:rsidRPr="00C806D0">
              <w:rPr>
                <w:sz w:val="20"/>
                <w:szCs w:val="20"/>
              </w:rPr>
              <w:t>0.696</w:t>
            </w:r>
          </w:p>
          <w:p w:rsidR="004442E4" w:rsidRPr="00C806D0" w:rsidRDefault="004442E4" w:rsidP="004442E4">
            <w:pPr>
              <w:jc w:val="center"/>
              <w:rPr>
                <w:sz w:val="20"/>
                <w:szCs w:val="20"/>
              </w:rPr>
            </w:pPr>
            <w:r w:rsidRPr="00C806D0">
              <w:rPr>
                <w:sz w:val="20"/>
                <w:szCs w:val="20"/>
              </w:rPr>
              <w:t>(0.25)</w:t>
            </w:r>
          </w:p>
        </w:tc>
        <w:tc>
          <w:tcPr>
            <w:tcW w:w="698" w:type="pct"/>
          </w:tcPr>
          <w:p w:rsidR="004442E4" w:rsidRPr="00C806D0" w:rsidRDefault="004442E4" w:rsidP="004442E4">
            <w:pPr>
              <w:jc w:val="center"/>
              <w:rPr>
                <w:sz w:val="20"/>
                <w:szCs w:val="20"/>
              </w:rPr>
            </w:pPr>
            <w:r w:rsidRPr="00C806D0">
              <w:rPr>
                <w:sz w:val="20"/>
                <w:szCs w:val="20"/>
              </w:rPr>
              <w:t>0.905</w:t>
            </w:r>
          </w:p>
          <w:p w:rsidR="004442E4" w:rsidRPr="00C806D0" w:rsidRDefault="004442E4" w:rsidP="004442E4">
            <w:pPr>
              <w:jc w:val="center"/>
              <w:rPr>
                <w:sz w:val="20"/>
                <w:szCs w:val="20"/>
              </w:rPr>
            </w:pPr>
            <w:r w:rsidRPr="00C806D0">
              <w:rPr>
                <w:sz w:val="20"/>
                <w:szCs w:val="20"/>
              </w:rPr>
              <w:t>(0.15)</w:t>
            </w:r>
          </w:p>
        </w:tc>
      </w:tr>
      <w:tr w:rsidR="004442E4" w:rsidRPr="00C806D0" w:rsidTr="00295AB8">
        <w:trPr>
          <w:jc w:val="center"/>
        </w:trPr>
        <w:tc>
          <w:tcPr>
            <w:tcW w:w="1286" w:type="pct"/>
          </w:tcPr>
          <w:p w:rsidR="004442E4" w:rsidRPr="00C806D0" w:rsidRDefault="004442E4" w:rsidP="004442E4">
            <w:pPr>
              <w:rPr>
                <w:sz w:val="20"/>
                <w:szCs w:val="20"/>
              </w:rPr>
            </w:pPr>
            <w:r w:rsidRPr="00C806D0">
              <w:rPr>
                <w:sz w:val="20"/>
                <w:szCs w:val="20"/>
              </w:rPr>
              <w:t>Spain</w:t>
            </w:r>
          </w:p>
          <w:p w:rsidR="004442E4" w:rsidRPr="00C806D0" w:rsidRDefault="004442E4" w:rsidP="004442E4">
            <w:pPr>
              <w:rPr>
                <w:sz w:val="20"/>
                <w:szCs w:val="20"/>
              </w:rPr>
            </w:pPr>
          </w:p>
        </w:tc>
        <w:tc>
          <w:tcPr>
            <w:tcW w:w="768" w:type="pct"/>
          </w:tcPr>
          <w:p w:rsidR="004442E4" w:rsidRPr="00C806D0" w:rsidRDefault="004442E4" w:rsidP="004442E4">
            <w:pPr>
              <w:jc w:val="center"/>
              <w:rPr>
                <w:sz w:val="20"/>
                <w:szCs w:val="20"/>
              </w:rPr>
            </w:pPr>
            <w:r w:rsidRPr="00C806D0">
              <w:rPr>
                <w:sz w:val="20"/>
                <w:szCs w:val="20"/>
              </w:rPr>
              <w:t xml:space="preserve">0 </w:t>
            </w:r>
          </w:p>
          <w:p w:rsidR="004442E4" w:rsidRPr="00C806D0" w:rsidRDefault="004442E4" w:rsidP="004442E4">
            <w:pPr>
              <w:jc w:val="center"/>
              <w:rPr>
                <w:sz w:val="20"/>
                <w:szCs w:val="20"/>
              </w:rPr>
            </w:pPr>
            <w:r w:rsidRPr="00C806D0">
              <w:rPr>
                <w:sz w:val="20"/>
                <w:szCs w:val="20"/>
              </w:rPr>
              <w:t>(-)</w:t>
            </w:r>
          </w:p>
          <w:p w:rsidR="004442E4" w:rsidRPr="00C806D0" w:rsidRDefault="004442E4" w:rsidP="004442E4">
            <w:pPr>
              <w:jc w:val="center"/>
              <w:rPr>
                <w:sz w:val="20"/>
                <w:szCs w:val="20"/>
              </w:rPr>
            </w:pPr>
          </w:p>
        </w:tc>
        <w:tc>
          <w:tcPr>
            <w:tcW w:w="655" w:type="pct"/>
          </w:tcPr>
          <w:p w:rsidR="004442E4" w:rsidRPr="00C806D0" w:rsidRDefault="004442E4" w:rsidP="004442E4">
            <w:pPr>
              <w:jc w:val="center"/>
              <w:rPr>
                <w:sz w:val="20"/>
                <w:szCs w:val="20"/>
              </w:rPr>
            </w:pPr>
            <w:r w:rsidRPr="00C806D0">
              <w:rPr>
                <w:sz w:val="20"/>
                <w:szCs w:val="20"/>
              </w:rPr>
              <w:t>-0.397</w:t>
            </w:r>
          </w:p>
          <w:p w:rsidR="004442E4" w:rsidRPr="00C806D0" w:rsidRDefault="004442E4" w:rsidP="004442E4">
            <w:pPr>
              <w:jc w:val="center"/>
              <w:rPr>
                <w:sz w:val="20"/>
                <w:szCs w:val="20"/>
              </w:rPr>
            </w:pPr>
            <w:r w:rsidRPr="00C806D0">
              <w:rPr>
                <w:sz w:val="20"/>
                <w:szCs w:val="20"/>
              </w:rPr>
              <w:t>(0.13)</w:t>
            </w:r>
          </w:p>
        </w:tc>
        <w:tc>
          <w:tcPr>
            <w:tcW w:w="734" w:type="pct"/>
          </w:tcPr>
          <w:p w:rsidR="004442E4" w:rsidRPr="00C806D0" w:rsidRDefault="004442E4" w:rsidP="004442E4">
            <w:pPr>
              <w:jc w:val="center"/>
              <w:rPr>
                <w:sz w:val="20"/>
                <w:szCs w:val="20"/>
              </w:rPr>
            </w:pPr>
            <w:r w:rsidRPr="00C806D0">
              <w:rPr>
                <w:sz w:val="20"/>
                <w:szCs w:val="20"/>
              </w:rPr>
              <w:t>0.350</w:t>
            </w:r>
          </w:p>
          <w:p w:rsidR="004442E4" w:rsidRPr="00C806D0" w:rsidRDefault="004442E4" w:rsidP="004442E4">
            <w:pPr>
              <w:jc w:val="center"/>
              <w:rPr>
                <w:sz w:val="20"/>
                <w:szCs w:val="20"/>
              </w:rPr>
            </w:pPr>
            <w:r w:rsidRPr="00C806D0">
              <w:rPr>
                <w:sz w:val="20"/>
                <w:szCs w:val="20"/>
              </w:rPr>
              <w:t>(0.39)</w:t>
            </w:r>
          </w:p>
        </w:tc>
        <w:tc>
          <w:tcPr>
            <w:tcW w:w="860" w:type="pct"/>
          </w:tcPr>
          <w:p w:rsidR="004442E4" w:rsidRPr="00C806D0" w:rsidRDefault="004442E4" w:rsidP="004442E4">
            <w:pPr>
              <w:jc w:val="center"/>
              <w:rPr>
                <w:sz w:val="20"/>
                <w:szCs w:val="20"/>
              </w:rPr>
            </w:pPr>
            <w:r w:rsidRPr="00C806D0">
              <w:rPr>
                <w:sz w:val="20"/>
                <w:szCs w:val="20"/>
              </w:rPr>
              <w:t>0.718</w:t>
            </w:r>
          </w:p>
          <w:p w:rsidR="004442E4" w:rsidRPr="00C806D0" w:rsidRDefault="004442E4" w:rsidP="004442E4">
            <w:pPr>
              <w:jc w:val="center"/>
              <w:rPr>
                <w:sz w:val="20"/>
                <w:szCs w:val="20"/>
              </w:rPr>
            </w:pPr>
            <w:r w:rsidRPr="00C806D0">
              <w:rPr>
                <w:sz w:val="20"/>
                <w:szCs w:val="20"/>
              </w:rPr>
              <w:t>(0.25)</w:t>
            </w:r>
          </w:p>
        </w:tc>
        <w:tc>
          <w:tcPr>
            <w:tcW w:w="698" w:type="pct"/>
          </w:tcPr>
          <w:p w:rsidR="004442E4" w:rsidRPr="00C806D0" w:rsidRDefault="004442E4" w:rsidP="004442E4">
            <w:pPr>
              <w:jc w:val="center"/>
              <w:rPr>
                <w:sz w:val="20"/>
                <w:szCs w:val="20"/>
              </w:rPr>
            </w:pPr>
            <w:r w:rsidRPr="00C806D0">
              <w:rPr>
                <w:sz w:val="20"/>
                <w:szCs w:val="20"/>
              </w:rPr>
              <w:t>0.917</w:t>
            </w:r>
          </w:p>
          <w:p w:rsidR="004442E4" w:rsidRPr="00C806D0" w:rsidRDefault="004442E4" w:rsidP="004442E4">
            <w:pPr>
              <w:jc w:val="center"/>
              <w:rPr>
                <w:sz w:val="20"/>
                <w:szCs w:val="20"/>
              </w:rPr>
            </w:pPr>
            <w:r w:rsidRPr="00C806D0">
              <w:rPr>
                <w:sz w:val="20"/>
                <w:szCs w:val="20"/>
              </w:rPr>
              <w:t>(0.14)</w:t>
            </w:r>
          </w:p>
        </w:tc>
      </w:tr>
      <w:tr w:rsidR="004442E4" w:rsidRPr="00C806D0" w:rsidTr="00295AB8">
        <w:trPr>
          <w:jc w:val="center"/>
        </w:trPr>
        <w:tc>
          <w:tcPr>
            <w:tcW w:w="1286" w:type="pct"/>
          </w:tcPr>
          <w:p w:rsidR="004442E4" w:rsidRPr="00C806D0" w:rsidRDefault="004442E4" w:rsidP="004442E4">
            <w:pPr>
              <w:rPr>
                <w:sz w:val="20"/>
                <w:szCs w:val="20"/>
              </w:rPr>
            </w:pPr>
            <w:r w:rsidRPr="00C806D0">
              <w:rPr>
                <w:sz w:val="20"/>
                <w:szCs w:val="20"/>
              </w:rPr>
              <w:t>Japan</w:t>
            </w:r>
          </w:p>
          <w:p w:rsidR="004442E4" w:rsidRPr="00C806D0" w:rsidRDefault="004442E4" w:rsidP="004442E4">
            <w:pPr>
              <w:rPr>
                <w:sz w:val="20"/>
                <w:szCs w:val="20"/>
              </w:rPr>
            </w:pPr>
          </w:p>
        </w:tc>
        <w:tc>
          <w:tcPr>
            <w:tcW w:w="768" w:type="pct"/>
          </w:tcPr>
          <w:p w:rsidR="004442E4" w:rsidRPr="00C806D0" w:rsidRDefault="004442E4" w:rsidP="004442E4">
            <w:pPr>
              <w:jc w:val="center"/>
              <w:rPr>
                <w:sz w:val="20"/>
                <w:szCs w:val="20"/>
              </w:rPr>
            </w:pPr>
            <w:r w:rsidRPr="00C806D0">
              <w:rPr>
                <w:sz w:val="20"/>
                <w:szCs w:val="20"/>
              </w:rPr>
              <w:t xml:space="preserve">0 </w:t>
            </w:r>
          </w:p>
          <w:p w:rsidR="004442E4" w:rsidRPr="00C806D0" w:rsidRDefault="004442E4" w:rsidP="004442E4">
            <w:pPr>
              <w:jc w:val="center"/>
              <w:rPr>
                <w:sz w:val="20"/>
                <w:szCs w:val="20"/>
              </w:rPr>
            </w:pPr>
            <w:r w:rsidRPr="00C806D0">
              <w:rPr>
                <w:sz w:val="20"/>
                <w:szCs w:val="20"/>
              </w:rPr>
              <w:t>(-)</w:t>
            </w:r>
          </w:p>
          <w:p w:rsidR="004442E4" w:rsidRPr="00C806D0" w:rsidRDefault="004442E4" w:rsidP="004442E4">
            <w:pPr>
              <w:jc w:val="center"/>
              <w:rPr>
                <w:sz w:val="20"/>
                <w:szCs w:val="20"/>
              </w:rPr>
            </w:pPr>
          </w:p>
        </w:tc>
        <w:tc>
          <w:tcPr>
            <w:tcW w:w="655" w:type="pct"/>
          </w:tcPr>
          <w:p w:rsidR="004442E4" w:rsidRPr="00C806D0" w:rsidRDefault="004442E4" w:rsidP="004442E4">
            <w:pPr>
              <w:jc w:val="center"/>
              <w:rPr>
                <w:sz w:val="20"/>
                <w:szCs w:val="20"/>
              </w:rPr>
            </w:pPr>
            <w:r w:rsidRPr="00C806D0">
              <w:rPr>
                <w:sz w:val="20"/>
                <w:szCs w:val="20"/>
              </w:rPr>
              <w:t>0.072</w:t>
            </w:r>
          </w:p>
          <w:p w:rsidR="004442E4" w:rsidRPr="00C806D0" w:rsidRDefault="004442E4" w:rsidP="004442E4">
            <w:pPr>
              <w:jc w:val="center"/>
              <w:rPr>
                <w:sz w:val="20"/>
                <w:szCs w:val="20"/>
              </w:rPr>
            </w:pPr>
            <w:r w:rsidRPr="00C806D0">
              <w:rPr>
                <w:sz w:val="20"/>
                <w:szCs w:val="20"/>
              </w:rPr>
              <w:t>(0.10)</w:t>
            </w:r>
          </w:p>
        </w:tc>
        <w:tc>
          <w:tcPr>
            <w:tcW w:w="734" w:type="pct"/>
          </w:tcPr>
          <w:p w:rsidR="004442E4" w:rsidRPr="00C806D0" w:rsidRDefault="004442E4" w:rsidP="004442E4">
            <w:pPr>
              <w:jc w:val="center"/>
              <w:rPr>
                <w:sz w:val="20"/>
                <w:szCs w:val="20"/>
              </w:rPr>
            </w:pPr>
            <w:r w:rsidRPr="00C806D0">
              <w:rPr>
                <w:sz w:val="20"/>
                <w:szCs w:val="20"/>
              </w:rPr>
              <w:t>0.529</w:t>
            </w:r>
          </w:p>
          <w:p w:rsidR="004442E4" w:rsidRPr="00C806D0" w:rsidRDefault="004442E4" w:rsidP="004442E4">
            <w:pPr>
              <w:jc w:val="center"/>
              <w:rPr>
                <w:sz w:val="20"/>
                <w:szCs w:val="20"/>
              </w:rPr>
            </w:pPr>
            <w:r w:rsidRPr="00C806D0">
              <w:rPr>
                <w:sz w:val="20"/>
                <w:szCs w:val="20"/>
              </w:rPr>
              <w:t>(0.20)</w:t>
            </w:r>
          </w:p>
        </w:tc>
        <w:tc>
          <w:tcPr>
            <w:tcW w:w="860" w:type="pct"/>
          </w:tcPr>
          <w:p w:rsidR="004442E4" w:rsidRPr="00C806D0" w:rsidRDefault="004442E4" w:rsidP="004442E4">
            <w:pPr>
              <w:jc w:val="center"/>
              <w:rPr>
                <w:sz w:val="20"/>
                <w:szCs w:val="20"/>
              </w:rPr>
            </w:pPr>
            <w:r w:rsidRPr="00C806D0">
              <w:rPr>
                <w:sz w:val="20"/>
                <w:szCs w:val="20"/>
              </w:rPr>
              <w:t>0.710</w:t>
            </w:r>
          </w:p>
          <w:p w:rsidR="004442E4" w:rsidRPr="00C806D0" w:rsidRDefault="004442E4" w:rsidP="004442E4">
            <w:pPr>
              <w:jc w:val="center"/>
              <w:rPr>
                <w:sz w:val="20"/>
                <w:szCs w:val="20"/>
              </w:rPr>
            </w:pPr>
            <w:r w:rsidRPr="00C806D0">
              <w:rPr>
                <w:sz w:val="20"/>
                <w:szCs w:val="20"/>
              </w:rPr>
              <w:t>(0.14)</w:t>
            </w:r>
          </w:p>
        </w:tc>
        <w:tc>
          <w:tcPr>
            <w:tcW w:w="698" w:type="pct"/>
          </w:tcPr>
          <w:p w:rsidR="004442E4" w:rsidRPr="00C806D0" w:rsidRDefault="004442E4" w:rsidP="004442E4">
            <w:pPr>
              <w:jc w:val="center"/>
              <w:rPr>
                <w:sz w:val="20"/>
                <w:szCs w:val="20"/>
              </w:rPr>
            </w:pPr>
            <w:r w:rsidRPr="00C806D0">
              <w:rPr>
                <w:sz w:val="20"/>
                <w:szCs w:val="20"/>
              </w:rPr>
              <w:t>0.884</w:t>
            </w:r>
          </w:p>
          <w:p w:rsidR="004442E4" w:rsidRPr="00C806D0" w:rsidRDefault="004442E4" w:rsidP="004442E4">
            <w:pPr>
              <w:jc w:val="center"/>
              <w:rPr>
                <w:sz w:val="20"/>
                <w:szCs w:val="20"/>
              </w:rPr>
            </w:pPr>
            <w:r w:rsidRPr="00C806D0">
              <w:rPr>
                <w:sz w:val="20"/>
                <w:szCs w:val="20"/>
              </w:rPr>
              <w:t>(0.14)</w:t>
            </w:r>
          </w:p>
        </w:tc>
      </w:tr>
      <w:tr w:rsidR="004442E4" w:rsidRPr="00C806D0" w:rsidTr="00295AB8">
        <w:trPr>
          <w:jc w:val="center"/>
        </w:trPr>
        <w:tc>
          <w:tcPr>
            <w:tcW w:w="1286" w:type="pct"/>
          </w:tcPr>
          <w:p w:rsidR="004442E4" w:rsidRPr="00C806D0" w:rsidRDefault="004442E4" w:rsidP="004442E4">
            <w:pPr>
              <w:rPr>
                <w:sz w:val="20"/>
                <w:szCs w:val="20"/>
              </w:rPr>
            </w:pPr>
            <w:r w:rsidRPr="00C806D0">
              <w:rPr>
                <w:sz w:val="20"/>
                <w:szCs w:val="20"/>
              </w:rPr>
              <w:t>United States</w:t>
            </w:r>
          </w:p>
          <w:p w:rsidR="004442E4" w:rsidRPr="00C806D0" w:rsidRDefault="004442E4" w:rsidP="004442E4">
            <w:pPr>
              <w:rPr>
                <w:sz w:val="20"/>
                <w:szCs w:val="20"/>
              </w:rPr>
            </w:pPr>
          </w:p>
        </w:tc>
        <w:tc>
          <w:tcPr>
            <w:tcW w:w="768" w:type="pct"/>
          </w:tcPr>
          <w:p w:rsidR="004442E4" w:rsidRPr="00C806D0" w:rsidRDefault="004442E4" w:rsidP="004442E4">
            <w:pPr>
              <w:jc w:val="center"/>
              <w:rPr>
                <w:sz w:val="20"/>
                <w:szCs w:val="20"/>
              </w:rPr>
            </w:pPr>
            <w:r w:rsidRPr="00C806D0">
              <w:rPr>
                <w:sz w:val="20"/>
                <w:szCs w:val="20"/>
              </w:rPr>
              <w:t>0</w:t>
            </w:r>
          </w:p>
          <w:p w:rsidR="004442E4" w:rsidRPr="00C806D0" w:rsidRDefault="004442E4" w:rsidP="004442E4">
            <w:pPr>
              <w:jc w:val="center"/>
              <w:rPr>
                <w:sz w:val="20"/>
                <w:szCs w:val="20"/>
              </w:rPr>
            </w:pPr>
            <w:r w:rsidRPr="00C806D0">
              <w:rPr>
                <w:sz w:val="20"/>
                <w:szCs w:val="20"/>
              </w:rPr>
              <w:t>(-)</w:t>
            </w:r>
          </w:p>
          <w:p w:rsidR="004442E4" w:rsidRPr="00C806D0" w:rsidRDefault="004442E4" w:rsidP="004442E4">
            <w:pPr>
              <w:jc w:val="center"/>
              <w:rPr>
                <w:sz w:val="20"/>
                <w:szCs w:val="20"/>
              </w:rPr>
            </w:pPr>
          </w:p>
        </w:tc>
        <w:tc>
          <w:tcPr>
            <w:tcW w:w="655" w:type="pct"/>
          </w:tcPr>
          <w:p w:rsidR="004442E4" w:rsidRPr="00C806D0" w:rsidRDefault="004442E4" w:rsidP="004442E4">
            <w:pPr>
              <w:jc w:val="center"/>
              <w:rPr>
                <w:sz w:val="20"/>
                <w:szCs w:val="20"/>
              </w:rPr>
            </w:pPr>
            <w:r w:rsidRPr="00C806D0">
              <w:rPr>
                <w:sz w:val="20"/>
                <w:szCs w:val="20"/>
              </w:rPr>
              <w:t>0.092</w:t>
            </w:r>
          </w:p>
          <w:p w:rsidR="004442E4" w:rsidRPr="00C806D0" w:rsidRDefault="004442E4" w:rsidP="004442E4">
            <w:pPr>
              <w:jc w:val="center"/>
              <w:rPr>
                <w:sz w:val="20"/>
                <w:szCs w:val="20"/>
              </w:rPr>
            </w:pPr>
            <w:r w:rsidRPr="00C806D0">
              <w:rPr>
                <w:sz w:val="20"/>
                <w:szCs w:val="20"/>
              </w:rPr>
              <w:t>(0.96)</w:t>
            </w:r>
          </w:p>
        </w:tc>
        <w:tc>
          <w:tcPr>
            <w:tcW w:w="734" w:type="pct"/>
          </w:tcPr>
          <w:p w:rsidR="004442E4" w:rsidRPr="00C806D0" w:rsidRDefault="004442E4" w:rsidP="004442E4">
            <w:pPr>
              <w:jc w:val="center"/>
              <w:rPr>
                <w:sz w:val="20"/>
                <w:szCs w:val="20"/>
              </w:rPr>
            </w:pPr>
            <w:r w:rsidRPr="00C806D0">
              <w:rPr>
                <w:sz w:val="20"/>
                <w:szCs w:val="20"/>
              </w:rPr>
              <w:t>0.540</w:t>
            </w:r>
          </w:p>
          <w:p w:rsidR="004442E4" w:rsidRPr="00C806D0" w:rsidRDefault="004442E4" w:rsidP="004442E4">
            <w:pPr>
              <w:jc w:val="center"/>
              <w:rPr>
                <w:sz w:val="20"/>
                <w:szCs w:val="20"/>
              </w:rPr>
            </w:pPr>
            <w:r w:rsidRPr="00C806D0">
              <w:rPr>
                <w:sz w:val="20"/>
                <w:szCs w:val="20"/>
              </w:rPr>
              <w:t>(0.24)</w:t>
            </w:r>
          </w:p>
        </w:tc>
        <w:tc>
          <w:tcPr>
            <w:tcW w:w="860" w:type="pct"/>
          </w:tcPr>
          <w:p w:rsidR="004442E4" w:rsidRPr="00C806D0" w:rsidRDefault="004442E4" w:rsidP="004442E4">
            <w:pPr>
              <w:jc w:val="center"/>
              <w:rPr>
                <w:sz w:val="20"/>
                <w:szCs w:val="20"/>
              </w:rPr>
            </w:pPr>
            <w:r w:rsidRPr="00C806D0">
              <w:rPr>
                <w:sz w:val="20"/>
                <w:szCs w:val="20"/>
              </w:rPr>
              <w:t>0.754</w:t>
            </w:r>
          </w:p>
          <w:p w:rsidR="004442E4" w:rsidRPr="00C806D0" w:rsidRDefault="004442E4" w:rsidP="004442E4">
            <w:pPr>
              <w:jc w:val="center"/>
              <w:rPr>
                <w:sz w:val="20"/>
                <w:szCs w:val="20"/>
              </w:rPr>
            </w:pPr>
            <w:r w:rsidRPr="00C806D0">
              <w:rPr>
                <w:sz w:val="20"/>
                <w:szCs w:val="20"/>
              </w:rPr>
              <w:t>(0.17)</w:t>
            </w:r>
          </w:p>
        </w:tc>
        <w:tc>
          <w:tcPr>
            <w:tcW w:w="698" w:type="pct"/>
          </w:tcPr>
          <w:p w:rsidR="004442E4" w:rsidRPr="00C806D0" w:rsidRDefault="004442E4" w:rsidP="004442E4">
            <w:pPr>
              <w:jc w:val="center"/>
              <w:rPr>
                <w:sz w:val="20"/>
                <w:szCs w:val="20"/>
              </w:rPr>
            </w:pPr>
            <w:r w:rsidRPr="00C806D0">
              <w:rPr>
                <w:sz w:val="20"/>
                <w:szCs w:val="20"/>
              </w:rPr>
              <w:t>0.914</w:t>
            </w:r>
          </w:p>
          <w:p w:rsidR="004442E4" w:rsidRPr="00C806D0" w:rsidRDefault="004442E4" w:rsidP="004442E4">
            <w:pPr>
              <w:jc w:val="center"/>
              <w:rPr>
                <w:sz w:val="20"/>
                <w:szCs w:val="20"/>
              </w:rPr>
            </w:pPr>
            <w:r w:rsidRPr="00C806D0">
              <w:rPr>
                <w:sz w:val="20"/>
                <w:szCs w:val="20"/>
              </w:rPr>
              <w:t>(0.12)</w:t>
            </w:r>
          </w:p>
        </w:tc>
      </w:tr>
      <w:tr w:rsidR="004442E4" w:rsidRPr="00C806D0" w:rsidTr="00295AB8">
        <w:trPr>
          <w:jc w:val="center"/>
        </w:trPr>
        <w:tc>
          <w:tcPr>
            <w:tcW w:w="1286" w:type="pct"/>
          </w:tcPr>
          <w:p w:rsidR="004442E4" w:rsidRPr="00C806D0" w:rsidRDefault="004442E4" w:rsidP="004442E4">
            <w:pPr>
              <w:rPr>
                <w:sz w:val="20"/>
                <w:szCs w:val="20"/>
              </w:rPr>
            </w:pPr>
            <w:r w:rsidRPr="00C806D0">
              <w:rPr>
                <w:sz w:val="20"/>
                <w:szCs w:val="20"/>
              </w:rPr>
              <w:t>Zimbabwe</w:t>
            </w:r>
          </w:p>
          <w:p w:rsidR="004442E4" w:rsidRPr="00C806D0" w:rsidRDefault="004442E4" w:rsidP="004442E4">
            <w:pPr>
              <w:rPr>
                <w:sz w:val="20"/>
                <w:szCs w:val="20"/>
              </w:rPr>
            </w:pPr>
          </w:p>
        </w:tc>
        <w:tc>
          <w:tcPr>
            <w:tcW w:w="768" w:type="pct"/>
          </w:tcPr>
          <w:p w:rsidR="004442E4" w:rsidRPr="00C806D0" w:rsidRDefault="004442E4" w:rsidP="004442E4">
            <w:pPr>
              <w:jc w:val="center"/>
              <w:rPr>
                <w:sz w:val="20"/>
                <w:szCs w:val="20"/>
              </w:rPr>
            </w:pPr>
            <w:r w:rsidRPr="00C806D0">
              <w:rPr>
                <w:sz w:val="20"/>
                <w:szCs w:val="20"/>
              </w:rPr>
              <w:t xml:space="preserve">0 </w:t>
            </w:r>
          </w:p>
          <w:p w:rsidR="004442E4" w:rsidRPr="00C806D0" w:rsidRDefault="004442E4" w:rsidP="004442E4">
            <w:pPr>
              <w:jc w:val="center"/>
              <w:rPr>
                <w:sz w:val="20"/>
                <w:szCs w:val="20"/>
              </w:rPr>
            </w:pPr>
            <w:r w:rsidRPr="00C806D0">
              <w:rPr>
                <w:sz w:val="20"/>
                <w:szCs w:val="20"/>
              </w:rPr>
              <w:t>(-)</w:t>
            </w:r>
          </w:p>
          <w:p w:rsidR="004442E4" w:rsidRPr="00C806D0" w:rsidRDefault="004442E4" w:rsidP="004442E4">
            <w:pPr>
              <w:jc w:val="center"/>
              <w:rPr>
                <w:sz w:val="20"/>
                <w:szCs w:val="20"/>
              </w:rPr>
            </w:pPr>
          </w:p>
        </w:tc>
        <w:tc>
          <w:tcPr>
            <w:tcW w:w="655" w:type="pct"/>
          </w:tcPr>
          <w:p w:rsidR="004442E4" w:rsidRPr="00C806D0" w:rsidRDefault="004442E4" w:rsidP="004442E4">
            <w:pPr>
              <w:jc w:val="center"/>
              <w:rPr>
                <w:sz w:val="20"/>
                <w:szCs w:val="20"/>
              </w:rPr>
            </w:pPr>
            <w:r w:rsidRPr="00C806D0">
              <w:rPr>
                <w:sz w:val="20"/>
                <w:szCs w:val="20"/>
              </w:rPr>
              <w:t>0.184</w:t>
            </w:r>
          </w:p>
          <w:p w:rsidR="004442E4" w:rsidRPr="00C806D0" w:rsidRDefault="004442E4" w:rsidP="004442E4">
            <w:pPr>
              <w:jc w:val="center"/>
              <w:rPr>
                <w:sz w:val="20"/>
                <w:szCs w:val="20"/>
              </w:rPr>
            </w:pPr>
            <w:r w:rsidRPr="00C806D0">
              <w:rPr>
                <w:sz w:val="20"/>
                <w:szCs w:val="20"/>
              </w:rPr>
              <w:t>(0.15)</w:t>
            </w:r>
          </w:p>
        </w:tc>
        <w:tc>
          <w:tcPr>
            <w:tcW w:w="734" w:type="pct"/>
          </w:tcPr>
          <w:p w:rsidR="004442E4" w:rsidRPr="00C806D0" w:rsidRDefault="004442E4" w:rsidP="004442E4">
            <w:pPr>
              <w:jc w:val="center"/>
              <w:rPr>
                <w:sz w:val="20"/>
                <w:szCs w:val="20"/>
              </w:rPr>
            </w:pPr>
            <w:r w:rsidRPr="00C806D0">
              <w:rPr>
                <w:sz w:val="20"/>
                <w:szCs w:val="20"/>
              </w:rPr>
              <w:t>0.529</w:t>
            </w:r>
          </w:p>
          <w:p w:rsidR="004442E4" w:rsidRPr="00C806D0" w:rsidRDefault="004442E4" w:rsidP="004442E4">
            <w:pPr>
              <w:jc w:val="center"/>
              <w:rPr>
                <w:sz w:val="20"/>
                <w:szCs w:val="20"/>
              </w:rPr>
            </w:pPr>
            <w:r w:rsidRPr="00C806D0">
              <w:rPr>
                <w:sz w:val="20"/>
                <w:szCs w:val="20"/>
              </w:rPr>
              <w:t>(0.20)</w:t>
            </w:r>
          </w:p>
        </w:tc>
        <w:tc>
          <w:tcPr>
            <w:tcW w:w="860" w:type="pct"/>
          </w:tcPr>
          <w:p w:rsidR="004442E4" w:rsidRPr="00C806D0" w:rsidRDefault="004442E4" w:rsidP="004442E4">
            <w:pPr>
              <w:jc w:val="center"/>
              <w:rPr>
                <w:sz w:val="20"/>
                <w:szCs w:val="20"/>
              </w:rPr>
            </w:pPr>
            <w:r w:rsidRPr="00C806D0">
              <w:rPr>
                <w:sz w:val="20"/>
                <w:szCs w:val="20"/>
              </w:rPr>
              <w:t>0.710</w:t>
            </w:r>
          </w:p>
          <w:p w:rsidR="004442E4" w:rsidRPr="00C806D0" w:rsidRDefault="004442E4" w:rsidP="004442E4">
            <w:pPr>
              <w:jc w:val="center"/>
              <w:rPr>
                <w:sz w:val="20"/>
                <w:szCs w:val="20"/>
              </w:rPr>
            </w:pPr>
            <w:r w:rsidRPr="00C806D0">
              <w:rPr>
                <w:sz w:val="20"/>
                <w:szCs w:val="20"/>
              </w:rPr>
              <w:t>(0.14)</w:t>
            </w:r>
          </w:p>
        </w:tc>
        <w:tc>
          <w:tcPr>
            <w:tcW w:w="698" w:type="pct"/>
          </w:tcPr>
          <w:p w:rsidR="004442E4" w:rsidRPr="00C806D0" w:rsidRDefault="004442E4" w:rsidP="004442E4">
            <w:pPr>
              <w:jc w:val="center"/>
              <w:rPr>
                <w:sz w:val="20"/>
                <w:szCs w:val="20"/>
              </w:rPr>
            </w:pPr>
            <w:r w:rsidRPr="00C806D0">
              <w:rPr>
                <w:sz w:val="20"/>
                <w:szCs w:val="20"/>
              </w:rPr>
              <w:t>0.884</w:t>
            </w:r>
          </w:p>
          <w:p w:rsidR="004442E4" w:rsidRPr="00C806D0" w:rsidRDefault="004442E4" w:rsidP="004442E4">
            <w:pPr>
              <w:jc w:val="center"/>
              <w:rPr>
                <w:sz w:val="20"/>
                <w:szCs w:val="20"/>
              </w:rPr>
            </w:pPr>
            <w:r w:rsidRPr="00C806D0">
              <w:rPr>
                <w:sz w:val="20"/>
                <w:szCs w:val="20"/>
              </w:rPr>
              <w:t>(0.14)</w:t>
            </w:r>
          </w:p>
        </w:tc>
      </w:tr>
    </w:tbl>
    <w:p w:rsidR="00D368BB" w:rsidRPr="00C806D0" w:rsidRDefault="00D368BB" w:rsidP="004442E4">
      <w:pPr>
        <w:pStyle w:val="NoSpacing"/>
        <w:jc w:val="center"/>
        <w:rPr>
          <w:rFonts w:ascii="Calibri" w:hAnsi="Calibri"/>
          <w:b/>
          <w:bCs/>
        </w:rPr>
      </w:pPr>
    </w:p>
    <w:p w:rsidR="00E244AD" w:rsidRPr="00C806D0" w:rsidRDefault="00E244AD" w:rsidP="004442E4">
      <w:pPr>
        <w:pStyle w:val="NoSpacing"/>
        <w:jc w:val="center"/>
        <w:rPr>
          <w:rFonts w:ascii="Calibri" w:hAnsi="Calibri"/>
          <w:b/>
          <w:bCs/>
        </w:rPr>
      </w:pPr>
    </w:p>
    <w:p w:rsidR="00E244AD" w:rsidRPr="00C806D0" w:rsidRDefault="00E244AD" w:rsidP="004442E4">
      <w:pPr>
        <w:pStyle w:val="NoSpacing"/>
        <w:jc w:val="center"/>
        <w:rPr>
          <w:rFonts w:ascii="Calibri" w:hAnsi="Calibri"/>
          <w:b/>
          <w:bCs/>
        </w:rPr>
      </w:pPr>
    </w:p>
    <w:p w:rsidR="004442E4" w:rsidRPr="00C806D0" w:rsidRDefault="004442E4" w:rsidP="004442E4">
      <w:pPr>
        <w:pStyle w:val="NoSpacing"/>
        <w:jc w:val="center"/>
        <w:rPr>
          <w:rFonts w:ascii="Calibri" w:hAnsi="Calibri"/>
          <w:b/>
          <w:bCs/>
        </w:rPr>
      </w:pPr>
    </w:p>
    <w:p w:rsidR="004442E4" w:rsidRPr="00C806D0" w:rsidRDefault="006F2FC6" w:rsidP="002A360F">
      <w:pPr>
        <w:pStyle w:val="Heading3"/>
      </w:pPr>
      <w:r w:rsidRPr="00C806D0">
        <w:lastRenderedPageBreak/>
        <w:t>M</w:t>
      </w:r>
      <w:r w:rsidR="004442E4" w:rsidRPr="00C806D0">
        <w:t>ean EQ5D values for extended GOS categories based on non-UK preference tariffs</w:t>
      </w:r>
    </w:p>
    <w:p w:rsidR="004442E4" w:rsidRPr="00C806D0" w:rsidRDefault="004442E4" w:rsidP="004442E4">
      <w:r w:rsidRPr="00C806D0">
        <w:rPr>
          <w:b/>
        </w:rPr>
        <w:t>Table F19. Mean EQ5D values for extedended GOS categories using a range of international preference tariffs</w:t>
      </w:r>
    </w:p>
    <w:tbl>
      <w:tblPr>
        <w:tblStyle w:val="LightShading1"/>
        <w:tblW w:w="5000" w:type="pct"/>
        <w:jc w:val="center"/>
        <w:tblLayout w:type="fixed"/>
        <w:tblLook w:val="0620" w:firstRow="1" w:lastRow="0" w:firstColumn="0" w:lastColumn="0" w:noHBand="1" w:noVBand="1"/>
      </w:tblPr>
      <w:tblGrid>
        <w:gridCol w:w="1242"/>
        <w:gridCol w:w="853"/>
        <w:gridCol w:w="992"/>
        <w:gridCol w:w="844"/>
        <w:gridCol w:w="944"/>
        <w:gridCol w:w="1006"/>
        <w:gridCol w:w="1006"/>
        <w:gridCol w:w="916"/>
        <w:gridCol w:w="917"/>
      </w:tblGrid>
      <w:tr w:rsidR="004442E4" w:rsidRPr="00C806D0" w:rsidTr="008110E5">
        <w:trPr>
          <w:cnfStyle w:val="100000000000" w:firstRow="1" w:lastRow="0" w:firstColumn="0" w:lastColumn="0" w:oddVBand="0" w:evenVBand="0" w:oddHBand="0" w:evenHBand="0" w:firstRowFirstColumn="0" w:firstRowLastColumn="0" w:lastRowFirstColumn="0" w:lastRowLastColumn="0"/>
          <w:jc w:val="center"/>
        </w:trPr>
        <w:tc>
          <w:tcPr>
            <w:tcW w:w="712" w:type="pct"/>
            <w:tcBorders>
              <w:bottom w:val="nil"/>
            </w:tcBorders>
          </w:tcPr>
          <w:p w:rsidR="004442E4" w:rsidRPr="00C806D0" w:rsidRDefault="004442E4" w:rsidP="004442E4">
            <w:pPr>
              <w:pStyle w:val="NoSpacing"/>
              <w:jc w:val="center"/>
              <w:rPr>
                <w:rFonts w:ascii="Calibri" w:hAnsi="Calibri"/>
                <w:sz w:val="20"/>
                <w:szCs w:val="20"/>
              </w:rPr>
            </w:pPr>
          </w:p>
        </w:tc>
        <w:tc>
          <w:tcPr>
            <w:tcW w:w="4288" w:type="pct"/>
            <w:gridSpan w:val="8"/>
            <w:tcBorders>
              <w:bottom w:val="single" w:sz="4" w:space="0" w:color="auto"/>
            </w:tcBorders>
          </w:tcPr>
          <w:p w:rsidR="004442E4" w:rsidRPr="00C806D0" w:rsidRDefault="004442E4" w:rsidP="004442E4">
            <w:pPr>
              <w:pStyle w:val="NoSpacing"/>
              <w:jc w:val="center"/>
              <w:rPr>
                <w:rFonts w:ascii="Calibri" w:hAnsi="Calibri"/>
                <w:sz w:val="20"/>
                <w:szCs w:val="20"/>
              </w:rPr>
            </w:pPr>
            <w:r w:rsidRPr="00C806D0">
              <w:rPr>
                <w:rFonts w:ascii="Calibri" w:hAnsi="Calibri"/>
                <w:sz w:val="20"/>
                <w:szCs w:val="20"/>
              </w:rPr>
              <w:t>Glasgow Outcome Scale category:</w:t>
            </w:r>
          </w:p>
          <w:p w:rsidR="004442E4" w:rsidRPr="00C806D0" w:rsidRDefault="004442E4" w:rsidP="004442E4">
            <w:pPr>
              <w:pStyle w:val="NoSpacing"/>
              <w:jc w:val="center"/>
              <w:rPr>
                <w:rFonts w:ascii="Calibri" w:hAnsi="Calibri"/>
                <w:sz w:val="20"/>
                <w:szCs w:val="20"/>
              </w:rPr>
            </w:pPr>
            <w:r w:rsidRPr="00C806D0">
              <w:rPr>
                <w:rFonts w:ascii="Calibri" w:hAnsi="Calibri"/>
                <w:sz w:val="20"/>
                <w:szCs w:val="20"/>
              </w:rPr>
              <w:t>Mean (sd)</w:t>
            </w:r>
          </w:p>
          <w:p w:rsidR="004442E4" w:rsidRPr="00C806D0" w:rsidRDefault="004442E4" w:rsidP="004442E4">
            <w:pPr>
              <w:pStyle w:val="NoSpacing"/>
              <w:jc w:val="center"/>
              <w:rPr>
                <w:rFonts w:ascii="Calibri" w:hAnsi="Calibri"/>
                <w:sz w:val="20"/>
                <w:szCs w:val="20"/>
              </w:rPr>
            </w:pPr>
          </w:p>
        </w:tc>
      </w:tr>
      <w:tr w:rsidR="004442E4" w:rsidRPr="00C806D0" w:rsidTr="008110E5">
        <w:trPr>
          <w:jc w:val="center"/>
        </w:trPr>
        <w:tc>
          <w:tcPr>
            <w:tcW w:w="712" w:type="pct"/>
            <w:tcBorders>
              <w:top w:val="nil"/>
              <w:bottom w:val="single" w:sz="4" w:space="0" w:color="auto"/>
            </w:tcBorders>
          </w:tcPr>
          <w:p w:rsidR="004442E4" w:rsidRPr="00C806D0" w:rsidRDefault="004442E4" w:rsidP="004442E4">
            <w:pPr>
              <w:pStyle w:val="NoSpacing"/>
              <w:jc w:val="center"/>
              <w:rPr>
                <w:rFonts w:ascii="Calibri" w:hAnsi="Calibri"/>
                <w:b/>
                <w:sz w:val="20"/>
                <w:szCs w:val="20"/>
              </w:rPr>
            </w:pPr>
          </w:p>
        </w:tc>
        <w:tc>
          <w:tcPr>
            <w:tcW w:w="489"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GOSE 1:</w:t>
            </w:r>
          </w:p>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Death</w:t>
            </w:r>
          </w:p>
        </w:tc>
        <w:tc>
          <w:tcPr>
            <w:tcW w:w="569"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GOSE 2:</w:t>
            </w:r>
          </w:p>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Vegetative state</w:t>
            </w:r>
          </w:p>
        </w:tc>
        <w:tc>
          <w:tcPr>
            <w:tcW w:w="484"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GOSE 3:</w:t>
            </w:r>
          </w:p>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Lower severe disability</w:t>
            </w:r>
          </w:p>
        </w:tc>
        <w:tc>
          <w:tcPr>
            <w:tcW w:w="541"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GOSE 4:</w:t>
            </w:r>
          </w:p>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Upper severe disability</w:t>
            </w:r>
          </w:p>
        </w:tc>
        <w:tc>
          <w:tcPr>
            <w:tcW w:w="577"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GOSE 5:</w:t>
            </w:r>
          </w:p>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Lower moderate disability</w:t>
            </w:r>
          </w:p>
        </w:tc>
        <w:tc>
          <w:tcPr>
            <w:tcW w:w="577"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GOSE 6:</w:t>
            </w:r>
          </w:p>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Upper moderate disability</w:t>
            </w:r>
          </w:p>
        </w:tc>
        <w:tc>
          <w:tcPr>
            <w:tcW w:w="525"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GOSE 7:</w:t>
            </w:r>
          </w:p>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Lower good recovery</w:t>
            </w:r>
          </w:p>
        </w:tc>
        <w:tc>
          <w:tcPr>
            <w:tcW w:w="527" w:type="pct"/>
            <w:tcBorders>
              <w:top w:val="single" w:sz="4" w:space="0" w:color="auto"/>
              <w:bottom w:val="single" w:sz="4" w:space="0" w:color="auto"/>
            </w:tcBorders>
          </w:tcPr>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GOSE 8:</w:t>
            </w:r>
          </w:p>
          <w:p w:rsidR="004442E4" w:rsidRPr="00C806D0" w:rsidRDefault="004442E4" w:rsidP="004442E4">
            <w:pPr>
              <w:pStyle w:val="NoSpacing"/>
              <w:jc w:val="center"/>
              <w:rPr>
                <w:rFonts w:ascii="Calibri" w:hAnsi="Calibri"/>
                <w:b/>
                <w:sz w:val="16"/>
                <w:szCs w:val="16"/>
              </w:rPr>
            </w:pPr>
            <w:r w:rsidRPr="00C806D0">
              <w:rPr>
                <w:rFonts w:ascii="Calibri" w:hAnsi="Calibri"/>
                <w:b/>
                <w:sz w:val="16"/>
                <w:szCs w:val="16"/>
              </w:rPr>
              <w:t>Upper good recovery</w:t>
            </w:r>
          </w:p>
        </w:tc>
      </w:tr>
      <w:tr w:rsidR="004442E4" w:rsidRPr="00C806D0" w:rsidTr="008110E5">
        <w:trPr>
          <w:jc w:val="center"/>
        </w:trPr>
        <w:tc>
          <w:tcPr>
            <w:tcW w:w="712" w:type="pct"/>
            <w:tcBorders>
              <w:top w:val="single" w:sz="4" w:space="0" w:color="auto"/>
              <w:bottom w:val="nil"/>
            </w:tcBorders>
          </w:tcPr>
          <w:p w:rsidR="004442E4" w:rsidRPr="00C806D0" w:rsidRDefault="004442E4" w:rsidP="004442E4">
            <w:pPr>
              <w:rPr>
                <w:rFonts w:ascii="Calibri" w:hAnsi="Calibri"/>
                <w:b/>
                <w:sz w:val="20"/>
                <w:szCs w:val="20"/>
              </w:rPr>
            </w:pPr>
            <w:r w:rsidRPr="00C806D0">
              <w:rPr>
                <w:rFonts w:ascii="Calibri" w:hAnsi="Calibri"/>
                <w:b/>
                <w:sz w:val="20"/>
                <w:szCs w:val="20"/>
              </w:rPr>
              <w:t>n=</w:t>
            </w:r>
          </w:p>
          <w:p w:rsidR="004442E4" w:rsidRPr="00C806D0" w:rsidRDefault="004442E4" w:rsidP="004442E4">
            <w:pPr>
              <w:rPr>
                <w:rFonts w:ascii="Calibri" w:hAnsi="Calibri"/>
                <w:b/>
                <w:sz w:val="20"/>
                <w:szCs w:val="20"/>
              </w:rPr>
            </w:pPr>
          </w:p>
        </w:tc>
        <w:tc>
          <w:tcPr>
            <w:tcW w:w="489"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w:t>
            </w:r>
          </w:p>
        </w:tc>
        <w:tc>
          <w:tcPr>
            <w:tcW w:w="569"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6</w:t>
            </w:r>
          </w:p>
        </w:tc>
        <w:tc>
          <w:tcPr>
            <w:tcW w:w="484"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616</w:t>
            </w:r>
          </w:p>
        </w:tc>
        <w:tc>
          <w:tcPr>
            <w:tcW w:w="541"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284</w:t>
            </w:r>
          </w:p>
        </w:tc>
        <w:tc>
          <w:tcPr>
            <w:tcW w:w="577"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498</w:t>
            </w:r>
          </w:p>
        </w:tc>
        <w:tc>
          <w:tcPr>
            <w:tcW w:w="577"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724</w:t>
            </w:r>
          </w:p>
        </w:tc>
        <w:tc>
          <w:tcPr>
            <w:tcW w:w="525"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564</w:t>
            </w:r>
          </w:p>
        </w:tc>
        <w:tc>
          <w:tcPr>
            <w:tcW w:w="527" w:type="pct"/>
            <w:tcBorders>
              <w:top w:val="single" w:sz="4" w:space="0" w:color="auto"/>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745</w:t>
            </w:r>
          </w:p>
        </w:tc>
      </w:tr>
      <w:tr w:rsidR="004442E4" w:rsidRPr="00C806D0" w:rsidTr="008110E5">
        <w:trPr>
          <w:jc w:val="center"/>
        </w:trPr>
        <w:tc>
          <w:tcPr>
            <w:tcW w:w="712" w:type="pct"/>
            <w:tcBorders>
              <w:top w:val="nil"/>
              <w:bottom w:val="nil"/>
            </w:tcBorders>
          </w:tcPr>
          <w:p w:rsidR="004442E4" w:rsidRPr="00C806D0" w:rsidRDefault="004442E4" w:rsidP="004442E4">
            <w:pPr>
              <w:rPr>
                <w:rFonts w:ascii="Calibri" w:hAnsi="Calibri"/>
                <w:b/>
                <w:sz w:val="20"/>
                <w:szCs w:val="20"/>
              </w:rPr>
            </w:pPr>
            <w:r w:rsidRPr="00C806D0">
              <w:rPr>
                <w:rFonts w:ascii="Calibri" w:hAnsi="Calibri"/>
                <w:b/>
                <w:sz w:val="20"/>
                <w:szCs w:val="20"/>
              </w:rPr>
              <w:t>United Kingdom</w:t>
            </w:r>
          </w:p>
        </w:tc>
        <w:tc>
          <w:tcPr>
            <w:tcW w:w="489"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0</w:t>
            </w:r>
          </w:p>
          <w:p w:rsidR="004442E4" w:rsidRPr="00C806D0" w:rsidRDefault="004442E4" w:rsidP="004442E4">
            <w:pPr>
              <w:jc w:val="center"/>
              <w:rPr>
                <w:rFonts w:ascii="Calibri" w:hAnsi="Calibri"/>
                <w:sz w:val="20"/>
                <w:szCs w:val="20"/>
              </w:rPr>
            </w:pPr>
            <w:r w:rsidRPr="00C806D0">
              <w:rPr>
                <w:rFonts w:ascii="Calibri" w:hAnsi="Calibri"/>
                <w:sz w:val="20"/>
                <w:szCs w:val="20"/>
              </w:rPr>
              <w:t xml:space="preserve"> (-)</w:t>
            </w:r>
          </w:p>
          <w:p w:rsidR="004442E4" w:rsidRPr="00C806D0" w:rsidRDefault="004442E4" w:rsidP="004442E4">
            <w:pPr>
              <w:jc w:val="center"/>
              <w:rPr>
                <w:rFonts w:ascii="Calibri" w:hAnsi="Calibri"/>
                <w:sz w:val="20"/>
                <w:szCs w:val="20"/>
              </w:rPr>
            </w:pPr>
          </w:p>
        </w:tc>
        <w:tc>
          <w:tcPr>
            <w:tcW w:w="569"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-0.177</w:t>
            </w:r>
          </w:p>
          <w:p w:rsidR="004442E4" w:rsidRPr="00C806D0" w:rsidRDefault="004442E4" w:rsidP="004442E4">
            <w:pPr>
              <w:jc w:val="center"/>
              <w:rPr>
                <w:rFonts w:ascii="Calibri" w:hAnsi="Calibri"/>
                <w:sz w:val="20"/>
                <w:szCs w:val="20"/>
              </w:rPr>
            </w:pPr>
            <w:r w:rsidRPr="00C806D0">
              <w:rPr>
                <w:rFonts w:ascii="Calibri" w:hAnsi="Calibri"/>
                <w:sz w:val="20"/>
                <w:szCs w:val="20"/>
              </w:rPr>
              <w:t>(0.19)</w:t>
            </w:r>
          </w:p>
        </w:tc>
        <w:tc>
          <w:tcPr>
            <w:tcW w:w="484"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0.325</w:t>
            </w:r>
          </w:p>
          <w:p w:rsidR="004442E4" w:rsidRPr="00C806D0" w:rsidRDefault="004442E4" w:rsidP="004442E4">
            <w:pPr>
              <w:jc w:val="center"/>
              <w:rPr>
                <w:rFonts w:ascii="Calibri" w:hAnsi="Calibri"/>
                <w:sz w:val="20"/>
                <w:szCs w:val="20"/>
              </w:rPr>
            </w:pPr>
            <w:r w:rsidRPr="00C806D0">
              <w:rPr>
                <w:rFonts w:ascii="Calibri" w:hAnsi="Calibri"/>
                <w:sz w:val="20"/>
                <w:szCs w:val="20"/>
              </w:rPr>
              <w:t>(0.35)</w:t>
            </w:r>
          </w:p>
        </w:tc>
        <w:tc>
          <w:tcPr>
            <w:tcW w:w="541"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0.505</w:t>
            </w:r>
          </w:p>
          <w:p w:rsidR="004442E4" w:rsidRPr="00C806D0" w:rsidRDefault="004442E4" w:rsidP="004442E4">
            <w:pPr>
              <w:jc w:val="center"/>
              <w:rPr>
                <w:rFonts w:ascii="Calibri" w:hAnsi="Calibri"/>
                <w:sz w:val="20"/>
                <w:szCs w:val="20"/>
              </w:rPr>
            </w:pPr>
            <w:r w:rsidRPr="00C806D0">
              <w:rPr>
                <w:rFonts w:ascii="Calibri" w:hAnsi="Calibri"/>
                <w:sz w:val="20"/>
                <w:szCs w:val="20"/>
              </w:rPr>
              <w:t>(0.31)</w:t>
            </w:r>
          </w:p>
        </w:tc>
        <w:tc>
          <w:tcPr>
            <w:tcW w:w="577"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0.586</w:t>
            </w:r>
          </w:p>
          <w:p w:rsidR="004442E4" w:rsidRPr="00C806D0" w:rsidRDefault="004442E4" w:rsidP="004442E4">
            <w:pPr>
              <w:jc w:val="center"/>
              <w:rPr>
                <w:rFonts w:ascii="Calibri" w:hAnsi="Calibri"/>
                <w:sz w:val="20"/>
                <w:szCs w:val="20"/>
              </w:rPr>
            </w:pPr>
            <w:r w:rsidRPr="00C806D0">
              <w:rPr>
                <w:rFonts w:ascii="Calibri" w:hAnsi="Calibri"/>
                <w:sz w:val="20"/>
                <w:szCs w:val="20"/>
              </w:rPr>
              <w:t>(0.30)</w:t>
            </w:r>
          </w:p>
        </w:tc>
        <w:tc>
          <w:tcPr>
            <w:tcW w:w="577"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0.735</w:t>
            </w:r>
          </w:p>
          <w:p w:rsidR="004442E4" w:rsidRPr="00C806D0" w:rsidRDefault="004442E4" w:rsidP="004442E4">
            <w:pPr>
              <w:jc w:val="center"/>
              <w:rPr>
                <w:rFonts w:ascii="Calibri" w:hAnsi="Calibri"/>
                <w:sz w:val="20"/>
                <w:szCs w:val="20"/>
              </w:rPr>
            </w:pPr>
            <w:r w:rsidRPr="00C806D0">
              <w:rPr>
                <w:rFonts w:ascii="Calibri" w:hAnsi="Calibri"/>
                <w:sz w:val="20"/>
                <w:szCs w:val="20"/>
              </w:rPr>
              <w:t>(0.22)</w:t>
            </w:r>
          </w:p>
        </w:tc>
        <w:tc>
          <w:tcPr>
            <w:tcW w:w="525"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0.838</w:t>
            </w:r>
          </w:p>
          <w:p w:rsidR="004442E4" w:rsidRPr="00C806D0" w:rsidRDefault="004442E4" w:rsidP="004442E4">
            <w:pPr>
              <w:jc w:val="center"/>
              <w:rPr>
                <w:rFonts w:ascii="Calibri" w:hAnsi="Calibri"/>
                <w:sz w:val="20"/>
                <w:szCs w:val="20"/>
              </w:rPr>
            </w:pPr>
            <w:r w:rsidRPr="00C806D0">
              <w:rPr>
                <w:rFonts w:ascii="Calibri" w:hAnsi="Calibri"/>
                <w:sz w:val="20"/>
                <w:szCs w:val="20"/>
              </w:rPr>
              <w:t>(0.18)</w:t>
            </w:r>
          </w:p>
        </w:tc>
        <w:tc>
          <w:tcPr>
            <w:tcW w:w="527" w:type="pct"/>
            <w:tcBorders>
              <w:top w:val="nil"/>
              <w:bottom w:val="nil"/>
            </w:tcBorders>
          </w:tcPr>
          <w:p w:rsidR="004442E4" w:rsidRPr="00C806D0" w:rsidRDefault="004442E4" w:rsidP="004442E4">
            <w:pPr>
              <w:jc w:val="center"/>
              <w:rPr>
                <w:rFonts w:ascii="Calibri" w:hAnsi="Calibri"/>
                <w:sz w:val="20"/>
                <w:szCs w:val="20"/>
              </w:rPr>
            </w:pPr>
            <w:r w:rsidRPr="00C806D0">
              <w:rPr>
                <w:rFonts w:ascii="Calibri" w:hAnsi="Calibri"/>
                <w:sz w:val="20"/>
                <w:szCs w:val="20"/>
              </w:rPr>
              <w:t>0.937</w:t>
            </w:r>
          </w:p>
          <w:p w:rsidR="004442E4" w:rsidRPr="00C806D0" w:rsidRDefault="004442E4" w:rsidP="004442E4">
            <w:pPr>
              <w:jc w:val="center"/>
              <w:rPr>
                <w:rFonts w:ascii="Calibri" w:hAnsi="Calibri"/>
                <w:sz w:val="20"/>
                <w:szCs w:val="20"/>
              </w:rPr>
            </w:pPr>
            <w:r w:rsidRPr="00C806D0">
              <w:rPr>
                <w:rFonts w:ascii="Calibri" w:hAnsi="Calibri"/>
                <w:sz w:val="20"/>
                <w:szCs w:val="20"/>
              </w:rPr>
              <w:t>(0.12)</w:t>
            </w:r>
          </w:p>
        </w:tc>
      </w:tr>
      <w:tr w:rsidR="004442E4" w:rsidRPr="00C806D0" w:rsidTr="008110E5">
        <w:trPr>
          <w:jc w:val="center"/>
        </w:trPr>
        <w:tc>
          <w:tcPr>
            <w:tcW w:w="712" w:type="pct"/>
            <w:tcBorders>
              <w:top w:val="nil"/>
            </w:tcBorders>
          </w:tcPr>
          <w:p w:rsidR="004442E4" w:rsidRPr="00C806D0" w:rsidRDefault="004442E4" w:rsidP="004442E4">
            <w:pPr>
              <w:pStyle w:val="NoSpacing"/>
              <w:rPr>
                <w:b/>
                <w:sz w:val="20"/>
                <w:szCs w:val="20"/>
              </w:rPr>
            </w:pPr>
            <w:r w:rsidRPr="00C806D0">
              <w:rPr>
                <w:b/>
                <w:sz w:val="20"/>
                <w:szCs w:val="20"/>
              </w:rPr>
              <w:t>Denmark</w:t>
            </w:r>
          </w:p>
          <w:p w:rsidR="004442E4" w:rsidRPr="00C806D0" w:rsidRDefault="004442E4" w:rsidP="004442E4">
            <w:pPr>
              <w:pStyle w:val="NoSpacing"/>
              <w:rPr>
                <w:b/>
                <w:sz w:val="20"/>
                <w:szCs w:val="20"/>
              </w:rPr>
            </w:pPr>
          </w:p>
          <w:p w:rsidR="004442E4" w:rsidRPr="00C806D0" w:rsidRDefault="004442E4" w:rsidP="004442E4">
            <w:pPr>
              <w:pStyle w:val="NoSpacing"/>
              <w:rPr>
                <w:b/>
                <w:sz w:val="20"/>
                <w:szCs w:val="20"/>
              </w:rPr>
            </w:pPr>
          </w:p>
        </w:tc>
        <w:tc>
          <w:tcPr>
            <w:tcW w:w="489" w:type="pct"/>
            <w:tcBorders>
              <w:top w:val="nil"/>
            </w:tcBorders>
          </w:tcPr>
          <w:p w:rsidR="004442E4" w:rsidRPr="00C806D0" w:rsidRDefault="004442E4" w:rsidP="004442E4">
            <w:pPr>
              <w:jc w:val="center"/>
              <w:rPr>
                <w:sz w:val="20"/>
                <w:szCs w:val="20"/>
              </w:rPr>
            </w:pPr>
            <w:r w:rsidRPr="00C806D0">
              <w:rPr>
                <w:sz w:val="20"/>
                <w:szCs w:val="20"/>
              </w:rPr>
              <w:t>0</w:t>
            </w:r>
          </w:p>
          <w:p w:rsidR="004442E4" w:rsidRPr="00C806D0" w:rsidRDefault="004442E4" w:rsidP="004442E4">
            <w:pPr>
              <w:jc w:val="center"/>
              <w:rPr>
                <w:sz w:val="20"/>
                <w:szCs w:val="20"/>
              </w:rPr>
            </w:pPr>
            <w:r w:rsidRPr="00C806D0">
              <w:rPr>
                <w:sz w:val="20"/>
                <w:szCs w:val="20"/>
              </w:rPr>
              <w:t xml:space="preserve"> (-)</w:t>
            </w:r>
          </w:p>
          <w:p w:rsidR="004442E4" w:rsidRPr="00C806D0" w:rsidRDefault="004442E4" w:rsidP="004442E4">
            <w:pPr>
              <w:jc w:val="center"/>
              <w:rPr>
                <w:sz w:val="20"/>
                <w:szCs w:val="20"/>
              </w:rPr>
            </w:pPr>
          </w:p>
        </w:tc>
        <w:tc>
          <w:tcPr>
            <w:tcW w:w="569" w:type="pct"/>
            <w:tcBorders>
              <w:top w:val="nil"/>
            </w:tcBorders>
          </w:tcPr>
          <w:p w:rsidR="004442E4" w:rsidRPr="00C806D0" w:rsidRDefault="004442E4" w:rsidP="004442E4">
            <w:pPr>
              <w:jc w:val="center"/>
              <w:rPr>
                <w:sz w:val="20"/>
                <w:szCs w:val="20"/>
              </w:rPr>
            </w:pPr>
            <w:r w:rsidRPr="00C806D0">
              <w:rPr>
                <w:sz w:val="20"/>
                <w:szCs w:val="20"/>
              </w:rPr>
              <w:t>-0.048</w:t>
            </w:r>
          </w:p>
          <w:p w:rsidR="004442E4" w:rsidRPr="00C806D0" w:rsidRDefault="004442E4" w:rsidP="004442E4">
            <w:pPr>
              <w:jc w:val="center"/>
              <w:rPr>
                <w:sz w:val="20"/>
                <w:szCs w:val="20"/>
              </w:rPr>
            </w:pPr>
            <w:r w:rsidRPr="00C806D0">
              <w:rPr>
                <w:sz w:val="20"/>
                <w:szCs w:val="20"/>
              </w:rPr>
              <w:t>(0.20)</w:t>
            </w:r>
          </w:p>
        </w:tc>
        <w:tc>
          <w:tcPr>
            <w:tcW w:w="484" w:type="pct"/>
            <w:tcBorders>
              <w:top w:val="nil"/>
            </w:tcBorders>
          </w:tcPr>
          <w:p w:rsidR="004442E4" w:rsidRPr="00C806D0" w:rsidRDefault="004442E4" w:rsidP="004442E4">
            <w:pPr>
              <w:jc w:val="center"/>
              <w:rPr>
                <w:sz w:val="20"/>
                <w:szCs w:val="20"/>
              </w:rPr>
            </w:pPr>
            <w:r w:rsidRPr="00C806D0">
              <w:rPr>
                <w:sz w:val="20"/>
                <w:szCs w:val="20"/>
              </w:rPr>
              <w:t>0.447</w:t>
            </w:r>
          </w:p>
          <w:p w:rsidR="004442E4" w:rsidRPr="00C806D0" w:rsidRDefault="004442E4" w:rsidP="004442E4">
            <w:pPr>
              <w:jc w:val="center"/>
              <w:rPr>
                <w:sz w:val="20"/>
                <w:szCs w:val="20"/>
              </w:rPr>
            </w:pPr>
            <w:r w:rsidRPr="00C806D0">
              <w:rPr>
                <w:sz w:val="20"/>
                <w:szCs w:val="20"/>
              </w:rPr>
              <w:t>(0.30)</w:t>
            </w:r>
          </w:p>
        </w:tc>
        <w:tc>
          <w:tcPr>
            <w:tcW w:w="541" w:type="pct"/>
            <w:tcBorders>
              <w:top w:val="nil"/>
            </w:tcBorders>
          </w:tcPr>
          <w:p w:rsidR="004442E4" w:rsidRPr="00C806D0" w:rsidRDefault="004442E4" w:rsidP="004442E4">
            <w:pPr>
              <w:jc w:val="center"/>
              <w:rPr>
                <w:sz w:val="20"/>
                <w:szCs w:val="20"/>
              </w:rPr>
            </w:pPr>
            <w:r w:rsidRPr="00C806D0">
              <w:rPr>
                <w:sz w:val="20"/>
                <w:szCs w:val="20"/>
              </w:rPr>
              <w:t>0.582</w:t>
            </w:r>
          </w:p>
          <w:p w:rsidR="004442E4" w:rsidRPr="00C806D0" w:rsidRDefault="004442E4" w:rsidP="004442E4">
            <w:pPr>
              <w:jc w:val="center"/>
              <w:rPr>
                <w:sz w:val="20"/>
                <w:szCs w:val="20"/>
              </w:rPr>
            </w:pPr>
            <w:r w:rsidRPr="00C806D0">
              <w:rPr>
                <w:sz w:val="20"/>
                <w:szCs w:val="20"/>
              </w:rPr>
              <w:t>(0.23)</w:t>
            </w:r>
          </w:p>
        </w:tc>
        <w:tc>
          <w:tcPr>
            <w:tcW w:w="577" w:type="pct"/>
            <w:tcBorders>
              <w:top w:val="nil"/>
            </w:tcBorders>
          </w:tcPr>
          <w:p w:rsidR="004442E4" w:rsidRPr="00C806D0" w:rsidRDefault="004442E4" w:rsidP="004442E4">
            <w:pPr>
              <w:jc w:val="center"/>
              <w:rPr>
                <w:sz w:val="20"/>
                <w:szCs w:val="20"/>
              </w:rPr>
            </w:pPr>
            <w:r w:rsidRPr="00C806D0">
              <w:rPr>
                <w:sz w:val="20"/>
                <w:szCs w:val="20"/>
              </w:rPr>
              <w:t>0.644</w:t>
            </w:r>
          </w:p>
          <w:p w:rsidR="004442E4" w:rsidRPr="00C806D0" w:rsidRDefault="004442E4" w:rsidP="004442E4">
            <w:pPr>
              <w:jc w:val="center"/>
              <w:rPr>
                <w:sz w:val="20"/>
                <w:szCs w:val="20"/>
              </w:rPr>
            </w:pPr>
            <w:r w:rsidRPr="00C806D0">
              <w:rPr>
                <w:sz w:val="20"/>
                <w:szCs w:val="20"/>
              </w:rPr>
              <w:t>(0.23)</w:t>
            </w:r>
          </w:p>
        </w:tc>
        <w:tc>
          <w:tcPr>
            <w:tcW w:w="577" w:type="pct"/>
            <w:tcBorders>
              <w:top w:val="nil"/>
            </w:tcBorders>
          </w:tcPr>
          <w:p w:rsidR="004442E4" w:rsidRPr="00C806D0" w:rsidRDefault="004442E4" w:rsidP="004442E4">
            <w:pPr>
              <w:jc w:val="center"/>
              <w:rPr>
                <w:sz w:val="20"/>
                <w:szCs w:val="20"/>
              </w:rPr>
            </w:pPr>
            <w:r w:rsidRPr="00C806D0">
              <w:rPr>
                <w:sz w:val="20"/>
                <w:szCs w:val="20"/>
              </w:rPr>
              <w:t>0.758</w:t>
            </w:r>
          </w:p>
          <w:p w:rsidR="004442E4" w:rsidRPr="00C806D0" w:rsidRDefault="004442E4" w:rsidP="004442E4">
            <w:pPr>
              <w:jc w:val="center"/>
              <w:rPr>
                <w:sz w:val="20"/>
                <w:szCs w:val="20"/>
              </w:rPr>
            </w:pPr>
            <w:r w:rsidRPr="00C806D0">
              <w:rPr>
                <w:sz w:val="20"/>
                <w:szCs w:val="20"/>
              </w:rPr>
              <w:t>(0.16)</w:t>
            </w:r>
          </w:p>
        </w:tc>
        <w:tc>
          <w:tcPr>
            <w:tcW w:w="525" w:type="pct"/>
            <w:tcBorders>
              <w:top w:val="nil"/>
            </w:tcBorders>
          </w:tcPr>
          <w:p w:rsidR="004442E4" w:rsidRPr="00C806D0" w:rsidRDefault="004442E4" w:rsidP="004442E4">
            <w:pPr>
              <w:jc w:val="center"/>
              <w:rPr>
                <w:sz w:val="20"/>
                <w:szCs w:val="20"/>
              </w:rPr>
            </w:pPr>
            <w:r w:rsidRPr="00C806D0">
              <w:rPr>
                <w:sz w:val="20"/>
                <w:szCs w:val="20"/>
              </w:rPr>
              <w:t>0.849</w:t>
            </w:r>
          </w:p>
          <w:p w:rsidR="004442E4" w:rsidRPr="00C806D0" w:rsidRDefault="004442E4" w:rsidP="004442E4">
            <w:pPr>
              <w:jc w:val="center"/>
              <w:rPr>
                <w:sz w:val="20"/>
                <w:szCs w:val="20"/>
              </w:rPr>
            </w:pPr>
            <w:r w:rsidRPr="00C806D0">
              <w:rPr>
                <w:sz w:val="20"/>
                <w:szCs w:val="20"/>
              </w:rPr>
              <w:t>(0.15)</w:t>
            </w:r>
          </w:p>
        </w:tc>
        <w:tc>
          <w:tcPr>
            <w:tcW w:w="527" w:type="pct"/>
            <w:tcBorders>
              <w:top w:val="nil"/>
            </w:tcBorders>
          </w:tcPr>
          <w:p w:rsidR="004442E4" w:rsidRPr="00C806D0" w:rsidRDefault="004442E4" w:rsidP="004442E4">
            <w:pPr>
              <w:jc w:val="center"/>
              <w:rPr>
                <w:sz w:val="20"/>
                <w:szCs w:val="20"/>
              </w:rPr>
            </w:pPr>
            <w:r w:rsidRPr="00C806D0">
              <w:rPr>
                <w:sz w:val="20"/>
                <w:szCs w:val="20"/>
              </w:rPr>
              <w:t>0.938</w:t>
            </w:r>
          </w:p>
          <w:p w:rsidR="004442E4" w:rsidRPr="00C806D0" w:rsidRDefault="004442E4" w:rsidP="004442E4">
            <w:pPr>
              <w:jc w:val="center"/>
              <w:rPr>
                <w:sz w:val="20"/>
                <w:szCs w:val="20"/>
              </w:rPr>
            </w:pPr>
            <w:r w:rsidRPr="00C806D0">
              <w:rPr>
                <w:sz w:val="20"/>
                <w:szCs w:val="20"/>
              </w:rPr>
              <w:t>(0.11)</w:t>
            </w:r>
          </w:p>
        </w:tc>
      </w:tr>
      <w:tr w:rsidR="004442E4" w:rsidRPr="00C806D0" w:rsidTr="008110E5">
        <w:trPr>
          <w:jc w:val="center"/>
        </w:trPr>
        <w:tc>
          <w:tcPr>
            <w:tcW w:w="712" w:type="pct"/>
          </w:tcPr>
          <w:p w:rsidR="004442E4" w:rsidRPr="00C806D0" w:rsidRDefault="004442E4" w:rsidP="004442E4">
            <w:pPr>
              <w:rPr>
                <w:b/>
                <w:sz w:val="20"/>
                <w:szCs w:val="20"/>
              </w:rPr>
            </w:pPr>
            <w:r w:rsidRPr="00C806D0">
              <w:rPr>
                <w:b/>
                <w:sz w:val="20"/>
                <w:szCs w:val="20"/>
              </w:rPr>
              <w:t>Germany</w:t>
            </w:r>
          </w:p>
        </w:tc>
        <w:tc>
          <w:tcPr>
            <w:tcW w:w="489" w:type="pct"/>
          </w:tcPr>
          <w:p w:rsidR="004442E4" w:rsidRPr="00C806D0" w:rsidRDefault="004442E4" w:rsidP="004442E4">
            <w:pPr>
              <w:jc w:val="center"/>
              <w:rPr>
                <w:sz w:val="20"/>
                <w:szCs w:val="20"/>
              </w:rPr>
            </w:pPr>
            <w:r w:rsidRPr="00C806D0">
              <w:rPr>
                <w:sz w:val="20"/>
                <w:szCs w:val="20"/>
              </w:rPr>
              <w:t>0</w:t>
            </w:r>
          </w:p>
          <w:p w:rsidR="004442E4" w:rsidRPr="00C806D0" w:rsidRDefault="004442E4" w:rsidP="004442E4">
            <w:pPr>
              <w:jc w:val="center"/>
              <w:rPr>
                <w:sz w:val="20"/>
                <w:szCs w:val="20"/>
              </w:rPr>
            </w:pPr>
            <w:r w:rsidRPr="00C806D0">
              <w:rPr>
                <w:sz w:val="20"/>
                <w:szCs w:val="20"/>
              </w:rPr>
              <w:t xml:space="preserve"> (-)</w:t>
            </w:r>
          </w:p>
          <w:p w:rsidR="004442E4" w:rsidRPr="00C806D0" w:rsidRDefault="004442E4" w:rsidP="004442E4">
            <w:pPr>
              <w:jc w:val="center"/>
              <w:rPr>
                <w:sz w:val="20"/>
                <w:szCs w:val="20"/>
              </w:rPr>
            </w:pPr>
          </w:p>
        </w:tc>
        <w:tc>
          <w:tcPr>
            <w:tcW w:w="569" w:type="pct"/>
          </w:tcPr>
          <w:p w:rsidR="004442E4" w:rsidRPr="00C806D0" w:rsidRDefault="004442E4" w:rsidP="004442E4">
            <w:pPr>
              <w:jc w:val="center"/>
              <w:rPr>
                <w:sz w:val="20"/>
                <w:szCs w:val="20"/>
              </w:rPr>
            </w:pPr>
            <w:r w:rsidRPr="00C806D0">
              <w:rPr>
                <w:sz w:val="20"/>
                <w:szCs w:val="20"/>
              </w:rPr>
              <w:t>0.327</w:t>
            </w:r>
          </w:p>
          <w:p w:rsidR="004442E4" w:rsidRPr="00C806D0" w:rsidRDefault="004442E4" w:rsidP="004442E4">
            <w:pPr>
              <w:jc w:val="center"/>
              <w:rPr>
                <w:sz w:val="20"/>
                <w:szCs w:val="20"/>
              </w:rPr>
            </w:pPr>
            <w:r w:rsidRPr="00C806D0">
              <w:rPr>
                <w:sz w:val="20"/>
                <w:szCs w:val="20"/>
              </w:rPr>
              <w:t>(0.14)</w:t>
            </w:r>
          </w:p>
        </w:tc>
        <w:tc>
          <w:tcPr>
            <w:tcW w:w="484" w:type="pct"/>
          </w:tcPr>
          <w:p w:rsidR="004442E4" w:rsidRPr="00C806D0" w:rsidRDefault="004442E4" w:rsidP="004442E4">
            <w:pPr>
              <w:jc w:val="center"/>
              <w:rPr>
                <w:sz w:val="20"/>
                <w:szCs w:val="20"/>
              </w:rPr>
            </w:pPr>
            <w:r w:rsidRPr="00C806D0">
              <w:rPr>
                <w:sz w:val="20"/>
                <w:szCs w:val="20"/>
              </w:rPr>
              <w:t>0.501</w:t>
            </w:r>
          </w:p>
          <w:p w:rsidR="004442E4" w:rsidRPr="00C806D0" w:rsidRDefault="004442E4" w:rsidP="004442E4">
            <w:pPr>
              <w:jc w:val="center"/>
              <w:rPr>
                <w:sz w:val="20"/>
                <w:szCs w:val="20"/>
              </w:rPr>
            </w:pPr>
            <w:r w:rsidRPr="00C806D0">
              <w:rPr>
                <w:sz w:val="20"/>
                <w:szCs w:val="20"/>
              </w:rPr>
              <w:t>(0.30)</w:t>
            </w:r>
          </w:p>
        </w:tc>
        <w:tc>
          <w:tcPr>
            <w:tcW w:w="541" w:type="pct"/>
          </w:tcPr>
          <w:p w:rsidR="004442E4" w:rsidRPr="00C806D0" w:rsidRDefault="004442E4" w:rsidP="004442E4">
            <w:pPr>
              <w:jc w:val="center"/>
              <w:rPr>
                <w:sz w:val="20"/>
                <w:szCs w:val="20"/>
              </w:rPr>
            </w:pPr>
            <w:r w:rsidRPr="00C806D0">
              <w:rPr>
                <w:sz w:val="20"/>
                <w:szCs w:val="20"/>
              </w:rPr>
              <w:t>0.670</w:t>
            </w:r>
          </w:p>
          <w:p w:rsidR="004442E4" w:rsidRPr="00C806D0" w:rsidRDefault="004442E4" w:rsidP="004442E4">
            <w:pPr>
              <w:jc w:val="center"/>
              <w:rPr>
                <w:sz w:val="20"/>
                <w:szCs w:val="20"/>
              </w:rPr>
            </w:pPr>
            <w:r w:rsidRPr="00C806D0">
              <w:rPr>
                <w:sz w:val="20"/>
                <w:szCs w:val="20"/>
              </w:rPr>
              <w:t>(0.27)</w:t>
            </w:r>
          </w:p>
        </w:tc>
        <w:tc>
          <w:tcPr>
            <w:tcW w:w="577" w:type="pct"/>
          </w:tcPr>
          <w:p w:rsidR="004442E4" w:rsidRPr="00C806D0" w:rsidRDefault="004442E4" w:rsidP="004442E4">
            <w:pPr>
              <w:jc w:val="center"/>
              <w:rPr>
                <w:sz w:val="20"/>
                <w:szCs w:val="20"/>
              </w:rPr>
            </w:pPr>
            <w:r w:rsidRPr="00C806D0">
              <w:rPr>
                <w:sz w:val="20"/>
                <w:szCs w:val="20"/>
              </w:rPr>
              <w:t>0.741</w:t>
            </w:r>
          </w:p>
          <w:p w:rsidR="004442E4" w:rsidRPr="00C806D0" w:rsidRDefault="004442E4" w:rsidP="004442E4">
            <w:pPr>
              <w:jc w:val="center"/>
              <w:rPr>
                <w:sz w:val="20"/>
                <w:szCs w:val="20"/>
              </w:rPr>
            </w:pPr>
            <w:r w:rsidRPr="00C806D0">
              <w:rPr>
                <w:sz w:val="20"/>
                <w:szCs w:val="20"/>
              </w:rPr>
              <w:t>(0.26)</w:t>
            </w:r>
          </w:p>
        </w:tc>
        <w:tc>
          <w:tcPr>
            <w:tcW w:w="577" w:type="pct"/>
          </w:tcPr>
          <w:p w:rsidR="004442E4" w:rsidRPr="00C806D0" w:rsidRDefault="004442E4" w:rsidP="004442E4">
            <w:pPr>
              <w:jc w:val="center"/>
              <w:rPr>
                <w:sz w:val="20"/>
                <w:szCs w:val="20"/>
              </w:rPr>
            </w:pPr>
            <w:r w:rsidRPr="00C806D0">
              <w:rPr>
                <w:sz w:val="20"/>
                <w:szCs w:val="20"/>
              </w:rPr>
              <w:t>0.859</w:t>
            </w:r>
          </w:p>
          <w:p w:rsidR="004442E4" w:rsidRPr="00C806D0" w:rsidRDefault="004442E4" w:rsidP="004442E4">
            <w:pPr>
              <w:jc w:val="center"/>
              <w:rPr>
                <w:sz w:val="20"/>
                <w:szCs w:val="20"/>
              </w:rPr>
            </w:pPr>
            <w:r w:rsidRPr="00C806D0">
              <w:rPr>
                <w:sz w:val="20"/>
                <w:szCs w:val="20"/>
              </w:rPr>
              <w:t>(0.17)</w:t>
            </w:r>
          </w:p>
        </w:tc>
        <w:tc>
          <w:tcPr>
            <w:tcW w:w="525" w:type="pct"/>
          </w:tcPr>
          <w:p w:rsidR="004442E4" w:rsidRPr="00C806D0" w:rsidRDefault="004442E4" w:rsidP="004442E4">
            <w:pPr>
              <w:jc w:val="center"/>
              <w:rPr>
                <w:sz w:val="20"/>
                <w:szCs w:val="20"/>
              </w:rPr>
            </w:pPr>
            <w:r w:rsidRPr="00C806D0">
              <w:rPr>
                <w:sz w:val="20"/>
                <w:szCs w:val="20"/>
              </w:rPr>
              <w:t>0.916</w:t>
            </w:r>
          </w:p>
          <w:p w:rsidR="004442E4" w:rsidRPr="00C806D0" w:rsidRDefault="004442E4" w:rsidP="004442E4">
            <w:pPr>
              <w:jc w:val="center"/>
              <w:rPr>
                <w:sz w:val="20"/>
                <w:szCs w:val="20"/>
              </w:rPr>
            </w:pPr>
            <w:r w:rsidRPr="00C806D0">
              <w:rPr>
                <w:sz w:val="20"/>
                <w:szCs w:val="20"/>
              </w:rPr>
              <w:t>(0.14)</w:t>
            </w:r>
          </w:p>
        </w:tc>
        <w:tc>
          <w:tcPr>
            <w:tcW w:w="527" w:type="pct"/>
          </w:tcPr>
          <w:p w:rsidR="004442E4" w:rsidRPr="00C806D0" w:rsidRDefault="004442E4" w:rsidP="004442E4">
            <w:pPr>
              <w:jc w:val="center"/>
              <w:rPr>
                <w:sz w:val="20"/>
                <w:szCs w:val="20"/>
              </w:rPr>
            </w:pPr>
            <w:r w:rsidRPr="00C806D0">
              <w:rPr>
                <w:sz w:val="20"/>
                <w:szCs w:val="20"/>
              </w:rPr>
              <w:t>0.970</w:t>
            </w:r>
          </w:p>
          <w:p w:rsidR="004442E4" w:rsidRPr="00C806D0" w:rsidRDefault="004442E4" w:rsidP="004442E4">
            <w:pPr>
              <w:jc w:val="center"/>
              <w:rPr>
                <w:sz w:val="20"/>
                <w:szCs w:val="20"/>
              </w:rPr>
            </w:pPr>
            <w:r w:rsidRPr="00C806D0">
              <w:rPr>
                <w:sz w:val="20"/>
                <w:szCs w:val="20"/>
              </w:rPr>
              <w:t>(0.08)</w:t>
            </w:r>
          </w:p>
        </w:tc>
      </w:tr>
      <w:tr w:rsidR="004442E4" w:rsidRPr="00C806D0" w:rsidTr="008110E5">
        <w:trPr>
          <w:jc w:val="center"/>
        </w:trPr>
        <w:tc>
          <w:tcPr>
            <w:tcW w:w="712" w:type="pct"/>
          </w:tcPr>
          <w:p w:rsidR="004442E4" w:rsidRPr="00C806D0" w:rsidRDefault="004442E4" w:rsidP="004442E4">
            <w:pPr>
              <w:rPr>
                <w:b/>
                <w:sz w:val="20"/>
                <w:szCs w:val="20"/>
              </w:rPr>
            </w:pPr>
            <w:r w:rsidRPr="00C806D0">
              <w:rPr>
                <w:b/>
                <w:sz w:val="20"/>
                <w:szCs w:val="20"/>
              </w:rPr>
              <w:t>Netherlands</w:t>
            </w:r>
          </w:p>
          <w:p w:rsidR="004442E4" w:rsidRPr="00C806D0" w:rsidRDefault="004442E4" w:rsidP="004442E4">
            <w:pPr>
              <w:rPr>
                <w:b/>
                <w:sz w:val="20"/>
                <w:szCs w:val="20"/>
              </w:rPr>
            </w:pPr>
          </w:p>
        </w:tc>
        <w:tc>
          <w:tcPr>
            <w:tcW w:w="489" w:type="pct"/>
          </w:tcPr>
          <w:p w:rsidR="004442E4" w:rsidRPr="00C806D0" w:rsidRDefault="004442E4" w:rsidP="004442E4">
            <w:pPr>
              <w:jc w:val="center"/>
              <w:rPr>
                <w:sz w:val="20"/>
                <w:szCs w:val="20"/>
              </w:rPr>
            </w:pPr>
            <w:r w:rsidRPr="00C806D0">
              <w:rPr>
                <w:sz w:val="20"/>
                <w:szCs w:val="20"/>
              </w:rPr>
              <w:t xml:space="preserve">0 </w:t>
            </w:r>
          </w:p>
          <w:p w:rsidR="004442E4" w:rsidRPr="00C806D0" w:rsidRDefault="004442E4" w:rsidP="004442E4">
            <w:pPr>
              <w:jc w:val="center"/>
              <w:rPr>
                <w:sz w:val="20"/>
                <w:szCs w:val="20"/>
              </w:rPr>
            </w:pPr>
            <w:r w:rsidRPr="00C806D0">
              <w:rPr>
                <w:sz w:val="20"/>
                <w:szCs w:val="20"/>
              </w:rPr>
              <w:t>(-)</w:t>
            </w:r>
          </w:p>
          <w:p w:rsidR="004442E4" w:rsidRPr="00C806D0" w:rsidRDefault="004442E4" w:rsidP="004442E4">
            <w:pPr>
              <w:jc w:val="center"/>
              <w:rPr>
                <w:sz w:val="20"/>
                <w:szCs w:val="20"/>
              </w:rPr>
            </w:pPr>
          </w:p>
        </w:tc>
        <w:tc>
          <w:tcPr>
            <w:tcW w:w="569" w:type="pct"/>
          </w:tcPr>
          <w:p w:rsidR="004442E4" w:rsidRPr="00C806D0" w:rsidRDefault="004442E4" w:rsidP="004442E4">
            <w:pPr>
              <w:jc w:val="center"/>
              <w:rPr>
                <w:sz w:val="20"/>
                <w:szCs w:val="20"/>
              </w:rPr>
            </w:pPr>
            <w:r w:rsidRPr="00C806D0">
              <w:rPr>
                <w:sz w:val="20"/>
                <w:szCs w:val="20"/>
              </w:rPr>
              <w:t>0.125</w:t>
            </w:r>
          </w:p>
          <w:p w:rsidR="004442E4" w:rsidRPr="00C806D0" w:rsidRDefault="004442E4" w:rsidP="004442E4">
            <w:pPr>
              <w:jc w:val="center"/>
              <w:rPr>
                <w:sz w:val="20"/>
                <w:szCs w:val="20"/>
              </w:rPr>
            </w:pPr>
            <w:r w:rsidRPr="00C806D0">
              <w:rPr>
                <w:sz w:val="20"/>
                <w:szCs w:val="20"/>
              </w:rPr>
              <w:t>(0.18)</w:t>
            </w:r>
          </w:p>
        </w:tc>
        <w:tc>
          <w:tcPr>
            <w:tcW w:w="484" w:type="pct"/>
          </w:tcPr>
          <w:p w:rsidR="004442E4" w:rsidRPr="00C806D0" w:rsidRDefault="004442E4" w:rsidP="004442E4">
            <w:pPr>
              <w:jc w:val="center"/>
              <w:rPr>
                <w:sz w:val="20"/>
                <w:szCs w:val="20"/>
              </w:rPr>
            </w:pPr>
            <w:r w:rsidRPr="00C806D0">
              <w:rPr>
                <w:sz w:val="20"/>
                <w:szCs w:val="20"/>
              </w:rPr>
              <w:t>0.432</w:t>
            </w:r>
          </w:p>
          <w:p w:rsidR="004442E4" w:rsidRPr="00C806D0" w:rsidRDefault="004442E4" w:rsidP="004442E4">
            <w:pPr>
              <w:jc w:val="center"/>
              <w:rPr>
                <w:sz w:val="20"/>
                <w:szCs w:val="20"/>
              </w:rPr>
            </w:pPr>
            <w:r w:rsidRPr="00C806D0">
              <w:rPr>
                <w:sz w:val="20"/>
                <w:szCs w:val="20"/>
              </w:rPr>
              <w:t>(0.29)</w:t>
            </w:r>
          </w:p>
        </w:tc>
        <w:tc>
          <w:tcPr>
            <w:tcW w:w="541" w:type="pct"/>
          </w:tcPr>
          <w:p w:rsidR="004442E4" w:rsidRPr="00C806D0" w:rsidRDefault="004442E4" w:rsidP="004442E4">
            <w:pPr>
              <w:jc w:val="center"/>
              <w:rPr>
                <w:sz w:val="20"/>
                <w:szCs w:val="20"/>
              </w:rPr>
            </w:pPr>
            <w:r w:rsidRPr="00C806D0">
              <w:rPr>
                <w:sz w:val="20"/>
                <w:szCs w:val="20"/>
              </w:rPr>
              <w:t>0.555</w:t>
            </w:r>
          </w:p>
          <w:p w:rsidR="004442E4" w:rsidRPr="00C806D0" w:rsidRDefault="004442E4" w:rsidP="004442E4">
            <w:pPr>
              <w:jc w:val="center"/>
              <w:rPr>
                <w:sz w:val="20"/>
                <w:szCs w:val="20"/>
              </w:rPr>
            </w:pPr>
            <w:r w:rsidRPr="00C806D0">
              <w:rPr>
                <w:sz w:val="20"/>
                <w:szCs w:val="20"/>
              </w:rPr>
              <w:t>(0.28)</w:t>
            </w:r>
          </w:p>
        </w:tc>
        <w:tc>
          <w:tcPr>
            <w:tcW w:w="577" w:type="pct"/>
          </w:tcPr>
          <w:p w:rsidR="004442E4" w:rsidRPr="00C806D0" w:rsidRDefault="004442E4" w:rsidP="004442E4">
            <w:pPr>
              <w:jc w:val="center"/>
              <w:rPr>
                <w:sz w:val="20"/>
                <w:szCs w:val="20"/>
              </w:rPr>
            </w:pPr>
            <w:r w:rsidRPr="00C806D0">
              <w:rPr>
                <w:sz w:val="20"/>
                <w:szCs w:val="20"/>
              </w:rPr>
              <w:t>0.614</w:t>
            </w:r>
          </w:p>
          <w:p w:rsidR="004442E4" w:rsidRPr="00C806D0" w:rsidRDefault="004442E4" w:rsidP="004442E4">
            <w:pPr>
              <w:jc w:val="center"/>
              <w:rPr>
                <w:sz w:val="20"/>
                <w:szCs w:val="20"/>
              </w:rPr>
            </w:pPr>
            <w:r w:rsidRPr="00C806D0">
              <w:rPr>
                <w:sz w:val="20"/>
                <w:szCs w:val="20"/>
              </w:rPr>
              <w:t>(0.28)</w:t>
            </w:r>
          </w:p>
        </w:tc>
        <w:tc>
          <w:tcPr>
            <w:tcW w:w="577" w:type="pct"/>
          </w:tcPr>
          <w:p w:rsidR="004442E4" w:rsidRPr="00C806D0" w:rsidRDefault="004442E4" w:rsidP="004442E4">
            <w:pPr>
              <w:jc w:val="center"/>
              <w:rPr>
                <w:sz w:val="20"/>
                <w:szCs w:val="20"/>
              </w:rPr>
            </w:pPr>
            <w:r w:rsidRPr="00C806D0">
              <w:rPr>
                <w:sz w:val="20"/>
                <w:szCs w:val="20"/>
              </w:rPr>
              <w:t>0.754</w:t>
            </w:r>
          </w:p>
          <w:p w:rsidR="004442E4" w:rsidRPr="00C806D0" w:rsidRDefault="004442E4" w:rsidP="004442E4">
            <w:pPr>
              <w:jc w:val="center"/>
              <w:rPr>
                <w:sz w:val="20"/>
                <w:szCs w:val="20"/>
              </w:rPr>
            </w:pPr>
            <w:r w:rsidRPr="00C806D0">
              <w:rPr>
                <w:sz w:val="20"/>
                <w:szCs w:val="20"/>
              </w:rPr>
              <w:t>(0.20)</w:t>
            </w:r>
          </w:p>
        </w:tc>
        <w:tc>
          <w:tcPr>
            <w:tcW w:w="525" w:type="pct"/>
          </w:tcPr>
          <w:p w:rsidR="004442E4" w:rsidRPr="00C806D0" w:rsidRDefault="004442E4" w:rsidP="004442E4">
            <w:pPr>
              <w:jc w:val="center"/>
              <w:rPr>
                <w:sz w:val="20"/>
                <w:szCs w:val="20"/>
              </w:rPr>
            </w:pPr>
            <w:r w:rsidRPr="00C806D0">
              <w:rPr>
                <w:sz w:val="20"/>
                <w:szCs w:val="20"/>
              </w:rPr>
              <w:t>0.854</w:t>
            </w:r>
          </w:p>
          <w:p w:rsidR="004442E4" w:rsidRPr="00C806D0" w:rsidRDefault="004442E4" w:rsidP="004442E4">
            <w:pPr>
              <w:jc w:val="center"/>
              <w:rPr>
                <w:sz w:val="20"/>
                <w:szCs w:val="20"/>
              </w:rPr>
            </w:pPr>
            <w:r w:rsidRPr="00C806D0">
              <w:rPr>
                <w:sz w:val="20"/>
                <w:szCs w:val="20"/>
              </w:rPr>
              <w:t>(0.17)</w:t>
            </w:r>
          </w:p>
        </w:tc>
        <w:tc>
          <w:tcPr>
            <w:tcW w:w="527" w:type="pct"/>
          </w:tcPr>
          <w:p w:rsidR="004442E4" w:rsidRPr="00C806D0" w:rsidRDefault="004442E4" w:rsidP="004442E4">
            <w:pPr>
              <w:jc w:val="center"/>
              <w:rPr>
                <w:sz w:val="20"/>
                <w:szCs w:val="20"/>
              </w:rPr>
            </w:pPr>
            <w:r w:rsidRPr="00C806D0">
              <w:rPr>
                <w:sz w:val="20"/>
                <w:szCs w:val="20"/>
              </w:rPr>
              <w:t>0.944</w:t>
            </w:r>
          </w:p>
          <w:p w:rsidR="004442E4" w:rsidRPr="00C806D0" w:rsidRDefault="004442E4" w:rsidP="004442E4">
            <w:pPr>
              <w:jc w:val="center"/>
              <w:rPr>
                <w:sz w:val="20"/>
                <w:szCs w:val="20"/>
              </w:rPr>
            </w:pPr>
            <w:r w:rsidRPr="00C806D0">
              <w:rPr>
                <w:sz w:val="20"/>
                <w:szCs w:val="20"/>
              </w:rPr>
              <w:t>(0.11)</w:t>
            </w:r>
          </w:p>
        </w:tc>
      </w:tr>
      <w:tr w:rsidR="004442E4" w:rsidRPr="00C806D0" w:rsidTr="008110E5">
        <w:trPr>
          <w:jc w:val="center"/>
        </w:trPr>
        <w:tc>
          <w:tcPr>
            <w:tcW w:w="712" w:type="pct"/>
          </w:tcPr>
          <w:p w:rsidR="004442E4" w:rsidRPr="00C806D0" w:rsidRDefault="004442E4" w:rsidP="004442E4">
            <w:pPr>
              <w:rPr>
                <w:b/>
                <w:sz w:val="20"/>
                <w:szCs w:val="20"/>
              </w:rPr>
            </w:pPr>
            <w:r w:rsidRPr="00C806D0">
              <w:rPr>
                <w:b/>
                <w:sz w:val="20"/>
                <w:szCs w:val="20"/>
              </w:rPr>
              <w:t>Spain</w:t>
            </w:r>
          </w:p>
          <w:p w:rsidR="004442E4" w:rsidRPr="00C806D0" w:rsidRDefault="004442E4" w:rsidP="004442E4">
            <w:pPr>
              <w:rPr>
                <w:b/>
                <w:sz w:val="20"/>
                <w:szCs w:val="20"/>
              </w:rPr>
            </w:pPr>
          </w:p>
        </w:tc>
        <w:tc>
          <w:tcPr>
            <w:tcW w:w="489" w:type="pct"/>
          </w:tcPr>
          <w:p w:rsidR="004442E4" w:rsidRPr="00C806D0" w:rsidRDefault="004442E4" w:rsidP="004442E4">
            <w:pPr>
              <w:jc w:val="center"/>
              <w:rPr>
                <w:sz w:val="20"/>
                <w:szCs w:val="20"/>
              </w:rPr>
            </w:pPr>
            <w:r w:rsidRPr="00C806D0">
              <w:rPr>
                <w:sz w:val="20"/>
                <w:szCs w:val="20"/>
              </w:rPr>
              <w:t xml:space="preserve">0 </w:t>
            </w:r>
          </w:p>
          <w:p w:rsidR="004442E4" w:rsidRPr="00C806D0" w:rsidRDefault="004442E4" w:rsidP="004442E4">
            <w:pPr>
              <w:jc w:val="center"/>
              <w:rPr>
                <w:sz w:val="20"/>
                <w:szCs w:val="20"/>
              </w:rPr>
            </w:pPr>
            <w:r w:rsidRPr="00C806D0">
              <w:rPr>
                <w:sz w:val="20"/>
                <w:szCs w:val="20"/>
              </w:rPr>
              <w:t>(-)</w:t>
            </w:r>
          </w:p>
          <w:p w:rsidR="004442E4" w:rsidRPr="00C806D0" w:rsidRDefault="004442E4" w:rsidP="004442E4">
            <w:pPr>
              <w:jc w:val="center"/>
              <w:rPr>
                <w:sz w:val="20"/>
                <w:szCs w:val="20"/>
              </w:rPr>
            </w:pPr>
          </w:p>
        </w:tc>
        <w:tc>
          <w:tcPr>
            <w:tcW w:w="569" w:type="pct"/>
          </w:tcPr>
          <w:p w:rsidR="004442E4" w:rsidRPr="00C806D0" w:rsidRDefault="004442E4" w:rsidP="004442E4">
            <w:pPr>
              <w:jc w:val="center"/>
              <w:rPr>
                <w:sz w:val="20"/>
                <w:szCs w:val="20"/>
              </w:rPr>
            </w:pPr>
            <w:r w:rsidRPr="00C806D0">
              <w:rPr>
                <w:sz w:val="20"/>
                <w:szCs w:val="20"/>
              </w:rPr>
              <w:t>-0.397</w:t>
            </w:r>
          </w:p>
          <w:p w:rsidR="004442E4" w:rsidRPr="00C806D0" w:rsidRDefault="004442E4" w:rsidP="004442E4">
            <w:pPr>
              <w:jc w:val="center"/>
              <w:rPr>
                <w:sz w:val="20"/>
                <w:szCs w:val="20"/>
              </w:rPr>
            </w:pPr>
            <w:r w:rsidRPr="00C806D0">
              <w:rPr>
                <w:sz w:val="20"/>
                <w:szCs w:val="20"/>
              </w:rPr>
              <w:t>(0.13)</w:t>
            </w:r>
          </w:p>
        </w:tc>
        <w:tc>
          <w:tcPr>
            <w:tcW w:w="484" w:type="pct"/>
          </w:tcPr>
          <w:p w:rsidR="004442E4" w:rsidRPr="00C806D0" w:rsidRDefault="004442E4" w:rsidP="004442E4">
            <w:pPr>
              <w:jc w:val="center"/>
              <w:rPr>
                <w:sz w:val="20"/>
                <w:szCs w:val="20"/>
              </w:rPr>
            </w:pPr>
            <w:r w:rsidRPr="00C806D0">
              <w:rPr>
                <w:sz w:val="20"/>
                <w:szCs w:val="20"/>
              </w:rPr>
              <w:t>0.269</w:t>
            </w:r>
          </w:p>
          <w:p w:rsidR="004442E4" w:rsidRPr="00C806D0" w:rsidRDefault="004442E4" w:rsidP="004442E4">
            <w:pPr>
              <w:jc w:val="center"/>
              <w:rPr>
                <w:sz w:val="20"/>
                <w:szCs w:val="20"/>
              </w:rPr>
            </w:pPr>
            <w:r w:rsidRPr="00C806D0">
              <w:rPr>
                <w:sz w:val="20"/>
                <w:szCs w:val="20"/>
              </w:rPr>
              <w:t>(0.40)</w:t>
            </w:r>
          </w:p>
        </w:tc>
        <w:tc>
          <w:tcPr>
            <w:tcW w:w="541" w:type="pct"/>
          </w:tcPr>
          <w:p w:rsidR="004442E4" w:rsidRPr="00C806D0" w:rsidRDefault="004442E4" w:rsidP="004442E4">
            <w:pPr>
              <w:jc w:val="center"/>
              <w:rPr>
                <w:sz w:val="20"/>
                <w:szCs w:val="20"/>
              </w:rPr>
            </w:pPr>
            <w:r w:rsidRPr="00C806D0">
              <w:rPr>
                <w:sz w:val="20"/>
                <w:szCs w:val="20"/>
              </w:rPr>
              <w:t>0.525</w:t>
            </w:r>
          </w:p>
          <w:p w:rsidR="004442E4" w:rsidRPr="00C806D0" w:rsidRDefault="004442E4" w:rsidP="004442E4">
            <w:pPr>
              <w:jc w:val="center"/>
              <w:rPr>
                <w:sz w:val="20"/>
                <w:szCs w:val="20"/>
              </w:rPr>
            </w:pPr>
            <w:r w:rsidRPr="00C806D0">
              <w:rPr>
                <w:sz w:val="20"/>
                <w:szCs w:val="20"/>
              </w:rPr>
              <w:t>(0.30)</w:t>
            </w:r>
          </w:p>
        </w:tc>
        <w:tc>
          <w:tcPr>
            <w:tcW w:w="577" w:type="pct"/>
          </w:tcPr>
          <w:p w:rsidR="004442E4" w:rsidRPr="00C806D0" w:rsidRDefault="004442E4" w:rsidP="004442E4">
            <w:pPr>
              <w:jc w:val="center"/>
              <w:rPr>
                <w:sz w:val="20"/>
                <w:szCs w:val="20"/>
              </w:rPr>
            </w:pPr>
            <w:r w:rsidRPr="00C806D0">
              <w:rPr>
                <w:sz w:val="20"/>
                <w:szCs w:val="20"/>
              </w:rPr>
              <w:t>0.634</w:t>
            </w:r>
          </w:p>
          <w:p w:rsidR="004442E4" w:rsidRPr="00C806D0" w:rsidRDefault="004442E4" w:rsidP="004442E4">
            <w:pPr>
              <w:jc w:val="center"/>
              <w:rPr>
                <w:sz w:val="20"/>
                <w:szCs w:val="20"/>
              </w:rPr>
            </w:pPr>
            <w:r w:rsidRPr="00C806D0">
              <w:rPr>
                <w:sz w:val="20"/>
                <w:szCs w:val="20"/>
              </w:rPr>
              <w:t>(0.28)</w:t>
            </w:r>
          </w:p>
        </w:tc>
        <w:tc>
          <w:tcPr>
            <w:tcW w:w="577" w:type="pct"/>
          </w:tcPr>
          <w:p w:rsidR="004442E4" w:rsidRPr="00C806D0" w:rsidRDefault="004442E4" w:rsidP="004442E4">
            <w:pPr>
              <w:jc w:val="center"/>
              <w:rPr>
                <w:sz w:val="20"/>
                <w:szCs w:val="20"/>
              </w:rPr>
            </w:pPr>
            <w:r w:rsidRPr="00C806D0">
              <w:rPr>
                <w:sz w:val="20"/>
                <w:szCs w:val="20"/>
              </w:rPr>
              <w:t>0.776</w:t>
            </w:r>
          </w:p>
          <w:p w:rsidR="004442E4" w:rsidRPr="00C806D0" w:rsidRDefault="004442E4" w:rsidP="004442E4">
            <w:pPr>
              <w:jc w:val="center"/>
              <w:rPr>
                <w:sz w:val="20"/>
                <w:szCs w:val="20"/>
              </w:rPr>
            </w:pPr>
            <w:r w:rsidRPr="00C806D0">
              <w:rPr>
                <w:sz w:val="20"/>
                <w:szCs w:val="20"/>
              </w:rPr>
              <w:t>(0.20)</w:t>
            </w:r>
          </w:p>
        </w:tc>
        <w:tc>
          <w:tcPr>
            <w:tcW w:w="525" w:type="pct"/>
          </w:tcPr>
          <w:p w:rsidR="004442E4" w:rsidRPr="00C806D0" w:rsidRDefault="004442E4" w:rsidP="004442E4">
            <w:pPr>
              <w:jc w:val="center"/>
              <w:rPr>
                <w:sz w:val="20"/>
                <w:szCs w:val="20"/>
              </w:rPr>
            </w:pPr>
            <w:r w:rsidRPr="00C806D0">
              <w:rPr>
                <w:sz w:val="20"/>
                <w:szCs w:val="20"/>
              </w:rPr>
              <w:t>0.870</w:t>
            </w:r>
          </w:p>
          <w:p w:rsidR="004442E4" w:rsidRPr="00C806D0" w:rsidRDefault="004442E4" w:rsidP="004442E4">
            <w:pPr>
              <w:jc w:val="center"/>
              <w:rPr>
                <w:sz w:val="20"/>
                <w:szCs w:val="20"/>
              </w:rPr>
            </w:pPr>
            <w:r w:rsidRPr="00C806D0">
              <w:rPr>
                <w:sz w:val="20"/>
                <w:szCs w:val="20"/>
              </w:rPr>
              <w:t>(0.16)</w:t>
            </w:r>
          </w:p>
        </w:tc>
        <w:tc>
          <w:tcPr>
            <w:tcW w:w="527" w:type="pct"/>
          </w:tcPr>
          <w:p w:rsidR="004442E4" w:rsidRPr="00C806D0" w:rsidRDefault="004442E4" w:rsidP="004442E4">
            <w:pPr>
              <w:jc w:val="center"/>
              <w:rPr>
                <w:sz w:val="20"/>
                <w:szCs w:val="20"/>
              </w:rPr>
            </w:pPr>
            <w:r w:rsidRPr="00C806D0">
              <w:rPr>
                <w:sz w:val="20"/>
                <w:szCs w:val="20"/>
              </w:rPr>
              <w:t>0.952</w:t>
            </w:r>
          </w:p>
          <w:p w:rsidR="004442E4" w:rsidRPr="00C806D0" w:rsidRDefault="004442E4" w:rsidP="004442E4">
            <w:pPr>
              <w:jc w:val="center"/>
              <w:rPr>
                <w:sz w:val="20"/>
                <w:szCs w:val="20"/>
              </w:rPr>
            </w:pPr>
            <w:r w:rsidRPr="00C806D0">
              <w:rPr>
                <w:sz w:val="20"/>
                <w:szCs w:val="20"/>
              </w:rPr>
              <w:t>(0.10)</w:t>
            </w:r>
          </w:p>
        </w:tc>
      </w:tr>
      <w:tr w:rsidR="004442E4" w:rsidRPr="00C806D0" w:rsidTr="008110E5">
        <w:trPr>
          <w:jc w:val="center"/>
        </w:trPr>
        <w:tc>
          <w:tcPr>
            <w:tcW w:w="712" w:type="pct"/>
          </w:tcPr>
          <w:p w:rsidR="004442E4" w:rsidRPr="00C806D0" w:rsidRDefault="004442E4" w:rsidP="004442E4">
            <w:pPr>
              <w:rPr>
                <w:b/>
                <w:sz w:val="20"/>
                <w:szCs w:val="20"/>
              </w:rPr>
            </w:pPr>
            <w:r w:rsidRPr="00C806D0">
              <w:rPr>
                <w:b/>
                <w:sz w:val="20"/>
                <w:szCs w:val="20"/>
              </w:rPr>
              <w:t>Japan</w:t>
            </w:r>
          </w:p>
          <w:p w:rsidR="004442E4" w:rsidRPr="00C806D0" w:rsidRDefault="004442E4" w:rsidP="004442E4">
            <w:pPr>
              <w:rPr>
                <w:b/>
                <w:sz w:val="20"/>
                <w:szCs w:val="20"/>
              </w:rPr>
            </w:pPr>
          </w:p>
        </w:tc>
        <w:tc>
          <w:tcPr>
            <w:tcW w:w="489" w:type="pct"/>
          </w:tcPr>
          <w:p w:rsidR="004442E4" w:rsidRPr="00C806D0" w:rsidRDefault="004442E4" w:rsidP="004442E4">
            <w:pPr>
              <w:jc w:val="center"/>
              <w:rPr>
                <w:sz w:val="20"/>
                <w:szCs w:val="20"/>
              </w:rPr>
            </w:pPr>
            <w:r w:rsidRPr="00C806D0">
              <w:rPr>
                <w:sz w:val="20"/>
                <w:szCs w:val="20"/>
              </w:rPr>
              <w:t xml:space="preserve">0 </w:t>
            </w:r>
          </w:p>
          <w:p w:rsidR="004442E4" w:rsidRPr="00C806D0" w:rsidRDefault="004442E4" w:rsidP="004442E4">
            <w:pPr>
              <w:jc w:val="center"/>
              <w:rPr>
                <w:sz w:val="20"/>
                <w:szCs w:val="20"/>
              </w:rPr>
            </w:pPr>
            <w:r w:rsidRPr="00C806D0">
              <w:rPr>
                <w:sz w:val="20"/>
                <w:szCs w:val="20"/>
              </w:rPr>
              <w:t>(-)</w:t>
            </w:r>
          </w:p>
          <w:p w:rsidR="004442E4" w:rsidRPr="00C806D0" w:rsidRDefault="004442E4" w:rsidP="004442E4">
            <w:pPr>
              <w:jc w:val="center"/>
              <w:rPr>
                <w:sz w:val="20"/>
                <w:szCs w:val="20"/>
              </w:rPr>
            </w:pPr>
          </w:p>
        </w:tc>
        <w:tc>
          <w:tcPr>
            <w:tcW w:w="569" w:type="pct"/>
          </w:tcPr>
          <w:p w:rsidR="004442E4" w:rsidRPr="00C806D0" w:rsidRDefault="004442E4" w:rsidP="004442E4">
            <w:pPr>
              <w:jc w:val="center"/>
              <w:rPr>
                <w:sz w:val="20"/>
                <w:szCs w:val="20"/>
              </w:rPr>
            </w:pPr>
            <w:r w:rsidRPr="00C806D0">
              <w:rPr>
                <w:sz w:val="20"/>
                <w:szCs w:val="20"/>
              </w:rPr>
              <w:t>0.072</w:t>
            </w:r>
          </w:p>
          <w:p w:rsidR="004442E4" w:rsidRPr="00C806D0" w:rsidRDefault="004442E4" w:rsidP="004442E4">
            <w:pPr>
              <w:jc w:val="center"/>
              <w:rPr>
                <w:sz w:val="20"/>
                <w:szCs w:val="20"/>
              </w:rPr>
            </w:pPr>
            <w:r w:rsidRPr="00C806D0">
              <w:rPr>
                <w:sz w:val="20"/>
                <w:szCs w:val="20"/>
              </w:rPr>
              <w:t>(0.10)</w:t>
            </w:r>
          </w:p>
        </w:tc>
        <w:tc>
          <w:tcPr>
            <w:tcW w:w="484" w:type="pct"/>
          </w:tcPr>
          <w:p w:rsidR="004442E4" w:rsidRPr="00C806D0" w:rsidRDefault="004442E4" w:rsidP="004442E4">
            <w:pPr>
              <w:jc w:val="center"/>
              <w:rPr>
                <w:sz w:val="20"/>
                <w:szCs w:val="20"/>
              </w:rPr>
            </w:pPr>
            <w:r w:rsidRPr="00C806D0">
              <w:rPr>
                <w:sz w:val="20"/>
                <w:szCs w:val="20"/>
              </w:rPr>
              <w:t>0.493</w:t>
            </w:r>
          </w:p>
          <w:p w:rsidR="004442E4" w:rsidRPr="00C806D0" w:rsidRDefault="004442E4" w:rsidP="004442E4">
            <w:pPr>
              <w:jc w:val="center"/>
              <w:rPr>
                <w:sz w:val="20"/>
                <w:szCs w:val="20"/>
              </w:rPr>
            </w:pPr>
            <w:r w:rsidRPr="00C806D0">
              <w:rPr>
                <w:sz w:val="20"/>
                <w:szCs w:val="20"/>
              </w:rPr>
              <w:t>(0.21)</w:t>
            </w:r>
          </w:p>
        </w:tc>
        <w:tc>
          <w:tcPr>
            <w:tcW w:w="541" w:type="pct"/>
          </w:tcPr>
          <w:p w:rsidR="004442E4" w:rsidRPr="00C806D0" w:rsidRDefault="004442E4" w:rsidP="004442E4">
            <w:pPr>
              <w:jc w:val="center"/>
              <w:rPr>
                <w:sz w:val="20"/>
                <w:szCs w:val="20"/>
              </w:rPr>
            </w:pPr>
            <w:r w:rsidRPr="00C806D0">
              <w:rPr>
                <w:sz w:val="20"/>
                <w:szCs w:val="20"/>
              </w:rPr>
              <w:t>0.605</w:t>
            </w:r>
          </w:p>
          <w:p w:rsidR="004442E4" w:rsidRPr="00C806D0" w:rsidRDefault="004442E4" w:rsidP="004442E4">
            <w:pPr>
              <w:jc w:val="center"/>
              <w:rPr>
                <w:sz w:val="20"/>
                <w:szCs w:val="20"/>
              </w:rPr>
            </w:pPr>
            <w:r w:rsidRPr="00C806D0">
              <w:rPr>
                <w:sz w:val="20"/>
                <w:szCs w:val="20"/>
              </w:rPr>
              <w:t>(0.15)</w:t>
            </w:r>
          </w:p>
        </w:tc>
        <w:tc>
          <w:tcPr>
            <w:tcW w:w="577" w:type="pct"/>
          </w:tcPr>
          <w:p w:rsidR="004442E4" w:rsidRPr="00C806D0" w:rsidRDefault="004442E4" w:rsidP="004442E4">
            <w:pPr>
              <w:jc w:val="center"/>
              <w:rPr>
                <w:sz w:val="20"/>
                <w:szCs w:val="20"/>
              </w:rPr>
            </w:pPr>
            <w:r w:rsidRPr="00C806D0">
              <w:rPr>
                <w:sz w:val="20"/>
                <w:szCs w:val="20"/>
              </w:rPr>
              <w:t>0.666</w:t>
            </w:r>
          </w:p>
          <w:p w:rsidR="004442E4" w:rsidRPr="00C806D0" w:rsidRDefault="004442E4" w:rsidP="004442E4">
            <w:pPr>
              <w:jc w:val="center"/>
              <w:rPr>
                <w:sz w:val="20"/>
                <w:szCs w:val="20"/>
              </w:rPr>
            </w:pPr>
            <w:r w:rsidRPr="00C806D0">
              <w:rPr>
                <w:sz w:val="20"/>
                <w:szCs w:val="20"/>
              </w:rPr>
              <w:t>(0.14)</w:t>
            </w:r>
          </w:p>
        </w:tc>
        <w:tc>
          <w:tcPr>
            <w:tcW w:w="577" w:type="pct"/>
          </w:tcPr>
          <w:p w:rsidR="004442E4" w:rsidRPr="00C806D0" w:rsidRDefault="004442E4" w:rsidP="004442E4">
            <w:pPr>
              <w:jc w:val="center"/>
              <w:rPr>
                <w:sz w:val="20"/>
                <w:szCs w:val="20"/>
              </w:rPr>
            </w:pPr>
            <w:r w:rsidRPr="00C806D0">
              <w:rPr>
                <w:sz w:val="20"/>
                <w:szCs w:val="20"/>
              </w:rPr>
              <w:t>0.741</w:t>
            </w:r>
          </w:p>
          <w:p w:rsidR="004442E4" w:rsidRPr="00C806D0" w:rsidRDefault="004442E4" w:rsidP="004442E4">
            <w:pPr>
              <w:jc w:val="center"/>
              <w:rPr>
                <w:sz w:val="20"/>
                <w:szCs w:val="20"/>
              </w:rPr>
            </w:pPr>
            <w:r w:rsidRPr="00C806D0">
              <w:rPr>
                <w:sz w:val="20"/>
                <w:szCs w:val="20"/>
              </w:rPr>
              <w:t>(0.138)</w:t>
            </w:r>
          </w:p>
        </w:tc>
        <w:tc>
          <w:tcPr>
            <w:tcW w:w="525" w:type="pct"/>
          </w:tcPr>
          <w:p w:rsidR="004442E4" w:rsidRPr="00C806D0" w:rsidRDefault="004442E4" w:rsidP="004442E4">
            <w:pPr>
              <w:jc w:val="center"/>
              <w:rPr>
                <w:sz w:val="20"/>
                <w:szCs w:val="20"/>
              </w:rPr>
            </w:pPr>
            <w:r w:rsidRPr="00C806D0">
              <w:rPr>
                <w:sz w:val="20"/>
                <w:szCs w:val="20"/>
              </w:rPr>
              <w:t>0.828</w:t>
            </w:r>
          </w:p>
          <w:p w:rsidR="004442E4" w:rsidRPr="00C806D0" w:rsidRDefault="004442E4" w:rsidP="004442E4">
            <w:pPr>
              <w:jc w:val="center"/>
              <w:rPr>
                <w:sz w:val="20"/>
                <w:szCs w:val="20"/>
              </w:rPr>
            </w:pPr>
            <w:r w:rsidRPr="00C806D0">
              <w:rPr>
                <w:sz w:val="20"/>
                <w:szCs w:val="20"/>
              </w:rPr>
              <w:t>(0.15)</w:t>
            </w:r>
          </w:p>
        </w:tc>
        <w:tc>
          <w:tcPr>
            <w:tcW w:w="527" w:type="pct"/>
          </w:tcPr>
          <w:p w:rsidR="004442E4" w:rsidRPr="00C806D0" w:rsidRDefault="004442E4" w:rsidP="004442E4">
            <w:pPr>
              <w:jc w:val="center"/>
              <w:rPr>
                <w:sz w:val="20"/>
                <w:szCs w:val="20"/>
              </w:rPr>
            </w:pPr>
            <w:r w:rsidRPr="00C806D0">
              <w:rPr>
                <w:sz w:val="20"/>
                <w:szCs w:val="20"/>
              </w:rPr>
              <w:t>0.926</w:t>
            </w:r>
          </w:p>
          <w:p w:rsidR="004442E4" w:rsidRPr="00C806D0" w:rsidRDefault="004442E4" w:rsidP="004442E4">
            <w:pPr>
              <w:jc w:val="center"/>
              <w:rPr>
                <w:sz w:val="20"/>
                <w:szCs w:val="20"/>
              </w:rPr>
            </w:pPr>
            <w:r w:rsidRPr="00C806D0">
              <w:rPr>
                <w:sz w:val="20"/>
                <w:szCs w:val="20"/>
              </w:rPr>
              <w:t>(0.12)</w:t>
            </w:r>
          </w:p>
        </w:tc>
      </w:tr>
      <w:tr w:rsidR="004442E4" w:rsidRPr="00C806D0" w:rsidTr="008110E5">
        <w:trPr>
          <w:jc w:val="center"/>
        </w:trPr>
        <w:tc>
          <w:tcPr>
            <w:tcW w:w="712" w:type="pct"/>
          </w:tcPr>
          <w:p w:rsidR="004442E4" w:rsidRPr="00C806D0" w:rsidRDefault="004442E4" w:rsidP="004442E4">
            <w:pPr>
              <w:rPr>
                <w:b/>
                <w:sz w:val="20"/>
                <w:szCs w:val="20"/>
              </w:rPr>
            </w:pPr>
            <w:r w:rsidRPr="00C806D0">
              <w:rPr>
                <w:b/>
                <w:sz w:val="20"/>
                <w:szCs w:val="20"/>
              </w:rPr>
              <w:t>United States</w:t>
            </w:r>
          </w:p>
          <w:p w:rsidR="004442E4" w:rsidRPr="00C806D0" w:rsidRDefault="004442E4" w:rsidP="004442E4">
            <w:pPr>
              <w:rPr>
                <w:b/>
                <w:sz w:val="20"/>
                <w:szCs w:val="20"/>
              </w:rPr>
            </w:pPr>
          </w:p>
        </w:tc>
        <w:tc>
          <w:tcPr>
            <w:tcW w:w="489" w:type="pct"/>
          </w:tcPr>
          <w:p w:rsidR="004442E4" w:rsidRPr="00C806D0" w:rsidRDefault="004442E4" w:rsidP="004442E4">
            <w:pPr>
              <w:jc w:val="center"/>
              <w:rPr>
                <w:sz w:val="20"/>
                <w:szCs w:val="20"/>
              </w:rPr>
            </w:pPr>
            <w:r w:rsidRPr="00C806D0">
              <w:rPr>
                <w:sz w:val="20"/>
                <w:szCs w:val="20"/>
              </w:rPr>
              <w:t>0</w:t>
            </w:r>
          </w:p>
          <w:p w:rsidR="004442E4" w:rsidRPr="00C806D0" w:rsidRDefault="004442E4" w:rsidP="004442E4">
            <w:pPr>
              <w:jc w:val="center"/>
              <w:rPr>
                <w:sz w:val="20"/>
                <w:szCs w:val="20"/>
              </w:rPr>
            </w:pPr>
            <w:r w:rsidRPr="00C806D0">
              <w:rPr>
                <w:sz w:val="20"/>
                <w:szCs w:val="20"/>
              </w:rPr>
              <w:t>(-)</w:t>
            </w:r>
          </w:p>
          <w:p w:rsidR="004442E4" w:rsidRPr="00C806D0" w:rsidRDefault="004442E4" w:rsidP="004442E4">
            <w:pPr>
              <w:jc w:val="center"/>
              <w:rPr>
                <w:sz w:val="20"/>
                <w:szCs w:val="20"/>
              </w:rPr>
            </w:pPr>
          </w:p>
        </w:tc>
        <w:tc>
          <w:tcPr>
            <w:tcW w:w="569" w:type="pct"/>
          </w:tcPr>
          <w:p w:rsidR="004442E4" w:rsidRPr="00C806D0" w:rsidRDefault="004442E4" w:rsidP="004442E4">
            <w:pPr>
              <w:jc w:val="center"/>
              <w:rPr>
                <w:sz w:val="20"/>
                <w:szCs w:val="20"/>
              </w:rPr>
            </w:pPr>
            <w:r w:rsidRPr="00C806D0">
              <w:rPr>
                <w:sz w:val="20"/>
                <w:szCs w:val="20"/>
              </w:rPr>
              <w:t>0.092</w:t>
            </w:r>
          </w:p>
          <w:p w:rsidR="004442E4" w:rsidRPr="00C806D0" w:rsidRDefault="004442E4" w:rsidP="004442E4">
            <w:pPr>
              <w:jc w:val="center"/>
              <w:rPr>
                <w:sz w:val="20"/>
                <w:szCs w:val="20"/>
              </w:rPr>
            </w:pPr>
            <w:r w:rsidRPr="00C806D0">
              <w:rPr>
                <w:sz w:val="20"/>
                <w:szCs w:val="20"/>
              </w:rPr>
              <w:t>(0.10)</w:t>
            </w:r>
          </w:p>
        </w:tc>
        <w:tc>
          <w:tcPr>
            <w:tcW w:w="484" w:type="pct"/>
          </w:tcPr>
          <w:p w:rsidR="004442E4" w:rsidRPr="00C806D0" w:rsidRDefault="004442E4" w:rsidP="004442E4">
            <w:pPr>
              <w:jc w:val="center"/>
              <w:rPr>
                <w:sz w:val="20"/>
                <w:szCs w:val="20"/>
              </w:rPr>
            </w:pPr>
            <w:r w:rsidRPr="00C806D0">
              <w:rPr>
                <w:sz w:val="20"/>
                <w:szCs w:val="20"/>
              </w:rPr>
              <w:t>0.496</w:t>
            </w:r>
          </w:p>
          <w:p w:rsidR="004442E4" w:rsidRPr="00C806D0" w:rsidRDefault="004442E4" w:rsidP="004442E4">
            <w:pPr>
              <w:jc w:val="center"/>
              <w:rPr>
                <w:sz w:val="20"/>
                <w:szCs w:val="20"/>
              </w:rPr>
            </w:pPr>
            <w:r w:rsidRPr="00C806D0">
              <w:rPr>
                <w:sz w:val="20"/>
                <w:szCs w:val="20"/>
              </w:rPr>
              <w:t>(0.25)</w:t>
            </w:r>
          </w:p>
        </w:tc>
        <w:tc>
          <w:tcPr>
            <w:tcW w:w="541" w:type="pct"/>
          </w:tcPr>
          <w:p w:rsidR="004442E4" w:rsidRPr="00C806D0" w:rsidRDefault="004442E4" w:rsidP="004442E4">
            <w:pPr>
              <w:jc w:val="center"/>
              <w:rPr>
                <w:sz w:val="20"/>
                <w:szCs w:val="20"/>
              </w:rPr>
            </w:pPr>
            <w:r w:rsidRPr="00C806D0">
              <w:rPr>
                <w:sz w:val="20"/>
                <w:szCs w:val="20"/>
              </w:rPr>
              <w:t>0.634</w:t>
            </w:r>
          </w:p>
          <w:p w:rsidR="004442E4" w:rsidRPr="00C806D0" w:rsidRDefault="004442E4" w:rsidP="004442E4">
            <w:pPr>
              <w:jc w:val="center"/>
              <w:rPr>
                <w:sz w:val="20"/>
                <w:szCs w:val="20"/>
              </w:rPr>
            </w:pPr>
            <w:r w:rsidRPr="00C806D0">
              <w:rPr>
                <w:sz w:val="20"/>
                <w:szCs w:val="20"/>
              </w:rPr>
              <w:t>(0.20)</w:t>
            </w:r>
          </w:p>
        </w:tc>
        <w:tc>
          <w:tcPr>
            <w:tcW w:w="577" w:type="pct"/>
          </w:tcPr>
          <w:p w:rsidR="004442E4" w:rsidRPr="00C806D0" w:rsidRDefault="004442E4" w:rsidP="004442E4">
            <w:pPr>
              <w:jc w:val="center"/>
              <w:rPr>
                <w:sz w:val="20"/>
                <w:szCs w:val="20"/>
              </w:rPr>
            </w:pPr>
            <w:r w:rsidRPr="00C806D0">
              <w:rPr>
                <w:sz w:val="20"/>
                <w:szCs w:val="20"/>
              </w:rPr>
              <w:t>0.696</w:t>
            </w:r>
          </w:p>
          <w:p w:rsidR="004442E4" w:rsidRPr="00C806D0" w:rsidRDefault="004442E4" w:rsidP="004442E4">
            <w:pPr>
              <w:jc w:val="center"/>
              <w:rPr>
                <w:sz w:val="20"/>
                <w:szCs w:val="20"/>
              </w:rPr>
            </w:pPr>
            <w:r w:rsidRPr="00C806D0">
              <w:rPr>
                <w:sz w:val="20"/>
                <w:szCs w:val="20"/>
              </w:rPr>
              <w:t>(0.20)</w:t>
            </w:r>
          </w:p>
        </w:tc>
        <w:tc>
          <w:tcPr>
            <w:tcW w:w="577" w:type="pct"/>
          </w:tcPr>
          <w:p w:rsidR="004442E4" w:rsidRPr="00C806D0" w:rsidRDefault="004442E4" w:rsidP="004442E4">
            <w:pPr>
              <w:jc w:val="center"/>
              <w:rPr>
                <w:sz w:val="20"/>
                <w:szCs w:val="20"/>
              </w:rPr>
            </w:pPr>
            <w:r w:rsidRPr="00C806D0">
              <w:rPr>
                <w:sz w:val="20"/>
                <w:szCs w:val="20"/>
              </w:rPr>
              <w:t>0.794</w:t>
            </w:r>
          </w:p>
          <w:p w:rsidR="004442E4" w:rsidRPr="00C806D0" w:rsidRDefault="004442E4" w:rsidP="004442E4">
            <w:pPr>
              <w:jc w:val="center"/>
              <w:rPr>
                <w:sz w:val="20"/>
                <w:szCs w:val="20"/>
              </w:rPr>
            </w:pPr>
            <w:r w:rsidRPr="00C806D0">
              <w:rPr>
                <w:sz w:val="20"/>
                <w:szCs w:val="20"/>
              </w:rPr>
              <w:t>(0.14)</w:t>
            </w:r>
          </w:p>
        </w:tc>
        <w:tc>
          <w:tcPr>
            <w:tcW w:w="525" w:type="pct"/>
          </w:tcPr>
          <w:p w:rsidR="004442E4" w:rsidRPr="00C806D0" w:rsidRDefault="004442E4" w:rsidP="004442E4">
            <w:pPr>
              <w:jc w:val="center"/>
              <w:rPr>
                <w:sz w:val="20"/>
                <w:szCs w:val="20"/>
              </w:rPr>
            </w:pPr>
            <w:r w:rsidRPr="00C806D0">
              <w:rPr>
                <w:sz w:val="20"/>
                <w:szCs w:val="20"/>
              </w:rPr>
              <w:t>0.870</w:t>
            </w:r>
          </w:p>
          <w:p w:rsidR="004442E4" w:rsidRPr="00C806D0" w:rsidRDefault="004442E4" w:rsidP="004442E4">
            <w:pPr>
              <w:jc w:val="center"/>
              <w:rPr>
                <w:sz w:val="20"/>
                <w:szCs w:val="20"/>
              </w:rPr>
            </w:pPr>
            <w:r w:rsidRPr="00C806D0">
              <w:rPr>
                <w:sz w:val="20"/>
                <w:szCs w:val="20"/>
              </w:rPr>
              <w:t>(0.13)</w:t>
            </w:r>
          </w:p>
        </w:tc>
        <w:tc>
          <w:tcPr>
            <w:tcW w:w="527" w:type="pct"/>
          </w:tcPr>
          <w:p w:rsidR="004442E4" w:rsidRPr="00C806D0" w:rsidRDefault="004442E4" w:rsidP="004442E4">
            <w:pPr>
              <w:jc w:val="center"/>
              <w:rPr>
                <w:sz w:val="20"/>
                <w:szCs w:val="20"/>
              </w:rPr>
            </w:pPr>
            <w:r w:rsidRPr="00C806D0">
              <w:rPr>
                <w:sz w:val="20"/>
                <w:szCs w:val="20"/>
              </w:rPr>
              <w:t>0.946</w:t>
            </w:r>
          </w:p>
          <w:p w:rsidR="004442E4" w:rsidRPr="00C806D0" w:rsidRDefault="004442E4" w:rsidP="004442E4">
            <w:pPr>
              <w:jc w:val="center"/>
              <w:rPr>
                <w:sz w:val="20"/>
                <w:szCs w:val="20"/>
              </w:rPr>
            </w:pPr>
            <w:r w:rsidRPr="00C806D0">
              <w:rPr>
                <w:sz w:val="20"/>
                <w:szCs w:val="20"/>
              </w:rPr>
              <w:t>(0.10)</w:t>
            </w:r>
          </w:p>
        </w:tc>
      </w:tr>
      <w:tr w:rsidR="004442E4" w:rsidRPr="00C806D0" w:rsidTr="008110E5">
        <w:trPr>
          <w:jc w:val="center"/>
        </w:trPr>
        <w:tc>
          <w:tcPr>
            <w:tcW w:w="712" w:type="pct"/>
          </w:tcPr>
          <w:p w:rsidR="004442E4" w:rsidRPr="00C806D0" w:rsidRDefault="004442E4" w:rsidP="004442E4">
            <w:pPr>
              <w:rPr>
                <w:b/>
                <w:sz w:val="20"/>
                <w:szCs w:val="20"/>
              </w:rPr>
            </w:pPr>
            <w:r w:rsidRPr="00C806D0">
              <w:rPr>
                <w:b/>
                <w:sz w:val="20"/>
                <w:szCs w:val="20"/>
              </w:rPr>
              <w:t>Zimbabwe</w:t>
            </w:r>
          </w:p>
          <w:p w:rsidR="004442E4" w:rsidRPr="00C806D0" w:rsidRDefault="004442E4" w:rsidP="004442E4">
            <w:pPr>
              <w:rPr>
                <w:b/>
                <w:sz w:val="20"/>
                <w:szCs w:val="20"/>
              </w:rPr>
            </w:pPr>
          </w:p>
        </w:tc>
        <w:tc>
          <w:tcPr>
            <w:tcW w:w="489" w:type="pct"/>
          </w:tcPr>
          <w:p w:rsidR="004442E4" w:rsidRPr="00C806D0" w:rsidRDefault="004442E4" w:rsidP="004442E4">
            <w:pPr>
              <w:jc w:val="center"/>
              <w:rPr>
                <w:sz w:val="20"/>
                <w:szCs w:val="20"/>
              </w:rPr>
            </w:pPr>
            <w:r w:rsidRPr="00C806D0">
              <w:rPr>
                <w:sz w:val="20"/>
                <w:szCs w:val="20"/>
              </w:rPr>
              <w:t xml:space="preserve">0 </w:t>
            </w:r>
          </w:p>
          <w:p w:rsidR="004442E4" w:rsidRPr="00C806D0" w:rsidRDefault="004442E4" w:rsidP="004442E4">
            <w:pPr>
              <w:jc w:val="center"/>
              <w:rPr>
                <w:sz w:val="20"/>
                <w:szCs w:val="20"/>
              </w:rPr>
            </w:pPr>
            <w:r w:rsidRPr="00C806D0">
              <w:rPr>
                <w:sz w:val="20"/>
                <w:szCs w:val="20"/>
              </w:rPr>
              <w:t>(-)</w:t>
            </w:r>
          </w:p>
          <w:p w:rsidR="004442E4" w:rsidRPr="00C806D0" w:rsidRDefault="004442E4" w:rsidP="004442E4">
            <w:pPr>
              <w:jc w:val="center"/>
              <w:rPr>
                <w:sz w:val="20"/>
                <w:szCs w:val="20"/>
              </w:rPr>
            </w:pPr>
          </w:p>
        </w:tc>
        <w:tc>
          <w:tcPr>
            <w:tcW w:w="569" w:type="pct"/>
          </w:tcPr>
          <w:p w:rsidR="004442E4" w:rsidRPr="00C806D0" w:rsidRDefault="004442E4" w:rsidP="004442E4">
            <w:pPr>
              <w:jc w:val="center"/>
              <w:rPr>
                <w:sz w:val="20"/>
                <w:szCs w:val="20"/>
              </w:rPr>
            </w:pPr>
            <w:r w:rsidRPr="00C806D0">
              <w:rPr>
                <w:sz w:val="20"/>
                <w:szCs w:val="20"/>
              </w:rPr>
              <w:t>0.184</w:t>
            </w:r>
          </w:p>
          <w:p w:rsidR="004442E4" w:rsidRPr="00C806D0" w:rsidRDefault="004442E4" w:rsidP="004442E4">
            <w:pPr>
              <w:jc w:val="center"/>
              <w:rPr>
                <w:sz w:val="20"/>
                <w:szCs w:val="20"/>
              </w:rPr>
            </w:pPr>
            <w:r w:rsidRPr="00C806D0">
              <w:rPr>
                <w:sz w:val="20"/>
                <w:szCs w:val="20"/>
              </w:rPr>
              <w:t>(0.150</w:t>
            </w:r>
          </w:p>
        </w:tc>
        <w:tc>
          <w:tcPr>
            <w:tcW w:w="484" w:type="pct"/>
          </w:tcPr>
          <w:p w:rsidR="004442E4" w:rsidRPr="00C806D0" w:rsidRDefault="004442E4" w:rsidP="004442E4">
            <w:pPr>
              <w:jc w:val="center"/>
              <w:rPr>
                <w:sz w:val="20"/>
                <w:szCs w:val="20"/>
              </w:rPr>
            </w:pPr>
            <w:r w:rsidRPr="00C806D0">
              <w:rPr>
                <w:sz w:val="20"/>
                <w:szCs w:val="20"/>
              </w:rPr>
              <w:t>0.522</w:t>
            </w:r>
          </w:p>
          <w:p w:rsidR="004442E4" w:rsidRPr="00C806D0" w:rsidRDefault="004442E4" w:rsidP="004442E4">
            <w:pPr>
              <w:jc w:val="center"/>
              <w:rPr>
                <w:sz w:val="20"/>
                <w:szCs w:val="20"/>
              </w:rPr>
            </w:pPr>
            <w:r w:rsidRPr="00C806D0">
              <w:rPr>
                <w:sz w:val="20"/>
                <w:szCs w:val="20"/>
              </w:rPr>
              <w:t>(0.21)</w:t>
            </w:r>
          </w:p>
        </w:tc>
        <w:tc>
          <w:tcPr>
            <w:tcW w:w="541" w:type="pct"/>
          </w:tcPr>
          <w:p w:rsidR="004442E4" w:rsidRPr="00C806D0" w:rsidRDefault="004442E4" w:rsidP="004442E4">
            <w:pPr>
              <w:jc w:val="center"/>
              <w:rPr>
                <w:sz w:val="20"/>
                <w:szCs w:val="20"/>
              </w:rPr>
            </w:pPr>
            <w:r w:rsidRPr="00C806D0">
              <w:rPr>
                <w:sz w:val="20"/>
                <w:szCs w:val="20"/>
              </w:rPr>
              <w:t>0.641</w:t>
            </w:r>
          </w:p>
          <w:p w:rsidR="004442E4" w:rsidRPr="00C806D0" w:rsidRDefault="004442E4" w:rsidP="004442E4">
            <w:pPr>
              <w:jc w:val="center"/>
              <w:rPr>
                <w:sz w:val="20"/>
                <w:szCs w:val="20"/>
              </w:rPr>
            </w:pPr>
            <w:r w:rsidRPr="00C806D0">
              <w:rPr>
                <w:sz w:val="20"/>
                <w:szCs w:val="20"/>
              </w:rPr>
              <w:t>(0.17)</w:t>
            </w:r>
          </w:p>
        </w:tc>
        <w:tc>
          <w:tcPr>
            <w:tcW w:w="577" w:type="pct"/>
          </w:tcPr>
          <w:p w:rsidR="004442E4" w:rsidRPr="00C806D0" w:rsidRDefault="004442E4" w:rsidP="004442E4">
            <w:pPr>
              <w:jc w:val="center"/>
              <w:rPr>
                <w:sz w:val="20"/>
                <w:szCs w:val="20"/>
              </w:rPr>
            </w:pPr>
            <w:r w:rsidRPr="00C806D0">
              <w:rPr>
                <w:sz w:val="20"/>
                <w:szCs w:val="20"/>
              </w:rPr>
              <w:t>0.707</w:t>
            </w:r>
          </w:p>
          <w:p w:rsidR="004442E4" w:rsidRPr="00C806D0" w:rsidRDefault="004442E4" w:rsidP="004442E4">
            <w:pPr>
              <w:jc w:val="center"/>
              <w:rPr>
                <w:sz w:val="20"/>
                <w:szCs w:val="20"/>
              </w:rPr>
            </w:pPr>
            <w:r w:rsidRPr="00C806D0">
              <w:rPr>
                <w:sz w:val="20"/>
                <w:szCs w:val="20"/>
              </w:rPr>
              <w:t>(0.17)</w:t>
            </w:r>
          </w:p>
        </w:tc>
        <w:tc>
          <w:tcPr>
            <w:tcW w:w="577" w:type="pct"/>
          </w:tcPr>
          <w:p w:rsidR="004442E4" w:rsidRPr="00C806D0" w:rsidRDefault="004442E4" w:rsidP="004442E4">
            <w:pPr>
              <w:jc w:val="center"/>
              <w:rPr>
                <w:sz w:val="20"/>
                <w:szCs w:val="20"/>
              </w:rPr>
            </w:pPr>
            <w:r w:rsidRPr="00C806D0">
              <w:rPr>
                <w:sz w:val="20"/>
                <w:szCs w:val="20"/>
              </w:rPr>
              <w:t>0.792</w:t>
            </w:r>
          </w:p>
          <w:p w:rsidR="004442E4" w:rsidRPr="00C806D0" w:rsidRDefault="004442E4" w:rsidP="004442E4">
            <w:pPr>
              <w:jc w:val="center"/>
              <w:rPr>
                <w:sz w:val="20"/>
                <w:szCs w:val="20"/>
              </w:rPr>
            </w:pPr>
            <w:r w:rsidRPr="00C806D0">
              <w:rPr>
                <w:sz w:val="20"/>
                <w:szCs w:val="20"/>
              </w:rPr>
              <w:t>(0.13)</w:t>
            </w:r>
          </w:p>
        </w:tc>
        <w:tc>
          <w:tcPr>
            <w:tcW w:w="525" w:type="pct"/>
          </w:tcPr>
          <w:p w:rsidR="004442E4" w:rsidRPr="00C806D0" w:rsidRDefault="004442E4" w:rsidP="004442E4">
            <w:pPr>
              <w:jc w:val="center"/>
              <w:rPr>
                <w:sz w:val="20"/>
                <w:szCs w:val="20"/>
              </w:rPr>
            </w:pPr>
            <w:r w:rsidRPr="00C806D0">
              <w:rPr>
                <w:sz w:val="20"/>
                <w:szCs w:val="20"/>
              </w:rPr>
              <w:t>0.866</w:t>
            </w:r>
          </w:p>
          <w:p w:rsidR="004442E4" w:rsidRPr="00C806D0" w:rsidRDefault="004442E4" w:rsidP="004442E4">
            <w:pPr>
              <w:jc w:val="center"/>
              <w:rPr>
                <w:sz w:val="20"/>
                <w:szCs w:val="20"/>
              </w:rPr>
            </w:pPr>
            <w:r w:rsidRPr="00C806D0">
              <w:rPr>
                <w:sz w:val="20"/>
                <w:szCs w:val="20"/>
              </w:rPr>
              <w:t>(0.13)</w:t>
            </w:r>
          </w:p>
        </w:tc>
        <w:tc>
          <w:tcPr>
            <w:tcW w:w="527" w:type="pct"/>
          </w:tcPr>
          <w:p w:rsidR="004442E4" w:rsidRPr="00C806D0" w:rsidRDefault="004442E4" w:rsidP="004442E4">
            <w:pPr>
              <w:jc w:val="center"/>
              <w:rPr>
                <w:sz w:val="20"/>
                <w:szCs w:val="20"/>
              </w:rPr>
            </w:pPr>
            <w:r w:rsidRPr="00C806D0">
              <w:rPr>
                <w:sz w:val="20"/>
                <w:szCs w:val="20"/>
              </w:rPr>
              <w:t>0.945</w:t>
            </w:r>
          </w:p>
          <w:p w:rsidR="004442E4" w:rsidRPr="00C806D0" w:rsidRDefault="004442E4" w:rsidP="004442E4">
            <w:pPr>
              <w:jc w:val="center"/>
              <w:rPr>
                <w:sz w:val="20"/>
                <w:szCs w:val="20"/>
              </w:rPr>
            </w:pPr>
            <w:r w:rsidRPr="00C806D0">
              <w:rPr>
                <w:sz w:val="20"/>
                <w:szCs w:val="20"/>
              </w:rPr>
              <w:t>(0.10)</w:t>
            </w:r>
          </w:p>
        </w:tc>
      </w:tr>
    </w:tbl>
    <w:p w:rsidR="004442E4" w:rsidRPr="00C806D0" w:rsidRDefault="008110E5" w:rsidP="004442E4">
      <w:pPr>
        <w:rPr>
          <w:sz w:val="18"/>
          <w:szCs w:val="18"/>
        </w:rPr>
      </w:pPr>
      <w:r w:rsidRPr="00C806D0">
        <w:rPr>
          <w:sz w:val="18"/>
          <w:szCs w:val="18"/>
        </w:rPr>
        <w:t>GOSE: Extended Glasgow Outcome Scale</w:t>
      </w:r>
    </w:p>
    <w:p w:rsidR="004442E4" w:rsidRPr="00C806D0" w:rsidRDefault="004442E4" w:rsidP="004442E4"/>
    <w:p w:rsidR="004442E4" w:rsidRPr="00C806D0" w:rsidRDefault="004442E4" w:rsidP="004442E4"/>
    <w:p w:rsidR="004442E4" w:rsidRPr="00C806D0" w:rsidRDefault="00843F6A" w:rsidP="00843F6A">
      <w:pPr>
        <w:pStyle w:val="Heading3"/>
        <w:spacing w:before="240"/>
      </w:pPr>
      <w:bookmarkStart w:id="97" w:name="_Toc399055037"/>
      <w:r w:rsidRPr="00C806D0">
        <w:lastRenderedPageBreak/>
        <w:t>Victoria State Trauma Registry mapping study of GOS categories onto UK tariff EQ5D index values</w:t>
      </w:r>
      <w:bookmarkEnd w:id="97"/>
      <w:r w:rsidRPr="00C806D0">
        <w:t xml:space="preserve">: </w:t>
      </w:r>
      <w:r w:rsidR="004442E4" w:rsidRPr="00C806D0">
        <w:t>Missing data</w:t>
      </w:r>
    </w:p>
    <w:p w:rsidR="004442E4" w:rsidRPr="00C806D0" w:rsidRDefault="004442E4" w:rsidP="004442E4">
      <w:r w:rsidRPr="00C806D0">
        <w:t xml:space="preserve">There was a moderate proportion of missing data for important study variables, ranging from 0% for age and sex to 27.0% for 12 month EQ5D (Table F20).  Case-wise missingness for the initial predictive model </w:t>
      </w:r>
      <w:r w:rsidR="00843F6A" w:rsidRPr="00C806D0">
        <w:t xml:space="preserve">(including age and GOS only) </w:t>
      </w:r>
      <w:r w:rsidRPr="00C806D0">
        <w:t xml:space="preserve">ranged from 72.8% of cases with no missing data to 18.3% of patients missing data on both 12 month EQ5D and basic GOS. Case-wise missingness for the detailed predictive model </w:t>
      </w:r>
      <w:r w:rsidR="00843F6A" w:rsidRPr="00C806D0">
        <w:t xml:space="preserve">(including age, GOS, and other coavriates) </w:t>
      </w:r>
      <w:r w:rsidRPr="00C806D0">
        <w:t>varied from 65.5% of cases having no missing data on any variable to 1.9% of cases missing data on 3 out of the 6 included variables (Table F21).</w:t>
      </w:r>
    </w:p>
    <w:p w:rsidR="004442E4" w:rsidRPr="00C806D0" w:rsidRDefault="004442E4" w:rsidP="004442E4">
      <w:pPr>
        <w:rPr>
          <w:b/>
        </w:rPr>
      </w:pPr>
    </w:p>
    <w:p w:rsidR="004442E4" w:rsidRPr="00C806D0" w:rsidRDefault="004442E4" w:rsidP="004442E4">
      <w:pPr>
        <w:rPr>
          <w:b/>
        </w:rPr>
      </w:pPr>
      <w:r w:rsidRPr="00C806D0">
        <w:rPr>
          <w:b/>
        </w:rPr>
        <w:t>Table F20. Missing data levels for variables included in models predicting 12 month EQ5D</w:t>
      </w:r>
    </w:p>
    <w:tbl>
      <w:tblPr>
        <w:tblW w:w="3545" w:type="pct"/>
        <w:jc w:val="center"/>
        <w:tblCellMar>
          <w:left w:w="0" w:type="dxa"/>
          <w:right w:w="0" w:type="dxa"/>
        </w:tblCellMar>
        <w:tblLook w:val="00A0" w:firstRow="1" w:lastRow="0" w:firstColumn="1" w:lastColumn="0" w:noHBand="0" w:noVBand="0"/>
      </w:tblPr>
      <w:tblGrid>
        <w:gridCol w:w="3549"/>
        <w:gridCol w:w="2582"/>
      </w:tblGrid>
      <w:tr w:rsidR="004442E4" w:rsidRPr="00C806D0" w:rsidTr="004442E4">
        <w:trPr>
          <w:trHeight w:val="398"/>
          <w:jc w:val="center"/>
        </w:trPr>
        <w:tc>
          <w:tcPr>
            <w:tcW w:w="2894" w:type="pct"/>
            <w:tcBorders>
              <w:top w:val="single" w:sz="4" w:space="0" w:color="auto"/>
              <w:bottom w:val="single" w:sz="8" w:space="0" w:color="000000"/>
            </w:tcBorders>
            <w:tcMar>
              <w:top w:w="72" w:type="dxa"/>
              <w:left w:w="144" w:type="dxa"/>
              <w:bottom w:w="72" w:type="dxa"/>
              <w:right w:w="144" w:type="dxa"/>
            </w:tcMar>
          </w:tcPr>
          <w:p w:rsidR="004442E4" w:rsidRPr="00C806D0" w:rsidRDefault="004442E4" w:rsidP="004442E4">
            <w:pPr>
              <w:spacing w:line="276" w:lineRule="auto"/>
              <w:rPr>
                <w:b/>
                <w:sz w:val="20"/>
                <w:szCs w:val="20"/>
              </w:rPr>
            </w:pPr>
            <w:r w:rsidRPr="00C806D0">
              <w:rPr>
                <w:b/>
                <w:sz w:val="20"/>
                <w:szCs w:val="20"/>
              </w:rPr>
              <w:t>Patient characteristic</w:t>
            </w:r>
          </w:p>
          <w:p w:rsidR="004442E4" w:rsidRPr="00C806D0" w:rsidRDefault="004442E4" w:rsidP="004442E4">
            <w:pPr>
              <w:spacing w:line="276" w:lineRule="auto"/>
              <w:rPr>
                <w:b/>
                <w:sz w:val="20"/>
                <w:szCs w:val="20"/>
              </w:rPr>
            </w:pPr>
            <w:r w:rsidRPr="00C806D0">
              <w:rPr>
                <w:b/>
                <w:sz w:val="20"/>
                <w:szCs w:val="20"/>
              </w:rPr>
              <w:t>(Total sample size 4,719)</w:t>
            </w:r>
          </w:p>
        </w:tc>
        <w:tc>
          <w:tcPr>
            <w:tcW w:w="2106" w:type="pct"/>
            <w:tcBorders>
              <w:top w:val="single" w:sz="4" w:space="0" w:color="auto"/>
              <w:left w:val="nil"/>
              <w:bottom w:val="single" w:sz="8" w:space="0" w:color="000000"/>
            </w:tcBorders>
          </w:tcPr>
          <w:p w:rsidR="004442E4" w:rsidRPr="00C806D0" w:rsidRDefault="004442E4" w:rsidP="004442E4">
            <w:pPr>
              <w:spacing w:line="276" w:lineRule="auto"/>
              <w:jc w:val="center"/>
              <w:rPr>
                <w:b/>
                <w:sz w:val="20"/>
                <w:szCs w:val="20"/>
              </w:rPr>
            </w:pPr>
            <w:r w:rsidRPr="00C806D0">
              <w:rPr>
                <w:b/>
                <w:sz w:val="20"/>
                <w:szCs w:val="20"/>
              </w:rPr>
              <w:t>Data incompleteness*</w:t>
            </w:r>
          </w:p>
          <w:p w:rsidR="004442E4" w:rsidRPr="00C806D0" w:rsidRDefault="004442E4" w:rsidP="004442E4">
            <w:pPr>
              <w:spacing w:line="276" w:lineRule="auto"/>
              <w:jc w:val="center"/>
              <w:rPr>
                <w:b/>
                <w:sz w:val="20"/>
                <w:szCs w:val="20"/>
              </w:rPr>
            </w:pPr>
            <w:r w:rsidRPr="00C806D0">
              <w:rPr>
                <w:b/>
                <w:sz w:val="20"/>
                <w:szCs w:val="20"/>
              </w:rPr>
              <w:t>Cases with missing data, (%)</w:t>
            </w:r>
          </w:p>
        </w:tc>
      </w:tr>
      <w:tr w:rsidR="004442E4" w:rsidRPr="00C806D0" w:rsidTr="004442E4">
        <w:trPr>
          <w:trHeight w:val="236"/>
          <w:jc w:val="center"/>
        </w:trPr>
        <w:tc>
          <w:tcPr>
            <w:tcW w:w="2894" w:type="pct"/>
            <w:tcMar>
              <w:top w:w="72" w:type="dxa"/>
              <w:left w:w="144" w:type="dxa"/>
              <w:bottom w:w="72" w:type="dxa"/>
              <w:right w:w="144" w:type="dxa"/>
            </w:tcMar>
          </w:tcPr>
          <w:p w:rsidR="004442E4" w:rsidRPr="00C806D0" w:rsidRDefault="004442E4" w:rsidP="004442E4">
            <w:pPr>
              <w:spacing w:line="276" w:lineRule="auto"/>
              <w:rPr>
                <w:sz w:val="20"/>
                <w:szCs w:val="20"/>
              </w:rPr>
            </w:pPr>
            <w:r w:rsidRPr="00C806D0">
              <w:rPr>
                <w:sz w:val="20"/>
                <w:szCs w:val="20"/>
              </w:rPr>
              <w:t xml:space="preserve">12 month EQ5D </w:t>
            </w:r>
          </w:p>
        </w:tc>
        <w:tc>
          <w:tcPr>
            <w:tcW w:w="2106" w:type="pct"/>
            <w:tcBorders>
              <w:left w:val="nil"/>
            </w:tcBorders>
          </w:tcPr>
          <w:p w:rsidR="004442E4" w:rsidRPr="00C806D0" w:rsidRDefault="004442E4" w:rsidP="004442E4">
            <w:pPr>
              <w:spacing w:line="276" w:lineRule="auto"/>
              <w:jc w:val="center"/>
              <w:rPr>
                <w:sz w:val="20"/>
                <w:szCs w:val="20"/>
              </w:rPr>
            </w:pPr>
            <w:r w:rsidRPr="00C806D0">
              <w:rPr>
                <w:sz w:val="20"/>
                <w:szCs w:val="20"/>
              </w:rPr>
              <w:t>1,275 (27.0%)</w:t>
            </w:r>
          </w:p>
        </w:tc>
      </w:tr>
      <w:tr w:rsidR="004442E4" w:rsidRPr="00C806D0" w:rsidTr="004442E4">
        <w:trPr>
          <w:trHeight w:val="233"/>
          <w:jc w:val="center"/>
        </w:trPr>
        <w:tc>
          <w:tcPr>
            <w:tcW w:w="2894" w:type="pct"/>
            <w:tcMar>
              <w:top w:w="72" w:type="dxa"/>
              <w:left w:w="144" w:type="dxa"/>
              <w:bottom w:w="72" w:type="dxa"/>
              <w:right w:w="144" w:type="dxa"/>
            </w:tcMar>
          </w:tcPr>
          <w:p w:rsidR="004442E4" w:rsidRPr="00C806D0" w:rsidRDefault="004442E4" w:rsidP="004442E4">
            <w:pPr>
              <w:spacing w:line="276" w:lineRule="auto"/>
              <w:rPr>
                <w:sz w:val="20"/>
                <w:szCs w:val="20"/>
              </w:rPr>
            </w:pPr>
            <w:r w:rsidRPr="00C806D0">
              <w:rPr>
                <w:sz w:val="20"/>
                <w:szCs w:val="20"/>
              </w:rPr>
              <w:t>12 month GOS</w:t>
            </w:r>
          </w:p>
        </w:tc>
        <w:tc>
          <w:tcPr>
            <w:tcW w:w="2106" w:type="pct"/>
            <w:tcBorders>
              <w:left w:val="nil"/>
            </w:tcBorders>
            <w:vAlign w:val="bottom"/>
          </w:tcPr>
          <w:p w:rsidR="004442E4" w:rsidRPr="00C806D0" w:rsidRDefault="004442E4" w:rsidP="004442E4">
            <w:pPr>
              <w:spacing w:line="276" w:lineRule="auto"/>
              <w:jc w:val="center"/>
              <w:rPr>
                <w:color w:val="000000"/>
                <w:sz w:val="20"/>
                <w:szCs w:val="20"/>
              </w:rPr>
            </w:pPr>
            <w:r w:rsidRPr="00C806D0">
              <w:rPr>
                <w:color w:val="000000"/>
                <w:sz w:val="20"/>
                <w:szCs w:val="20"/>
              </w:rPr>
              <w:t>870 (18.4%)</w:t>
            </w:r>
          </w:p>
        </w:tc>
      </w:tr>
      <w:tr w:rsidR="004442E4" w:rsidRPr="00C806D0" w:rsidTr="004442E4">
        <w:trPr>
          <w:trHeight w:val="288"/>
          <w:jc w:val="center"/>
        </w:trPr>
        <w:tc>
          <w:tcPr>
            <w:tcW w:w="2894" w:type="pct"/>
            <w:tcMar>
              <w:top w:w="72" w:type="dxa"/>
              <w:left w:w="144" w:type="dxa"/>
              <w:bottom w:w="72" w:type="dxa"/>
              <w:right w:w="144" w:type="dxa"/>
            </w:tcMar>
          </w:tcPr>
          <w:p w:rsidR="004442E4" w:rsidRPr="00C806D0" w:rsidRDefault="004442E4" w:rsidP="004442E4">
            <w:pPr>
              <w:spacing w:line="276" w:lineRule="auto"/>
              <w:rPr>
                <w:sz w:val="20"/>
                <w:szCs w:val="20"/>
              </w:rPr>
            </w:pPr>
            <w:r w:rsidRPr="00C806D0">
              <w:rPr>
                <w:sz w:val="20"/>
                <w:szCs w:val="20"/>
              </w:rPr>
              <w:t>Age</w:t>
            </w:r>
          </w:p>
        </w:tc>
        <w:tc>
          <w:tcPr>
            <w:tcW w:w="2106" w:type="pct"/>
            <w:tcBorders>
              <w:left w:val="nil"/>
            </w:tcBorders>
            <w:vAlign w:val="bottom"/>
          </w:tcPr>
          <w:p w:rsidR="004442E4" w:rsidRPr="00C806D0" w:rsidRDefault="004442E4" w:rsidP="004442E4">
            <w:pPr>
              <w:spacing w:line="276" w:lineRule="auto"/>
              <w:jc w:val="center"/>
              <w:rPr>
                <w:color w:val="000000"/>
                <w:sz w:val="20"/>
                <w:szCs w:val="20"/>
              </w:rPr>
            </w:pPr>
            <w:r w:rsidRPr="00C806D0">
              <w:rPr>
                <w:color w:val="000000"/>
                <w:sz w:val="20"/>
                <w:szCs w:val="20"/>
              </w:rPr>
              <w:t>0 (0%)</w:t>
            </w:r>
          </w:p>
        </w:tc>
      </w:tr>
      <w:tr w:rsidR="004442E4" w:rsidRPr="00C806D0" w:rsidTr="004442E4">
        <w:trPr>
          <w:trHeight w:val="259"/>
          <w:jc w:val="center"/>
        </w:trPr>
        <w:tc>
          <w:tcPr>
            <w:tcW w:w="2894" w:type="pct"/>
            <w:tcMar>
              <w:top w:w="72" w:type="dxa"/>
              <w:left w:w="144" w:type="dxa"/>
              <w:bottom w:w="72" w:type="dxa"/>
              <w:right w:w="144" w:type="dxa"/>
            </w:tcMar>
          </w:tcPr>
          <w:p w:rsidR="004442E4" w:rsidRPr="00C806D0" w:rsidRDefault="004442E4" w:rsidP="004442E4">
            <w:pPr>
              <w:spacing w:line="276" w:lineRule="auto"/>
              <w:rPr>
                <w:sz w:val="20"/>
                <w:szCs w:val="20"/>
              </w:rPr>
            </w:pPr>
            <w:r w:rsidRPr="00C806D0">
              <w:rPr>
                <w:sz w:val="20"/>
                <w:szCs w:val="20"/>
              </w:rPr>
              <w:t>Gender</w:t>
            </w:r>
          </w:p>
        </w:tc>
        <w:tc>
          <w:tcPr>
            <w:tcW w:w="2106" w:type="pct"/>
            <w:tcBorders>
              <w:left w:val="nil"/>
            </w:tcBorders>
            <w:vAlign w:val="bottom"/>
          </w:tcPr>
          <w:p w:rsidR="004442E4" w:rsidRPr="00C806D0" w:rsidRDefault="004442E4" w:rsidP="004442E4">
            <w:pPr>
              <w:spacing w:line="276" w:lineRule="auto"/>
              <w:jc w:val="center"/>
              <w:rPr>
                <w:color w:val="000000"/>
                <w:sz w:val="20"/>
                <w:szCs w:val="20"/>
              </w:rPr>
            </w:pPr>
            <w:r w:rsidRPr="00C806D0">
              <w:rPr>
                <w:color w:val="000000"/>
                <w:sz w:val="20"/>
                <w:szCs w:val="20"/>
              </w:rPr>
              <w:t>0 (0%)</w:t>
            </w:r>
          </w:p>
        </w:tc>
      </w:tr>
      <w:tr w:rsidR="004442E4" w:rsidRPr="00C806D0" w:rsidTr="004442E4">
        <w:trPr>
          <w:trHeight w:val="293"/>
          <w:jc w:val="center"/>
        </w:trPr>
        <w:tc>
          <w:tcPr>
            <w:tcW w:w="2894" w:type="pct"/>
            <w:tcMar>
              <w:top w:w="72" w:type="dxa"/>
              <w:left w:w="144" w:type="dxa"/>
              <w:bottom w:w="72" w:type="dxa"/>
              <w:right w:w="144" w:type="dxa"/>
            </w:tcMar>
          </w:tcPr>
          <w:p w:rsidR="004442E4" w:rsidRPr="00C806D0" w:rsidRDefault="004442E4" w:rsidP="004442E4">
            <w:pPr>
              <w:spacing w:line="276" w:lineRule="auto"/>
              <w:rPr>
                <w:sz w:val="20"/>
                <w:szCs w:val="20"/>
              </w:rPr>
            </w:pPr>
            <w:r w:rsidRPr="00C806D0">
              <w:rPr>
                <w:sz w:val="20"/>
                <w:szCs w:val="20"/>
              </w:rPr>
              <w:t>Co-morbidity</w:t>
            </w:r>
          </w:p>
        </w:tc>
        <w:tc>
          <w:tcPr>
            <w:tcW w:w="2106" w:type="pct"/>
            <w:tcBorders>
              <w:left w:val="nil"/>
            </w:tcBorders>
          </w:tcPr>
          <w:p w:rsidR="004442E4" w:rsidRPr="00C806D0" w:rsidRDefault="004442E4" w:rsidP="004442E4">
            <w:pPr>
              <w:spacing w:line="276" w:lineRule="auto"/>
              <w:jc w:val="center"/>
              <w:rPr>
                <w:sz w:val="20"/>
                <w:szCs w:val="20"/>
              </w:rPr>
            </w:pPr>
            <w:r w:rsidRPr="00C806D0">
              <w:rPr>
                <w:sz w:val="20"/>
                <w:szCs w:val="20"/>
              </w:rPr>
              <w:t>480 (10.2%)</w:t>
            </w:r>
          </w:p>
        </w:tc>
      </w:tr>
      <w:tr w:rsidR="004442E4" w:rsidRPr="00C806D0" w:rsidTr="004442E4">
        <w:trPr>
          <w:trHeight w:val="285"/>
          <w:jc w:val="center"/>
        </w:trPr>
        <w:tc>
          <w:tcPr>
            <w:tcW w:w="2894" w:type="pct"/>
            <w:tcBorders>
              <w:bottom w:val="single" w:sz="4" w:space="0" w:color="auto"/>
            </w:tcBorders>
            <w:tcMar>
              <w:top w:w="72" w:type="dxa"/>
              <w:left w:w="144" w:type="dxa"/>
              <w:bottom w:w="72" w:type="dxa"/>
              <w:right w:w="144" w:type="dxa"/>
            </w:tcMar>
          </w:tcPr>
          <w:p w:rsidR="004442E4" w:rsidRPr="00C806D0" w:rsidRDefault="002A16B4" w:rsidP="004442E4">
            <w:pPr>
              <w:spacing w:line="276" w:lineRule="auto"/>
              <w:rPr>
                <w:sz w:val="20"/>
                <w:szCs w:val="20"/>
              </w:rPr>
            </w:pPr>
            <w:r w:rsidRPr="00C806D0">
              <w:rPr>
                <w:sz w:val="20"/>
                <w:szCs w:val="20"/>
              </w:rPr>
              <w:t>Extracranial</w:t>
            </w:r>
            <w:r w:rsidR="004442E4" w:rsidRPr="00C806D0">
              <w:rPr>
                <w:sz w:val="20"/>
                <w:szCs w:val="20"/>
              </w:rPr>
              <w:t xml:space="preserve"> injury</w:t>
            </w:r>
          </w:p>
        </w:tc>
        <w:tc>
          <w:tcPr>
            <w:tcW w:w="2106" w:type="pct"/>
            <w:tcBorders>
              <w:left w:val="nil"/>
              <w:bottom w:val="single" w:sz="4" w:space="0" w:color="auto"/>
            </w:tcBorders>
          </w:tcPr>
          <w:p w:rsidR="004442E4" w:rsidRPr="00C806D0" w:rsidRDefault="004442E4" w:rsidP="004442E4">
            <w:pPr>
              <w:spacing w:line="276" w:lineRule="auto"/>
              <w:jc w:val="center"/>
              <w:rPr>
                <w:sz w:val="20"/>
                <w:szCs w:val="20"/>
              </w:rPr>
            </w:pPr>
            <w:r w:rsidRPr="00C806D0">
              <w:rPr>
                <w:sz w:val="20"/>
                <w:szCs w:val="20"/>
              </w:rPr>
              <w:t>2 (0.04%)</w:t>
            </w:r>
          </w:p>
        </w:tc>
      </w:tr>
    </w:tbl>
    <w:p w:rsidR="004442E4" w:rsidRPr="00C806D0" w:rsidRDefault="004442E4" w:rsidP="004442E4">
      <w:r w:rsidRPr="00C806D0">
        <w:tab/>
      </w:r>
      <w:r w:rsidRPr="00C806D0">
        <w:tab/>
      </w:r>
    </w:p>
    <w:p w:rsidR="004442E4" w:rsidRPr="00C806D0" w:rsidRDefault="004442E4" w:rsidP="004442E4">
      <w:pPr>
        <w:rPr>
          <w:b/>
        </w:rPr>
      </w:pPr>
      <w:r w:rsidRPr="00C806D0">
        <w:rPr>
          <w:b/>
        </w:rPr>
        <w:t>Table F21. Missing data levels for variables included in models predicting 12 month EQ5D</w:t>
      </w:r>
    </w:p>
    <w:tbl>
      <w:tblPr>
        <w:tblW w:w="9054" w:type="dxa"/>
        <w:jc w:val="center"/>
        <w:tblCellMar>
          <w:left w:w="0" w:type="dxa"/>
          <w:right w:w="0" w:type="dxa"/>
        </w:tblCellMar>
        <w:tblLook w:val="00A0" w:firstRow="1" w:lastRow="0" w:firstColumn="1" w:lastColumn="0" w:noHBand="0" w:noVBand="0"/>
      </w:tblPr>
      <w:tblGrid>
        <w:gridCol w:w="2922"/>
        <w:gridCol w:w="1668"/>
        <w:gridCol w:w="2840"/>
        <w:gridCol w:w="1624"/>
      </w:tblGrid>
      <w:tr w:rsidR="004442E4" w:rsidRPr="00C806D0" w:rsidTr="004442E4">
        <w:trPr>
          <w:trHeight w:val="398"/>
          <w:jc w:val="center"/>
        </w:trPr>
        <w:tc>
          <w:tcPr>
            <w:tcW w:w="0" w:type="auto"/>
            <w:tcBorders>
              <w:top w:val="single" w:sz="4" w:space="0" w:color="auto"/>
              <w:bottom w:val="single" w:sz="8" w:space="0" w:color="000000"/>
            </w:tcBorders>
            <w:tcMar>
              <w:top w:w="72" w:type="dxa"/>
              <w:left w:w="144" w:type="dxa"/>
              <w:bottom w:w="72" w:type="dxa"/>
              <w:right w:w="144" w:type="dxa"/>
            </w:tcMar>
          </w:tcPr>
          <w:p w:rsidR="004442E4" w:rsidRPr="00C806D0" w:rsidRDefault="004442E4" w:rsidP="00843F6A">
            <w:pPr>
              <w:spacing w:line="276" w:lineRule="auto"/>
              <w:rPr>
                <w:b/>
                <w:sz w:val="20"/>
                <w:szCs w:val="20"/>
              </w:rPr>
            </w:pPr>
            <w:r w:rsidRPr="00C806D0">
              <w:rPr>
                <w:b/>
                <w:sz w:val="20"/>
                <w:szCs w:val="20"/>
              </w:rPr>
              <w:t>Variables missing from initial model</w:t>
            </w:r>
            <w:r w:rsidR="00843F6A" w:rsidRPr="00C806D0">
              <w:rPr>
                <w:b/>
                <w:sz w:val="20"/>
                <w:szCs w:val="20"/>
              </w:rPr>
              <w:t xml:space="preserve"> </w:t>
            </w:r>
          </w:p>
        </w:tc>
        <w:tc>
          <w:tcPr>
            <w:tcW w:w="0" w:type="auto"/>
            <w:tcBorders>
              <w:top w:val="single" w:sz="4" w:space="0" w:color="auto"/>
              <w:left w:val="nil"/>
              <w:bottom w:val="single" w:sz="8" w:space="0" w:color="000000"/>
            </w:tcBorders>
          </w:tcPr>
          <w:p w:rsidR="004442E4" w:rsidRPr="00C806D0" w:rsidRDefault="004442E4" w:rsidP="004442E4">
            <w:pPr>
              <w:spacing w:line="276" w:lineRule="auto"/>
              <w:jc w:val="center"/>
              <w:rPr>
                <w:b/>
                <w:sz w:val="20"/>
                <w:szCs w:val="20"/>
              </w:rPr>
            </w:pPr>
            <w:r w:rsidRPr="00C806D0">
              <w:rPr>
                <w:b/>
                <w:sz w:val="20"/>
                <w:szCs w:val="20"/>
              </w:rPr>
              <w:t>Number of cases, (%)</w:t>
            </w:r>
            <w:r w:rsidR="00843F6A" w:rsidRPr="00C806D0">
              <w:rPr>
                <w:b/>
                <w:sz w:val="20"/>
                <w:szCs w:val="20"/>
              </w:rPr>
              <w:t>*</w:t>
            </w:r>
          </w:p>
        </w:tc>
        <w:tc>
          <w:tcPr>
            <w:tcW w:w="0" w:type="auto"/>
            <w:tcBorders>
              <w:top w:val="single" w:sz="4" w:space="0" w:color="auto"/>
              <w:left w:val="nil"/>
              <w:bottom w:val="single" w:sz="8" w:space="0" w:color="000000"/>
            </w:tcBorders>
          </w:tcPr>
          <w:p w:rsidR="004442E4" w:rsidRPr="00C806D0" w:rsidRDefault="004442E4" w:rsidP="00843F6A">
            <w:pPr>
              <w:spacing w:line="276" w:lineRule="auto"/>
              <w:rPr>
                <w:b/>
                <w:sz w:val="20"/>
                <w:szCs w:val="20"/>
              </w:rPr>
            </w:pPr>
            <w:r w:rsidRPr="00C806D0">
              <w:rPr>
                <w:b/>
                <w:sz w:val="20"/>
                <w:szCs w:val="20"/>
              </w:rPr>
              <w:t>Variables missing from detailed model</w:t>
            </w:r>
            <w:r w:rsidR="00843F6A" w:rsidRPr="00C806D0">
              <w:rPr>
                <w:b/>
                <w:sz w:val="20"/>
                <w:szCs w:val="20"/>
              </w:rPr>
              <w:t xml:space="preserve"> </w:t>
            </w:r>
          </w:p>
        </w:tc>
        <w:tc>
          <w:tcPr>
            <w:tcW w:w="1624" w:type="dxa"/>
            <w:tcBorders>
              <w:top w:val="single" w:sz="4" w:space="0" w:color="auto"/>
              <w:left w:val="nil"/>
              <w:bottom w:val="single" w:sz="8" w:space="0" w:color="000000"/>
            </w:tcBorders>
          </w:tcPr>
          <w:p w:rsidR="004442E4" w:rsidRPr="00C806D0" w:rsidRDefault="004442E4" w:rsidP="004442E4">
            <w:pPr>
              <w:spacing w:line="276" w:lineRule="auto"/>
              <w:jc w:val="center"/>
              <w:rPr>
                <w:b/>
                <w:sz w:val="20"/>
                <w:szCs w:val="20"/>
              </w:rPr>
            </w:pPr>
            <w:r w:rsidRPr="00C806D0">
              <w:rPr>
                <w:b/>
                <w:sz w:val="20"/>
                <w:szCs w:val="20"/>
              </w:rPr>
              <w:t>Number of cases, (%)</w:t>
            </w:r>
            <w:r w:rsidR="00843F6A" w:rsidRPr="00C806D0">
              <w:rPr>
                <w:b/>
                <w:sz w:val="20"/>
                <w:szCs w:val="20"/>
              </w:rPr>
              <w:t>*</w:t>
            </w:r>
          </w:p>
        </w:tc>
      </w:tr>
      <w:tr w:rsidR="004442E4" w:rsidRPr="00C806D0" w:rsidTr="004442E4">
        <w:trPr>
          <w:trHeight w:val="236"/>
          <w:jc w:val="center"/>
        </w:trPr>
        <w:tc>
          <w:tcPr>
            <w:tcW w:w="0" w:type="auto"/>
            <w:tcMar>
              <w:top w:w="72" w:type="dxa"/>
              <w:left w:w="144" w:type="dxa"/>
              <w:bottom w:w="72" w:type="dxa"/>
              <w:right w:w="144" w:type="dxa"/>
            </w:tcMar>
          </w:tcPr>
          <w:p w:rsidR="004442E4" w:rsidRPr="00C806D0" w:rsidRDefault="004442E4" w:rsidP="004442E4">
            <w:pPr>
              <w:spacing w:line="276" w:lineRule="auto"/>
              <w:rPr>
                <w:sz w:val="20"/>
                <w:szCs w:val="20"/>
              </w:rPr>
            </w:pPr>
            <w:r w:rsidRPr="00C806D0">
              <w:rPr>
                <w:sz w:val="20"/>
                <w:szCs w:val="20"/>
              </w:rPr>
              <w:t xml:space="preserve">None </w:t>
            </w:r>
          </w:p>
        </w:tc>
        <w:tc>
          <w:tcPr>
            <w:tcW w:w="0" w:type="auto"/>
            <w:tcBorders>
              <w:left w:val="nil"/>
            </w:tcBorders>
          </w:tcPr>
          <w:p w:rsidR="004442E4" w:rsidRPr="00C806D0" w:rsidRDefault="004442E4" w:rsidP="004442E4">
            <w:pPr>
              <w:spacing w:line="276" w:lineRule="auto"/>
              <w:jc w:val="center"/>
              <w:rPr>
                <w:sz w:val="20"/>
                <w:szCs w:val="20"/>
              </w:rPr>
            </w:pPr>
            <w:r w:rsidRPr="00C806D0">
              <w:rPr>
                <w:sz w:val="20"/>
                <w:szCs w:val="20"/>
              </w:rPr>
              <w:t>3,437 (72.8%)</w:t>
            </w:r>
          </w:p>
        </w:tc>
        <w:tc>
          <w:tcPr>
            <w:tcW w:w="0" w:type="auto"/>
            <w:tcBorders>
              <w:left w:val="nil"/>
            </w:tcBorders>
          </w:tcPr>
          <w:p w:rsidR="004442E4" w:rsidRPr="00C806D0" w:rsidRDefault="004442E4" w:rsidP="004442E4">
            <w:pPr>
              <w:spacing w:line="276" w:lineRule="auto"/>
              <w:rPr>
                <w:sz w:val="20"/>
                <w:szCs w:val="20"/>
              </w:rPr>
            </w:pPr>
            <w:r w:rsidRPr="00C806D0">
              <w:rPr>
                <w:sz w:val="20"/>
                <w:szCs w:val="20"/>
              </w:rPr>
              <w:t>None</w:t>
            </w:r>
          </w:p>
        </w:tc>
        <w:tc>
          <w:tcPr>
            <w:tcW w:w="1624" w:type="dxa"/>
            <w:tcBorders>
              <w:left w:val="nil"/>
            </w:tcBorders>
          </w:tcPr>
          <w:p w:rsidR="004442E4" w:rsidRPr="00C806D0" w:rsidRDefault="004442E4" w:rsidP="004442E4">
            <w:pPr>
              <w:spacing w:line="276" w:lineRule="auto"/>
              <w:jc w:val="center"/>
              <w:rPr>
                <w:sz w:val="20"/>
                <w:szCs w:val="20"/>
              </w:rPr>
            </w:pPr>
            <w:r w:rsidRPr="00C806D0">
              <w:rPr>
                <w:sz w:val="20"/>
                <w:szCs w:val="20"/>
              </w:rPr>
              <w:t>3,089 (65.5%)</w:t>
            </w:r>
          </w:p>
        </w:tc>
      </w:tr>
      <w:tr w:rsidR="004442E4" w:rsidRPr="00C806D0" w:rsidTr="004442E4">
        <w:trPr>
          <w:trHeight w:val="233"/>
          <w:jc w:val="center"/>
        </w:trPr>
        <w:tc>
          <w:tcPr>
            <w:tcW w:w="0" w:type="auto"/>
            <w:tcMar>
              <w:top w:w="72" w:type="dxa"/>
              <w:left w:w="144" w:type="dxa"/>
              <w:bottom w:w="72" w:type="dxa"/>
              <w:right w:w="144" w:type="dxa"/>
            </w:tcMar>
          </w:tcPr>
          <w:p w:rsidR="004442E4" w:rsidRPr="00C806D0" w:rsidRDefault="004442E4" w:rsidP="004442E4">
            <w:pPr>
              <w:spacing w:line="276" w:lineRule="auto"/>
              <w:rPr>
                <w:sz w:val="20"/>
                <w:szCs w:val="20"/>
              </w:rPr>
            </w:pPr>
            <w:r w:rsidRPr="00C806D0">
              <w:rPr>
                <w:sz w:val="20"/>
                <w:szCs w:val="20"/>
              </w:rPr>
              <w:t xml:space="preserve">GOS </w:t>
            </w:r>
          </w:p>
        </w:tc>
        <w:tc>
          <w:tcPr>
            <w:tcW w:w="0" w:type="auto"/>
            <w:tcBorders>
              <w:left w:val="nil"/>
            </w:tcBorders>
            <w:vAlign w:val="bottom"/>
          </w:tcPr>
          <w:p w:rsidR="004442E4" w:rsidRPr="00C806D0" w:rsidRDefault="004442E4" w:rsidP="004442E4">
            <w:pPr>
              <w:spacing w:line="276" w:lineRule="auto"/>
              <w:jc w:val="center"/>
              <w:rPr>
                <w:color w:val="000000"/>
                <w:sz w:val="20"/>
                <w:szCs w:val="20"/>
              </w:rPr>
            </w:pPr>
            <w:r w:rsidRPr="00C806D0">
              <w:rPr>
                <w:color w:val="000000"/>
                <w:sz w:val="20"/>
                <w:szCs w:val="20"/>
              </w:rPr>
              <w:t>7 (0.2%)</w:t>
            </w:r>
          </w:p>
        </w:tc>
        <w:tc>
          <w:tcPr>
            <w:tcW w:w="0" w:type="auto"/>
            <w:tcBorders>
              <w:left w:val="nil"/>
            </w:tcBorders>
          </w:tcPr>
          <w:p w:rsidR="004442E4" w:rsidRPr="00C806D0" w:rsidRDefault="004442E4" w:rsidP="004442E4">
            <w:pPr>
              <w:spacing w:line="276" w:lineRule="auto"/>
              <w:rPr>
                <w:color w:val="000000"/>
                <w:sz w:val="20"/>
                <w:szCs w:val="20"/>
              </w:rPr>
            </w:pPr>
            <w:r w:rsidRPr="00C806D0">
              <w:rPr>
                <w:sz w:val="20"/>
                <w:szCs w:val="20"/>
              </w:rPr>
              <w:t xml:space="preserve">EQ5D </w:t>
            </w:r>
          </w:p>
        </w:tc>
        <w:tc>
          <w:tcPr>
            <w:tcW w:w="1624" w:type="dxa"/>
            <w:tcBorders>
              <w:left w:val="nil"/>
            </w:tcBorders>
          </w:tcPr>
          <w:p w:rsidR="004442E4" w:rsidRPr="00C806D0" w:rsidRDefault="004442E4" w:rsidP="004442E4">
            <w:pPr>
              <w:spacing w:line="276" w:lineRule="auto"/>
              <w:jc w:val="center"/>
              <w:rPr>
                <w:color w:val="000000"/>
                <w:sz w:val="20"/>
                <w:szCs w:val="20"/>
              </w:rPr>
            </w:pPr>
            <w:r w:rsidRPr="00C806D0">
              <w:rPr>
                <w:color w:val="000000"/>
                <w:sz w:val="20"/>
                <w:szCs w:val="20"/>
              </w:rPr>
              <w:t>370 (7.8%)</w:t>
            </w:r>
          </w:p>
        </w:tc>
      </w:tr>
      <w:tr w:rsidR="004442E4" w:rsidRPr="00C806D0" w:rsidTr="004442E4">
        <w:trPr>
          <w:trHeight w:val="288"/>
          <w:jc w:val="center"/>
        </w:trPr>
        <w:tc>
          <w:tcPr>
            <w:tcW w:w="0" w:type="auto"/>
            <w:tcMar>
              <w:top w:w="72" w:type="dxa"/>
              <w:left w:w="144" w:type="dxa"/>
              <w:bottom w:w="72" w:type="dxa"/>
              <w:right w:w="144" w:type="dxa"/>
            </w:tcMar>
          </w:tcPr>
          <w:p w:rsidR="004442E4" w:rsidRPr="00C806D0" w:rsidRDefault="004442E4" w:rsidP="004442E4">
            <w:pPr>
              <w:spacing w:line="276" w:lineRule="auto"/>
              <w:rPr>
                <w:sz w:val="20"/>
                <w:szCs w:val="20"/>
              </w:rPr>
            </w:pPr>
            <w:r w:rsidRPr="00C806D0">
              <w:rPr>
                <w:sz w:val="20"/>
                <w:szCs w:val="20"/>
              </w:rPr>
              <w:t xml:space="preserve">EQ5D  </w:t>
            </w:r>
          </w:p>
        </w:tc>
        <w:tc>
          <w:tcPr>
            <w:tcW w:w="0" w:type="auto"/>
            <w:tcBorders>
              <w:left w:val="nil"/>
            </w:tcBorders>
            <w:vAlign w:val="bottom"/>
          </w:tcPr>
          <w:p w:rsidR="004442E4" w:rsidRPr="00C806D0" w:rsidRDefault="004442E4" w:rsidP="004442E4">
            <w:pPr>
              <w:spacing w:line="276" w:lineRule="auto"/>
              <w:jc w:val="center"/>
              <w:rPr>
                <w:color w:val="000000"/>
                <w:sz w:val="20"/>
                <w:szCs w:val="20"/>
              </w:rPr>
            </w:pPr>
            <w:r w:rsidRPr="00C806D0">
              <w:rPr>
                <w:color w:val="000000"/>
                <w:sz w:val="20"/>
                <w:szCs w:val="20"/>
              </w:rPr>
              <w:t>412 (8.7%)</w:t>
            </w:r>
          </w:p>
        </w:tc>
        <w:tc>
          <w:tcPr>
            <w:tcW w:w="0" w:type="auto"/>
            <w:tcBorders>
              <w:left w:val="nil"/>
            </w:tcBorders>
          </w:tcPr>
          <w:p w:rsidR="004442E4" w:rsidRPr="00C806D0" w:rsidRDefault="004442E4" w:rsidP="004442E4">
            <w:pPr>
              <w:spacing w:line="276" w:lineRule="auto"/>
              <w:rPr>
                <w:color w:val="000000"/>
                <w:sz w:val="20"/>
                <w:szCs w:val="20"/>
              </w:rPr>
            </w:pPr>
            <w:r w:rsidRPr="00C806D0">
              <w:rPr>
                <w:color w:val="000000"/>
                <w:sz w:val="20"/>
                <w:szCs w:val="20"/>
              </w:rPr>
              <w:t>Co-morbidity</w:t>
            </w:r>
          </w:p>
        </w:tc>
        <w:tc>
          <w:tcPr>
            <w:tcW w:w="1624" w:type="dxa"/>
            <w:tcBorders>
              <w:left w:val="nil"/>
            </w:tcBorders>
          </w:tcPr>
          <w:p w:rsidR="004442E4" w:rsidRPr="00C806D0" w:rsidRDefault="004442E4" w:rsidP="004442E4">
            <w:pPr>
              <w:spacing w:line="276" w:lineRule="auto"/>
              <w:jc w:val="center"/>
              <w:rPr>
                <w:color w:val="000000"/>
                <w:sz w:val="20"/>
                <w:szCs w:val="20"/>
              </w:rPr>
            </w:pPr>
            <w:r w:rsidRPr="00C806D0">
              <w:rPr>
                <w:color w:val="000000"/>
                <w:sz w:val="20"/>
                <w:szCs w:val="20"/>
              </w:rPr>
              <w:t>347 (7.4%)</w:t>
            </w:r>
          </w:p>
        </w:tc>
      </w:tr>
      <w:tr w:rsidR="004442E4" w:rsidRPr="00C806D0" w:rsidTr="004442E4">
        <w:trPr>
          <w:trHeight w:val="259"/>
          <w:jc w:val="center"/>
        </w:trPr>
        <w:tc>
          <w:tcPr>
            <w:tcW w:w="0" w:type="auto"/>
            <w:tcMar>
              <w:top w:w="72" w:type="dxa"/>
              <w:left w:w="144" w:type="dxa"/>
              <w:bottom w:w="72" w:type="dxa"/>
              <w:right w:w="144" w:type="dxa"/>
            </w:tcMar>
          </w:tcPr>
          <w:p w:rsidR="004442E4" w:rsidRPr="00C806D0" w:rsidRDefault="004442E4" w:rsidP="004442E4">
            <w:pPr>
              <w:spacing w:line="276" w:lineRule="auto"/>
              <w:rPr>
                <w:sz w:val="20"/>
                <w:szCs w:val="20"/>
              </w:rPr>
            </w:pPr>
            <w:r w:rsidRPr="00C806D0">
              <w:rPr>
                <w:sz w:val="20"/>
                <w:szCs w:val="20"/>
              </w:rPr>
              <w:t>EQ5D and GOS</w:t>
            </w:r>
          </w:p>
        </w:tc>
        <w:tc>
          <w:tcPr>
            <w:tcW w:w="0" w:type="auto"/>
            <w:tcBorders>
              <w:left w:val="nil"/>
            </w:tcBorders>
            <w:vAlign w:val="bottom"/>
          </w:tcPr>
          <w:p w:rsidR="004442E4" w:rsidRPr="00C806D0" w:rsidRDefault="004442E4" w:rsidP="004442E4">
            <w:pPr>
              <w:spacing w:line="276" w:lineRule="auto"/>
              <w:jc w:val="center"/>
              <w:rPr>
                <w:color w:val="000000"/>
                <w:sz w:val="20"/>
                <w:szCs w:val="20"/>
              </w:rPr>
            </w:pPr>
            <w:r w:rsidRPr="00C806D0">
              <w:rPr>
                <w:color w:val="000000"/>
                <w:sz w:val="20"/>
                <w:szCs w:val="20"/>
              </w:rPr>
              <w:t>863 (18.3%)</w:t>
            </w:r>
          </w:p>
        </w:tc>
        <w:tc>
          <w:tcPr>
            <w:tcW w:w="0" w:type="auto"/>
            <w:tcBorders>
              <w:left w:val="nil"/>
            </w:tcBorders>
          </w:tcPr>
          <w:p w:rsidR="004442E4" w:rsidRPr="00C806D0" w:rsidRDefault="004442E4" w:rsidP="004442E4">
            <w:pPr>
              <w:spacing w:line="276" w:lineRule="auto"/>
              <w:rPr>
                <w:color w:val="000000"/>
                <w:sz w:val="20"/>
                <w:szCs w:val="20"/>
              </w:rPr>
            </w:pPr>
            <w:r w:rsidRPr="00C806D0">
              <w:rPr>
                <w:sz w:val="20"/>
                <w:szCs w:val="20"/>
              </w:rPr>
              <w:t>EQ5D and GOS</w:t>
            </w:r>
          </w:p>
        </w:tc>
        <w:tc>
          <w:tcPr>
            <w:tcW w:w="1624" w:type="dxa"/>
            <w:tcBorders>
              <w:left w:val="nil"/>
            </w:tcBorders>
          </w:tcPr>
          <w:p w:rsidR="004442E4" w:rsidRPr="00C806D0" w:rsidRDefault="004442E4" w:rsidP="004442E4">
            <w:pPr>
              <w:spacing w:line="276" w:lineRule="auto"/>
              <w:jc w:val="center"/>
              <w:rPr>
                <w:color w:val="000000"/>
                <w:sz w:val="20"/>
                <w:szCs w:val="20"/>
              </w:rPr>
            </w:pPr>
            <w:r w:rsidRPr="00C806D0">
              <w:rPr>
                <w:color w:val="000000"/>
                <w:sz w:val="20"/>
                <w:szCs w:val="20"/>
              </w:rPr>
              <w:t>773 (16.4%)</w:t>
            </w:r>
          </w:p>
        </w:tc>
      </w:tr>
      <w:tr w:rsidR="004442E4" w:rsidRPr="00C806D0" w:rsidTr="004442E4">
        <w:trPr>
          <w:trHeight w:val="293"/>
          <w:jc w:val="center"/>
        </w:trPr>
        <w:tc>
          <w:tcPr>
            <w:tcW w:w="0" w:type="auto"/>
            <w:tcMar>
              <w:top w:w="72" w:type="dxa"/>
              <w:left w:w="144" w:type="dxa"/>
              <w:bottom w:w="72" w:type="dxa"/>
              <w:right w:w="144" w:type="dxa"/>
            </w:tcMar>
          </w:tcPr>
          <w:p w:rsidR="004442E4" w:rsidRPr="00C806D0" w:rsidRDefault="004442E4" w:rsidP="004442E4">
            <w:pPr>
              <w:spacing w:line="276" w:lineRule="auto"/>
              <w:rPr>
                <w:sz w:val="20"/>
                <w:szCs w:val="20"/>
              </w:rPr>
            </w:pPr>
          </w:p>
        </w:tc>
        <w:tc>
          <w:tcPr>
            <w:tcW w:w="0" w:type="auto"/>
            <w:tcBorders>
              <w:left w:val="nil"/>
            </w:tcBorders>
          </w:tcPr>
          <w:p w:rsidR="004442E4" w:rsidRPr="00C806D0" w:rsidRDefault="004442E4" w:rsidP="004442E4">
            <w:pPr>
              <w:spacing w:line="276" w:lineRule="auto"/>
              <w:jc w:val="center"/>
              <w:rPr>
                <w:sz w:val="20"/>
                <w:szCs w:val="20"/>
              </w:rPr>
            </w:pPr>
          </w:p>
        </w:tc>
        <w:tc>
          <w:tcPr>
            <w:tcW w:w="0" w:type="auto"/>
            <w:tcBorders>
              <w:left w:val="nil"/>
            </w:tcBorders>
          </w:tcPr>
          <w:p w:rsidR="004442E4" w:rsidRPr="00C806D0" w:rsidRDefault="004442E4" w:rsidP="004442E4">
            <w:pPr>
              <w:spacing w:line="276" w:lineRule="auto"/>
              <w:rPr>
                <w:sz w:val="20"/>
                <w:szCs w:val="20"/>
              </w:rPr>
            </w:pPr>
            <w:r w:rsidRPr="00C806D0">
              <w:rPr>
                <w:color w:val="000000"/>
                <w:sz w:val="20"/>
                <w:szCs w:val="20"/>
              </w:rPr>
              <w:t xml:space="preserve">Co-morbidity and </w:t>
            </w:r>
            <w:r w:rsidR="002A16B4" w:rsidRPr="00C806D0">
              <w:rPr>
                <w:color w:val="000000"/>
                <w:sz w:val="20"/>
                <w:szCs w:val="20"/>
              </w:rPr>
              <w:t>extracranial</w:t>
            </w:r>
          </w:p>
        </w:tc>
        <w:tc>
          <w:tcPr>
            <w:tcW w:w="1624" w:type="dxa"/>
            <w:tcBorders>
              <w:left w:val="nil"/>
            </w:tcBorders>
          </w:tcPr>
          <w:p w:rsidR="004442E4" w:rsidRPr="00C806D0" w:rsidRDefault="004442E4" w:rsidP="004442E4">
            <w:pPr>
              <w:spacing w:line="276" w:lineRule="auto"/>
              <w:jc w:val="center"/>
              <w:rPr>
                <w:sz w:val="20"/>
                <w:szCs w:val="20"/>
              </w:rPr>
            </w:pPr>
            <w:r w:rsidRPr="00C806D0">
              <w:rPr>
                <w:sz w:val="20"/>
                <w:szCs w:val="20"/>
              </w:rPr>
              <w:t>1 (0.02%)</w:t>
            </w:r>
          </w:p>
        </w:tc>
      </w:tr>
      <w:tr w:rsidR="004442E4" w:rsidRPr="00C806D0" w:rsidTr="004442E4">
        <w:trPr>
          <w:trHeight w:val="285"/>
          <w:jc w:val="center"/>
        </w:trPr>
        <w:tc>
          <w:tcPr>
            <w:tcW w:w="0" w:type="auto"/>
            <w:tcMar>
              <w:top w:w="72" w:type="dxa"/>
              <w:left w:w="144" w:type="dxa"/>
              <w:bottom w:w="72" w:type="dxa"/>
              <w:right w:w="144" w:type="dxa"/>
            </w:tcMar>
          </w:tcPr>
          <w:p w:rsidR="004442E4" w:rsidRPr="00C806D0" w:rsidRDefault="004442E4" w:rsidP="004442E4">
            <w:pPr>
              <w:spacing w:line="276" w:lineRule="auto"/>
              <w:rPr>
                <w:sz w:val="20"/>
                <w:szCs w:val="20"/>
              </w:rPr>
            </w:pPr>
          </w:p>
        </w:tc>
        <w:tc>
          <w:tcPr>
            <w:tcW w:w="0" w:type="auto"/>
            <w:tcBorders>
              <w:left w:val="nil"/>
            </w:tcBorders>
          </w:tcPr>
          <w:p w:rsidR="004442E4" w:rsidRPr="00C806D0" w:rsidRDefault="004442E4" w:rsidP="004442E4">
            <w:pPr>
              <w:spacing w:line="276" w:lineRule="auto"/>
              <w:jc w:val="center"/>
              <w:rPr>
                <w:sz w:val="20"/>
                <w:szCs w:val="20"/>
              </w:rPr>
            </w:pPr>
          </w:p>
        </w:tc>
        <w:tc>
          <w:tcPr>
            <w:tcW w:w="0" w:type="auto"/>
            <w:tcBorders>
              <w:left w:val="nil"/>
            </w:tcBorders>
          </w:tcPr>
          <w:p w:rsidR="004442E4" w:rsidRPr="00C806D0" w:rsidRDefault="004442E4" w:rsidP="004442E4">
            <w:pPr>
              <w:spacing w:line="276" w:lineRule="auto"/>
              <w:rPr>
                <w:sz w:val="20"/>
                <w:szCs w:val="20"/>
              </w:rPr>
            </w:pPr>
            <w:r w:rsidRPr="00C806D0">
              <w:rPr>
                <w:color w:val="000000"/>
                <w:sz w:val="20"/>
                <w:szCs w:val="20"/>
              </w:rPr>
              <w:t xml:space="preserve">Co-morbidity and </w:t>
            </w:r>
            <w:r w:rsidR="002A16B4" w:rsidRPr="00C806D0">
              <w:rPr>
                <w:color w:val="000000"/>
                <w:sz w:val="20"/>
                <w:szCs w:val="20"/>
              </w:rPr>
              <w:t>extracranial</w:t>
            </w:r>
            <w:r w:rsidRPr="00C806D0">
              <w:rPr>
                <w:color w:val="000000"/>
                <w:sz w:val="20"/>
                <w:szCs w:val="20"/>
              </w:rPr>
              <w:t xml:space="preserve"> injury</w:t>
            </w:r>
          </w:p>
        </w:tc>
        <w:tc>
          <w:tcPr>
            <w:tcW w:w="1624" w:type="dxa"/>
            <w:tcBorders>
              <w:left w:val="nil"/>
            </w:tcBorders>
          </w:tcPr>
          <w:p w:rsidR="004442E4" w:rsidRPr="00C806D0" w:rsidRDefault="004442E4" w:rsidP="004442E4">
            <w:pPr>
              <w:spacing w:line="276" w:lineRule="auto"/>
              <w:jc w:val="center"/>
              <w:rPr>
                <w:sz w:val="20"/>
                <w:szCs w:val="20"/>
              </w:rPr>
            </w:pPr>
            <w:r w:rsidRPr="00C806D0">
              <w:rPr>
                <w:sz w:val="20"/>
                <w:szCs w:val="20"/>
              </w:rPr>
              <w:t>1 (0.02%)</w:t>
            </w:r>
          </w:p>
        </w:tc>
      </w:tr>
      <w:tr w:rsidR="004442E4" w:rsidRPr="00C806D0" w:rsidTr="004442E4">
        <w:trPr>
          <w:trHeight w:val="285"/>
          <w:jc w:val="center"/>
        </w:trPr>
        <w:tc>
          <w:tcPr>
            <w:tcW w:w="0" w:type="auto"/>
            <w:tcMar>
              <w:top w:w="72" w:type="dxa"/>
              <w:left w:w="144" w:type="dxa"/>
              <w:bottom w:w="72" w:type="dxa"/>
              <w:right w:w="144" w:type="dxa"/>
            </w:tcMar>
          </w:tcPr>
          <w:p w:rsidR="004442E4" w:rsidRPr="00C806D0" w:rsidRDefault="004442E4" w:rsidP="004442E4">
            <w:pPr>
              <w:spacing w:line="276" w:lineRule="auto"/>
              <w:rPr>
                <w:sz w:val="20"/>
                <w:szCs w:val="20"/>
              </w:rPr>
            </w:pPr>
          </w:p>
        </w:tc>
        <w:tc>
          <w:tcPr>
            <w:tcW w:w="0" w:type="auto"/>
            <w:tcBorders>
              <w:left w:val="nil"/>
            </w:tcBorders>
          </w:tcPr>
          <w:p w:rsidR="004442E4" w:rsidRPr="00C806D0" w:rsidRDefault="004442E4" w:rsidP="004442E4">
            <w:pPr>
              <w:spacing w:line="276" w:lineRule="auto"/>
              <w:jc w:val="center"/>
              <w:rPr>
                <w:sz w:val="20"/>
                <w:szCs w:val="20"/>
              </w:rPr>
            </w:pPr>
          </w:p>
        </w:tc>
        <w:tc>
          <w:tcPr>
            <w:tcW w:w="0" w:type="auto"/>
            <w:tcBorders>
              <w:left w:val="nil"/>
            </w:tcBorders>
          </w:tcPr>
          <w:p w:rsidR="004442E4" w:rsidRPr="00C806D0" w:rsidRDefault="004442E4" w:rsidP="004442E4">
            <w:pPr>
              <w:spacing w:line="276" w:lineRule="auto"/>
              <w:rPr>
                <w:color w:val="000000"/>
                <w:sz w:val="20"/>
                <w:szCs w:val="20"/>
              </w:rPr>
            </w:pPr>
            <w:r w:rsidRPr="00C806D0">
              <w:rPr>
                <w:sz w:val="20"/>
                <w:szCs w:val="20"/>
              </w:rPr>
              <w:t>EQ5D and co-morbidity</w:t>
            </w:r>
          </w:p>
        </w:tc>
        <w:tc>
          <w:tcPr>
            <w:tcW w:w="1624" w:type="dxa"/>
            <w:tcBorders>
              <w:left w:val="nil"/>
            </w:tcBorders>
          </w:tcPr>
          <w:p w:rsidR="004442E4" w:rsidRPr="00C806D0" w:rsidRDefault="004442E4" w:rsidP="004442E4">
            <w:pPr>
              <w:spacing w:line="276" w:lineRule="auto"/>
              <w:jc w:val="center"/>
              <w:rPr>
                <w:sz w:val="20"/>
                <w:szCs w:val="20"/>
              </w:rPr>
            </w:pPr>
            <w:r w:rsidRPr="00C806D0">
              <w:rPr>
                <w:sz w:val="20"/>
                <w:szCs w:val="20"/>
              </w:rPr>
              <w:t>42 (0.9%)</w:t>
            </w:r>
          </w:p>
        </w:tc>
      </w:tr>
      <w:tr w:rsidR="004442E4" w:rsidRPr="00C806D0" w:rsidTr="004442E4">
        <w:trPr>
          <w:trHeight w:val="285"/>
          <w:jc w:val="center"/>
        </w:trPr>
        <w:tc>
          <w:tcPr>
            <w:tcW w:w="0" w:type="auto"/>
            <w:tcMar>
              <w:top w:w="72" w:type="dxa"/>
              <w:left w:w="144" w:type="dxa"/>
              <w:bottom w:w="72" w:type="dxa"/>
              <w:right w:w="144" w:type="dxa"/>
            </w:tcMar>
          </w:tcPr>
          <w:p w:rsidR="004442E4" w:rsidRPr="00C806D0" w:rsidRDefault="004442E4" w:rsidP="004442E4">
            <w:pPr>
              <w:spacing w:line="276" w:lineRule="auto"/>
              <w:rPr>
                <w:sz w:val="20"/>
                <w:szCs w:val="20"/>
              </w:rPr>
            </w:pPr>
          </w:p>
        </w:tc>
        <w:tc>
          <w:tcPr>
            <w:tcW w:w="0" w:type="auto"/>
            <w:tcBorders>
              <w:left w:val="nil"/>
            </w:tcBorders>
          </w:tcPr>
          <w:p w:rsidR="004442E4" w:rsidRPr="00C806D0" w:rsidRDefault="004442E4" w:rsidP="004442E4">
            <w:pPr>
              <w:spacing w:line="276" w:lineRule="auto"/>
              <w:jc w:val="center"/>
              <w:rPr>
                <w:sz w:val="20"/>
                <w:szCs w:val="20"/>
              </w:rPr>
            </w:pPr>
          </w:p>
        </w:tc>
        <w:tc>
          <w:tcPr>
            <w:tcW w:w="0" w:type="auto"/>
            <w:tcBorders>
              <w:left w:val="nil"/>
            </w:tcBorders>
          </w:tcPr>
          <w:p w:rsidR="004442E4" w:rsidRPr="00C806D0" w:rsidRDefault="004442E4" w:rsidP="004442E4">
            <w:pPr>
              <w:spacing w:line="276" w:lineRule="auto"/>
              <w:rPr>
                <w:color w:val="000000"/>
                <w:sz w:val="20"/>
                <w:szCs w:val="20"/>
              </w:rPr>
            </w:pPr>
            <w:r w:rsidRPr="00C806D0">
              <w:rPr>
                <w:color w:val="000000"/>
                <w:sz w:val="20"/>
                <w:szCs w:val="20"/>
              </w:rPr>
              <w:t>EQ5D, GOS, co-morbidity</w:t>
            </w:r>
          </w:p>
        </w:tc>
        <w:tc>
          <w:tcPr>
            <w:tcW w:w="1624" w:type="dxa"/>
            <w:tcBorders>
              <w:left w:val="nil"/>
            </w:tcBorders>
          </w:tcPr>
          <w:p w:rsidR="004442E4" w:rsidRPr="00C806D0" w:rsidRDefault="004442E4" w:rsidP="004442E4">
            <w:pPr>
              <w:spacing w:line="276" w:lineRule="auto"/>
              <w:jc w:val="center"/>
              <w:rPr>
                <w:sz w:val="20"/>
                <w:szCs w:val="20"/>
              </w:rPr>
            </w:pPr>
            <w:r w:rsidRPr="00C806D0">
              <w:rPr>
                <w:sz w:val="20"/>
                <w:szCs w:val="20"/>
              </w:rPr>
              <w:t>89 (1.9%)</w:t>
            </w:r>
          </w:p>
        </w:tc>
      </w:tr>
      <w:tr w:rsidR="004442E4" w:rsidRPr="00C806D0" w:rsidTr="004442E4">
        <w:trPr>
          <w:trHeight w:val="285"/>
          <w:jc w:val="center"/>
        </w:trPr>
        <w:tc>
          <w:tcPr>
            <w:tcW w:w="0" w:type="auto"/>
            <w:tcBorders>
              <w:bottom w:val="single" w:sz="4" w:space="0" w:color="auto"/>
            </w:tcBorders>
            <w:tcMar>
              <w:top w:w="72" w:type="dxa"/>
              <w:left w:w="144" w:type="dxa"/>
              <w:bottom w:w="72" w:type="dxa"/>
              <w:right w:w="144" w:type="dxa"/>
            </w:tcMar>
          </w:tcPr>
          <w:p w:rsidR="004442E4" w:rsidRPr="00C806D0" w:rsidRDefault="004442E4" w:rsidP="004442E4">
            <w:pPr>
              <w:spacing w:line="276" w:lineRule="auto"/>
              <w:rPr>
                <w:sz w:val="20"/>
                <w:szCs w:val="20"/>
              </w:rPr>
            </w:pPr>
          </w:p>
        </w:tc>
        <w:tc>
          <w:tcPr>
            <w:tcW w:w="0" w:type="auto"/>
            <w:tcBorders>
              <w:left w:val="nil"/>
              <w:bottom w:val="single" w:sz="4" w:space="0" w:color="auto"/>
            </w:tcBorders>
          </w:tcPr>
          <w:p w:rsidR="004442E4" w:rsidRPr="00C806D0" w:rsidRDefault="004442E4" w:rsidP="004442E4">
            <w:pPr>
              <w:spacing w:line="276" w:lineRule="auto"/>
              <w:jc w:val="center"/>
              <w:rPr>
                <w:sz w:val="20"/>
                <w:szCs w:val="20"/>
              </w:rPr>
            </w:pPr>
          </w:p>
        </w:tc>
        <w:tc>
          <w:tcPr>
            <w:tcW w:w="0" w:type="auto"/>
            <w:tcBorders>
              <w:left w:val="nil"/>
              <w:bottom w:val="single" w:sz="4" w:space="0" w:color="auto"/>
            </w:tcBorders>
          </w:tcPr>
          <w:p w:rsidR="004442E4" w:rsidRPr="00C806D0" w:rsidRDefault="004442E4" w:rsidP="004442E4">
            <w:pPr>
              <w:spacing w:line="276" w:lineRule="auto"/>
              <w:rPr>
                <w:color w:val="000000"/>
                <w:sz w:val="20"/>
                <w:szCs w:val="20"/>
              </w:rPr>
            </w:pPr>
            <w:r w:rsidRPr="00C806D0">
              <w:rPr>
                <w:color w:val="000000"/>
                <w:sz w:val="20"/>
                <w:szCs w:val="20"/>
              </w:rPr>
              <w:t xml:space="preserve">EQ5D, GOS, </w:t>
            </w:r>
            <w:r w:rsidR="002A16B4" w:rsidRPr="00C806D0">
              <w:rPr>
                <w:color w:val="000000"/>
                <w:sz w:val="20"/>
                <w:szCs w:val="20"/>
              </w:rPr>
              <w:t>extracranial</w:t>
            </w:r>
            <w:r w:rsidRPr="00C806D0">
              <w:rPr>
                <w:color w:val="000000"/>
                <w:sz w:val="20"/>
                <w:szCs w:val="20"/>
              </w:rPr>
              <w:t xml:space="preserve"> injury</w:t>
            </w:r>
          </w:p>
        </w:tc>
        <w:tc>
          <w:tcPr>
            <w:tcW w:w="1624" w:type="dxa"/>
            <w:tcBorders>
              <w:left w:val="nil"/>
              <w:bottom w:val="single" w:sz="4" w:space="0" w:color="auto"/>
            </w:tcBorders>
          </w:tcPr>
          <w:p w:rsidR="004442E4" w:rsidRPr="00C806D0" w:rsidRDefault="004442E4" w:rsidP="004442E4">
            <w:pPr>
              <w:spacing w:line="276" w:lineRule="auto"/>
              <w:jc w:val="center"/>
              <w:rPr>
                <w:sz w:val="20"/>
                <w:szCs w:val="20"/>
              </w:rPr>
            </w:pPr>
            <w:r w:rsidRPr="00C806D0">
              <w:rPr>
                <w:sz w:val="20"/>
                <w:szCs w:val="20"/>
              </w:rPr>
              <w:t>1 (0.02%)</w:t>
            </w:r>
          </w:p>
        </w:tc>
      </w:tr>
    </w:tbl>
    <w:p w:rsidR="004442E4" w:rsidRPr="00C806D0" w:rsidRDefault="00843F6A" w:rsidP="004442E4">
      <w:r w:rsidRPr="00C806D0">
        <w:rPr>
          <w:sz w:val="20"/>
          <w:szCs w:val="20"/>
        </w:rPr>
        <w:t>*Total sample size n=4,719</w:t>
      </w:r>
    </w:p>
    <w:p w:rsidR="004442E4" w:rsidRPr="00C806D0" w:rsidRDefault="004442E4" w:rsidP="004442E4">
      <w:r w:rsidRPr="00C806D0">
        <w:lastRenderedPageBreak/>
        <w:t>Patients excluded from the available case analyses due to missing data had broadly similar characteristics to included patients, as detailed in Table F22. The only clinically and statistically significant differences were that excluded patients were marginally younger with slightly less severe injuries.</w:t>
      </w:r>
    </w:p>
    <w:p w:rsidR="004442E4" w:rsidRPr="00C806D0" w:rsidRDefault="004442E4" w:rsidP="004442E4">
      <w:pPr>
        <w:rPr>
          <w:b/>
        </w:rPr>
      </w:pPr>
    </w:p>
    <w:p w:rsidR="004442E4" w:rsidRPr="00C806D0" w:rsidRDefault="004442E4" w:rsidP="004442E4">
      <w:pPr>
        <w:rPr>
          <w:b/>
        </w:rPr>
      </w:pPr>
      <w:r w:rsidRPr="00C806D0">
        <w:rPr>
          <w:b/>
        </w:rPr>
        <w:t>Table F22. Characteristics of included and excluded cases</w:t>
      </w:r>
    </w:p>
    <w:tbl>
      <w:tblPr>
        <w:tblStyle w:val="LightShading1"/>
        <w:tblW w:w="4966" w:type="pct"/>
        <w:jc w:val="center"/>
        <w:tblLook w:val="0620" w:firstRow="1" w:lastRow="0" w:firstColumn="0" w:lastColumn="0" w:noHBand="1" w:noVBand="1"/>
      </w:tblPr>
      <w:tblGrid>
        <w:gridCol w:w="2911"/>
        <w:gridCol w:w="1058"/>
        <w:gridCol w:w="1058"/>
        <w:gridCol w:w="809"/>
        <w:gridCol w:w="253"/>
        <w:gridCol w:w="899"/>
        <w:gridCol w:w="925"/>
        <w:gridCol w:w="748"/>
      </w:tblGrid>
      <w:tr w:rsidR="004442E4" w:rsidRPr="00C806D0" w:rsidTr="004442E4">
        <w:trPr>
          <w:cnfStyle w:val="100000000000" w:firstRow="1" w:lastRow="0" w:firstColumn="0" w:lastColumn="0" w:oddVBand="0" w:evenVBand="0" w:oddHBand="0" w:evenHBand="0" w:firstRowFirstColumn="0" w:firstRowLastColumn="0" w:lastRowFirstColumn="0" w:lastRowLastColumn="0"/>
          <w:jc w:val="center"/>
        </w:trPr>
        <w:tc>
          <w:tcPr>
            <w:tcW w:w="1680" w:type="pct"/>
            <w:tcBorders>
              <w:top w:val="single" w:sz="4" w:space="0" w:color="auto"/>
              <w:bottom w:val="nil"/>
            </w:tcBorders>
          </w:tcPr>
          <w:p w:rsidR="004442E4" w:rsidRPr="00C806D0" w:rsidRDefault="004442E4" w:rsidP="004442E4">
            <w:pPr>
              <w:pStyle w:val="NoSpacing"/>
              <w:rPr>
                <w:sz w:val="18"/>
                <w:szCs w:val="18"/>
              </w:rPr>
            </w:pPr>
          </w:p>
        </w:tc>
        <w:tc>
          <w:tcPr>
            <w:tcW w:w="1222" w:type="pct"/>
            <w:gridSpan w:val="2"/>
            <w:tcBorders>
              <w:top w:val="single" w:sz="4" w:space="0" w:color="auto"/>
              <w:bottom w:val="nil"/>
            </w:tcBorders>
          </w:tcPr>
          <w:p w:rsidR="004442E4" w:rsidRPr="00C806D0" w:rsidRDefault="004442E4" w:rsidP="004442E4">
            <w:pPr>
              <w:pStyle w:val="NoSpacing"/>
              <w:jc w:val="center"/>
              <w:rPr>
                <w:sz w:val="18"/>
                <w:szCs w:val="18"/>
              </w:rPr>
            </w:pPr>
            <w:r w:rsidRPr="00C806D0">
              <w:rPr>
                <w:sz w:val="18"/>
                <w:szCs w:val="18"/>
              </w:rPr>
              <w:t>Initial model</w:t>
            </w:r>
          </w:p>
        </w:tc>
        <w:tc>
          <w:tcPr>
            <w:tcW w:w="467" w:type="pct"/>
            <w:tcBorders>
              <w:top w:val="single" w:sz="4" w:space="0" w:color="auto"/>
              <w:bottom w:val="nil"/>
            </w:tcBorders>
          </w:tcPr>
          <w:p w:rsidR="004442E4" w:rsidRPr="00C806D0" w:rsidRDefault="004442E4" w:rsidP="004442E4">
            <w:pPr>
              <w:pStyle w:val="NoSpacing"/>
              <w:jc w:val="center"/>
              <w:rPr>
                <w:sz w:val="18"/>
                <w:szCs w:val="18"/>
              </w:rPr>
            </w:pPr>
          </w:p>
        </w:tc>
        <w:tc>
          <w:tcPr>
            <w:tcW w:w="146" w:type="pct"/>
            <w:tcBorders>
              <w:top w:val="single" w:sz="4" w:space="0" w:color="auto"/>
              <w:bottom w:val="nil"/>
            </w:tcBorders>
          </w:tcPr>
          <w:p w:rsidR="004442E4" w:rsidRPr="00C806D0" w:rsidRDefault="004442E4" w:rsidP="004442E4">
            <w:pPr>
              <w:pStyle w:val="NoSpacing"/>
              <w:jc w:val="center"/>
              <w:rPr>
                <w:sz w:val="18"/>
                <w:szCs w:val="18"/>
              </w:rPr>
            </w:pPr>
          </w:p>
        </w:tc>
        <w:tc>
          <w:tcPr>
            <w:tcW w:w="1053" w:type="pct"/>
            <w:gridSpan w:val="2"/>
            <w:tcBorders>
              <w:top w:val="single" w:sz="4" w:space="0" w:color="auto"/>
              <w:bottom w:val="nil"/>
            </w:tcBorders>
          </w:tcPr>
          <w:p w:rsidR="004442E4" w:rsidRPr="00C806D0" w:rsidRDefault="004442E4" w:rsidP="004442E4">
            <w:pPr>
              <w:pStyle w:val="NoSpacing"/>
              <w:jc w:val="center"/>
              <w:rPr>
                <w:sz w:val="18"/>
                <w:szCs w:val="18"/>
              </w:rPr>
            </w:pPr>
            <w:r w:rsidRPr="00C806D0">
              <w:rPr>
                <w:sz w:val="18"/>
                <w:szCs w:val="18"/>
              </w:rPr>
              <w:t>Detailed model</w:t>
            </w:r>
          </w:p>
        </w:tc>
        <w:tc>
          <w:tcPr>
            <w:tcW w:w="432" w:type="pct"/>
            <w:tcBorders>
              <w:top w:val="single" w:sz="4" w:space="0" w:color="auto"/>
              <w:bottom w:val="nil"/>
            </w:tcBorders>
          </w:tcPr>
          <w:p w:rsidR="004442E4" w:rsidRPr="00C806D0" w:rsidRDefault="004442E4" w:rsidP="004442E4">
            <w:pPr>
              <w:pStyle w:val="NoSpacing"/>
              <w:jc w:val="center"/>
              <w:rPr>
                <w:sz w:val="18"/>
                <w:szCs w:val="18"/>
              </w:rPr>
            </w:pPr>
          </w:p>
        </w:tc>
      </w:tr>
      <w:tr w:rsidR="004442E4" w:rsidRPr="00C806D0" w:rsidTr="004442E4">
        <w:trPr>
          <w:jc w:val="center"/>
        </w:trPr>
        <w:tc>
          <w:tcPr>
            <w:tcW w:w="1680" w:type="pct"/>
            <w:tcBorders>
              <w:top w:val="nil"/>
              <w:bottom w:val="single" w:sz="4" w:space="0" w:color="auto"/>
            </w:tcBorders>
          </w:tcPr>
          <w:p w:rsidR="004442E4" w:rsidRPr="00C806D0" w:rsidRDefault="004442E4" w:rsidP="004442E4">
            <w:pPr>
              <w:pStyle w:val="NoSpacing"/>
              <w:rPr>
                <w:b/>
                <w:sz w:val="18"/>
                <w:szCs w:val="18"/>
              </w:rPr>
            </w:pPr>
            <w:r w:rsidRPr="00C806D0">
              <w:rPr>
                <w:b/>
                <w:sz w:val="18"/>
                <w:szCs w:val="18"/>
              </w:rPr>
              <w:t>Patient characteristic</w:t>
            </w:r>
          </w:p>
        </w:tc>
        <w:tc>
          <w:tcPr>
            <w:tcW w:w="611" w:type="pct"/>
            <w:tcBorders>
              <w:top w:val="nil"/>
              <w:bottom w:val="single" w:sz="4" w:space="0" w:color="auto"/>
            </w:tcBorders>
          </w:tcPr>
          <w:p w:rsidR="004442E4" w:rsidRPr="00C806D0" w:rsidRDefault="004442E4" w:rsidP="004442E4">
            <w:pPr>
              <w:pStyle w:val="NoSpacing"/>
              <w:jc w:val="center"/>
              <w:rPr>
                <w:b/>
                <w:sz w:val="18"/>
                <w:szCs w:val="18"/>
              </w:rPr>
            </w:pPr>
            <w:r w:rsidRPr="00C806D0">
              <w:rPr>
                <w:b/>
                <w:sz w:val="18"/>
                <w:szCs w:val="18"/>
              </w:rPr>
              <w:t>Included</w:t>
            </w:r>
          </w:p>
        </w:tc>
        <w:tc>
          <w:tcPr>
            <w:tcW w:w="611" w:type="pct"/>
            <w:tcBorders>
              <w:top w:val="nil"/>
              <w:bottom w:val="single" w:sz="4" w:space="0" w:color="auto"/>
            </w:tcBorders>
          </w:tcPr>
          <w:p w:rsidR="004442E4" w:rsidRPr="00C806D0" w:rsidRDefault="004442E4" w:rsidP="004442E4">
            <w:pPr>
              <w:pStyle w:val="NoSpacing"/>
              <w:jc w:val="center"/>
              <w:rPr>
                <w:b/>
                <w:sz w:val="18"/>
                <w:szCs w:val="18"/>
              </w:rPr>
            </w:pPr>
            <w:r w:rsidRPr="00C806D0">
              <w:rPr>
                <w:b/>
                <w:sz w:val="18"/>
                <w:szCs w:val="18"/>
              </w:rPr>
              <w:t>Excluded</w:t>
            </w:r>
          </w:p>
        </w:tc>
        <w:tc>
          <w:tcPr>
            <w:tcW w:w="467" w:type="pct"/>
            <w:tcBorders>
              <w:top w:val="nil"/>
              <w:bottom w:val="single" w:sz="4" w:space="0" w:color="auto"/>
            </w:tcBorders>
          </w:tcPr>
          <w:p w:rsidR="004442E4" w:rsidRPr="00C806D0" w:rsidRDefault="004442E4" w:rsidP="004442E4">
            <w:pPr>
              <w:pStyle w:val="NoSpacing"/>
              <w:jc w:val="center"/>
              <w:rPr>
                <w:b/>
                <w:sz w:val="18"/>
                <w:szCs w:val="18"/>
              </w:rPr>
            </w:pPr>
            <w:r w:rsidRPr="00C806D0">
              <w:rPr>
                <w:b/>
                <w:sz w:val="18"/>
                <w:szCs w:val="18"/>
              </w:rPr>
              <w:t>p-value</w:t>
            </w:r>
          </w:p>
          <w:p w:rsidR="004442E4" w:rsidRPr="00C806D0" w:rsidRDefault="004442E4" w:rsidP="004442E4">
            <w:pPr>
              <w:pStyle w:val="NoSpacing"/>
              <w:jc w:val="center"/>
              <w:rPr>
                <w:b/>
                <w:sz w:val="18"/>
                <w:szCs w:val="18"/>
              </w:rPr>
            </w:pPr>
          </w:p>
        </w:tc>
        <w:tc>
          <w:tcPr>
            <w:tcW w:w="146" w:type="pct"/>
            <w:tcBorders>
              <w:top w:val="nil"/>
              <w:bottom w:val="single" w:sz="4" w:space="0" w:color="auto"/>
            </w:tcBorders>
          </w:tcPr>
          <w:p w:rsidR="004442E4" w:rsidRPr="00C806D0" w:rsidRDefault="004442E4" w:rsidP="004442E4">
            <w:pPr>
              <w:pStyle w:val="NoSpacing"/>
              <w:jc w:val="center"/>
              <w:rPr>
                <w:b/>
                <w:sz w:val="18"/>
                <w:szCs w:val="18"/>
              </w:rPr>
            </w:pPr>
          </w:p>
        </w:tc>
        <w:tc>
          <w:tcPr>
            <w:tcW w:w="519" w:type="pct"/>
            <w:tcBorders>
              <w:top w:val="nil"/>
              <w:bottom w:val="single" w:sz="4" w:space="0" w:color="auto"/>
            </w:tcBorders>
          </w:tcPr>
          <w:p w:rsidR="004442E4" w:rsidRPr="00C806D0" w:rsidRDefault="004442E4" w:rsidP="004442E4">
            <w:pPr>
              <w:pStyle w:val="NoSpacing"/>
              <w:jc w:val="center"/>
              <w:rPr>
                <w:b/>
                <w:sz w:val="18"/>
                <w:szCs w:val="18"/>
              </w:rPr>
            </w:pPr>
            <w:r w:rsidRPr="00C806D0">
              <w:rPr>
                <w:b/>
                <w:sz w:val="18"/>
                <w:szCs w:val="18"/>
              </w:rPr>
              <w:t>Included</w:t>
            </w:r>
          </w:p>
        </w:tc>
        <w:tc>
          <w:tcPr>
            <w:tcW w:w="534" w:type="pct"/>
            <w:tcBorders>
              <w:top w:val="nil"/>
              <w:bottom w:val="single" w:sz="4" w:space="0" w:color="auto"/>
            </w:tcBorders>
          </w:tcPr>
          <w:p w:rsidR="004442E4" w:rsidRPr="00C806D0" w:rsidRDefault="004442E4" w:rsidP="004442E4">
            <w:pPr>
              <w:pStyle w:val="NoSpacing"/>
              <w:jc w:val="center"/>
              <w:rPr>
                <w:b/>
                <w:sz w:val="18"/>
                <w:szCs w:val="18"/>
              </w:rPr>
            </w:pPr>
            <w:r w:rsidRPr="00C806D0">
              <w:rPr>
                <w:b/>
                <w:sz w:val="18"/>
                <w:szCs w:val="18"/>
              </w:rPr>
              <w:t>Excluded</w:t>
            </w:r>
          </w:p>
        </w:tc>
        <w:tc>
          <w:tcPr>
            <w:tcW w:w="432" w:type="pct"/>
            <w:tcBorders>
              <w:top w:val="nil"/>
              <w:bottom w:val="single" w:sz="4" w:space="0" w:color="auto"/>
            </w:tcBorders>
          </w:tcPr>
          <w:p w:rsidR="004442E4" w:rsidRPr="00C806D0" w:rsidRDefault="004442E4" w:rsidP="004442E4">
            <w:pPr>
              <w:pStyle w:val="NoSpacing"/>
              <w:jc w:val="center"/>
              <w:rPr>
                <w:b/>
                <w:sz w:val="18"/>
                <w:szCs w:val="18"/>
              </w:rPr>
            </w:pPr>
            <w:r w:rsidRPr="00C806D0">
              <w:rPr>
                <w:b/>
                <w:sz w:val="18"/>
                <w:szCs w:val="18"/>
              </w:rPr>
              <w:t>p-value</w:t>
            </w:r>
          </w:p>
          <w:p w:rsidR="004442E4" w:rsidRPr="00C806D0" w:rsidRDefault="004442E4" w:rsidP="004442E4">
            <w:pPr>
              <w:pStyle w:val="NoSpacing"/>
              <w:jc w:val="center"/>
              <w:rPr>
                <w:b/>
                <w:sz w:val="18"/>
                <w:szCs w:val="18"/>
              </w:rPr>
            </w:pPr>
          </w:p>
        </w:tc>
      </w:tr>
      <w:tr w:rsidR="004442E4" w:rsidRPr="00C806D0" w:rsidTr="004442E4">
        <w:trPr>
          <w:trHeight w:val="217"/>
          <w:jc w:val="center"/>
        </w:trPr>
        <w:tc>
          <w:tcPr>
            <w:tcW w:w="1680" w:type="pct"/>
            <w:tcBorders>
              <w:top w:val="single" w:sz="4" w:space="0" w:color="auto"/>
              <w:bottom w:val="nil"/>
            </w:tcBorders>
          </w:tcPr>
          <w:p w:rsidR="004442E4" w:rsidRPr="00C806D0" w:rsidRDefault="004442E4" w:rsidP="004442E4">
            <w:pPr>
              <w:pStyle w:val="NoSpacing"/>
              <w:rPr>
                <w:sz w:val="18"/>
                <w:szCs w:val="18"/>
              </w:rPr>
            </w:pPr>
            <w:r w:rsidRPr="00C806D0">
              <w:rPr>
                <w:sz w:val="18"/>
                <w:szCs w:val="18"/>
              </w:rPr>
              <w:t>Number of patients</w:t>
            </w:r>
          </w:p>
          <w:p w:rsidR="004442E4" w:rsidRPr="00C806D0" w:rsidRDefault="004442E4" w:rsidP="004442E4">
            <w:pPr>
              <w:pStyle w:val="NoSpacing"/>
              <w:rPr>
                <w:sz w:val="18"/>
                <w:szCs w:val="18"/>
              </w:rPr>
            </w:pPr>
          </w:p>
        </w:tc>
        <w:tc>
          <w:tcPr>
            <w:tcW w:w="611" w:type="pct"/>
            <w:tcBorders>
              <w:top w:val="single" w:sz="4" w:space="0" w:color="auto"/>
              <w:bottom w:val="nil"/>
            </w:tcBorders>
          </w:tcPr>
          <w:p w:rsidR="004442E4" w:rsidRPr="00C806D0" w:rsidRDefault="004442E4" w:rsidP="004442E4">
            <w:pPr>
              <w:pStyle w:val="NoSpacing"/>
              <w:jc w:val="center"/>
              <w:rPr>
                <w:sz w:val="18"/>
                <w:szCs w:val="18"/>
              </w:rPr>
            </w:pPr>
            <w:r w:rsidRPr="00C806D0">
              <w:rPr>
                <w:sz w:val="18"/>
                <w:szCs w:val="18"/>
              </w:rPr>
              <w:t>3,437</w:t>
            </w:r>
          </w:p>
        </w:tc>
        <w:tc>
          <w:tcPr>
            <w:tcW w:w="611" w:type="pct"/>
            <w:tcBorders>
              <w:top w:val="single" w:sz="4" w:space="0" w:color="auto"/>
              <w:bottom w:val="nil"/>
            </w:tcBorders>
          </w:tcPr>
          <w:p w:rsidR="004442E4" w:rsidRPr="00C806D0" w:rsidRDefault="004442E4" w:rsidP="004442E4">
            <w:pPr>
              <w:pStyle w:val="NoSpacing"/>
              <w:jc w:val="center"/>
              <w:rPr>
                <w:sz w:val="18"/>
                <w:szCs w:val="18"/>
              </w:rPr>
            </w:pPr>
            <w:r w:rsidRPr="00C806D0">
              <w:rPr>
                <w:sz w:val="18"/>
                <w:szCs w:val="18"/>
              </w:rPr>
              <w:t>1,282</w:t>
            </w:r>
          </w:p>
        </w:tc>
        <w:tc>
          <w:tcPr>
            <w:tcW w:w="467" w:type="pct"/>
            <w:tcBorders>
              <w:top w:val="single" w:sz="4" w:space="0" w:color="auto"/>
              <w:bottom w:val="nil"/>
            </w:tcBorders>
          </w:tcPr>
          <w:p w:rsidR="004442E4" w:rsidRPr="00C806D0" w:rsidRDefault="004442E4" w:rsidP="004442E4">
            <w:pPr>
              <w:pStyle w:val="NoSpacing"/>
              <w:jc w:val="center"/>
              <w:rPr>
                <w:sz w:val="18"/>
                <w:szCs w:val="18"/>
              </w:rPr>
            </w:pPr>
          </w:p>
        </w:tc>
        <w:tc>
          <w:tcPr>
            <w:tcW w:w="146" w:type="pct"/>
            <w:tcBorders>
              <w:top w:val="single" w:sz="4" w:space="0" w:color="auto"/>
              <w:bottom w:val="nil"/>
            </w:tcBorders>
          </w:tcPr>
          <w:p w:rsidR="004442E4" w:rsidRPr="00C806D0" w:rsidRDefault="004442E4" w:rsidP="004442E4">
            <w:pPr>
              <w:pStyle w:val="NoSpacing"/>
              <w:jc w:val="center"/>
              <w:rPr>
                <w:sz w:val="18"/>
                <w:szCs w:val="18"/>
              </w:rPr>
            </w:pPr>
          </w:p>
        </w:tc>
        <w:tc>
          <w:tcPr>
            <w:tcW w:w="519" w:type="pct"/>
            <w:tcBorders>
              <w:top w:val="single" w:sz="4" w:space="0" w:color="auto"/>
              <w:bottom w:val="nil"/>
            </w:tcBorders>
          </w:tcPr>
          <w:p w:rsidR="004442E4" w:rsidRPr="00C806D0" w:rsidRDefault="004442E4" w:rsidP="004442E4">
            <w:pPr>
              <w:pStyle w:val="NoSpacing"/>
              <w:jc w:val="center"/>
              <w:rPr>
                <w:sz w:val="18"/>
                <w:szCs w:val="18"/>
              </w:rPr>
            </w:pPr>
            <w:r w:rsidRPr="00C806D0">
              <w:rPr>
                <w:sz w:val="18"/>
                <w:szCs w:val="18"/>
              </w:rPr>
              <w:t>3,089</w:t>
            </w:r>
          </w:p>
        </w:tc>
        <w:tc>
          <w:tcPr>
            <w:tcW w:w="534" w:type="pct"/>
            <w:tcBorders>
              <w:top w:val="single" w:sz="4" w:space="0" w:color="auto"/>
              <w:bottom w:val="nil"/>
            </w:tcBorders>
          </w:tcPr>
          <w:p w:rsidR="004442E4" w:rsidRPr="00C806D0" w:rsidRDefault="004442E4" w:rsidP="004442E4">
            <w:pPr>
              <w:pStyle w:val="NoSpacing"/>
              <w:jc w:val="center"/>
              <w:rPr>
                <w:sz w:val="18"/>
                <w:szCs w:val="18"/>
              </w:rPr>
            </w:pPr>
            <w:r w:rsidRPr="00C806D0">
              <w:rPr>
                <w:sz w:val="18"/>
                <w:szCs w:val="18"/>
              </w:rPr>
              <w:t>1,630</w:t>
            </w:r>
          </w:p>
        </w:tc>
        <w:tc>
          <w:tcPr>
            <w:tcW w:w="432" w:type="pct"/>
            <w:tcBorders>
              <w:top w:val="single" w:sz="4" w:space="0" w:color="auto"/>
              <w:bottom w:val="nil"/>
            </w:tcBorders>
          </w:tcPr>
          <w:p w:rsidR="004442E4" w:rsidRPr="00C806D0" w:rsidRDefault="004442E4" w:rsidP="004442E4">
            <w:pPr>
              <w:pStyle w:val="NoSpacing"/>
              <w:jc w:val="center"/>
              <w:rPr>
                <w:sz w:val="18"/>
                <w:szCs w:val="18"/>
              </w:rPr>
            </w:pPr>
          </w:p>
        </w:tc>
      </w:tr>
      <w:tr w:rsidR="004442E4" w:rsidRPr="00C806D0" w:rsidTr="004442E4">
        <w:trPr>
          <w:jc w:val="center"/>
        </w:trPr>
        <w:tc>
          <w:tcPr>
            <w:tcW w:w="1680" w:type="pct"/>
            <w:tcBorders>
              <w:top w:val="nil"/>
            </w:tcBorders>
          </w:tcPr>
          <w:p w:rsidR="004442E4" w:rsidRPr="00C806D0" w:rsidRDefault="004442E4" w:rsidP="004442E4">
            <w:pPr>
              <w:pStyle w:val="NoSpacing"/>
              <w:rPr>
                <w:sz w:val="18"/>
                <w:szCs w:val="18"/>
              </w:rPr>
            </w:pPr>
            <w:r w:rsidRPr="00C806D0">
              <w:rPr>
                <w:sz w:val="18"/>
                <w:szCs w:val="18"/>
              </w:rPr>
              <w:t>Age at injury</w:t>
            </w:r>
          </w:p>
          <w:p w:rsidR="004442E4" w:rsidRPr="00C806D0" w:rsidRDefault="004442E4" w:rsidP="004442E4">
            <w:pPr>
              <w:pStyle w:val="NoSpacing"/>
              <w:rPr>
                <w:sz w:val="18"/>
                <w:szCs w:val="18"/>
              </w:rPr>
            </w:pPr>
            <w:r w:rsidRPr="00C806D0">
              <w:rPr>
                <w:sz w:val="18"/>
                <w:szCs w:val="18"/>
              </w:rPr>
              <w:t>(Years, median, IQR)</w:t>
            </w:r>
          </w:p>
          <w:p w:rsidR="004442E4" w:rsidRPr="00C806D0" w:rsidRDefault="004442E4" w:rsidP="004442E4">
            <w:pPr>
              <w:pStyle w:val="NoSpacing"/>
              <w:rPr>
                <w:sz w:val="18"/>
                <w:szCs w:val="18"/>
              </w:rPr>
            </w:pPr>
          </w:p>
        </w:tc>
        <w:tc>
          <w:tcPr>
            <w:tcW w:w="611" w:type="pct"/>
            <w:tcBorders>
              <w:top w:val="nil"/>
            </w:tcBorders>
          </w:tcPr>
          <w:p w:rsidR="004442E4" w:rsidRPr="00C806D0" w:rsidRDefault="004442E4" w:rsidP="004442E4">
            <w:pPr>
              <w:pStyle w:val="NoSpacing"/>
              <w:jc w:val="center"/>
              <w:rPr>
                <w:sz w:val="18"/>
                <w:szCs w:val="18"/>
              </w:rPr>
            </w:pPr>
            <w:r w:rsidRPr="00C806D0">
              <w:rPr>
                <w:sz w:val="18"/>
                <w:szCs w:val="18"/>
              </w:rPr>
              <w:t>50</w:t>
            </w:r>
          </w:p>
          <w:p w:rsidR="004442E4" w:rsidRPr="00C806D0" w:rsidRDefault="004442E4" w:rsidP="004442E4">
            <w:pPr>
              <w:pStyle w:val="NoSpacing"/>
              <w:jc w:val="center"/>
              <w:rPr>
                <w:sz w:val="18"/>
                <w:szCs w:val="18"/>
              </w:rPr>
            </w:pPr>
            <w:r w:rsidRPr="00C806D0">
              <w:rPr>
                <w:sz w:val="18"/>
                <w:szCs w:val="18"/>
              </w:rPr>
              <w:t>(29-72)</w:t>
            </w:r>
          </w:p>
        </w:tc>
        <w:tc>
          <w:tcPr>
            <w:tcW w:w="611" w:type="pct"/>
            <w:tcBorders>
              <w:top w:val="nil"/>
            </w:tcBorders>
          </w:tcPr>
          <w:p w:rsidR="004442E4" w:rsidRPr="00C806D0" w:rsidRDefault="004442E4" w:rsidP="004442E4">
            <w:pPr>
              <w:pStyle w:val="NoSpacing"/>
              <w:jc w:val="center"/>
              <w:rPr>
                <w:sz w:val="18"/>
                <w:szCs w:val="18"/>
              </w:rPr>
            </w:pPr>
            <w:r w:rsidRPr="00C806D0">
              <w:rPr>
                <w:sz w:val="18"/>
                <w:szCs w:val="18"/>
              </w:rPr>
              <w:t>45</w:t>
            </w:r>
          </w:p>
          <w:p w:rsidR="004442E4" w:rsidRPr="00C806D0" w:rsidRDefault="004442E4" w:rsidP="004442E4">
            <w:pPr>
              <w:pStyle w:val="NoSpacing"/>
              <w:jc w:val="center"/>
              <w:rPr>
                <w:sz w:val="18"/>
                <w:szCs w:val="18"/>
              </w:rPr>
            </w:pPr>
            <w:r w:rsidRPr="00C806D0">
              <w:rPr>
                <w:sz w:val="18"/>
                <w:szCs w:val="18"/>
              </w:rPr>
              <w:t>(27-67)</w:t>
            </w:r>
          </w:p>
        </w:tc>
        <w:tc>
          <w:tcPr>
            <w:tcW w:w="467" w:type="pct"/>
            <w:tcBorders>
              <w:top w:val="nil"/>
            </w:tcBorders>
          </w:tcPr>
          <w:p w:rsidR="004442E4" w:rsidRPr="00C806D0" w:rsidRDefault="004442E4" w:rsidP="004442E4">
            <w:pPr>
              <w:pStyle w:val="NoSpacing"/>
              <w:jc w:val="center"/>
              <w:rPr>
                <w:sz w:val="18"/>
                <w:szCs w:val="18"/>
              </w:rPr>
            </w:pPr>
            <w:r w:rsidRPr="00C806D0">
              <w:rPr>
                <w:sz w:val="18"/>
                <w:szCs w:val="18"/>
              </w:rPr>
              <w:t>0.001</w:t>
            </w:r>
          </w:p>
        </w:tc>
        <w:tc>
          <w:tcPr>
            <w:tcW w:w="146" w:type="pct"/>
            <w:tcBorders>
              <w:top w:val="nil"/>
            </w:tcBorders>
          </w:tcPr>
          <w:p w:rsidR="004442E4" w:rsidRPr="00C806D0" w:rsidRDefault="004442E4" w:rsidP="004442E4">
            <w:pPr>
              <w:pStyle w:val="NoSpacing"/>
              <w:jc w:val="center"/>
              <w:rPr>
                <w:sz w:val="18"/>
                <w:szCs w:val="18"/>
              </w:rPr>
            </w:pPr>
          </w:p>
        </w:tc>
        <w:tc>
          <w:tcPr>
            <w:tcW w:w="519" w:type="pct"/>
            <w:tcBorders>
              <w:top w:val="nil"/>
            </w:tcBorders>
          </w:tcPr>
          <w:p w:rsidR="004442E4" w:rsidRPr="00C806D0" w:rsidRDefault="004442E4" w:rsidP="004442E4">
            <w:pPr>
              <w:pStyle w:val="NoSpacing"/>
              <w:jc w:val="center"/>
              <w:rPr>
                <w:sz w:val="18"/>
                <w:szCs w:val="18"/>
              </w:rPr>
            </w:pPr>
            <w:r w:rsidRPr="00C806D0">
              <w:rPr>
                <w:sz w:val="18"/>
                <w:szCs w:val="18"/>
              </w:rPr>
              <w:t>50</w:t>
            </w:r>
          </w:p>
          <w:p w:rsidR="004442E4" w:rsidRPr="00C806D0" w:rsidRDefault="004442E4" w:rsidP="004442E4">
            <w:pPr>
              <w:pStyle w:val="NoSpacing"/>
              <w:jc w:val="center"/>
              <w:rPr>
                <w:sz w:val="18"/>
                <w:szCs w:val="18"/>
              </w:rPr>
            </w:pPr>
            <w:r w:rsidRPr="00C806D0">
              <w:rPr>
                <w:sz w:val="18"/>
                <w:szCs w:val="18"/>
              </w:rPr>
              <w:t>(29-72)</w:t>
            </w:r>
          </w:p>
        </w:tc>
        <w:tc>
          <w:tcPr>
            <w:tcW w:w="534" w:type="pct"/>
            <w:tcBorders>
              <w:top w:val="nil"/>
            </w:tcBorders>
          </w:tcPr>
          <w:p w:rsidR="004442E4" w:rsidRPr="00C806D0" w:rsidRDefault="004442E4" w:rsidP="004442E4">
            <w:pPr>
              <w:pStyle w:val="NoSpacing"/>
              <w:jc w:val="center"/>
              <w:rPr>
                <w:sz w:val="18"/>
                <w:szCs w:val="18"/>
              </w:rPr>
            </w:pPr>
            <w:r w:rsidRPr="00C806D0">
              <w:rPr>
                <w:sz w:val="18"/>
                <w:szCs w:val="18"/>
              </w:rPr>
              <w:t>46</w:t>
            </w:r>
          </w:p>
          <w:p w:rsidR="004442E4" w:rsidRPr="00C806D0" w:rsidRDefault="004442E4" w:rsidP="004442E4">
            <w:pPr>
              <w:pStyle w:val="NoSpacing"/>
              <w:jc w:val="center"/>
              <w:rPr>
                <w:sz w:val="18"/>
                <w:szCs w:val="18"/>
              </w:rPr>
            </w:pPr>
            <w:r w:rsidRPr="00C806D0">
              <w:rPr>
                <w:sz w:val="18"/>
                <w:szCs w:val="18"/>
              </w:rPr>
              <w:t>(28-67)</w:t>
            </w:r>
          </w:p>
        </w:tc>
        <w:tc>
          <w:tcPr>
            <w:tcW w:w="432" w:type="pct"/>
            <w:tcBorders>
              <w:top w:val="nil"/>
            </w:tcBorders>
          </w:tcPr>
          <w:p w:rsidR="004442E4" w:rsidRPr="00C806D0" w:rsidRDefault="004442E4" w:rsidP="004442E4">
            <w:pPr>
              <w:pStyle w:val="NoSpacing"/>
              <w:jc w:val="center"/>
              <w:rPr>
                <w:sz w:val="18"/>
                <w:szCs w:val="18"/>
              </w:rPr>
            </w:pPr>
            <w:r w:rsidRPr="00C806D0">
              <w:rPr>
                <w:sz w:val="18"/>
                <w:szCs w:val="18"/>
              </w:rPr>
              <w:t>&lt;0.001</w:t>
            </w:r>
          </w:p>
        </w:tc>
      </w:tr>
      <w:tr w:rsidR="004442E4" w:rsidRPr="00C806D0" w:rsidTr="004442E4">
        <w:trPr>
          <w:jc w:val="center"/>
        </w:trPr>
        <w:tc>
          <w:tcPr>
            <w:tcW w:w="1680" w:type="pct"/>
          </w:tcPr>
          <w:p w:rsidR="004442E4" w:rsidRPr="00C806D0" w:rsidRDefault="004442E4" w:rsidP="004442E4">
            <w:pPr>
              <w:pStyle w:val="NoSpacing"/>
              <w:rPr>
                <w:sz w:val="18"/>
                <w:szCs w:val="18"/>
              </w:rPr>
            </w:pPr>
            <w:r w:rsidRPr="00C806D0">
              <w:rPr>
                <w:sz w:val="18"/>
                <w:szCs w:val="18"/>
              </w:rPr>
              <w:t>Male gender</w:t>
            </w:r>
          </w:p>
          <w:p w:rsidR="004442E4" w:rsidRPr="00C806D0" w:rsidRDefault="004442E4" w:rsidP="004442E4">
            <w:pPr>
              <w:pStyle w:val="NoSpacing"/>
              <w:rPr>
                <w:sz w:val="18"/>
                <w:szCs w:val="18"/>
              </w:rPr>
            </w:pPr>
            <w:r w:rsidRPr="00C806D0">
              <w:rPr>
                <w:sz w:val="18"/>
                <w:szCs w:val="18"/>
              </w:rPr>
              <w:t xml:space="preserve"> (%, 95% CI)</w:t>
            </w:r>
          </w:p>
          <w:p w:rsidR="004442E4" w:rsidRPr="00C806D0" w:rsidRDefault="004442E4" w:rsidP="004442E4">
            <w:pPr>
              <w:pStyle w:val="NoSpacing"/>
              <w:rPr>
                <w:sz w:val="18"/>
                <w:szCs w:val="18"/>
              </w:rPr>
            </w:pPr>
          </w:p>
        </w:tc>
        <w:tc>
          <w:tcPr>
            <w:tcW w:w="611" w:type="pct"/>
          </w:tcPr>
          <w:p w:rsidR="004442E4" w:rsidRPr="00C806D0" w:rsidRDefault="004442E4" w:rsidP="004442E4">
            <w:pPr>
              <w:pStyle w:val="NoSpacing"/>
              <w:jc w:val="center"/>
              <w:rPr>
                <w:sz w:val="18"/>
                <w:szCs w:val="18"/>
              </w:rPr>
            </w:pPr>
            <w:r w:rsidRPr="00C806D0">
              <w:rPr>
                <w:sz w:val="18"/>
                <w:szCs w:val="18"/>
              </w:rPr>
              <w:t>71.3</w:t>
            </w:r>
          </w:p>
          <w:p w:rsidR="004442E4" w:rsidRPr="00C806D0" w:rsidRDefault="004442E4" w:rsidP="004442E4">
            <w:pPr>
              <w:pStyle w:val="NoSpacing"/>
              <w:jc w:val="center"/>
              <w:rPr>
                <w:sz w:val="18"/>
                <w:szCs w:val="18"/>
              </w:rPr>
            </w:pPr>
            <w:r w:rsidRPr="00C806D0">
              <w:rPr>
                <w:sz w:val="18"/>
                <w:szCs w:val="18"/>
              </w:rPr>
              <w:t>(69.8-72.9)</w:t>
            </w:r>
          </w:p>
        </w:tc>
        <w:tc>
          <w:tcPr>
            <w:tcW w:w="611" w:type="pct"/>
          </w:tcPr>
          <w:p w:rsidR="004442E4" w:rsidRPr="00C806D0" w:rsidRDefault="004442E4" w:rsidP="004442E4">
            <w:pPr>
              <w:pStyle w:val="NoSpacing"/>
              <w:jc w:val="center"/>
              <w:rPr>
                <w:sz w:val="18"/>
                <w:szCs w:val="18"/>
              </w:rPr>
            </w:pPr>
            <w:r w:rsidRPr="00C806D0">
              <w:rPr>
                <w:sz w:val="18"/>
                <w:szCs w:val="18"/>
              </w:rPr>
              <w:t>73.0</w:t>
            </w:r>
          </w:p>
          <w:p w:rsidR="004442E4" w:rsidRPr="00C806D0" w:rsidRDefault="004442E4" w:rsidP="004442E4">
            <w:pPr>
              <w:pStyle w:val="NoSpacing"/>
              <w:jc w:val="center"/>
              <w:rPr>
                <w:sz w:val="18"/>
                <w:szCs w:val="18"/>
              </w:rPr>
            </w:pPr>
            <w:r w:rsidRPr="00C806D0">
              <w:rPr>
                <w:sz w:val="18"/>
                <w:szCs w:val="18"/>
              </w:rPr>
              <w:t>(70.6-75.4)</w:t>
            </w:r>
          </w:p>
        </w:tc>
        <w:tc>
          <w:tcPr>
            <w:tcW w:w="467" w:type="pct"/>
          </w:tcPr>
          <w:p w:rsidR="004442E4" w:rsidRPr="00C806D0" w:rsidRDefault="004442E4" w:rsidP="004442E4">
            <w:pPr>
              <w:pStyle w:val="NoSpacing"/>
              <w:jc w:val="center"/>
              <w:rPr>
                <w:sz w:val="18"/>
                <w:szCs w:val="18"/>
              </w:rPr>
            </w:pPr>
            <w:r w:rsidRPr="00C806D0">
              <w:rPr>
                <w:sz w:val="18"/>
                <w:szCs w:val="18"/>
              </w:rPr>
              <w:t>0.26</w:t>
            </w: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70.8</w:t>
            </w:r>
          </w:p>
          <w:p w:rsidR="004442E4" w:rsidRPr="00C806D0" w:rsidRDefault="004442E4" w:rsidP="004442E4">
            <w:pPr>
              <w:pStyle w:val="NoSpacing"/>
              <w:jc w:val="center"/>
              <w:rPr>
                <w:sz w:val="18"/>
                <w:szCs w:val="18"/>
              </w:rPr>
            </w:pPr>
            <w:r w:rsidRPr="00C806D0">
              <w:rPr>
                <w:sz w:val="18"/>
                <w:szCs w:val="18"/>
              </w:rPr>
              <w:t>(69.2-72.4)</w:t>
            </w:r>
          </w:p>
        </w:tc>
        <w:tc>
          <w:tcPr>
            <w:tcW w:w="534" w:type="pct"/>
          </w:tcPr>
          <w:p w:rsidR="004442E4" w:rsidRPr="00C806D0" w:rsidRDefault="004442E4" w:rsidP="004442E4">
            <w:pPr>
              <w:pStyle w:val="NoSpacing"/>
              <w:jc w:val="center"/>
              <w:rPr>
                <w:sz w:val="18"/>
                <w:szCs w:val="18"/>
              </w:rPr>
            </w:pPr>
            <w:r w:rsidRPr="00C806D0">
              <w:rPr>
                <w:sz w:val="18"/>
                <w:szCs w:val="18"/>
              </w:rPr>
              <w:t>73.6</w:t>
            </w:r>
          </w:p>
          <w:p w:rsidR="004442E4" w:rsidRPr="00C806D0" w:rsidRDefault="004442E4" w:rsidP="004442E4">
            <w:pPr>
              <w:pStyle w:val="NoSpacing"/>
              <w:jc w:val="center"/>
              <w:rPr>
                <w:sz w:val="18"/>
                <w:szCs w:val="18"/>
              </w:rPr>
            </w:pPr>
            <w:r w:rsidRPr="00C806D0">
              <w:rPr>
                <w:sz w:val="18"/>
                <w:szCs w:val="18"/>
              </w:rPr>
              <w:t>(71.5-75.8)</w:t>
            </w:r>
          </w:p>
          <w:p w:rsidR="004442E4" w:rsidRPr="00C806D0" w:rsidRDefault="004442E4" w:rsidP="004442E4">
            <w:pPr>
              <w:pStyle w:val="NoSpacing"/>
              <w:jc w:val="center"/>
              <w:rPr>
                <w:sz w:val="18"/>
                <w:szCs w:val="18"/>
              </w:rPr>
            </w:pPr>
          </w:p>
        </w:tc>
        <w:tc>
          <w:tcPr>
            <w:tcW w:w="432" w:type="pct"/>
          </w:tcPr>
          <w:p w:rsidR="004442E4" w:rsidRPr="00C806D0" w:rsidRDefault="004442E4" w:rsidP="004442E4">
            <w:pPr>
              <w:pStyle w:val="NoSpacing"/>
              <w:jc w:val="center"/>
              <w:rPr>
                <w:sz w:val="18"/>
                <w:szCs w:val="18"/>
              </w:rPr>
            </w:pPr>
            <w:r w:rsidRPr="00C806D0">
              <w:rPr>
                <w:sz w:val="18"/>
                <w:szCs w:val="18"/>
              </w:rPr>
              <w:t>0.04</w:t>
            </w:r>
          </w:p>
        </w:tc>
      </w:tr>
      <w:tr w:rsidR="004442E4" w:rsidRPr="00C806D0" w:rsidTr="004442E4">
        <w:trPr>
          <w:jc w:val="center"/>
        </w:trPr>
        <w:tc>
          <w:tcPr>
            <w:tcW w:w="1680" w:type="pct"/>
          </w:tcPr>
          <w:p w:rsidR="004442E4" w:rsidRPr="00C806D0" w:rsidRDefault="004442E4" w:rsidP="004442E4">
            <w:pPr>
              <w:pStyle w:val="NoSpacing"/>
              <w:rPr>
                <w:sz w:val="18"/>
                <w:szCs w:val="18"/>
              </w:rPr>
            </w:pPr>
            <w:r w:rsidRPr="00C806D0">
              <w:rPr>
                <w:b/>
                <w:sz w:val="18"/>
                <w:szCs w:val="18"/>
              </w:rPr>
              <w:t xml:space="preserve">Co-morbidities </w:t>
            </w:r>
            <w:r w:rsidRPr="00C806D0">
              <w:rPr>
                <w:sz w:val="18"/>
                <w:szCs w:val="18"/>
              </w:rPr>
              <w:t xml:space="preserve"> (%, 95% CI):</w:t>
            </w:r>
          </w:p>
          <w:p w:rsidR="004442E4" w:rsidRPr="00C806D0" w:rsidRDefault="004442E4" w:rsidP="004442E4">
            <w:pPr>
              <w:pStyle w:val="NoSpacing"/>
              <w:rPr>
                <w:sz w:val="18"/>
                <w:szCs w:val="18"/>
              </w:rPr>
            </w:pPr>
          </w:p>
        </w:tc>
        <w:tc>
          <w:tcPr>
            <w:tcW w:w="611" w:type="pct"/>
          </w:tcPr>
          <w:p w:rsidR="004442E4" w:rsidRPr="00C806D0" w:rsidRDefault="004442E4" w:rsidP="004442E4">
            <w:pPr>
              <w:pStyle w:val="NoSpacing"/>
              <w:jc w:val="center"/>
              <w:rPr>
                <w:sz w:val="18"/>
                <w:szCs w:val="18"/>
              </w:rPr>
            </w:pPr>
          </w:p>
        </w:tc>
        <w:tc>
          <w:tcPr>
            <w:tcW w:w="611" w:type="pct"/>
          </w:tcPr>
          <w:p w:rsidR="004442E4" w:rsidRPr="00C806D0" w:rsidRDefault="004442E4" w:rsidP="004442E4">
            <w:pPr>
              <w:pStyle w:val="NoSpacing"/>
              <w:jc w:val="center"/>
              <w:rPr>
                <w:sz w:val="18"/>
                <w:szCs w:val="18"/>
              </w:rPr>
            </w:pPr>
          </w:p>
        </w:tc>
        <w:tc>
          <w:tcPr>
            <w:tcW w:w="467" w:type="pct"/>
          </w:tcPr>
          <w:p w:rsidR="004442E4" w:rsidRPr="00C806D0" w:rsidRDefault="004442E4" w:rsidP="004442E4">
            <w:pPr>
              <w:pStyle w:val="NoSpacing"/>
              <w:jc w:val="center"/>
              <w:rPr>
                <w:sz w:val="18"/>
                <w:szCs w:val="18"/>
              </w:rPr>
            </w:pP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p>
        </w:tc>
        <w:tc>
          <w:tcPr>
            <w:tcW w:w="534" w:type="pct"/>
          </w:tcPr>
          <w:p w:rsidR="004442E4" w:rsidRPr="00C806D0" w:rsidRDefault="004442E4" w:rsidP="004442E4">
            <w:pPr>
              <w:pStyle w:val="NoSpacing"/>
              <w:jc w:val="center"/>
              <w:rPr>
                <w:sz w:val="18"/>
                <w:szCs w:val="18"/>
              </w:rPr>
            </w:pPr>
          </w:p>
        </w:tc>
        <w:tc>
          <w:tcPr>
            <w:tcW w:w="432" w:type="pct"/>
          </w:tcPr>
          <w:p w:rsidR="004442E4" w:rsidRPr="00C806D0" w:rsidRDefault="004442E4" w:rsidP="004442E4">
            <w:pPr>
              <w:pStyle w:val="NoSpacing"/>
              <w:jc w:val="center"/>
              <w:rPr>
                <w:sz w:val="18"/>
                <w:szCs w:val="18"/>
              </w:rPr>
            </w:pPr>
          </w:p>
        </w:tc>
      </w:tr>
      <w:tr w:rsidR="004442E4" w:rsidRPr="00C806D0" w:rsidTr="004442E4">
        <w:trPr>
          <w:jc w:val="center"/>
        </w:trPr>
        <w:tc>
          <w:tcPr>
            <w:tcW w:w="1680" w:type="pct"/>
          </w:tcPr>
          <w:p w:rsidR="004442E4" w:rsidRPr="00C806D0" w:rsidRDefault="004442E4" w:rsidP="004442E4">
            <w:pPr>
              <w:pStyle w:val="NoSpacing"/>
              <w:rPr>
                <w:sz w:val="18"/>
                <w:szCs w:val="18"/>
              </w:rPr>
            </w:pPr>
            <w:r w:rsidRPr="00C806D0">
              <w:rPr>
                <w:sz w:val="18"/>
                <w:szCs w:val="18"/>
              </w:rPr>
              <w:t xml:space="preserve"> </w:t>
            </w:r>
            <w:r w:rsidRPr="00C806D0">
              <w:rPr>
                <w:sz w:val="18"/>
                <w:szCs w:val="18"/>
              </w:rPr>
              <w:sym w:font="Wingdings" w:char="F09F"/>
            </w:r>
            <w:r w:rsidRPr="00C806D0">
              <w:rPr>
                <w:sz w:val="18"/>
                <w:szCs w:val="18"/>
              </w:rPr>
              <w:t xml:space="preserve"> Limiting or critical systemic illness</w:t>
            </w:r>
          </w:p>
        </w:tc>
        <w:tc>
          <w:tcPr>
            <w:tcW w:w="611" w:type="pct"/>
          </w:tcPr>
          <w:p w:rsidR="004442E4" w:rsidRPr="00C806D0" w:rsidRDefault="004442E4" w:rsidP="004442E4">
            <w:pPr>
              <w:pStyle w:val="NoSpacing"/>
              <w:jc w:val="center"/>
              <w:rPr>
                <w:sz w:val="18"/>
                <w:szCs w:val="18"/>
              </w:rPr>
            </w:pPr>
            <w:r w:rsidRPr="00C806D0">
              <w:rPr>
                <w:sz w:val="18"/>
                <w:szCs w:val="18"/>
              </w:rPr>
              <w:t>27.1</w:t>
            </w:r>
          </w:p>
          <w:p w:rsidR="004442E4" w:rsidRPr="00C806D0" w:rsidRDefault="004442E4" w:rsidP="004442E4">
            <w:pPr>
              <w:pStyle w:val="NoSpacing"/>
              <w:jc w:val="center"/>
              <w:rPr>
                <w:sz w:val="18"/>
                <w:szCs w:val="18"/>
              </w:rPr>
            </w:pPr>
            <w:r w:rsidRPr="00C806D0">
              <w:rPr>
                <w:sz w:val="18"/>
                <w:szCs w:val="18"/>
              </w:rPr>
              <w:t>(25.5-28.7)</w:t>
            </w:r>
          </w:p>
        </w:tc>
        <w:tc>
          <w:tcPr>
            <w:tcW w:w="611" w:type="pct"/>
          </w:tcPr>
          <w:p w:rsidR="004442E4" w:rsidRPr="00C806D0" w:rsidRDefault="004442E4" w:rsidP="004442E4">
            <w:pPr>
              <w:pStyle w:val="NoSpacing"/>
              <w:jc w:val="center"/>
              <w:rPr>
                <w:sz w:val="18"/>
                <w:szCs w:val="18"/>
              </w:rPr>
            </w:pPr>
            <w:r w:rsidRPr="00C806D0">
              <w:rPr>
                <w:sz w:val="18"/>
                <w:szCs w:val="18"/>
              </w:rPr>
              <w:t>28.1</w:t>
            </w:r>
          </w:p>
          <w:p w:rsidR="004442E4" w:rsidRPr="00C806D0" w:rsidRDefault="004442E4" w:rsidP="004442E4">
            <w:pPr>
              <w:pStyle w:val="NoSpacing"/>
              <w:jc w:val="center"/>
              <w:rPr>
                <w:sz w:val="18"/>
                <w:szCs w:val="18"/>
              </w:rPr>
            </w:pPr>
            <w:r w:rsidRPr="00C806D0">
              <w:rPr>
                <w:sz w:val="18"/>
                <w:szCs w:val="18"/>
              </w:rPr>
              <w:t>(25.5-30.7)</w:t>
            </w:r>
          </w:p>
          <w:p w:rsidR="004442E4" w:rsidRPr="00C806D0" w:rsidRDefault="004442E4" w:rsidP="004442E4">
            <w:pPr>
              <w:pStyle w:val="NoSpacing"/>
              <w:jc w:val="center"/>
              <w:rPr>
                <w:sz w:val="18"/>
                <w:szCs w:val="18"/>
              </w:rPr>
            </w:pPr>
            <w:r w:rsidRPr="00C806D0">
              <w:rPr>
                <w:sz w:val="18"/>
                <w:szCs w:val="18"/>
              </w:rPr>
              <w:t>n=1,150</w:t>
            </w:r>
          </w:p>
          <w:p w:rsidR="004442E4" w:rsidRPr="00C806D0" w:rsidRDefault="004442E4" w:rsidP="004442E4">
            <w:pPr>
              <w:pStyle w:val="NoSpacing"/>
              <w:jc w:val="center"/>
              <w:rPr>
                <w:sz w:val="18"/>
                <w:szCs w:val="18"/>
              </w:rPr>
            </w:pPr>
          </w:p>
        </w:tc>
        <w:tc>
          <w:tcPr>
            <w:tcW w:w="467" w:type="pct"/>
          </w:tcPr>
          <w:p w:rsidR="004442E4" w:rsidRPr="00C806D0" w:rsidRDefault="004442E4" w:rsidP="004442E4">
            <w:pPr>
              <w:pStyle w:val="NoSpacing"/>
              <w:jc w:val="center"/>
              <w:rPr>
                <w:sz w:val="18"/>
                <w:szCs w:val="18"/>
              </w:rPr>
            </w:pPr>
            <w:r w:rsidRPr="00C806D0">
              <w:rPr>
                <w:sz w:val="18"/>
                <w:szCs w:val="18"/>
              </w:rPr>
              <w:t>0.52</w:t>
            </w: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27.1</w:t>
            </w:r>
          </w:p>
          <w:p w:rsidR="004442E4" w:rsidRPr="00C806D0" w:rsidRDefault="004442E4" w:rsidP="004442E4">
            <w:pPr>
              <w:pStyle w:val="NoSpacing"/>
              <w:jc w:val="center"/>
              <w:rPr>
                <w:sz w:val="18"/>
                <w:szCs w:val="18"/>
              </w:rPr>
            </w:pPr>
            <w:r w:rsidRPr="00C806D0">
              <w:rPr>
                <w:sz w:val="18"/>
                <w:szCs w:val="18"/>
              </w:rPr>
              <w:t>(25.5-28.7)</w:t>
            </w:r>
          </w:p>
        </w:tc>
        <w:tc>
          <w:tcPr>
            <w:tcW w:w="534" w:type="pct"/>
          </w:tcPr>
          <w:p w:rsidR="004442E4" w:rsidRPr="00C806D0" w:rsidRDefault="004442E4" w:rsidP="004442E4">
            <w:pPr>
              <w:pStyle w:val="NoSpacing"/>
              <w:jc w:val="center"/>
              <w:rPr>
                <w:sz w:val="18"/>
                <w:szCs w:val="18"/>
              </w:rPr>
            </w:pPr>
            <w:r w:rsidRPr="00C806D0">
              <w:rPr>
                <w:sz w:val="18"/>
                <w:szCs w:val="18"/>
              </w:rPr>
              <w:t>28.1</w:t>
            </w:r>
          </w:p>
          <w:p w:rsidR="004442E4" w:rsidRPr="00C806D0" w:rsidRDefault="004442E4" w:rsidP="004442E4">
            <w:pPr>
              <w:pStyle w:val="NoSpacing"/>
              <w:jc w:val="center"/>
              <w:rPr>
                <w:sz w:val="18"/>
                <w:szCs w:val="18"/>
              </w:rPr>
            </w:pPr>
            <w:r w:rsidRPr="00C806D0">
              <w:rPr>
                <w:sz w:val="18"/>
                <w:szCs w:val="18"/>
              </w:rPr>
              <w:t>(25.5-30.7)</w:t>
            </w:r>
          </w:p>
        </w:tc>
        <w:tc>
          <w:tcPr>
            <w:tcW w:w="432" w:type="pct"/>
          </w:tcPr>
          <w:p w:rsidR="004442E4" w:rsidRPr="00C806D0" w:rsidRDefault="004442E4" w:rsidP="004442E4">
            <w:pPr>
              <w:pStyle w:val="NoSpacing"/>
              <w:jc w:val="center"/>
              <w:rPr>
                <w:sz w:val="18"/>
                <w:szCs w:val="18"/>
              </w:rPr>
            </w:pPr>
            <w:r w:rsidRPr="00C806D0">
              <w:rPr>
                <w:sz w:val="18"/>
                <w:szCs w:val="18"/>
              </w:rPr>
              <w:t>0.52</w:t>
            </w:r>
          </w:p>
        </w:tc>
      </w:tr>
      <w:tr w:rsidR="004442E4" w:rsidRPr="00C806D0" w:rsidTr="004442E4">
        <w:trPr>
          <w:jc w:val="center"/>
        </w:trPr>
        <w:tc>
          <w:tcPr>
            <w:tcW w:w="1680" w:type="pct"/>
          </w:tcPr>
          <w:p w:rsidR="004442E4" w:rsidRPr="00C806D0" w:rsidRDefault="004442E4" w:rsidP="004442E4">
            <w:pPr>
              <w:pStyle w:val="NoSpacing"/>
              <w:rPr>
                <w:sz w:val="18"/>
                <w:szCs w:val="18"/>
              </w:rPr>
            </w:pPr>
            <w:r w:rsidRPr="00C806D0">
              <w:rPr>
                <w:b/>
                <w:sz w:val="18"/>
                <w:szCs w:val="18"/>
              </w:rPr>
              <w:t>Head region AIS</w:t>
            </w:r>
            <w:r w:rsidRPr="00C806D0">
              <w:rPr>
                <w:sz w:val="18"/>
                <w:szCs w:val="18"/>
              </w:rPr>
              <w:t xml:space="preserve"> (%, 95% CI):</w:t>
            </w:r>
          </w:p>
          <w:p w:rsidR="004442E4" w:rsidRPr="00C806D0" w:rsidRDefault="004442E4" w:rsidP="004442E4">
            <w:pPr>
              <w:pStyle w:val="NoSpacing"/>
              <w:rPr>
                <w:sz w:val="18"/>
                <w:szCs w:val="18"/>
              </w:rPr>
            </w:pPr>
          </w:p>
        </w:tc>
        <w:tc>
          <w:tcPr>
            <w:tcW w:w="611" w:type="pct"/>
          </w:tcPr>
          <w:p w:rsidR="004442E4" w:rsidRPr="00C806D0" w:rsidRDefault="004442E4" w:rsidP="004442E4">
            <w:pPr>
              <w:pStyle w:val="NoSpacing"/>
              <w:jc w:val="center"/>
              <w:rPr>
                <w:sz w:val="18"/>
                <w:szCs w:val="18"/>
              </w:rPr>
            </w:pPr>
          </w:p>
        </w:tc>
        <w:tc>
          <w:tcPr>
            <w:tcW w:w="611" w:type="pct"/>
          </w:tcPr>
          <w:p w:rsidR="004442E4" w:rsidRPr="00C806D0" w:rsidRDefault="004442E4" w:rsidP="004442E4">
            <w:pPr>
              <w:pStyle w:val="NoSpacing"/>
              <w:jc w:val="center"/>
              <w:rPr>
                <w:sz w:val="18"/>
                <w:szCs w:val="18"/>
              </w:rPr>
            </w:pPr>
          </w:p>
        </w:tc>
        <w:tc>
          <w:tcPr>
            <w:tcW w:w="467" w:type="pct"/>
          </w:tcPr>
          <w:p w:rsidR="004442E4" w:rsidRPr="00C806D0" w:rsidRDefault="004442E4" w:rsidP="004442E4">
            <w:pPr>
              <w:pStyle w:val="NoSpacing"/>
              <w:jc w:val="center"/>
              <w:rPr>
                <w:sz w:val="18"/>
                <w:szCs w:val="18"/>
              </w:rPr>
            </w:pP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p>
        </w:tc>
        <w:tc>
          <w:tcPr>
            <w:tcW w:w="534" w:type="pct"/>
          </w:tcPr>
          <w:p w:rsidR="004442E4" w:rsidRPr="00C806D0" w:rsidRDefault="004442E4" w:rsidP="004442E4">
            <w:pPr>
              <w:pStyle w:val="NoSpacing"/>
              <w:jc w:val="center"/>
              <w:rPr>
                <w:sz w:val="18"/>
                <w:szCs w:val="18"/>
              </w:rPr>
            </w:pPr>
          </w:p>
        </w:tc>
        <w:tc>
          <w:tcPr>
            <w:tcW w:w="432" w:type="pct"/>
          </w:tcPr>
          <w:p w:rsidR="004442E4" w:rsidRPr="00C806D0" w:rsidRDefault="004442E4" w:rsidP="004442E4">
            <w:pPr>
              <w:pStyle w:val="NoSpacing"/>
              <w:jc w:val="center"/>
              <w:rPr>
                <w:sz w:val="18"/>
                <w:szCs w:val="18"/>
              </w:rPr>
            </w:pPr>
          </w:p>
        </w:tc>
      </w:tr>
      <w:tr w:rsidR="004442E4" w:rsidRPr="00C806D0" w:rsidTr="004442E4">
        <w:trPr>
          <w:jc w:val="center"/>
        </w:trPr>
        <w:tc>
          <w:tcPr>
            <w:tcW w:w="1680" w:type="pct"/>
          </w:tcPr>
          <w:p w:rsidR="004442E4" w:rsidRPr="00C806D0" w:rsidRDefault="004442E4" w:rsidP="004442E4">
            <w:pPr>
              <w:pStyle w:val="NoSpacing"/>
              <w:rPr>
                <w:sz w:val="18"/>
                <w:szCs w:val="18"/>
              </w:rPr>
            </w:pPr>
            <w:r w:rsidRPr="00C806D0">
              <w:rPr>
                <w:sz w:val="18"/>
                <w:szCs w:val="18"/>
              </w:rPr>
              <w:t xml:space="preserve">   </w:t>
            </w:r>
            <w:r w:rsidRPr="00C806D0">
              <w:rPr>
                <w:sz w:val="18"/>
                <w:szCs w:val="18"/>
              </w:rPr>
              <w:sym w:font="Wingdings" w:char="F09F"/>
            </w:r>
            <w:r w:rsidRPr="00C806D0">
              <w:rPr>
                <w:sz w:val="18"/>
                <w:szCs w:val="18"/>
              </w:rPr>
              <w:t xml:space="preserve"> AIS 3</w:t>
            </w:r>
          </w:p>
        </w:tc>
        <w:tc>
          <w:tcPr>
            <w:tcW w:w="611" w:type="pct"/>
          </w:tcPr>
          <w:p w:rsidR="004442E4" w:rsidRPr="00C806D0" w:rsidRDefault="004442E4" w:rsidP="004442E4">
            <w:pPr>
              <w:pStyle w:val="NoSpacing"/>
              <w:jc w:val="center"/>
              <w:rPr>
                <w:sz w:val="18"/>
                <w:szCs w:val="18"/>
              </w:rPr>
            </w:pPr>
            <w:r w:rsidRPr="00C806D0">
              <w:rPr>
                <w:sz w:val="18"/>
                <w:szCs w:val="18"/>
              </w:rPr>
              <w:t>37.0</w:t>
            </w:r>
          </w:p>
          <w:p w:rsidR="004442E4" w:rsidRPr="00C806D0" w:rsidRDefault="004442E4" w:rsidP="004442E4">
            <w:pPr>
              <w:pStyle w:val="NoSpacing"/>
              <w:jc w:val="center"/>
              <w:rPr>
                <w:sz w:val="18"/>
                <w:szCs w:val="18"/>
              </w:rPr>
            </w:pPr>
            <w:r w:rsidRPr="00C806D0">
              <w:rPr>
                <w:sz w:val="18"/>
                <w:szCs w:val="18"/>
              </w:rPr>
              <w:t>(35.4-38.7)</w:t>
            </w:r>
          </w:p>
          <w:p w:rsidR="004442E4" w:rsidRPr="00C806D0" w:rsidRDefault="004442E4" w:rsidP="004442E4">
            <w:pPr>
              <w:pStyle w:val="NoSpacing"/>
              <w:jc w:val="center"/>
              <w:rPr>
                <w:sz w:val="18"/>
                <w:szCs w:val="18"/>
              </w:rPr>
            </w:pPr>
          </w:p>
        </w:tc>
        <w:tc>
          <w:tcPr>
            <w:tcW w:w="611" w:type="pct"/>
          </w:tcPr>
          <w:p w:rsidR="004442E4" w:rsidRPr="00C806D0" w:rsidRDefault="004442E4" w:rsidP="004442E4">
            <w:pPr>
              <w:pStyle w:val="NoSpacing"/>
              <w:jc w:val="center"/>
              <w:rPr>
                <w:sz w:val="18"/>
                <w:szCs w:val="18"/>
              </w:rPr>
            </w:pPr>
            <w:r w:rsidRPr="00C806D0">
              <w:rPr>
                <w:sz w:val="18"/>
                <w:szCs w:val="18"/>
              </w:rPr>
              <w:t>26.2</w:t>
            </w:r>
          </w:p>
          <w:p w:rsidR="004442E4" w:rsidRPr="00C806D0" w:rsidRDefault="004442E4" w:rsidP="004442E4">
            <w:pPr>
              <w:pStyle w:val="NoSpacing"/>
              <w:jc w:val="center"/>
              <w:rPr>
                <w:sz w:val="18"/>
                <w:szCs w:val="18"/>
              </w:rPr>
            </w:pPr>
            <w:r w:rsidRPr="00C806D0">
              <w:rPr>
                <w:sz w:val="18"/>
                <w:szCs w:val="18"/>
              </w:rPr>
              <w:t>(33.6-38.8)</w:t>
            </w:r>
          </w:p>
        </w:tc>
        <w:tc>
          <w:tcPr>
            <w:tcW w:w="467" w:type="pct"/>
          </w:tcPr>
          <w:p w:rsidR="004442E4" w:rsidRPr="00C806D0" w:rsidRDefault="004442E4" w:rsidP="004442E4">
            <w:pPr>
              <w:pStyle w:val="NoSpacing"/>
              <w:jc w:val="center"/>
              <w:rPr>
                <w:sz w:val="18"/>
                <w:szCs w:val="18"/>
              </w:rPr>
            </w:pPr>
            <w:r w:rsidRPr="00C806D0">
              <w:rPr>
                <w:sz w:val="18"/>
                <w:szCs w:val="18"/>
              </w:rPr>
              <w:t>0.53</w:t>
            </w: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36.9</w:t>
            </w:r>
          </w:p>
          <w:p w:rsidR="004442E4" w:rsidRPr="00C806D0" w:rsidRDefault="004442E4" w:rsidP="004442E4">
            <w:pPr>
              <w:pStyle w:val="NoSpacing"/>
              <w:jc w:val="center"/>
              <w:rPr>
                <w:sz w:val="18"/>
                <w:szCs w:val="18"/>
              </w:rPr>
            </w:pPr>
            <w:r w:rsidRPr="00C806D0">
              <w:rPr>
                <w:sz w:val="18"/>
                <w:szCs w:val="18"/>
              </w:rPr>
              <w:t>(35.2-38.6)</w:t>
            </w:r>
          </w:p>
        </w:tc>
        <w:tc>
          <w:tcPr>
            <w:tcW w:w="534" w:type="pct"/>
          </w:tcPr>
          <w:p w:rsidR="004442E4" w:rsidRPr="00C806D0" w:rsidRDefault="004442E4" w:rsidP="004442E4">
            <w:pPr>
              <w:pStyle w:val="NoSpacing"/>
              <w:jc w:val="center"/>
              <w:rPr>
                <w:sz w:val="18"/>
                <w:szCs w:val="18"/>
              </w:rPr>
            </w:pPr>
            <w:r w:rsidRPr="00C806D0">
              <w:rPr>
                <w:sz w:val="18"/>
                <w:szCs w:val="18"/>
              </w:rPr>
              <w:t>33.7</w:t>
            </w:r>
          </w:p>
          <w:p w:rsidR="004442E4" w:rsidRPr="00C806D0" w:rsidRDefault="004442E4" w:rsidP="004442E4">
            <w:pPr>
              <w:pStyle w:val="NoSpacing"/>
              <w:jc w:val="center"/>
              <w:rPr>
                <w:sz w:val="18"/>
                <w:szCs w:val="18"/>
              </w:rPr>
            </w:pPr>
            <w:r w:rsidRPr="00C806D0">
              <w:rPr>
                <w:sz w:val="18"/>
                <w:szCs w:val="18"/>
              </w:rPr>
              <w:t>(34.3-39.0)</w:t>
            </w:r>
          </w:p>
        </w:tc>
        <w:tc>
          <w:tcPr>
            <w:tcW w:w="432" w:type="pct"/>
          </w:tcPr>
          <w:p w:rsidR="004442E4" w:rsidRPr="00C806D0" w:rsidRDefault="004442E4" w:rsidP="004442E4">
            <w:pPr>
              <w:pStyle w:val="NoSpacing"/>
              <w:jc w:val="center"/>
              <w:rPr>
                <w:sz w:val="18"/>
                <w:szCs w:val="18"/>
              </w:rPr>
            </w:pPr>
            <w:r w:rsidRPr="00C806D0">
              <w:rPr>
                <w:sz w:val="18"/>
                <w:szCs w:val="18"/>
              </w:rPr>
              <w:t>0.37</w:t>
            </w:r>
          </w:p>
        </w:tc>
      </w:tr>
      <w:tr w:rsidR="004442E4" w:rsidRPr="00C806D0" w:rsidTr="004442E4">
        <w:trPr>
          <w:jc w:val="center"/>
        </w:trPr>
        <w:tc>
          <w:tcPr>
            <w:tcW w:w="1680" w:type="pct"/>
          </w:tcPr>
          <w:p w:rsidR="004442E4" w:rsidRPr="00C806D0" w:rsidRDefault="004442E4" w:rsidP="004442E4">
            <w:pPr>
              <w:pStyle w:val="NoSpacing"/>
              <w:rPr>
                <w:sz w:val="18"/>
                <w:szCs w:val="18"/>
              </w:rPr>
            </w:pPr>
            <w:r w:rsidRPr="00C806D0">
              <w:rPr>
                <w:sz w:val="18"/>
                <w:szCs w:val="18"/>
              </w:rPr>
              <w:t xml:space="preserve">   </w:t>
            </w:r>
            <w:r w:rsidRPr="00C806D0">
              <w:rPr>
                <w:sz w:val="18"/>
                <w:szCs w:val="18"/>
              </w:rPr>
              <w:sym w:font="Wingdings" w:char="F09F"/>
            </w:r>
            <w:r w:rsidRPr="00C806D0">
              <w:rPr>
                <w:sz w:val="18"/>
                <w:szCs w:val="18"/>
              </w:rPr>
              <w:t xml:space="preserve"> AIS 4</w:t>
            </w:r>
          </w:p>
        </w:tc>
        <w:tc>
          <w:tcPr>
            <w:tcW w:w="611" w:type="pct"/>
          </w:tcPr>
          <w:p w:rsidR="004442E4" w:rsidRPr="00C806D0" w:rsidRDefault="004442E4" w:rsidP="004442E4">
            <w:pPr>
              <w:pStyle w:val="NoSpacing"/>
              <w:jc w:val="center"/>
              <w:rPr>
                <w:sz w:val="18"/>
                <w:szCs w:val="18"/>
              </w:rPr>
            </w:pPr>
            <w:r w:rsidRPr="00C806D0">
              <w:rPr>
                <w:sz w:val="18"/>
                <w:szCs w:val="18"/>
              </w:rPr>
              <w:t>40.4</w:t>
            </w:r>
          </w:p>
          <w:p w:rsidR="004442E4" w:rsidRPr="00C806D0" w:rsidRDefault="004442E4" w:rsidP="004442E4">
            <w:pPr>
              <w:pStyle w:val="NoSpacing"/>
              <w:jc w:val="center"/>
              <w:rPr>
                <w:sz w:val="18"/>
                <w:szCs w:val="18"/>
              </w:rPr>
            </w:pPr>
            <w:r w:rsidRPr="00C806D0">
              <w:rPr>
                <w:sz w:val="18"/>
                <w:szCs w:val="18"/>
              </w:rPr>
              <w:t>(38.7-42.0)</w:t>
            </w:r>
          </w:p>
          <w:p w:rsidR="004442E4" w:rsidRPr="00C806D0" w:rsidRDefault="004442E4" w:rsidP="004442E4">
            <w:pPr>
              <w:pStyle w:val="NoSpacing"/>
              <w:jc w:val="center"/>
              <w:rPr>
                <w:sz w:val="18"/>
                <w:szCs w:val="18"/>
              </w:rPr>
            </w:pPr>
          </w:p>
        </w:tc>
        <w:tc>
          <w:tcPr>
            <w:tcW w:w="611" w:type="pct"/>
          </w:tcPr>
          <w:p w:rsidR="004442E4" w:rsidRPr="00C806D0" w:rsidRDefault="004442E4" w:rsidP="004442E4">
            <w:pPr>
              <w:pStyle w:val="NoSpacing"/>
              <w:jc w:val="center"/>
              <w:rPr>
                <w:sz w:val="18"/>
                <w:szCs w:val="18"/>
              </w:rPr>
            </w:pPr>
            <w:r w:rsidRPr="00C806D0">
              <w:rPr>
                <w:sz w:val="18"/>
                <w:szCs w:val="18"/>
              </w:rPr>
              <w:t>42.0</w:t>
            </w:r>
          </w:p>
          <w:p w:rsidR="004442E4" w:rsidRPr="00C806D0" w:rsidRDefault="004442E4" w:rsidP="004442E4">
            <w:pPr>
              <w:pStyle w:val="NoSpacing"/>
              <w:jc w:val="center"/>
              <w:rPr>
                <w:sz w:val="18"/>
                <w:szCs w:val="18"/>
              </w:rPr>
            </w:pPr>
            <w:r w:rsidRPr="00C806D0">
              <w:rPr>
                <w:sz w:val="18"/>
                <w:szCs w:val="18"/>
              </w:rPr>
              <w:t>(39.3-44.7)</w:t>
            </w:r>
          </w:p>
        </w:tc>
        <w:tc>
          <w:tcPr>
            <w:tcW w:w="467" w:type="pct"/>
          </w:tcPr>
          <w:p w:rsidR="004442E4" w:rsidRPr="00C806D0" w:rsidRDefault="004442E4" w:rsidP="004442E4">
            <w:pPr>
              <w:pStyle w:val="NoSpacing"/>
              <w:jc w:val="center"/>
              <w:rPr>
                <w:sz w:val="18"/>
                <w:szCs w:val="18"/>
              </w:rPr>
            </w:pP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40.6</w:t>
            </w:r>
          </w:p>
          <w:p w:rsidR="004442E4" w:rsidRPr="00C806D0" w:rsidRDefault="004442E4" w:rsidP="004442E4">
            <w:pPr>
              <w:pStyle w:val="NoSpacing"/>
              <w:jc w:val="center"/>
              <w:rPr>
                <w:sz w:val="18"/>
                <w:szCs w:val="18"/>
              </w:rPr>
            </w:pPr>
            <w:r w:rsidRPr="00C806D0">
              <w:rPr>
                <w:sz w:val="18"/>
                <w:szCs w:val="18"/>
              </w:rPr>
              <w:t>(38.9-42.4)</w:t>
            </w:r>
          </w:p>
        </w:tc>
        <w:tc>
          <w:tcPr>
            <w:tcW w:w="534" w:type="pct"/>
          </w:tcPr>
          <w:p w:rsidR="004442E4" w:rsidRPr="00C806D0" w:rsidRDefault="004442E4" w:rsidP="004442E4">
            <w:pPr>
              <w:pStyle w:val="NoSpacing"/>
              <w:jc w:val="center"/>
              <w:rPr>
                <w:sz w:val="18"/>
                <w:szCs w:val="18"/>
              </w:rPr>
            </w:pPr>
            <w:r w:rsidRPr="00C806D0">
              <w:rPr>
                <w:sz w:val="18"/>
                <w:szCs w:val="18"/>
              </w:rPr>
              <w:t>41.2</w:t>
            </w:r>
          </w:p>
          <w:p w:rsidR="004442E4" w:rsidRPr="00C806D0" w:rsidRDefault="004442E4" w:rsidP="004442E4">
            <w:pPr>
              <w:pStyle w:val="NoSpacing"/>
              <w:jc w:val="center"/>
              <w:rPr>
                <w:sz w:val="18"/>
                <w:szCs w:val="18"/>
              </w:rPr>
            </w:pPr>
            <w:r w:rsidRPr="00C806D0">
              <w:rPr>
                <w:sz w:val="18"/>
                <w:szCs w:val="18"/>
              </w:rPr>
              <w:t>(38.8-43.6)</w:t>
            </w:r>
          </w:p>
        </w:tc>
        <w:tc>
          <w:tcPr>
            <w:tcW w:w="432" w:type="pct"/>
          </w:tcPr>
          <w:p w:rsidR="004442E4" w:rsidRPr="00C806D0" w:rsidRDefault="004442E4" w:rsidP="004442E4">
            <w:pPr>
              <w:pStyle w:val="NoSpacing"/>
              <w:jc w:val="center"/>
              <w:rPr>
                <w:sz w:val="18"/>
                <w:szCs w:val="18"/>
              </w:rPr>
            </w:pPr>
          </w:p>
        </w:tc>
      </w:tr>
      <w:tr w:rsidR="004442E4" w:rsidRPr="00C806D0" w:rsidTr="004442E4">
        <w:trPr>
          <w:jc w:val="center"/>
        </w:trPr>
        <w:tc>
          <w:tcPr>
            <w:tcW w:w="1680" w:type="pct"/>
          </w:tcPr>
          <w:p w:rsidR="004442E4" w:rsidRPr="00C806D0" w:rsidRDefault="004442E4" w:rsidP="004442E4">
            <w:pPr>
              <w:pStyle w:val="NoSpacing"/>
              <w:rPr>
                <w:sz w:val="18"/>
                <w:szCs w:val="18"/>
              </w:rPr>
            </w:pPr>
            <w:r w:rsidRPr="00C806D0">
              <w:rPr>
                <w:sz w:val="18"/>
                <w:szCs w:val="18"/>
              </w:rPr>
              <w:t xml:space="preserve">   </w:t>
            </w:r>
            <w:r w:rsidRPr="00C806D0">
              <w:rPr>
                <w:sz w:val="18"/>
                <w:szCs w:val="18"/>
              </w:rPr>
              <w:sym w:font="Wingdings" w:char="F09F"/>
            </w:r>
            <w:r w:rsidRPr="00C806D0">
              <w:rPr>
                <w:sz w:val="18"/>
                <w:szCs w:val="18"/>
              </w:rPr>
              <w:t xml:space="preserve"> AIS 5</w:t>
            </w:r>
          </w:p>
        </w:tc>
        <w:tc>
          <w:tcPr>
            <w:tcW w:w="611" w:type="pct"/>
          </w:tcPr>
          <w:p w:rsidR="004442E4" w:rsidRPr="00C806D0" w:rsidRDefault="004442E4" w:rsidP="004442E4">
            <w:pPr>
              <w:pStyle w:val="NoSpacing"/>
              <w:jc w:val="center"/>
              <w:rPr>
                <w:sz w:val="18"/>
                <w:szCs w:val="18"/>
              </w:rPr>
            </w:pPr>
            <w:r w:rsidRPr="00C806D0">
              <w:rPr>
                <w:sz w:val="18"/>
                <w:szCs w:val="18"/>
              </w:rPr>
              <w:t>22.5</w:t>
            </w:r>
          </w:p>
          <w:p w:rsidR="004442E4" w:rsidRPr="00C806D0" w:rsidRDefault="004442E4" w:rsidP="004442E4">
            <w:pPr>
              <w:pStyle w:val="NoSpacing"/>
              <w:jc w:val="center"/>
              <w:rPr>
                <w:sz w:val="18"/>
                <w:szCs w:val="18"/>
              </w:rPr>
            </w:pPr>
            <w:r w:rsidRPr="00C806D0">
              <w:rPr>
                <w:sz w:val="18"/>
                <w:szCs w:val="18"/>
              </w:rPr>
              <w:t>(21.1-23.9)</w:t>
            </w:r>
          </w:p>
        </w:tc>
        <w:tc>
          <w:tcPr>
            <w:tcW w:w="611" w:type="pct"/>
          </w:tcPr>
          <w:p w:rsidR="004442E4" w:rsidRPr="00C806D0" w:rsidRDefault="004442E4" w:rsidP="004442E4">
            <w:pPr>
              <w:pStyle w:val="NoSpacing"/>
              <w:jc w:val="center"/>
              <w:rPr>
                <w:sz w:val="18"/>
                <w:szCs w:val="18"/>
              </w:rPr>
            </w:pPr>
            <w:r w:rsidRPr="00C806D0">
              <w:rPr>
                <w:sz w:val="18"/>
                <w:szCs w:val="18"/>
              </w:rPr>
              <w:t>21.6</w:t>
            </w:r>
          </w:p>
          <w:p w:rsidR="004442E4" w:rsidRPr="00C806D0" w:rsidRDefault="004442E4" w:rsidP="004442E4">
            <w:pPr>
              <w:pStyle w:val="NoSpacing"/>
              <w:jc w:val="center"/>
              <w:rPr>
                <w:sz w:val="18"/>
                <w:szCs w:val="18"/>
              </w:rPr>
            </w:pPr>
            <w:r w:rsidRPr="00C806D0">
              <w:rPr>
                <w:sz w:val="18"/>
                <w:szCs w:val="18"/>
              </w:rPr>
              <w:t>(19.4-23.9)</w:t>
            </w:r>
          </w:p>
          <w:p w:rsidR="004442E4" w:rsidRPr="00C806D0" w:rsidRDefault="004442E4" w:rsidP="004442E4">
            <w:pPr>
              <w:pStyle w:val="NoSpacing"/>
              <w:jc w:val="center"/>
              <w:rPr>
                <w:sz w:val="18"/>
                <w:szCs w:val="18"/>
              </w:rPr>
            </w:pPr>
          </w:p>
        </w:tc>
        <w:tc>
          <w:tcPr>
            <w:tcW w:w="467" w:type="pct"/>
          </w:tcPr>
          <w:p w:rsidR="004442E4" w:rsidRPr="00C806D0" w:rsidRDefault="004442E4" w:rsidP="004442E4">
            <w:pPr>
              <w:pStyle w:val="NoSpacing"/>
              <w:jc w:val="center"/>
              <w:rPr>
                <w:sz w:val="18"/>
                <w:szCs w:val="18"/>
              </w:rPr>
            </w:pP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22.5</w:t>
            </w:r>
          </w:p>
          <w:p w:rsidR="004442E4" w:rsidRPr="00C806D0" w:rsidRDefault="004442E4" w:rsidP="004442E4">
            <w:pPr>
              <w:pStyle w:val="NoSpacing"/>
              <w:jc w:val="center"/>
              <w:rPr>
                <w:sz w:val="18"/>
                <w:szCs w:val="18"/>
              </w:rPr>
            </w:pPr>
            <w:r w:rsidRPr="00C806D0">
              <w:rPr>
                <w:sz w:val="18"/>
                <w:szCs w:val="18"/>
              </w:rPr>
              <w:t>(21.0-23.9)</w:t>
            </w:r>
          </w:p>
        </w:tc>
        <w:tc>
          <w:tcPr>
            <w:tcW w:w="534" w:type="pct"/>
          </w:tcPr>
          <w:p w:rsidR="004442E4" w:rsidRPr="00C806D0" w:rsidRDefault="004442E4" w:rsidP="004442E4">
            <w:pPr>
              <w:pStyle w:val="NoSpacing"/>
              <w:jc w:val="center"/>
              <w:rPr>
                <w:sz w:val="18"/>
                <w:szCs w:val="18"/>
              </w:rPr>
            </w:pPr>
            <w:r w:rsidRPr="00C806D0">
              <w:rPr>
                <w:sz w:val="18"/>
                <w:szCs w:val="18"/>
              </w:rPr>
              <w:t>21.9</w:t>
            </w:r>
          </w:p>
          <w:p w:rsidR="004442E4" w:rsidRPr="00C806D0" w:rsidRDefault="004442E4" w:rsidP="004442E4">
            <w:pPr>
              <w:pStyle w:val="NoSpacing"/>
              <w:jc w:val="center"/>
              <w:rPr>
                <w:sz w:val="18"/>
                <w:szCs w:val="18"/>
              </w:rPr>
            </w:pPr>
            <w:r w:rsidRPr="00C806D0">
              <w:rPr>
                <w:sz w:val="18"/>
                <w:szCs w:val="18"/>
              </w:rPr>
              <w:t>(19.9-23.9)</w:t>
            </w:r>
          </w:p>
        </w:tc>
        <w:tc>
          <w:tcPr>
            <w:tcW w:w="432" w:type="pct"/>
          </w:tcPr>
          <w:p w:rsidR="004442E4" w:rsidRPr="00C806D0" w:rsidRDefault="004442E4" w:rsidP="004442E4">
            <w:pPr>
              <w:pStyle w:val="NoSpacing"/>
              <w:jc w:val="center"/>
              <w:rPr>
                <w:sz w:val="18"/>
                <w:szCs w:val="18"/>
              </w:rPr>
            </w:pPr>
          </w:p>
        </w:tc>
      </w:tr>
      <w:tr w:rsidR="004442E4" w:rsidRPr="00C806D0" w:rsidTr="004442E4">
        <w:trPr>
          <w:jc w:val="center"/>
        </w:trPr>
        <w:tc>
          <w:tcPr>
            <w:tcW w:w="1680" w:type="pct"/>
          </w:tcPr>
          <w:p w:rsidR="004442E4" w:rsidRPr="00C806D0" w:rsidRDefault="004442E4" w:rsidP="004442E4">
            <w:pPr>
              <w:pStyle w:val="NoSpacing"/>
              <w:rPr>
                <w:sz w:val="18"/>
                <w:szCs w:val="18"/>
              </w:rPr>
            </w:pPr>
            <w:r w:rsidRPr="00C806D0">
              <w:rPr>
                <w:sz w:val="18"/>
                <w:szCs w:val="18"/>
              </w:rPr>
              <w:t xml:space="preserve">   </w:t>
            </w:r>
            <w:r w:rsidRPr="00C806D0">
              <w:rPr>
                <w:sz w:val="18"/>
                <w:szCs w:val="18"/>
              </w:rPr>
              <w:sym w:font="Wingdings" w:char="F09F"/>
            </w:r>
            <w:r w:rsidRPr="00C806D0">
              <w:rPr>
                <w:sz w:val="18"/>
                <w:szCs w:val="18"/>
              </w:rPr>
              <w:t xml:space="preserve"> AIS 6</w:t>
            </w:r>
          </w:p>
          <w:p w:rsidR="004442E4" w:rsidRPr="00C806D0" w:rsidRDefault="004442E4" w:rsidP="004442E4">
            <w:pPr>
              <w:pStyle w:val="NoSpacing"/>
              <w:rPr>
                <w:sz w:val="18"/>
                <w:szCs w:val="18"/>
              </w:rPr>
            </w:pPr>
          </w:p>
        </w:tc>
        <w:tc>
          <w:tcPr>
            <w:tcW w:w="611" w:type="pct"/>
          </w:tcPr>
          <w:p w:rsidR="004442E4" w:rsidRPr="00C806D0" w:rsidRDefault="004442E4" w:rsidP="004442E4">
            <w:pPr>
              <w:pStyle w:val="NoSpacing"/>
              <w:jc w:val="center"/>
              <w:rPr>
                <w:strike/>
                <w:sz w:val="18"/>
                <w:szCs w:val="18"/>
              </w:rPr>
            </w:pPr>
            <w:r w:rsidRPr="00C806D0">
              <w:rPr>
                <w:strike/>
                <w:sz w:val="18"/>
                <w:szCs w:val="18"/>
              </w:rPr>
              <w:t>-</w:t>
            </w:r>
          </w:p>
        </w:tc>
        <w:tc>
          <w:tcPr>
            <w:tcW w:w="611" w:type="pct"/>
          </w:tcPr>
          <w:p w:rsidR="004442E4" w:rsidRPr="00C806D0" w:rsidRDefault="004442E4" w:rsidP="004442E4">
            <w:pPr>
              <w:pStyle w:val="NoSpacing"/>
              <w:jc w:val="center"/>
              <w:rPr>
                <w:strike/>
                <w:sz w:val="18"/>
                <w:szCs w:val="18"/>
              </w:rPr>
            </w:pPr>
            <w:r w:rsidRPr="00C806D0">
              <w:rPr>
                <w:strike/>
                <w:sz w:val="18"/>
                <w:szCs w:val="18"/>
              </w:rPr>
              <w:t>-</w:t>
            </w:r>
          </w:p>
        </w:tc>
        <w:tc>
          <w:tcPr>
            <w:tcW w:w="467" w:type="pct"/>
          </w:tcPr>
          <w:p w:rsidR="004442E4" w:rsidRPr="00C806D0" w:rsidRDefault="004442E4" w:rsidP="004442E4">
            <w:pPr>
              <w:pStyle w:val="NoSpacing"/>
              <w:jc w:val="center"/>
              <w:rPr>
                <w:strike/>
                <w:sz w:val="18"/>
                <w:szCs w:val="18"/>
              </w:rPr>
            </w:pPr>
          </w:p>
        </w:tc>
        <w:tc>
          <w:tcPr>
            <w:tcW w:w="146" w:type="pct"/>
          </w:tcPr>
          <w:p w:rsidR="004442E4" w:rsidRPr="00C806D0" w:rsidRDefault="004442E4" w:rsidP="004442E4">
            <w:pPr>
              <w:pStyle w:val="NoSpacing"/>
              <w:jc w:val="center"/>
              <w:rPr>
                <w:strike/>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w:t>
            </w:r>
          </w:p>
        </w:tc>
        <w:tc>
          <w:tcPr>
            <w:tcW w:w="534" w:type="pct"/>
          </w:tcPr>
          <w:p w:rsidR="004442E4" w:rsidRPr="00C806D0" w:rsidRDefault="004442E4" w:rsidP="004442E4">
            <w:pPr>
              <w:pStyle w:val="NoSpacing"/>
              <w:jc w:val="center"/>
              <w:rPr>
                <w:sz w:val="18"/>
                <w:szCs w:val="18"/>
              </w:rPr>
            </w:pPr>
            <w:r w:rsidRPr="00C806D0">
              <w:rPr>
                <w:sz w:val="18"/>
                <w:szCs w:val="18"/>
              </w:rPr>
              <w:t>-</w:t>
            </w:r>
          </w:p>
        </w:tc>
        <w:tc>
          <w:tcPr>
            <w:tcW w:w="432" w:type="pct"/>
          </w:tcPr>
          <w:p w:rsidR="004442E4" w:rsidRPr="00C806D0" w:rsidRDefault="004442E4" w:rsidP="004442E4">
            <w:pPr>
              <w:pStyle w:val="NoSpacing"/>
              <w:jc w:val="center"/>
              <w:rPr>
                <w:strike/>
                <w:sz w:val="18"/>
                <w:szCs w:val="18"/>
              </w:rPr>
            </w:pPr>
          </w:p>
        </w:tc>
      </w:tr>
      <w:tr w:rsidR="004442E4" w:rsidRPr="00C806D0" w:rsidTr="004442E4">
        <w:trPr>
          <w:jc w:val="center"/>
        </w:trPr>
        <w:tc>
          <w:tcPr>
            <w:tcW w:w="1680" w:type="pct"/>
          </w:tcPr>
          <w:p w:rsidR="004442E4" w:rsidRPr="00C806D0" w:rsidRDefault="004442E4" w:rsidP="004442E4">
            <w:pPr>
              <w:pStyle w:val="NoSpacing"/>
              <w:rPr>
                <w:sz w:val="18"/>
                <w:szCs w:val="18"/>
              </w:rPr>
            </w:pPr>
            <w:r w:rsidRPr="00C806D0">
              <w:rPr>
                <w:sz w:val="18"/>
                <w:szCs w:val="18"/>
              </w:rPr>
              <w:t xml:space="preserve">   </w:t>
            </w:r>
            <w:r w:rsidRPr="00C806D0">
              <w:rPr>
                <w:sz w:val="18"/>
                <w:szCs w:val="18"/>
              </w:rPr>
              <w:sym w:font="Wingdings" w:char="F09F"/>
            </w:r>
            <w:r w:rsidRPr="00C806D0">
              <w:rPr>
                <w:sz w:val="18"/>
                <w:szCs w:val="18"/>
              </w:rPr>
              <w:t xml:space="preserve"> AIS 9†</w:t>
            </w:r>
          </w:p>
          <w:p w:rsidR="004442E4" w:rsidRPr="00C806D0" w:rsidRDefault="004442E4" w:rsidP="004442E4">
            <w:pPr>
              <w:pStyle w:val="NoSpacing"/>
              <w:rPr>
                <w:sz w:val="18"/>
                <w:szCs w:val="18"/>
              </w:rPr>
            </w:pPr>
          </w:p>
        </w:tc>
        <w:tc>
          <w:tcPr>
            <w:tcW w:w="611" w:type="pct"/>
          </w:tcPr>
          <w:p w:rsidR="004442E4" w:rsidRPr="00C806D0" w:rsidRDefault="004442E4" w:rsidP="004442E4">
            <w:pPr>
              <w:pStyle w:val="NoSpacing"/>
              <w:jc w:val="center"/>
              <w:rPr>
                <w:sz w:val="18"/>
                <w:szCs w:val="18"/>
              </w:rPr>
            </w:pPr>
            <w:r w:rsidRPr="00C806D0">
              <w:rPr>
                <w:sz w:val="18"/>
                <w:szCs w:val="18"/>
              </w:rPr>
              <w:t>0.05</w:t>
            </w:r>
          </w:p>
          <w:p w:rsidR="004442E4" w:rsidRPr="00C806D0" w:rsidRDefault="004442E4" w:rsidP="004442E4">
            <w:pPr>
              <w:pStyle w:val="NoSpacing"/>
              <w:jc w:val="center"/>
              <w:rPr>
                <w:sz w:val="18"/>
                <w:szCs w:val="18"/>
              </w:rPr>
            </w:pPr>
            <w:r w:rsidRPr="00C806D0">
              <w:rPr>
                <w:sz w:val="18"/>
                <w:szCs w:val="18"/>
              </w:rPr>
              <w:t>(0.0-0.01)</w:t>
            </w:r>
          </w:p>
          <w:p w:rsidR="004442E4" w:rsidRPr="00C806D0" w:rsidRDefault="004442E4" w:rsidP="004442E4">
            <w:pPr>
              <w:pStyle w:val="NoSpacing"/>
              <w:jc w:val="center"/>
              <w:rPr>
                <w:sz w:val="18"/>
                <w:szCs w:val="18"/>
              </w:rPr>
            </w:pPr>
          </w:p>
        </w:tc>
        <w:tc>
          <w:tcPr>
            <w:tcW w:w="611" w:type="pct"/>
          </w:tcPr>
          <w:p w:rsidR="004442E4" w:rsidRPr="00C806D0" w:rsidRDefault="004442E4" w:rsidP="004442E4">
            <w:pPr>
              <w:pStyle w:val="NoSpacing"/>
              <w:jc w:val="center"/>
              <w:rPr>
                <w:sz w:val="18"/>
                <w:szCs w:val="18"/>
              </w:rPr>
            </w:pPr>
            <w:r w:rsidRPr="00C806D0">
              <w:rPr>
                <w:sz w:val="18"/>
                <w:szCs w:val="18"/>
              </w:rPr>
              <w:t>0.16</w:t>
            </w:r>
          </w:p>
          <w:p w:rsidR="004442E4" w:rsidRPr="00C806D0" w:rsidRDefault="004442E4" w:rsidP="004442E4">
            <w:pPr>
              <w:pStyle w:val="NoSpacing"/>
              <w:jc w:val="center"/>
              <w:rPr>
                <w:strike/>
                <w:sz w:val="18"/>
                <w:szCs w:val="18"/>
              </w:rPr>
            </w:pPr>
            <w:r w:rsidRPr="00C806D0">
              <w:rPr>
                <w:sz w:val="18"/>
                <w:szCs w:val="18"/>
              </w:rPr>
              <w:t>(0.0-0.37)</w:t>
            </w:r>
          </w:p>
        </w:tc>
        <w:tc>
          <w:tcPr>
            <w:tcW w:w="467" w:type="pct"/>
          </w:tcPr>
          <w:p w:rsidR="004442E4" w:rsidRPr="00C806D0" w:rsidRDefault="004442E4" w:rsidP="004442E4">
            <w:pPr>
              <w:pStyle w:val="NoSpacing"/>
              <w:jc w:val="center"/>
              <w:rPr>
                <w:strike/>
                <w:sz w:val="18"/>
                <w:szCs w:val="18"/>
              </w:rPr>
            </w:pPr>
          </w:p>
        </w:tc>
        <w:tc>
          <w:tcPr>
            <w:tcW w:w="146" w:type="pct"/>
          </w:tcPr>
          <w:p w:rsidR="004442E4" w:rsidRPr="00C806D0" w:rsidRDefault="004442E4" w:rsidP="004442E4">
            <w:pPr>
              <w:pStyle w:val="NoSpacing"/>
              <w:jc w:val="center"/>
              <w:rPr>
                <w:strike/>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0.03</w:t>
            </w:r>
          </w:p>
          <w:p w:rsidR="004442E4" w:rsidRPr="00C806D0" w:rsidRDefault="004442E4" w:rsidP="004442E4">
            <w:pPr>
              <w:pStyle w:val="NoSpacing"/>
              <w:jc w:val="center"/>
              <w:rPr>
                <w:sz w:val="18"/>
                <w:szCs w:val="18"/>
              </w:rPr>
            </w:pPr>
            <w:r w:rsidRPr="00C806D0">
              <w:rPr>
                <w:sz w:val="18"/>
                <w:szCs w:val="18"/>
              </w:rPr>
              <w:t>(0.0-0.09)</w:t>
            </w:r>
          </w:p>
        </w:tc>
        <w:tc>
          <w:tcPr>
            <w:tcW w:w="534" w:type="pct"/>
          </w:tcPr>
          <w:p w:rsidR="004442E4" w:rsidRPr="00C806D0" w:rsidRDefault="004442E4" w:rsidP="004442E4">
            <w:pPr>
              <w:pStyle w:val="NoSpacing"/>
              <w:jc w:val="center"/>
              <w:rPr>
                <w:sz w:val="18"/>
                <w:szCs w:val="18"/>
              </w:rPr>
            </w:pPr>
            <w:r w:rsidRPr="00C806D0">
              <w:rPr>
                <w:sz w:val="18"/>
                <w:szCs w:val="18"/>
              </w:rPr>
              <w:t>0.19</w:t>
            </w:r>
          </w:p>
          <w:p w:rsidR="004442E4" w:rsidRPr="00C806D0" w:rsidRDefault="004442E4" w:rsidP="004442E4">
            <w:pPr>
              <w:pStyle w:val="NoSpacing"/>
              <w:jc w:val="center"/>
              <w:rPr>
                <w:sz w:val="18"/>
                <w:szCs w:val="18"/>
              </w:rPr>
            </w:pPr>
            <w:r w:rsidRPr="00C806D0">
              <w:rPr>
                <w:sz w:val="18"/>
                <w:szCs w:val="18"/>
              </w:rPr>
              <w:t>(0.0-0.39)</w:t>
            </w:r>
          </w:p>
        </w:tc>
        <w:tc>
          <w:tcPr>
            <w:tcW w:w="432" w:type="pct"/>
          </w:tcPr>
          <w:p w:rsidR="004442E4" w:rsidRPr="00C806D0" w:rsidRDefault="004442E4" w:rsidP="004442E4">
            <w:pPr>
              <w:pStyle w:val="NoSpacing"/>
              <w:jc w:val="center"/>
              <w:rPr>
                <w:sz w:val="18"/>
                <w:szCs w:val="18"/>
              </w:rPr>
            </w:pPr>
          </w:p>
        </w:tc>
      </w:tr>
      <w:tr w:rsidR="004442E4" w:rsidRPr="00C806D0" w:rsidTr="004442E4">
        <w:trPr>
          <w:trHeight w:val="547"/>
          <w:jc w:val="center"/>
        </w:trPr>
        <w:tc>
          <w:tcPr>
            <w:tcW w:w="1680" w:type="pct"/>
          </w:tcPr>
          <w:p w:rsidR="004442E4" w:rsidRPr="00C806D0" w:rsidRDefault="004442E4" w:rsidP="004442E4">
            <w:pPr>
              <w:pStyle w:val="NoSpacing"/>
              <w:rPr>
                <w:sz w:val="18"/>
                <w:szCs w:val="18"/>
              </w:rPr>
            </w:pPr>
            <w:r w:rsidRPr="00C806D0">
              <w:rPr>
                <w:sz w:val="18"/>
                <w:szCs w:val="18"/>
              </w:rPr>
              <w:t>Admission GCS</w:t>
            </w:r>
          </w:p>
          <w:p w:rsidR="004442E4" w:rsidRPr="00C806D0" w:rsidRDefault="004442E4" w:rsidP="004442E4">
            <w:pPr>
              <w:pStyle w:val="NoSpacing"/>
              <w:rPr>
                <w:sz w:val="18"/>
                <w:szCs w:val="18"/>
              </w:rPr>
            </w:pPr>
            <w:r w:rsidRPr="00C806D0">
              <w:rPr>
                <w:sz w:val="18"/>
                <w:szCs w:val="18"/>
              </w:rPr>
              <w:t>(median, IQR)</w:t>
            </w:r>
          </w:p>
          <w:p w:rsidR="004442E4" w:rsidRPr="00C806D0" w:rsidRDefault="004442E4" w:rsidP="004442E4">
            <w:pPr>
              <w:pStyle w:val="NoSpacing"/>
              <w:rPr>
                <w:sz w:val="18"/>
                <w:szCs w:val="18"/>
              </w:rPr>
            </w:pPr>
          </w:p>
        </w:tc>
        <w:tc>
          <w:tcPr>
            <w:tcW w:w="611" w:type="pct"/>
          </w:tcPr>
          <w:p w:rsidR="004442E4" w:rsidRPr="00C806D0" w:rsidRDefault="004442E4" w:rsidP="004442E4">
            <w:pPr>
              <w:pStyle w:val="NoSpacing"/>
              <w:jc w:val="center"/>
              <w:rPr>
                <w:sz w:val="18"/>
                <w:szCs w:val="18"/>
              </w:rPr>
            </w:pPr>
            <w:r w:rsidRPr="00C806D0">
              <w:rPr>
                <w:sz w:val="18"/>
                <w:szCs w:val="18"/>
              </w:rPr>
              <w:t>14</w:t>
            </w:r>
          </w:p>
          <w:p w:rsidR="004442E4" w:rsidRPr="00C806D0" w:rsidRDefault="004442E4" w:rsidP="004442E4">
            <w:pPr>
              <w:pStyle w:val="NoSpacing"/>
              <w:jc w:val="center"/>
              <w:rPr>
                <w:sz w:val="18"/>
                <w:szCs w:val="18"/>
              </w:rPr>
            </w:pPr>
            <w:r w:rsidRPr="00C806D0">
              <w:rPr>
                <w:sz w:val="18"/>
                <w:szCs w:val="18"/>
              </w:rPr>
              <w:t>(13-15)</w:t>
            </w:r>
          </w:p>
          <w:p w:rsidR="004442E4" w:rsidRPr="00C806D0" w:rsidRDefault="004442E4" w:rsidP="004442E4">
            <w:pPr>
              <w:pStyle w:val="NoSpacing"/>
              <w:jc w:val="center"/>
              <w:rPr>
                <w:sz w:val="18"/>
                <w:szCs w:val="18"/>
              </w:rPr>
            </w:pPr>
          </w:p>
        </w:tc>
        <w:tc>
          <w:tcPr>
            <w:tcW w:w="611" w:type="pct"/>
          </w:tcPr>
          <w:p w:rsidR="004442E4" w:rsidRPr="00C806D0" w:rsidRDefault="004442E4" w:rsidP="004442E4">
            <w:pPr>
              <w:pStyle w:val="NoSpacing"/>
              <w:jc w:val="center"/>
              <w:rPr>
                <w:sz w:val="18"/>
                <w:szCs w:val="18"/>
              </w:rPr>
            </w:pPr>
            <w:r w:rsidRPr="00C806D0">
              <w:rPr>
                <w:sz w:val="18"/>
                <w:szCs w:val="18"/>
              </w:rPr>
              <w:t>14</w:t>
            </w:r>
          </w:p>
          <w:p w:rsidR="004442E4" w:rsidRPr="00C806D0" w:rsidRDefault="004442E4" w:rsidP="004442E4">
            <w:pPr>
              <w:pStyle w:val="NoSpacing"/>
              <w:jc w:val="center"/>
              <w:rPr>
                <w:sz w:val="18"/>
                <w:szCs w:val="18"/>
              </w:rPr>
            </w:pPr>
            <w:r w:rsidRPr="00C806D0">
              <w:rPr>
                <w:sz w:val="18"/>
                <w:szCs w:val="18"/>
              </w:rPr>
              <w:t>(13-15)</w:t>
            </w:r>
          </w:p>
          <w:p w:rsidR="004442E4" w:rsidRPr="00C806D0" w:rsidRDefault="004442E4" w:rsidP="004442E4">
            <w:pPr>
              <w:pStyle w:val="NoSpacing"/>
              <w:jc w:val="center"/>
              <w:rPr>
                <w:sz w:val="18"/>
                <w:szCs w:val="18"/>
              </w:rPr>
            </w:pPr>
            <w:r w:rsidRPr="00C806D0">
              <w:rPr>
                <w:sz w:val="18"/>
                <w:szCs w:val="18"/>
              </w:rPr>
              <w:t>n=1,237</w:t>
            </w:r>
          </w:p>
          <w:p w:rsidR="004442E4" w:rsidRPr="00C806D0" w:rsidRDefault="004442E4" w:rsidP="004442E4">
            <w:pPr>
              <w:pStyle w:val="NoSpacing"/>
              <w:jc w:val="center"/>
              <w:rPr>
                <w:sz w:val="18"/>
                <w:szCs w:val="18"/>
              </w:rPr>
            </w:pPr>
          </w:p>
        </w:tc>
        <w:tc>
          <w:tcPr>
            <w:tcW w:w="467" w:type="pct"/>
          </w:tcPr>
          <w:p w:rsidR="004442E4" w:rsidRPr="00C806D0" w:rsidRDefault="004442E4" w:rsidP="004442E4">
            <w:pPr>
              <w:pStyle w:val="NoSpacing"/>
              <w:jc w:val="center"/>
              <w:rPr>
                <w:sz w:val="18"/>
                <w:szCs w:val="18"/>
              </w:rPr>
            </w:pPr>
            <w:r w:rsidRPr="00C806D0">
              <w:rPr>
                <w:sz w:val="18"/>
                <w:szCs w:val="18"/>
              </w:rPr>
              <w:t>0.72</w:t>
            </w: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14</w:t>
            </w:r>
          </w:p>
          <w:p w:rsidR="004442E4" w:rsidRPr="00C806D0" w:rsidRDefault="004442E4" w:rsidP="004442E4">
            <w:pPr>
              <w:pStyle w:val="NoSpacing"/>
              <w:jc w:val="center"/>
              <w:rPr>
                <w:sz w:val="18"/>
                <w:szCs w:val="18"/>
              </w:rPr>
            </w:pPr>
            <w:r w:rsidRPr="00C806D0">
              <w:rPr>
                <w:sz w:val="18"/>
                <w:szCs w:val="18"/>
              </w:rPr>
              <w:t>(13-15)</w:t>
            </w:r>
          </w:p>
        </w:tc>
        <w:tc>
          <w:tcPr>
            <w:tcW w:w="534" w:type="pct"/>
          </w:tcPr>
          <w:p w:rsidR="004442E4" w:rsidRPr="00C806D0" w:rsidRDefault="004442E4" w:rsidP="004442E4">
            <w:pPr>
              <w:pStyle w:val="NoSpacing"/>
              <w:jc w:val="center"/>
              <w:rPr>
                <w:sz w:val="18"/>
                <w:szCs w:val="18"/>
              </w:rPr>
            </w:pPr>
            <w:r w:rsidRPr="00C806D0">
              <w:rPr>
                <w:sz w:val="18"/>
                <w:szCs w:val="18"/>
              </w:rPr>
              <w:t>14</w:t>
            </w:r>
          </w:p>
          <w:p w:rsidR="004442E4" w:rsidRPr="00C806D0" w:rsidRDefault="004442E4" w:rsidP="004442E4">
            <w:pPr>
              <w:pStyle w:val="NoSpacing"/>
              <w:jc w:val="center"/>
              <w:rPr>
                <w:sz w:val="18"/>
                <w:szCs w:val="18"/>
              </w:rPr>
            </w:pPr>
            <w:r w:rsidRPr="00C806D0">
              <w:rPr>
                <w:sz w:val="18"/>
                <w:szCs w:val="18"/>
              </w:rPr>
              <w:t>(13-15)</w:t>
            </w:r>
          </w:p>
          <w:p w:rsidR="004442E4" w:rsidRPr="00C806D0" w:rsidRDefault="004442E4" w:rsidP="004442E4">
            <w:pPr>
              <w:pStyle w:val="NoSpacing"/>
              <w:jc w:val="center"/>
              <w:rPr>
                <w:sz w:val="18"/>
                <w:szCs w:val="18"/>
              </w:rPr>
            </w:pPr>
            <w:r w:rsidRPr="00C806D0">
              <w:rPr>
                <w:sz w:val="18"/>
                <w:szCs w:val="18"/>
              </w:rPr>
              <w:t>n=1,566</w:t>
            </w:r>
          </w:p>
        </w:tc>
        <w:tc>
          <w:tcPr>
            <w:tcW w:w="432" w:type="pct"/>
          </w:tcPr>
          <w:p w:rsidR="004442E4" w:rsidRPr="00C806D0" w:rsidRDefault="004442E4" w:rsidP="004442E4">
            <w:pPr>
              <w:pStyle w:val="NoSpacing"/>
              <w:jc w:val="center"/>
              <w:rPr>
                <w:sz w:val="18"/>
                <w:szCs w:val="18"/>
              </w:rPr>
            </w:pPr>
            <w:r w:rsidRPr="00C806D0">
              <w:rPr>
                <w:sz w:val="18"/>
                <w:szCs w:val="18"/>
              </w:rPr>
              <w:t>0.002</w:t>
            </w:r>
          </w:p>
        </w:tc>
      </w:tr>
      <w:tr w:rsidR="004442E4" w:rsidRPr="00C806D0" w:rsidTr="004442E4">
        <w:trPr>
          <w:jc w:val="center"/>
        </w:trPr>
        <w:tc>
          <w:tcPr>
            <w:tcW w:w="1680" w:type="pct"/>
          </w:tcPr>
          <w:p w:rsidR="004442E4" w:rsidRPr="00C806D0" w:rsidRDefault="002A16B4" w:rsidP="004442E4">
            <w:pPr>
              <w:pStyle w:val="NoSpacing"/>
              <w:rPr>
                <w:sz w:val="18"/>
                <w:szCs w:val="18"/>
              </w:rPr>
            </w:pPr>
            <w:r w:rsidRPr="00C806D0">
              <w:rPr>
                <w:sz w:val="18"/>
                <w:szCs w:val="18"/>
              </w:rPr>
              <w:t>Extracranial</w:t>
            </w:r>
            <w:r w:rsidR="004442E4" w:rsidRPr="00C806D0">
              <w:rPr>
                <w:sz w:val="18"/>
                <w:szCs w:val="18"/>
              </w:rPr>
              <w:t xml:space="preserve"> injury  </w:t>
            </w:r>
          </w:p>
          <w:p w:rsidR="004442E4" w:rsidRPr="00C806D0" w:rsidRDefault="004442E4" w:rsidP="004442E4">
            <w:pPr>
              <w:pStyle w:val="NoSpacing"/>
              <w:rPr>
                <w:sz w:val="18"/>
                <w:szCs w:val="18"/>
              </w:rPr>
            </w:pPr>
            <w:r w:rsidRPr="00C806D0">
              <w:rPr>
                <w:sz w:val="18"/>
                <w:szCs w:val="18"/>
              </w:rPr>
              <w:t>( AIS≥3,  %, 95% CI)</w:t>
            </w:r>
          </w:p>
          <w:p w:rsidR="004442E4" w:rsidRPr="00C806D0" w:rsidRDefault="004442E4" w:rsidP="004442E4">
            <w:pPr>
              <w:pStyle w:val="NoSpacing"/>
              <w:rPr>
                <w:sz w:val="18"/>
                <w:szCs w:val="18"/>
              </w:rPr>
            </w:pPr>
          </w:p>
        </w:tc>
        <w:tc>
          <w:tcPr>
            <w:tcW w:w="611" w:type="pct"/>
          </w:tcPr>
          <w:p w:rsidR="004442E4" w:rsidRPr="00C806D0" w:rsidRDefault="004442E4" w:rsidP="004442E4">
            <w:pPr>
              <w:pStyle w:val="NoSpacing"/>
              <w:jc w:val="center"/>
              <w:rPr>
                <w:sz w:val="18"/>
                <w:szCs w:val="18"/>
              </w:rPr>
            </w:pPr>
            <w:r w:rsidRPr="00C806D0">
              <w:rPr>
                <w:sz w:val="18"/>
                <w:szCs w:val="18"/>
              </w:rPr>
              <w:t>30.8</w:t>
            </w:r>
          </w:p>
          <w:p w:rsidR="004442E4" w:rsidRPr="00C806D0" w:rsidRDefault="004442E4" w:rsidP="004442E4">
            <w:pPr>
              <w:pStyle w:val="NoSpacing"/>
              <w:jc w:val="center"/>
              <w:rPr>
                <w:sz w:val="18"/>
                <w:szCs w:val="18"/>
              </w:rPr>
            </w:pPr>
            <w:r w:rsidRPr="00C806D0">
              <w:rPr>
                <w:sz w:val="18"/>
                <w:szCs w:val="18"/>
              </w:rPr>
              <w:t>(29.3-32.4)</w:t>
            </w:r>
          </w:p>
          <w:p w:rsidR="004442E4" w:rsidRPr="00C806D0" w:rsidRDefault="004442E4" w:rsidP="004442E4">
            <w:pPr>
              <w:pStyle w:val="NoSpacing"/>
              <w:jc w:val="center"/>
              <w:rPr>
                <w:sz w:val="18"/>
                <w:szCs w:val="18"/>
              </w:rPr>
            </w:pPr>
            <w:r w:rsidRPr="00C806D0">
              <w:rPr>
                <w:sz w:val="18"/>
                <w:szCs w:val="18"/>
              </w:rPr>
              <w:t>n=3,436</w:t>
            </w:r>
          </w:p>
        </w:tc>
        <w:tc>
          <w:tcPr>
            <w:tcW w:w="611" w:type="pct"/>
          </w:tcPr>
          <w:p w:rsidR="004442E4" w:rsidRPr="00C806D0" w:rsidRDefault="004442E4" w:rsidP="004442E4">
            <w:pPr>
              <w:pStyle w:val="NoSpacing"/>
              <w:jc w:val="center"/>
              <w:rPr>
                <w:sz w:val="18"/>
                <w:szCs w:val="18"/>
              </w:rPr>
            </w:pPr>
            <w:r w:rsidRPr="00C806D0">
              <w:rPr>
                <w:sz w:val="18"/>
                <w:szCs w:val="18"/>
              </w:rPr>
              <w:t>25.5</w:t>
            </w:r>
          </w:p>
          <w:p w:rsidR="004442E4" w:rsidRPr="00C806D0" w:rsidRDefault="004442E4" w:rsidP="004442E4">
            <w:pPr>
              <w:pStyle w:val="NoSpacing"/>
              <w:jc w:val="center"/>
              <w:rPr>
                <w:sz w:val="18"/>
                <w:szCs w:val="18"/>
              </w:rPr>
            </w:pPr>
            <w:r w:rsidRPr="00C806D0">
              <w:rPr>
                <w:sz w:val="18"/>
                <w:szCs w:val="18"/>
              </w:rPr>
              <w:t>(23.1-27.9)</w:t>
            </w:r>
          </w:p>
          <w:p w:rsidR="004442E4" w:rsidRPr="00C806D0" w:rsidRDefault="004442E4" w:rsidP="004442E4">
            <w:pPr>
              <w:pStyle w:val="NoSpacing"/>
              <w:jc w:val="center"/>
              <w:rPr>
                <w:sz w:val="18"/>
                <w:szCs w:val="18"/>
              </w:rPr>
            </w:pPr>
            <w:r w:rsidRPr="00C806D0">
              <w:rPr>
                <w:sz w:val="18"/>
                <w:szCs w:val="18"/>
              </w:rPr>
              <w:t>n=1,281</w:t>
            </w:r>
          </w:p>
          <w:p w:rsidR="004442E4" w:rsidRPr="00C806D0" w:rsidRDefault="004442E4" w:rsidP="004442E4">
            <w:pPr>
              <w:pStyle w:val="NoSpacing"/>
              <w:jc w:val="center"/>
              <w:rPr>
                <w:sz w:val="18"/>
                <w:szCs w:val="18"/>
              </w:rPr>
            </w:pPr>
          </w:p>
        </w:tc>
        <w:tc>
          <w:tcPr>
            <w:tcW w:w="467" w:type="pct"/>
          </w:tcPr>
          <w:p w:rsidR="004442E4" w:rsidRPr="00C806D0" w:rsidRDefault="004442E4" w:rsidP="004442E4">
            <w:pPr>
              <w:pStyle w:val="NoSpacing"/>
              <w:jc w:val="center"/>
              <w:rPr>
                <w:sz w:val="18"/>
                <w:szCs w:val="18"/>
              </w:rPr>
            </w:pPr>
            <w:r w:rsidRPr="00C806D0">
              <w:rPr>
                <w:sz w:val="18"/>
                <w:szCs w:val="18"/>
              </w:rPr>
              <w:t>&lt;0.001</w:t>
            </w: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30.6</w:t>
            </w:r>
          </w:p>
          <w:p w:rsidR="004442E4" w:rsidRPr="00C806D0" w:rsidRDefault="004442E4" w:rsidP="004442E4">
            <w:pPr>
              <w:pStyle w:val="NoSpacing"/>
              <w:jc w:val="center"/>
              <w:rPr>
                <w:sz w:val="18"/>
                <w:szCs w:val="18"/>
              </w:rPr>
            </w:pPr>
            <w:r w:rsidRPr="00C806D0">
              <w:rPr>
                <w:sz w:val="18"/>
                <w:szCs w:val="18"/>
              </w:rPr>
              <w:t>(28.9-32.2)</w:t>
            </w:r>
          </w:p>
        </w:tc>
        <w:tc>
          <w:tcPr>
            <w:tcW w:w="534" w:type="pct"/>
          </w:tcPr>
          <w:p w:rsidR="004442E4" w:rsidRPr="00C806D0" w:rsidRDefault="004442E4" w:rsidP="004442E4">
            <w:pPr>
              <w:pStyle w:val="NoSpacing"/>
              <w:jc w:val="center"/>
              <w:rPr>
                <w:sz w:val="18"/>
                <w:szCs w:val="18"/>
              </w:rPr>
            </w:pPr>
            <w:r w:rsidRPr="00C806D0">
              <w:rPr>
                <w:sz w:val="18"/>
                <w:szCs w:val="18"/>
              </w:rPr>
              <w:t>27.1</w:t>
            </w:r>
          </w:p>
          <w:p w:rsidR="004442E4" w:rsidRPr="00C806D0" w:rsidRDefault="004442E4" w:rsidP="004442E4">
            <w:pPr>
              <w:pStyle w:val="NoSpacing"/>
              <w:jc w:val="center"/>
              <w:rPr>
                <w:sz w:val="18"/>
                <w:szCs w:val="18"/>
              </w:rPr>
            </w:pPr>
            <w:r w:rsidRPr="00C806D0">
              <w:rPr>
                <w:sz w:val="18"/>
                <w:szCs w:val="18"/>
              </w:rPr>
              <w:t>(25.0-29.3)</w:t>
            </w:r>
          </w:p>
          <w:p w:rsidR="004442E4" w:rsidRPr="00C806D0" w:rsidRDefault="004442E4" w:rsidP="004442E4">
            <w:pPr>
              <w:pStyle w:val="NoSpacing"/>
              <w:jc w:val="center"/>
              <w:rPr>
                <w:sz w:val="18"/>
                <w:szCs w:val="18"/>
              </w:rPr>
            </w:pPr>
            <w:r w:rsidRPr="00C806D0">
              <w:rPr>
                <w:sz w:val="18"/>
                <w:szCs w:val="18"/>
              </w:rPr>
              <w:t>n=1,628</w:t>
            </w:r>
          </w:p>
        </w:tc>
        <w:tc>
          <w:tcPr>
            <w:tcW w:w="432" w:type="pct"/>
          </w:tcPr>
          <w:p w:rsidR="004442E4" w:rsidRPr="00C806D0" w:rsidRDefault="004442E4" w:rsidP="004442E4">
            <w:pPr>
              <w:pStyle w:val="NoSpacing"/>
              <w:jc w:val="center"/>
              <w:rPr>
                <w:sz w:val="18"/>
                <w:szCs w:val="18"/>
              </w:rPr>
            </w:pPr>
            <w:r w:rsidRPr="00C806D0">
              <w:rPr>
                <w:sz w:val="18"/>
                <w:szCs w:val="18"/>
              </w:rPr>
              <w:t>0.02</w:t>
            </w:r>
          </w:p>
        </w:tc>
      </w:tr>
      <w:tr w:rsidR="004442E4" w:rsidRPr="00C806D0" w:rsidTr="004442E4">
        <w:trPr>
          <w:jc w:val="center"/>
        </w:trPr>
        <w:tc>
          <w:tcPr>
            <w:tcW w:w="1680" w:type="pct"/>
          </w:tcPr>
          <w:p w:rsidR="004442E4" w:rsidRPr="00C806D0" w:rsidRDefault="004442E4" w:rsidP="004442E4">
            <w:pPr>
              <w:pStyle w:val="NoSpacing"/>
              <w:rPr>
                <w:sz w:val="18"/>
                <w:szCs w:val="18"/>
              </w:rPr>
            </w:pPr>
            <w:r w:rsidRPr="00C806D0">
              <w:rPr>
                <w:sz w:val="18"/>
                <w:szCs w:val="18"/>
              </w:rPr>
              <w:t xml:space="preserve">ISS </w:t>
            </w:r>
          </w:p>
          <w:p w:rsidR="004442E4" w:rsidRPr="00C806D0" w:rsidRDefault="004442E4" w:rsidP="004442E4">
            <w:pPr>
              <w:pStyle w:val="NoSpacing"/>
              <w:rPr>
                <w:sz w:val="18"/>
                <w:szCs w:val="18"/>
              </w:rPr>
            </w:pPr>
            <w:r w:rsidRPr="00C806D0">
              <w:rPr>
                <w:sz w:val="18"/>
                <w:szCs w:val="18"/>
              </w:rPr>
              <w:t>(median,IQR)</w:t>
            </w:r>
          </w:p>
          <w:p w:rsidR="004442E4" w:rsidRPr="00C806D0" w:rsidRDefault="004442E4" w:rsidP="004442E4">
            <w:pPr>
              <w:pStyle w:val="NoSpacing"/>
              <w:rPr>
                <w:sz w:val="18"/>
                <w:szCs w:val="18"/>
              </w:rPr>
            </w:pPr>
          </w:p>
        </w:tc>
        <w:tc>
          <w:tcPr>
            <w:tcW w:w="611" w:type="pct"/>
          </w:tcPr>
          <w:p w:rsidR="004442E4" w:rsidRPr="00C806D0" w:rsidRDefault="004442E4" w:rsidP="004442E4">
            <w:pPr>
              <w:pStyle w:val="NoSpacing"/>
              <w:jc w:val="center"/>
              <w:rPr>
                <w:sz w:val="18"/>
                <w:szCs w:val="18"/>
              </w:rPr>
            </w:pPr>
            <w:r w:rsidRPr="00C806D0">
              <w:rPr>
                <w:sz w:val="18"/>
                <w:szCs w:val="18"/>
              </w:rPr>
              <w:t>21</w:t>
            </w:r>
          </w:p>
          <w:p w:rsidR="004442E4" w:rsidRPr="00C806D0" w:rsidRDefault="004442E4" w:rsidP="004442E4">
            <w:pPr>
              <w:pStyle w:val="NoSpacing"/>
              <w:jc w:val="center"/>
              <w:rPr>
                <w:sz w:val="18"/>
                <w:szCs w:val="18"/>
              </w:rPr>
            </w:pPr>
            <w:r w:rsidRPr="00C806D0">
              <w:rPr>
                <w:sz w:val="18"/>
                <w:szCs w:val="18"/>
              </w:rPr>
              <w:t>(16-26)</w:t>
            </w:r>
          </w:p>
        </w:tc>
        <w:tc>
          <w:tcPr>
            <w:tcW w:w="611" w:type="pct"/>
          </w:tcPr>
          <w:p w:rsidR="004442E4" w:rsidRPr="00C806D0" w:rsidRDefault="004442E4" w:rsidP="004442E4">
            <w:pPr>
              <w:pStyle w:val="NoSpacing"/>
              <w:jc w:val="center"/>
              <w:rPr>
                <w:sz w:val="18"/>
                <w:szCs w:val="18"/>
              </w:rPr>
            </w:pPr>
            <w:r w:rsidRPr="00C806D0">
              <w:rPr>
                <w:sz w:val="18"/>
                <w:szCs w:val="18"/>
              </w:rPr>
              <w:t>19</w:t>
            </w:r>
          </w:p>
          <w:p w:rsidR="004442E4" w:rsidRPr="00C806D0" w:rsidRDefault="004442E4" w:rsidP="004442E4">
            <w:pPr>
              <w:pStyle w:val="NoSpacing"/>
              <w:jc w:val="center"/>
              <w:rPr>
                <w:sz w:val="18"/>
                <w:szCs w:val="18"/>
              </w:rPr>
            </w:pPr>
            <w:r w:rsidRPr="00C806D0">
              <w:rPr>
                <w:sz w:val="18"/>
                <w:szCs w:val="18"/>
              </w:rPr>
              <w:t>(16-26)</w:t>
            </w:r>
          </w:p>
          <w:p w:rsidR="004442E4" w:rsidRPr="00C806D0" w:rsidRDefault="004442E4" w:rsidP="004442E4">
            <w:pPr>
              <w:pStyle w:val="NoSpacing"/>
              <w:jc w:val="center"/>
              <w:rPr>
                <w:sz w:val="18"/>
                <w:szCs w:val="18"/>
              </w:rPr>
            </w:pPr>
            <w:r w:rsidRPr="00C806D0">
              <w:rPr>
                <w:sz w:val="18"/>
                <w:szCs w:val="18"/>
              </w:rPr>
              <w:t>n=1,281</w:t>
            </w:r>
          </w:p>
          <w:p w:rsidR="004442E4" w:rsidRPr="00C806D0" w:rsidRDefault="004442E4" w:rsidP="004442E4">
            <w:pPr>
              <w:pStyle w:val="NoSpacing"/>
              <w:jc w:val="center"/>
              <w:rPr>
                <w:sz w:val="18"/>
                <w:szCs w:val="18"/>
              </w:rPr>
            </w:pPr>
          </w:p>
          <w:p w:rsidR="004442E4" w:rsidRPr="00C806D0" w:rsidRDefault="004442E4" w:rsidP="004442E4">
            <w:pPr>
              <w:pStyle w:val="NoSpacing"/>
              <w:jc w:val="center"/>
              <w:rPr>
                <w:sz w:val="18"/>
                <w:szCs w:val="18"/>
              </w:rPr>
            </w:pPr>
          </w:p>
        </w:tc>
        <w:tc>
          <w:tcPr>
            <w:tcW w:w="467" w:type="pct"/>
          </w:tcPr>
          <w:p w:rsidR="004442E4" w:rsidRPr="00C806D0" w:rsidRDefault="004442E4" w:rsidP="004442E4">
            <w:pPr>
              <w:pStyle w:val="NoSpacing"/>
              <w:jc w:val="center"/>
              <w:rPr>
                <w:sz w:val="18"/>
                <w:szCs w:val="18"/>
              </w:rPr>
            </w:pPr>
            <w:r w:rsidRPr="00C806D0">
              <w:rPr>
                <w:sz w:val="18"/>
                <w:szCs w:val="18"/>
              </w:rPr>
              <w:t>0.001</w:t>
            </w: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20</w:t>
            </w:r>
          </w:p>
          <w:p w:rsidR="004442E4" w:rsidRPr="00C806D0" w:rsidRDefault="004442E4" w:rsidP="004442E4">
            <w:pPr>
              <w:pStyle w:val="NoSpacing"/>
              <w:jc w:val="center"/>
              <w:rPr>
                <w:sz w:val="18"/>
                <w:szCs w:val="18"/>
              </w:rPr>
            </w:pPr>
            <w:r w:rsidRPr="00C806D0">
              <w:rPr>
                <w:sz w:val="18"/>
                <w:szCs w:val="18"/>
              </w:rPr>
              <w:t>(16-26)</w:t>
            </w:r>
          </w:p>
        </w:tc>
        <w:tc>
          <w:tcPr>
            <w:tcW w:w="534" w:type="pct"/>
          </w:tcPr>
          <w:p w:rsidR="004442E4" w:rsidRPr="00C806D0" w:rsidRDefault="004442E4" w:rsidP="004442E4">
            <w:pPr>
              <w:pStyle w:val="NoSpacing"/>
              <w:jc w:val="center"/>
              <w:rPr>
                <w:sz w:val="18"/>
                <w:szCs w:val="18"/>
              </w:rPr>
            </w:pPr>
            <w:r w:rsidRPr="00C806D0">
              <w:rPr>
                <w:sz w:val="18"/>
                <w:szCs w:val="18"/>
              </w:rPr>
              <w:t>20</w:t>
            </w:r>
          </w:p>
          <w:p w:rsidR="004442E4" w:rsidRPr="00C806D0" w:rsidRDefault="004442E4" w:rsidP="004442E4">
            <w:pPr>
              <w:pStyle w:val="NoSpacing"/>
              <w:jc w:val="center"/>
              <w:rPr>
                <w:sz w:val="18"/>
                <w:szCs w:val="18"/>
              </w:rPr>
            </w:pPr>
            <w:r w:rsidRPr="00C806D0">
              <w:rPr>
                <w:sz w:val="18"/>
                <w:szCs w:val="18"/>
              </w:rPr>
              <w:t>(16-26)</w:t>
            </w:r>
          </w:p>
          <w:p w:rsidR="004442E4" w:rsidRPr="00C806D0" w:rsidRDefault="004442E4" w:rsidP="004442E4">
            <w:pPr>
              <w:pStyle w:val="NoSpacing"/>
              <w:jc w:val="center"/>
              <w:rPr>
                <w:sz w:val="18"/>
                <w:szCs w:val="18"/>
              </w:rPr>
            </w:pPr>
            <w:r w:rsidRPr="00C806D0">
              <w:rPr>
                <w:sz w:val="18"/>
                <w:szCs w:val="18"/>
              </w:rPr>
              <w:t>n=1,628</w:t>
            </w:r>
          </w:p>
        </w:tc>
        <w:tc>
          <w:tcPr>
            <w:tcW w:w="432" w:type="pct"/>
          </w:tcPr>
          <w:p w:rsidR="004442E4" w:rsidRPr="00C806D0" w:rsidRDefault="004442E4" w:rsidP="004442E4">
            <w:pPr>
              <w:pStyle w:val="NoSpacing"/>
              <w:jc w:val="center"/>
              <w:rPr>
                <w:sz w:val="18"/>
                <w:szCs w:val="18"/>
              </w:rPr>
            </w:pPr>
            <w:r w:rsidRPr="00C806D0">
              <w:rPr>
                <w:sz w:val="18"/>
                <w:szCs w:val="18"/>
              </w:rPr>
              <w:t>0.05</w:t>
            </w:r>
          </w:p>
        </w:tc>
      </w:tr>
      <w:tr w:rsidR="004442E4" w:rsidRPr="00C806D0" w:rsidTr="004442E4">
        <w:trPr>
          <w:trHeight w:val="87"/>
          <w:jc w:val="center"/>
        </w:trPr>
        <w:tc>
          <w:tcPr>
            <w:tcW w:w="1680" w:type="pct"/>
          </w:tcPr>
          <w:p w:rsidR="004442E4" w:rsidRPr="00C806D0" w:rsidRDefault="004442E4" w:rsidP="004442E4">
            <w:pPr>
              <w:pStyle w:val="NoSpacing"/>
              <w:rPr>
                <w:sz w:val="18"/>
                <w:szCs w:val="18"/>
              </w:rPr>
            </w:pPr>
            <w:r w:rsidRPr="00C806D0">
              <w:rPr>
                <w:sz w:val="18"/>
                <w:szCs w:val="18"/>
              </w:rPr>
              <w:t>12 month EQ5D</w:t>
            </w:r>
          </w:p>
          <w:p w:rsidR="004442E4" w:rsidRPr="00C806D0" w:rsidRDefault="004442E4" w:rsidP="004442E4">
            <w:pPr>
              <w:pStyle w:val="NoSpacing"/>
              <w:rPr>
                <w:sz w:val="18"/>
                <w:szCs w:val="18"/>
              </w:rPr>
            </w:pPr>
            <w:r w:rsidRPr="00C806D0">
              <w:rPr>
                <w:sz w:val="18"/>
                <w:szCs w:val="18"/>
              </w:rPr>
              <w:t>(mean, 95% CI)</w:t>
            </w:r>
          </w:p>
          <w:p w:rsidR="004442E4" w:rsidRPr="00C806D0" w:rsidRDefault="004442E4" w:rsidP="004442E4">
            <w:pPr>
              <w:pStyle w:val="NoSpacing"/>
              <w:rPr>
                <w:sz w:val="18"/>
                <w:szCs w:val="18"/>
              </w:rPr>
            </w:pPr>
          </w:p>
        </w:tc>
        <w:tc>
          <w:tcPr>
            <w:tcW w:w="611" w:type="pct"/>
          </w:tcPr>
          <w:p w:rsidR="004442E4" w:rsidRPr="00C806D0" w:rsidRDefault="004442E4" w:rsidP="004442E4">
            <w:pPr>
              <w:pStyle w:val="NoSpacing"/>
              <w:jc w:val="center"/>
              <w:rPr>
                <w:sz w:val="18"/>
                <w:szCs w:val="18"/>
              </w:rPr>
            </w:pPr>
            <w:r w:rsidRPr="00C806D0">
              <w:rPr>
                <w:sz w:val="18"/>
                <w:szCs w:val="18"/>
              </w:rPr>
              <w:t>0.68</w:t>
            </w:r>
          </w:p>
          <w:p w:rsidR="004442E4" w:rsidRPr="00C806D0" w:rsidRDefault="004442E4" w:rsidP="004442E4">
            <w:pPr>
              <w:pStyle w:val="NoSpacing"/>
              <w:jc w:val="center"/>
              <w:rPr>
                <w:sz w:val="18"/>
                <w:szCs w:val="18"/>
              </w:rPr>
            </w:pPr>
            <w:r w:rsidRPr="00C806D0">
              <w:rPr>
                <w:sz w:val="18"/>
                <w:szCs w:val="18"/>
              </w:rPr>
              <w:t>(0.67-0.69)</w:t>
            </w:r>
          </w:p>
        </w:tc>
        <w:tc>
          <w:tcPr>
            <w:tcW w:w="611" w:type="pct"/>
          </w:tcPr>
          <w:p w:rsidR="004442E4" w:rsidRPr="00C806D0" w:rsidRDefault="004442E4" w:rsidP="004442E4">
            <w:pPr>
              <w:pStyle w:val="NoSpacing"/>
              <w:jc w:val="center"/>
              <w:rPr>
                <w:sz w:val="18"/>
                <w:szCs w:val="18"/>
              </w:rPr>
            </w:pPr>
            <w:r w:rsidRPr="00C806D0">
              <w:rPr>
                <w:sz w:val="18"/>
                <w:szCs w:val="18"/>
              </w:rPr>
              <w:t>0.71</w:t>
            </w:r>
          </w:p>
          <w:p w:rsidR="004442E4" w:rsidRPr="00C806D0" w:rsidRDefault="004442E4" w:rsidP="004442E4">
            <w:pPr>
              <w:pStyle w:val="NoSpacing"/>
              <w:jc w:val="center"/>
              <w:rPr>
                <w:sz w:val="18"/>
                <w:szCs w:val="18"/>
              </w:rPr>
            </w:pPr>
            <w:r w:rsidRPr="00C806D0">
              <w:rPr>
                <w:sz w:val="18"/>
                <w:szCs w:val="18"/>
              </w:rPr>
              <w:t>(0.30-1.0)</w:t>
            </w:r>
          </w:p>
          <w:p w:rsidR="004442E4" w:rsidRPr="00C806D0" w:rsidRDefault="004442E4" w:rsidP="004442E4">
            <w:pPr>
              <w:pStyle w:val="NoSpacing"/>
              <w:jc w:val="center"/>
              <w:rPr>
                <w:sz w:val="18"/>
                <w:szCs w:val="18"/>
              </w:rPr>
            </w:pPr>
            <w:r w:rsidRPr="00C806D0">
              <w:rPr>
                <w:sz w:val="18"/>
                <w:szCs w:val="18"/>
              </w:rPr>
              <w:t>n=7</w:t>
            </w:r>
          </w:p>
          <w:p w:rsidR="004442E4" w:rsidRPr="00C806D0" w:rsidRDefault="004442E4" w:rsidP="004442E4">
            <w:pPr>
              <w:pStyle w:val="NoSpacing"/>
              <w:jc w:val="center"/>
              <w:rPr>
                <w:sz w:val="18"/>
                <w:szCs w:val="18"/>
              </w:rPr>
            </w:pPr>
          </w:p>
        </w:tc>
        <w:tc>
          <w:tcPr>
            <w:tcW w:w="467" w:type="pct"/>
          </w:tcPr>
          <w:p w:rsidR="004442E4" w:rsidRPr="00C806D0" w:rsidRDefault="004442E4" w:rsidP="004442E4">
            <w:pPr>
              <w:pStyle w:val="NoSpacing"/>
              <w:jc w:val="center"/>
              <w:rPr>
                <w:sz w:val="18"/>
                <w:szCs w:val="18"/>
              </w:rPr>
            </w:pPr>
            <w:r w:rsidRPr="00C806D0">
              <w:rPr>
                <w:sz w:val="18"/>
                <w:szCs w:val="18"/>
              </w:rPr>
              <w:t>0.51</w:t>
            </w:r>
          </w:p>
        </w:tc>
        <w:tc>
          <w:tcPr>
            <w:tcW w:w="146" w:type="pct"/>
          </w:tcPr>
          <w:p w:rsidR="004442E4" w:rsidRPr="00C806D0" w:rsidRDefault="004442E4" w:rsidP="004442E4">
            <w:pPr>
              <w:pStyle w:val="NoSpacing"/>
              <w:jc w:val="center"/>
              <w:rPr>
                <w:sz w:val="18"/>
                <w:szCs w:val="18"/>
              </w:rPr>
            </w:pPr>
          </w:p>
        </w:tc>
        <w:tc>
          <w:tcPr>
            <w:tcW w:w="519" w:type="pct"/>
          </w:tcPr>
          <w:p w:rsidR="004442E4" w:rsidRPr="00C806D0" w:rsidRDefault="004442E4" w:rsidP="004442E4">
            <w:pPr>
              <w:pStyle w:val="NoSpacing"/>
              <w:jc w:val="center"/>
              <w:rPr>
                <w:sz w:val="18"/>
                <w:szCs w:val="18"/>
              </w:rPr>
            </w:pPr>
            <w:r w:rsidRPr="00C806D0">
              <w:rPr>
                <w:sz w:val="18"/>
                <w:szCs w:val="18"/>
              </w:rPr>
              <w:t>0.68</w:t>
            </w:r>
          </w:p>
          <w:p w:rsidR="004442E4" w:rsidRPr="00C806D0" w:rsidRDefault="004442E4" w:rsidP="004442E4">
            <w:pPr>
              <w:pStyle w:val="NoSpacing"/>
              <w:jc w:val="center"/>
              <w:rPr>
                <w:sz w:val="18"/>
                <w:szCs w:val="18"/>
              </w:rPr>
            </w:pPr>
            <w:r w:rsidRPr="00C806D0">
              <w:rPr>
                <w:sz w:val="18"/>
                <w:szCs w:val="18"/>
              </w:rPr>
              <w:t>(0.67-0.69)</w:t>
            </w:r>
          </w:p>
        </w:tc>
        <w:tc>
          <w:tcPr>
            <w:tcW w:w="534" w:type="pct"/>
          </w:tcPr>
          <w:p w:rsidR="004442E4" w:rsidRPr="00C806D0" w:rsidRDefault="004442E4" w:rsidP="004442E4">
            <w:pPr>
              <w:pStyle w:val="NoSpacing"/>
              <w:jc w:val="center"/>
              <w:rPr>
                <w:sz w:val="18"/>
                <w:szCs w:val="18"/>
              </w:rPr>
            </w:pPr>
            <w:r w:rsidRPr="00C806D0">
              <w:rPr>
                <w:sz w:val="18"/>
                <w:szCs w:val="18"/>
              </w:rPr>
              <w:t>0.68</w:t>
            </w:r>
          </w:p>
          <w:p w:rsidR="004442E4" w:rsidRPr="00C806D0" w:rsidRDefault="004442E4" w:rsidP="004442E4">
            <w:pPr>
              <w:pStyle w:val="NoSpacing"/>
              <w:jc w:val="center"/>
              <w:rPr>
                <w:sz w:val="18"/>
                <w:szCs w:val="18"/>
              </w:rPr>
            </w:pPr>
            <w:r w:rsidRPr="00C806D0">
              <w:rPr>
                <w:sz w:val="18"/>
                <w:szCs w:val="18"/>
              </w:rPr>
              <w:t>(0.65-0.72)</w:t>
            </w:r>
          </w:p>
        </w:tc>
        <w:tc>
          <w:tcPr>
            <w:tcW w:w="432" w:type="pct"/>
          </w:tcPr>
          <w:p w:rsidR="004442E4" w:rsidRPr="00C806D0" w:rsidRDefault="004442E4" w:rsidP="004442E4">
            <w:pPr>
              <w:pStyle w:val="NoSpacing"/>
              <w:jc w:val="center"/>
              <w:rPr>
                <w:sz w:val="18"/>
                <w:szCs w:val="18"/>
              </w:rPr>
            </w:pPr>
            <w:r w:rsidRPr="00C806D0">
              <w:rPr>
                <w:sz w:val="18"/>
                <w:szCs w:val="18"/>
              </w:rPr>
              <w:t>0.89</w:t>
            </w:r>
          </w:p>
        </w:tc>
      </w:tr>
    </w:tbl>
    <w:p w:rsidR="004442E4" w:rsidRPr="00C806D0" w:rsidRDefault="004442E4" w:rsidP="004442E4"/>
    <w:p w:rsidR="004442E4" w:rsidRPr="00C806D0" w:rsidRDefault="004442E4" w:rsidP="004442E4">
      <w:pPr>
        <w:rPr>
          <w:rFonts w:ascii="Calibri" w:hAnsi="Calibri"/>
        </w:rPr>
      </w:pPr>
      <w:r w:rsidRPr="00C806D0">
        <w:rPr>
          <w:rFonts w:ascii="Calibri" w:hAnsi="Calibri"/>
        </w:rPr>
        <w:lastRenderedPageBreak/>
        <w:t>Identical principles to those previously described were used to develop multiple imputation models and generate 5 simulated imputed datasets, under a missing at random assumption. Variables included in the imputation models included EQ5D, all covariates used in the analysis models, and the following auxiliary variables: injury severity score, head region AIS score, discharge status, geographical location of injury, funding status of patient, mechanism of injury, and date of injury. Unfortunately socioeconomic status and ethnicity variables were unavailable. Predictive mean matching was used to account for non-normality in the EQ5D distribution. Mean 12 month EQ5D conditional on basic GOS category and the initial predictive model were then implemented in the imputed datasets with Rubin’s rules used to derive appropriate parameter estimates as previously described. There were negligible differences in mean EQ5D for each GOS categories (Table F23).  Coefficients for the initial basic GOS model were also minimally different except for greater precision for vegetative state parameters (Table F24). Results for other secondary analyses were also not materially changed (data not shown).</w:t>
      </w:r>
    </w:p>
    <w:p w:rsidR="004442E4" w:rsidRPr="00C806D0" w:rsidRDefault="004442E4" w:rsidP="004442E4"/>
    <w:p w:rsidR="004442E4" w:rsidRPr="00C806D0" w:rsidRDefault="004442E4" w:rsidP="004442E4">
      <w:pPr>
        <w:rPr>
          <w:b/>
        </w:rPr>
      </w:pPr>
      <w:r w:rsidRPr="00C806D0">
        <w:rPr>
          <w:b/>
        </w:rPr>
        <w:t>Table F23. Mean 12 month EQ5D conditional on basic GOS category compared between available case and multiple imputation analyses.</w:t>
      </w:r>
    </w:p>
    <w:p w:rsidR="004442E4" w:rsidRPr="00C806D0" w:rsidRDefault="004442E4" w:rsidP="004442E4"/>
    <w:tbl>
      <w:tblPr>
        <w:tblStyle w:val="LightShading1"/>
        <w:tblW w:w="0" w:type="auto"/>
        <w:jc w:val="center"/>
        <w:tblLook w:val="0620" w:firstRow="1" w:lastRow="0" w:firstColumn="0" w:lastColumn="0" w:noHBand="1" w:noVBand="1"/>
      </w:tblPr>
      <w:tblGrid>
        <w:gridCol w:w="2094"/>
        <w:gridCol w:w="1224"/>
        <w:gridCol w:w="1120"/>
        <w:gridCol w:w="1392"/>
        <w:gridCol w:w="1617"/>
        <w:gridCol w:w="1273"/>
      </w:tblGrid>
      <w:tr w:rsidR="004442E4" w:rsidRPr="00C806D0" w:rsidTr="0013642B">
        <w:trPr>
          <w:cnfStyle w:val="100000000000" w:firstRow="1" w:lastRow="0" w:firstColumn="0" w:lastColumn="0" w:oddVBand="0" w:evenVBand="0" w:oddHBand="0" w:evenHBand="0" w:firstRowFirstColumn="0" w:firstRowLastColumn="0" w:lastRowFirstColumn="0" w:lastRowLastColumn="0"/>
          <w:jc w:val="center"/>
        </w:trPr>
        <w:tc>
          <w:tcPr>
            <w:tcW w:w="2093" w:type="dxa"/>
            <w:tcBorders>
              <w:bottom w:val="nil"/>
            </w:tcBorders>
          </w:tcPr>
          <w:p w:rsidR="004442E4" w:rsidRPr="00C806D0" w:rsidRDefault="004442E4" w:rsidP="004442E4">
            <w:pPr>
              <w:pStyle w:val="NoSpacing"/>
              <w:rPr>
                <w:sz w:val="18"/>
                <w:szCs w:val="18"/>
              </w:rPr>
            </w:pPr>
          </w:p>
        </w:tc>
        <w:tc>
          <w:tcPr>
            <w:tcW w:w="1224" w:type="dxa"/>
            <w:tcBorders>
              <w:bottom w:val="nil"/>
            </w:tcBorders>
          </w:tcPr>
          <w:p w:rsidR="004442E4" w:rsidRPr="00C806D0" w:rsidRDefault="004442E4" w:rsidP="004442E4">
            <w:pPr>
              <w:pStyle w:val="NoSpacing"/>
              <w:jc w:val="center"/>
              <w:rPr>
                <w:sz w:val="18"/>
                <w:szCs w:val="18"/>
              </w:rPr>
            </w:pPr>
            <w:r w:rsidRPr="00C806D0">
              <w:rPr>
                <w:sz w:val="18"/>
                <w:szCs w:val="18"/>
              </w:rPr>
              <w:t>Overall</w:t>
            </w:r>
          </w:p>
        </w:tc>
        <w:tc>
          <w:tcPr>
            <w:tcW w:w="0" w:type="auto"/>
            <w:gridSpan w:val="4"/>
            <w:tcBorders>
              <w:bottom w:val="nil"/>
            </w:tcBorders>
          </w:tcPr>
          <w:p w:rsidR="004442E4" w:rsidRPr="00C806D0" w:rsidRDefault="004442E4" w:rsidP="004442E4">
            <w:pPr>
              <w:pStyle w:val="NoSpacing"/>
              <w:jc w:val="center"/>
              <w:rPr>
                <w:sz w:val="18"/>
                <w:szCs w:val="18"/>
              </w:rPr>
            </w:pPr>
            <w:r w:rsidRPr="00C806D0">
              <w:rPr>
                <w:sz w:val="18"/>
                <w:szCs w:val="18"/>
              </w:rPr>
              <w:t>Stratified by basic GOS category</w:t>
            </w:r>
          </w:p>
          <w:p w:rsidR="004442E4" w:rsidRPr="00C806D0" w:rsidRDefault="004442E4" w:rsidP="004442E4">
            <w:pPr>
              <w:pStyle w:val="NoSpacing"/>
              <w:jc w:val="center"/>
              <w:rPr>
                <w:sz w:val="18"/>
                <w:szCs w:val="18"/>
              </w:rPr>
            </w:pPr>
          </w:p>
        </w:tc>
      </w:tr>
      <w:tr w:rsidR="004442E4" w:rsidRPr="00C806D0" w:rsidTr="0013642B">
        <w:trPr>
          <w:jc w:val="center"/>
        </w:trPr>
        <w:tc>
          <w:tcPr>
            <w:tcW w:w="2093" w:type="dxa"/>
            <w:tcBorders>
              <w:top w:val="nil"/>
              <w:bottom w:val="single" w:sz="4" w:space="0" w:color="auto"/>
            </w:tcBorders>
          </w:tcPr>
          <w:p w:rsidR="004442E4" w:rsidRPr="00C806D0" w:rsidRDefault="004442E4" w:rsidP="004442E4">
            <w:pPr>
              <w:pStyle w:val="NoSpacing"/>
              <w:rPr>
                <w:sz w:val="18"/>
                <w:szCs w:val="18"/>
              </w:rPr>
            </w:pPr>
          </w:p>
          <w:p w:rsidR="004442E4" w:rsidRPr="00C806D0" w:rsidRDefault="004442E4" w:rsidP="004442E4">
            <w:pPr>
              <w:pStyle w:val="NoSpacing"/>
              <w:rPr>
                <w:sz w:val="18"/>
                <w:szCs w:val="18"/>
              </w:rPr>
            </w:pPr>
          </w:p>
        </w:tc>
        <w:tc>
          <w:tcPr>
            <w:tcW w:w="1224" w:type="dxa"/>
            <w:tcBorders>
              <w:top w:val="nil"/>
              <w:bottom w:val="single" w:sz="4" w:space="0" w:color="auto"/>
            </w:tcBorders>
          </w:tcPr>
          <w:p w:rsidR="004442E4" w:rsidRPr="00C806D0" w:rsidRDefault="004442E4" w:rsidP="004442E4">
            <w:pPr>
              <w:pStyle w:val="NoSpacing"/>
              <w:jc w:val="center"/>
              <w:rPr>
                <w:b/>
                <w:sz w:val="18"/>
                <w:szCs w:val="18"/>
              </w:rPr>
            </w:pPr>
          </w:p>
        </w:tc>
        <w:tc>
          <w:tcPr>
            <w:tcW w:w="0" w:type="auto"/>
            <w:tcBorders>
              <w:top w:val="single" w:sz="4" w:space="0" w:color="auto"/>
              <w:bottom w:val="single" w:sz="4" w:space="0" w:color="auto"/>
            </w:tcBorders>
          </w:tcPr>
          <w:p w:rsidR="004442E4" w:rsidRPr="00C806D0" w:rsidRDefault="004442E4" w:rsidP="004442E4">
            <w:pPr>
              <w:pStyle w:val="NoSpacing"/>
              <w:jc w:val="center"/>
              <w:rPr>
                <w:b/>
                <w:sz w:val="18"/>
                <w:szCs w:val="18"/>
              </w:rPr>
            </w:pPr>
            <w:r w:rsidRPr="00C806D0">
              <w:rPr>
                <w:b/>
                <w:sz w:val="18"/>
                <w:szCs w:val="18"/>
              </w:rPr>
              <w:t>GOS 2:</w:t>
            </w:r>
          </w:p>
          <w:p w:rsidR="004442E4" w:rsidRPr="00C806D0" w:rsidRDefault="004442E4" w:rsidP="004442E4">
            <w:pPr>
              <w:pStyle w:val="NoSpacing"/>
              <w:jc w:val="center"/>
              <w:rPr>
                <w:b/>
                <w:sz w:val="18"/>
                <w:szCs w:val="18"/>
              </w:rPr>
            </w:pPr>
            <w:r w:rsidRPr="00C806D0">
              <w:rPr>
                <w:b/>
                <w:sz w:val="18"/>
                <w:szCs w:val="18"/>
              </w:rPr>
              <w:t>PVS</w:t>
            </w:r>
          </w:p>
        </w:tc>
        <w:tc>
          <w:tcPr>
            <w:tcW w:w="0" w:type="auto"/>
            <w:tcBorders>
              <w:top w:val="single" w:sz="4" w:space="0" w:color="auto"/>
              <w:bottom w:val="single" w:sz="4" w:space="0" w:color="auto"/>
            </w:tcBorders>
          </w:tcPr>
          <w:p w:rsidR="004442E4" w:rsidRPr="00C806D0" w:rsidRDefault="004442E4" w:rsidP="004442E4">
            <w:pPr>
              <w:pStyle w:val="NoSpacing"/>
              <w:jc w:val="center"/>
              <w:rPr>
                <w:b/>
                <w:sz w:val="18"/>
                <w:szCs w:val="18"/>
              </w:rPr>
            </w:pPr>
            <w:r w:rsidRPr="00C806D0">
              <w:rPr>
                <w:b/>
                <w:sz w:val="18"/>
                <w:szCs w:val="18"/>
              </w:rPr>
              <w:t>GOS 3:</w:t>
            </w:r>
          </w:p>
          <w:p w:rsidR="004442E4" w:rsidRPr="00C806D0" w:rsidRDefault="004442E4" w:rsidP="004442E4">
            <w:pPr>
              <w:pStyle w:val="NoSpacing"/>
              <w:jc w:val="center"/>
              <w:rPr>
                <w:b/>
                <w:sz w:val="18"/>
                <w:szCs w:val="18"/>
              </w:rPr>
            </w:pPr>
            <w:r w:rsidRPr="00C806D0">
              <w:rPr>
                <w:b/>
                <w:sz w:val="18"/>
                <w:szCs w:val="18"/>
              </w:rPr>
              <w:t>Severe disability</w:t>
            </w:r>
          </w:p>
        </w:tc>
        <w:tc>
          <w:tcPr>
            <w:tcW w:w="0" w:type="auto"/>
            <w:tcBorders>
              <w:top w:val="single" w:sz="4" w:space="0" w:color="auto"/>
              <w:bottom w:val="single" w:sz="4" w:space="0" w:color="auto"/>
            </w:tcBorders>
          </w:tcPr>
          <w:p w:rsidR="004442E4" w:rsidRPr="00C806D0" w:rsidRDefault="004442E4" w:rsidP="004442E4">
            <w:pPr>
              <w:pStyle w:val="NoSpacing"/>
              <w:jc w:val="center"/>
              <w:rPr>
                <w:b/>
                <w:sz w:val="18"/>
                <w:szCs w:val="18"/>
              </w:rPr>
            </w:pPr>
            <w:r w:rsidRPr="00C806D0">
              <w:rPr>
                <w:b/>
                <w:sz w:val="18"/>
                <w:szCs w:val="18"/>
              </w:rPr>
              <w:t>GOS 4:</w:t>
            </w:r>
          </w:p>
          <w:p w:rsidR="004442E4" w:rsidRPr="00C806D0" w:rsidRDefault="004442E4" w:rsidP="004442E4">
            <w:pPr>
              <w:pStyle w:val="NoSpacing"/>
              <w:jc w:val="center"/>
              <w:rPr>
                <w:b/>
                <w:sz w:val="18"/>
                <w:szCs w:val="18"/>
              </w:rPr>
            </w:pPr>
            <w:r w:rsidRPr="00C806D0">
              <w:rPr>
                <w:b/>
                <w:sz w:val="18"/>
                <w:szCs w:val="18"/>
              </w:rPr>
              <w:t>Moderate disability</w:t>
            </w:r>
          </w:p>
        </w:tc>
        <w:tc>
          <w:tcPr>
            <w:tcW w:w="0" w:type="auto"/>
            <w:tcBorders>
              <w:top w:val="single" w:sz="4" w:space="0" w:color="auto"/>
              <w:bottom w:val="single" w:sz="4" w:space="0" w:color="auto"/>
            </w:tcBorders>
          </w:tcPr>
          <w:p w:rsidR="004442E4" w:rsidRPr="00C806D0" w:rsidRDefault="004442E4" w:rsidP="004442E4">
            <w:pPr>
              <w:pStyle w:val="NoSpacing"/>
              <w:jc w:val="center"/>
              <w:rPr>
                <w:b/>
                <w:sz w:val="18"/>
                <w:szCs w:val="18"/>
              </w:rPr>
            </w:pPr>
            <w:r w:rsidRPr="00C806D0">
              <w:rPr>
                <w:b/>
                <w:sz w:val="18"/>
                <w:szCs w:val="18"/>
              </w:rPr>
              <w:t>GOS 5:</w:t>
            </w:r>
          </w:p>
          <w:p w:rsidR="004442E4" w:rsidRPr="00C806D0" w:rsidRDefault="004442E4" w:rsidP="004442E4">
            <w:pPr>
              <w:pStyle w:val="NoSpacing"/>
              <w:jc w:val="center"/>
              <w:rPr>
                <w:b/>
                <w:sz w:val="18"/>
                <w:szCs w:val="18"/>
              </w:rPr>
            </w:pPr>
            <w:r w:rsidRPr="00C806D0">
              <w:rPr>
                <w:b/>
                <w:sz w:val="18"/>
                <w:szCs w:val="18"/>
              </w:rPr>
              <w:t>Good recovery</w:t>
            </w:r>
          </w:p>
        </w:tc>
      </w:tr>
      <w:tr w:rsidR="004442E4" w:rsidRPr="00C806D0" w:rsidTr="0013642B">
        <w:trPr>
          <w:trHeight w:val="87"/>
          <w:jc w:val="center"/>
        </w:trPr>
        <w:tc>
          <w:tcPr>
            <w:tcW w:w="2093" w:type="dxa"/>
          </w:tcPr>
          <w:p w:rsidR="004442E4" w:rsidRPr="00C806D0" w:rsidRDefault="004442E4" w:rsidP="004442E4">
            <w:pPr>
              <w:pStyle w:val="NoSpacing"/>
              <w:rPr>
                <w:sz w:val="18"/>
                <w:szCs w:val="18"/>
              </w:rPr>
            </w:pPr>
            <w:r w:rsidRPr="00C806D0">
              <w:rPr>
                <w:sz w:val="18"/>
                <w:szCs w:val="18"/>
              </w:rPr>
              <w:t>Available case 12 month EQ5D</w:t>
            </w:r>
          </w:p>
          <w:p w:rsidR="004442E4" w:rsidRPr="00C806D0" w:rsidRDefault="004442E4" w:rsidP="004442E4">
            <w:pPr>
              <w:pStyle w:val="NoSpacing"/>
              <w:rPr>
                <w:sz w:val="18"/>
                <w:szCs w:val="18"/>
              </w:rPr>
            </w:pPr>
            <w:r w:rsidRPr="00C806D0">
              <w:rPr>
                <w:sz w:val="18"/>
                <w:szCs w:val="18"/>
              </w:rPr>
              <w:t>(mean, 95% CI, n=3,443)</w:t>
            </w:r>
          </w:p>
          <w:p w:rsidR="004442E4" w:rsidRPr="00C806D0" w:rsidRDefault="004442E4" w:rsidP="004442E4">
            <w:pPr>
              <w:pStyle w:val="NoSpacing"/>
              <w:rPr>
                <w:sz w:val="18"/>
                <w:szCs w:val="18"/>
              </w:rPr>
            </w:pPr>
          </w:p>
        </w:tc>
        <w:tc>
          <w:tcPr>
            <w:tcW w:w="1224" w:type="dxa"/>
          </w:tcPr>
          <w:p w:rsidR="004442E4" w:rsidRPr="00C806D0" w:rsidRDefault="004442E4" w:rsidP="004442E4">
            <w:pPr>
              <w:pStyle w:val="NoSpacing"/>
              <w:jc w:val="center"/>
              <w:rPr>
                <w:sz w:val="18"/>
                <w:szCs w:val="18"/>
              </w:rPr>
            </w:pPr>
            <w:r w:rsidRPr="00C806D0">
              <w:rPr>
                <w:sz w:val="18"/>
                <w:szCs w:val="18"/>
              </w:rPr>
              <w:t>0.68</w:t>
            </w:r>
          </w:p>
          <w:p w:rsidR="004442E4" w:rsidRPr="00C806D0" w:rsidRDefault="004442E4" w:rsidP="004442E4">
            <w:pPr>
              <w:pStyle w:val="NoSpacing"/>
              <w:jc w:val="center"/>
              <w:rPr>
                <w:sz w:val="18"/>
                <w:szCs w:val="18"/>
              </w:rPr>
            </w:pPr>
            <w:r w:rsidRPr="00C806D0">
              <w:rPr>
                <w:sz w:val="18"/>
                <w:szCs w:val="18"/>
              </w:rPr>
              <w:t>(0.67-0.69)</w:t>
            </w:r>
          </w:p>
        </w:tc>
        <w:tc>
          <w:tcPr>
            <w:tcW w:w="0" w:type="auto"/>
          </w:tcPr>
          <w:p w:rsidR="004442E4" w:rsidRPr="00C806D0" w:rsidRDefault="004442E4" w:rsidP="004442E4">
            <w:pPr>
              <w:pStyle w:val="NoSpacing"/>
              <w:jc w:val="center"/>
              <w:rPr>
                <w:sz w:val="18"/>
                <w:szCs w:val="18"/>
              </w:rPr>
            </w:pPr>
            <w:r w:rsidRPr="00C806D0">
              <w:rPr>
                <w:sz w:val="18"/>
                <w:szCs w:val="18"/>
              </w:rPr>
              <w:t>-0.178</w:t>
            </w:r>
          </w:p>
          <w:p w:rsidR="004442E4" w:rsidRPr="00C806D0" w:rsidRDefault="004442E4" w:rsidP="004442E4">
            <w:pPr>
              <w:pStyle w:val="NoSpacing"/>
              <w:jc w:val="center"/>
              <w:rPr>
                <w:sz w:val="18"/>
                <w:szCs w:val="18"/>
              </w:rPr>
            </w:pPr>
            <w:r w:rsidRPr="00C806D0">
              <w:rPr>
                <w:sz w:val="18"/>
                <w:szCs w:val="18"/>
              </w:rPr>
              <w:t>(-0.33- -0.03)</w:t>
            </w:r>
          </w:p>
        </w:tc>
        <w:tc>
          <w:tcPr>
            <w:tcW w:w="0" w:type="auto"/>
          </w:tcPr>
          <w:p w:rsidR="004442E4" w:rsidRPr="00C806D0" w:rsidRDefault="004442E4" w:rsidP="004442E4">
            <w:pPr>
              <w:pStyle w:val="NoSpacing"/>
              <w:jc w:val="center"/>
              <w:rPr>
                <w:sz w:val="18"/>
                <w:szCs w:val="18"/>
              </w:rPr>
            </w:pPr>
            <w:r w:rsidRPr="00C806D0">
              <w:rPr>
                <w:sz w:val="18"/>
                <w:szCs w:val="18"/>
              </w:rPr>
              <w:t>0.382</w:t>
            </w:r>
          </w:p>
          <w:p w:rsidR="004442E4" w:rsidRPr="00C806D0" w:rsidRDefault="004442E4" w:rsidP="004442E4">
            <w:pPr>
              <w:pStyle w:val="NoSpacing"/>
              <w:jc w:val="center"/>
              <w:rPr>
                <w:sz w:val="18"/>
                <w:szCs w:val="18"/>
              </w:rPr>
            </w:pPr>
            <w:r w:rsidRPr="00C806D0">
              <w:rPr>
                <w:sz w:val="18"/>
                <w:szCs w:val="18"/>
              </w:rPr>
              <w:t>(0.36-0.41)</w:t>
            </w:r>
          </w:p>
        </w:tc>
        <w:tc>
          <w:tcPr>
            <w:tcW w:w="0" w:type="auto"/>
          </w:tcPr>
          <w:p w:rsidR="004442E4" w:rsidRPr="00C806D0" w:rsidRDefault="004442E4" w:rsidP="004442E4">
            <w:pPr>
              <w:pStyle w:val="NoSpacing"/>
              <w:jc w:val="center"/>
              <w:rPr>
                <w:sz w:val="18"/>
                <w:szCs w:val="18"/>
              </w:rPr>
            </w:pPr>
            <w:r w:rsidRPr="00C806D0">
              <w:rPr>
                <w:sz w:val="18"/>
                <w:szCs w:val="18"/>
              </w:rPr>
              <w:t>0.674</w:t>
            </w:r>
          </w:p>
          <w:p w:rsidR="004442E4" w:rsidRPr="00C806D0" w:rsidRDefault="004442E4" w:rsidP="004442E4">
            <w:pPr>
              <w:pStyle w:val="NoSpacing"/>
              <w:jc w:val="center"/>
              <w:rPr>
                <w:sz w:val="18"/>
                <w:szCs w:val="18"/>
              </w:rPr>
            </w:pPr>
            <w:r w:rsidRPr="00C806D0">
              <w:rPr>
                <w:sz w:val="18"/>
                <w:szCs w:val="18"/>
              </w:rPr>
              <w:t>(0.66-0.69)</w:t>
            </w:r>
          </w:p>
        </w:tc>
        <w:tc>
          <w:tcPr>
            <w:tcW w:w="0" w:type="auto"/>
          </w:tcPr>
          <w:p w:rsidR="004442E4" w:rsidRPr="00C806D0" w:rsidRDefault="004442E4" w:rsidP="004442E4">
            <w:pPr>
              <w:pStyle w:val="NoSpacing"/>
              <w:jc w:val="center"/>
              <w:rPr>
                <w:sz w:val="18"/>
                <w:szCs w:val="18"/>
              </w:rPr>
            </w:pPr>
            <w:r w:rsidRPr="00C806D0">
              <w:rPr>
                <w:sz w:val="18"/>
                <w:szCs w:val="18"/>
              </w:rPr>
              <w:t>0.894</w:t>
            </w:r>
          </w:p>
          <w:p w:rsidR="004442E4" w:rsidRPr="00C806D0" w:rsidRDefault="004442E4" w:rsidP="004442E4">
            <w:pPr>
              <w:pStyle w:val="NoSpacing"/>
              <w:jc w:val="center"/>
              <w:rPr>
                <w:sz w:val="18"/>
                <w:szCs w:val="18"/>
              </w:rPr>
            </w:pPr>
            <w:r w:rsidRPr="00C806D0">
              <w:rPr>
                <w:sz w:val="18"/>
                <w:szCs w:val="18"/>
              </w:rPr>
              <w:t>(0.89-0.90)</w:t>
            </w:r>
          </w:p>
        </w:tc>
      </w:tr>
      <w:tr w:rsidR="004442E4" w:rsidRPr="00C806D0" w:rsidTr="0013642B">
        <w:trPr>
          <w:trHeight w:val="87"/>
          <w:jc w:val="center"/>
        </w:trPr>
        <w:tc>
          <w:tcPr>
            <w:tcW w:w="2093" w:type="dxa"/>
          </w:tcPr>
          <w:p w:rsidR="004442E4" w:rsidRPr="00C806D0" w:rsidRDefault="004442E4" w:rsidP="004442E4">
            <w:pPr>
              <w:pStyle w:val="NoSpacing"/>
              <w:rPr>
                <w:sz w:val="18"/>
                <w:szCs w:val="18"/>
              </w:rPr>
            </w:pPr>
            <w:r w:rsidRPr="00C806D0">
              <w:rPr>
                <w:sz w:val="18"/>
                <w:szCs w:val="18"/>
              </w:rPr>
              <w:t>Imputed 12 month EQ5D</w:t>
            </w:r>
          </w:p>
          <w:p w:rsidR="004442E4" w:rsidRPr="00C806D0" w:rsidRDefault="004442E4" w:rsidP="004442E4">
            <w:pPr>
              <w:pStyle w:val="NoSpacing"/>
              <w:rPr>
                <w:sz w:val="18"/>
                <w:szCs w:val="18"/>
              </w:rPr>
            </w:pPr>
            <w:r w:rsidRPr="00C806D0">
              <w:rPr>
                <w:sz w:val="18"/>
                <w:szCs w:val="18"/>
              </w:rPr>
              <w:t>(mean, 95% CI,n=4,717)</w:t>
            </w:r>
          </w:p>
          <w:p w:rsidR="004442E4" w:rsidRPr="00C806D0" w:rsidRDefault="004442E4" w:rsidP="004442E4">
            <w:pPr>
              <w:pStyle w:val="NoSpacing"/>
              <w:rPr>
                <w:sz w:val="18"/>
                <w:szCs w:val="18"/>
              </w:rPr>
            </w:pPr>
          </w:p>
        </w:tc>
        <w:tc>
          <w:tcPr>
            <w:tcW w:w="1224" w:type="dxa"/>
          </w:tcPr>
          <w:p w:rsidR="004442E4" w:rsidRPr="00C806D0" w:rsidRDefault="004442E4" w:rsidP="004442E4">
            <w:pPr>
              <w:pStyle w:val="NoSpacing"/>
              <w:jc w:val="center"/>
              <w:rPr>
                <w:sz w:val="18"/>
                <w:szCs w:val="18"/>
              </w:rPr>
            </w:pPr>
            <w:r w:rsidRPr="00C806D0">
              <w:rPr>
                <w:sz w:val="18"/>
                <w:szCs w:val="18"/>
              </w:rPr>
              <w:t>0.68</w:t>
            </w:r>
          </w:p>
          <w:p w:rsidR="004442E4" w:rsidRPr="00C806D0" w:rsidRDefault="0013642B" w:rsidP="004442E4">
            <w:pPr>
              <w:pStyle w:val="NoSpacing"/>
              <w:jc w:val="center"/>
              <w:rPr>
                <w:sz w:val="18"/>
                <w:szCs w:val="18"/>
              </w:rPr>
            </w:pPr>
            <w:r w:rsidRPr="00C806D0">
              <w:rPr>
                <w:sz w:val="18"/>
                <w:szCs w:val="18"/>
              </w:rPr>
              <w:t>(0.6</w:t>
            </w:r>
            <w:r w:rsidR="004442E4" w:rsidRPr="00C806D0">
              <w:rPr>
                <w:sz w:val="18"/>
                <w:szCs w:val="18"/>
              </w:rPr>
              <w:t>7-0.69)</w:t>
            </w:r>
          </w:p>
        </w:tc>
        <w:tc>
          <w:tcPr>
            <w:tcW w:w="0" w:type="auto"/>
          </w:tcPr>
          <w:p w:rsidR="004442E4" w:rsidRPr="00C806D0" w:rsidRDefault="004442E4" w:rsidP="004442E4">
            <w:pPr>
              <w:pStyle w:val="NoSpacing"/>
              <w:jc w:val="center"/>
              <w:rPr>
                <w:sz w:val="18"/>
                <w:szCs w:val="18"/>
              </w:rPr>
            </w:pPr>
            <w:r w:rsidRPr="00C806D0">
              <w:rPr>
                <w:sz w:val="18"/>
                <w:szCs w:val="18"/>
              </w:rPr>
              <w:t>-0.154</w:t>
            </w:r>
          </w:p>
          <w:p w:rsidR="004442E4" w:rsidRPr="00C806D0" w:rsidRDefault="004442E4" w:rsidP="004442E4">
            <w:pPr>
              <w:pStyle w:val="NoSpacing"/>
              <w:jc w:val="center"/>
              <w:rPr>
                <w:sz w:val="18"/>
                <w:szCs w:val="18"/>
              </w:rPr>
            </w:pPr>
            <w:r w:rsidRPr="00C806D0">
              <w:rPr>
                <w:sz w:val="18"/>
                <w:szCs w:val="18"/>
              </w:rPr>
              <w:t>(-0.32-0.01)</w:t>
            </w:r>
          </w:p>
        </w:tc>
        <w:tc>
          <w:tcPr>
            <w:tcW w:w="0" w:type="auto"/>
          </w:tcPr>
          <w:p w:rsidR="004442E4" w:rsidRPr="00C806D0" w:rsidRDefault="004442E4" w:rsidP="004442E4">
            <w:pPr>
              <w:pStyle w:val="NoSpacing"/>
              <w:jc w:val="center"/>
              <w:rPr>
                <w:sz w:val="18"/>
                <w:szCs w:val="18"/>
              </w:rPr>
            </w:pPr>
            <w:r w:rsidRPr="00C806D0">
              <w:rPr>
                <w:sz w:val="18"/>
                <w:szCs w:val="18"/>
              </w:rPr>
              <w:t>0.380</w:t>
            </w:r>
          </w:p>
          <w:p w:rsidR="004442E4" w:rsidRPr="00C806D0" w:rsidRDefault="004442E4" w:rsidP="004442E4">
            <w:pPr>
              <w:pStyle w:val="NoSpacing"/>
              <w:jc w:val="center"/>
              <w:rPr>
                <w:sz w:val="18"/>
                <w:szCs w:val="18"/>
              </w:rPr>
            </w:pPr>
            <w:r w:rsidRPr="00C806D0">
              <w:rPr>
                <w:sz w:val="18"/>
                <w:szCs w:val="18"/>
              </w:rPr>
              <w:t>(0.36-0.40)</w:t>
            </w:r>
          </w:p>
        </w:tc>
        <w:tc>
          <w:tcPr>
            <w:tcW w:w="0" w:type="auto"/>
          </w:tcPr>
          <w:p w:rsidR="004442E4" w:rsidRPr="00C806D0" w:rsidRDefault="004442E4" w:rsidP="004442E4">
            <w:pPr>
              <w:pStyle w:val="NoSpacing"/>
              <w:jc w:val="center"/>
              <w:rPr>
                <w:sz w:val="18"/>
                <w:szCs w:val="18"/>
              </w:rPr>
            </w:pPr>
            <w:r w:rsidRPr="00C806D0">
              <w:rPr>
                <w:sz w:val="18"/>
                <w:szCs w:val="18"/>
              </w:rPr>
              <w:t>0.673</w:t>
            </w:r>
          </w:p>
          <w:p w:rsidR="004442E4" w:rsidRPr="00C806D0" w:rsidRDefault="004442E4" w:rsidP="004442E4">
            <w:pPr>
              <w:pStyle w:val="NoSpacing"/>
              <w:jc w:val="center"/>
              <w:rPr>
                <w:sz w:val="18"/>
                <w:szCs w:val="18"/>
              </w:rPr>
            </w:pPr>
            <w:r w:rsidRPr="00C806D0">
              <w:rPr>
                <w:sz w:val="18"/>
                <w:szCs w:val="18"/>
              </w:rPr>
              <w:t>(0.66-0.69)</w:t>
            </w:r>
          </w:p>
        </w:tc>
        <w:tc>
          <w:tcPr>
            <w:tcW w:w="0" w:type="auto"/>
          </w:tcPr>
          <w:p w:rsidR="004442E4" w:rsidRPr="00C806D0" w:rsidRDefault="004442E4" w:rsidP="004442E4">
            <w:pPr>
              <w:pStyle w:val="NoSpacing"/>
              <w:jc w:val="center"/>
              <w:rPr>
                <w:sz w:val="18"/>
                <w:szCs w:val="18"/>
              </w:rPr>
            </w:pPr>
            <w:r w:rsidRPr="00C806D0">
              <w:rPr>
                <w:sz w:val="18"/>
                <w:szCs w:val="18"/>
              </w:rPr>
              <w:t>0.895</w:t>
            </w:r>
          </w:p>
          <w:p w:rsidR="004442E4" w:rsidRPr="00C806D0" w:rsidRDefault="004442E4" w:rsidP="004442E4">
            <w:pPr>
              <w:pStyle w:val="NoSpacing"/>
              <w:jc w:val="center"/>
              <w:rPr>
                <w:sz w:val="18"/>
                <w:szCs w:val="18"/>
              </w:rPr>
            </w:pPr>
            <w:r w:rsidRPr="00C806D0">
              <w:rPr>
                <w:sz w:val="18"/>
                <w:szCs w:val="18"/>
              </w:rPr>
              <w:t>(0.89-0.90)</w:t>
            </w:r>
          </w:p>
        </w:tc>
      </w:tr>
    </w:tbl>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 w:rsidR="004442E4" w:rsidRPr="00C806D0" w:rsidRDefault="004442E4" w:rsidP="004442E4">
      <w:pPr>
        <w:tabs>
          <w:tab w:val="left" w:pos="0"/>
        </w:tabs>
        <w:rPr>
          <w:rFonts w:ascii="Calibri" w:hAnsi="Calibri"/>
        </w:rPr>
      </w:pPr>
      <w:r w:rsidRPr="00C806D0">
        <w:rPr>
          <w:rFonts w:ascii="Calibri" w:hAnsi="Calibri"/>
          <w:b/>
          <w:sz w:val="20"/>
          <w:szCs w:val="20"/>
        </w:rPr>
        <w:lastRenderedPageBreak/>
        <w:t>Table F24. Coefficients for adjusted limited dependent variable mixture model predicting 12 month EQ5D HSPWs from basic GOS category and age after multiple imputation.</w:t>
      </w:r>
    </w:p>
    <w:tbl>
      <w:tblPr>
        <w:tblStyle w:val="LightShading1"/>
        <w:tblW w:w="4966" w:type="pct"/>
        <w:jc w:val="center"/>
        <w:tblLook w:val="0620" w:firstRow="1" w:lastRow="0" w:firstColumn="0" w:lastColumn="0" w:noHBand="1" w:noVBand="1"/>
      </w:tblPr>
      <w:tblGrid>
        <w:gridCol w:w="3365"/>
        <w:gridCol w:w="1201"/>
        <w:gridCol w:w="1003"/>
        <w:gridCol w:w="859"/>
        <w:gridCol w:w="1155"/>
        <w:gridCol w:w="1078"/>
      </w:tblGrid>
      <w:tr w:rsidR="004442E4" w:rsidRPr="00C806D0" w:rsidTr="004442E4">
        <w:trPr>
          <w:cnfStyle w:val="100000000000" w:firstRow="1" w:lastRow="0" w:firstColumn="0" w:lastColumn="0" w:oddVBand="0" w:evenVBand="0" w:oddHBand="0" w:evenHBand="0" w:firstRowFirstColumn="0" w:firstRowLastColumn="0" w:lastRowFirstColumn="0" w:lastRowLastColumn="0"/>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Variable*</w:t>
            </w:r>
          </w:p>
        </w:tc>
        <w:tc>
          <w:tcPr>
            <w:tcW w:w="726"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Coefficient</w:t>
            </w:r>
          </w:p>
        </w:tc>
        <w:tc>
          <w:tcPr>
            <w:tcW w:w="612"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SE</w:t>
            </w:r>
          </w:p>
        </w:tc>
        <w:tc>
          <w:tcPr>
            <w:tcW w:w="468" w:type="pct"/>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p-Value</w:t>
            </w:r>
          </w:p>
        </w:tc>
        <w:tc>
          <w:tcPr>
            <w:tcW w:w="1218" w:type="pct"/>
            <w:gridSpan w:val="2"/>
            <w:noWrap/>
            <w:hideMark/>
          </w:tcPr>
          <w:p w:rsidR="004442E4" w:rsidRPr="00C806D0" w:rsidRDefault="004442E4" w:rsidP="004442E4">
            <w:pPr>
              <w:jc w:val="center"/>
              <w:rPr>
                <w:rFonts w:ascii="Calibri" w:hAnsi="Calibri"/>
                <w:sz w:val="20"/>
                <w:szCs w:val="20"/>
                <w:lang w:eastAsia="en-GB"/>
              </w:rPr>
            </w:pPr>
            <w:r w:rsidRPr="00C806D0">
              <w:rPr>
                <w:rFonts w:ascii="Calibri" w:hAnsi="Calibri"/>
                <w:sz w:val="20"/>
                <w:szCs w:val="20"/>
                <w:lang w:eastAsia="en-GB"/>
              </w:rPr>
              <w:t>95% Confidence Interval</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Vegetative state</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0.251</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0.366</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0.493</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-0.466</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0.967</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Severe disability</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-0.294</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0.055</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-0.401</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-0.186</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0.097</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0.281</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0.731</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-0.454</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0.647</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0.023</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0.004</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0.191</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0.062</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0.069</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0.313</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2</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Vegetative state</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-0.090</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0.175</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0.607</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-0.434</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0.254</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Severe disability</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-0.199</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0.025</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-0.249</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-0.149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-0.117</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0.025</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-0.166</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-0.068</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0.913</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0.026</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0.862</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0.964</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rFonts w:ascii="Calibri" w:hAnsi="Calibri"/>
                <w:b/>
                <w:sz w:val="20"/>
                <w:szCs w:val="20"/>
                <w:lang w:eastAsia="en-GB"/>
              </w:rPr>
              <w:t>Explanatory variables within component 3</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Vegetative state</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-1.136</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0.038</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-1.209</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-1.062</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Severe disability</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-0.760</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0.038</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-0.834</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-0.686</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-0.775</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0.023</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-0.821</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-0.730</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-0.003</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1.026</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0.032</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0.963</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1.089</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b/>
                <w:sz w:val="20"/>
                <w:szCs w:val="20"/>
              </w:rPr>
              <w:t>Explanatory variables explaining the probability of component 1 membership</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Vegetative state</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0.226</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1.211</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0.852</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-2.147</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2.599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Severe disability</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3.682</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0.547</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2.609</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4.755</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0.514</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3.268</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0.875</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-5.890</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6.919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0.006</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0.006</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0.327</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-0.006</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-3.497</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0.404</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-4.289</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-2.705</w:t>
            </w:r>
          </w:p>
        </w:tc>
      </w:tr>
      <w:tr w:rsidR="004442E4" w:rsidRPr="00C806D0" w:rsidTr="004442E4">
        <w:trPr>
          <w:trHeight w:val="300"/>
          <w:jc w:val="center"/>
        </w:trPr>
        <w:tc>
          <w:tcPr>
            <w:tcW w:w="5000" w:type="pct"/>
            <w:gridSpan w:val="6"/>
            <w:noWrap/>
            <w:hideMark/>
          </w:tcPr>
          <w:p w:rsidR="004442E4" w:rsidRPr="00C806D0" w:rsidRDefault="004442E4" w:rsidP="004442E4">
            <w:pPr>
              <w:rPr>
                <w:rFonts w:ascii="Calibri" w:hAnsi="Calibri"/>
                <w:b/>
                <w:sz w:val="20"/>
                <w:szCs w:val="20"/>
                <w:lang w:eastAsia="en-GB"/>
              </w:rPr>
            </w:pPr>
            <w:r w:rsidRPr="00C806D0">
              <w:rPr>
                <w:b/>
                <w:sz w:val="20"/>
                <w:szCs w:val="20"/>
              </w:rPr>
              <w:t>Explanatory variables explaining the probability of component 2 membership</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Vegetative state</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-2.805</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2.045</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0.170</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-6.812</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1.203</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Severe disability</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1.737</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0.817</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0.034</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0.135</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3.338</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Moderate disability</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2.378</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0.863</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0.006</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0.687</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4.069</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Age</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0.005</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0.003</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0.172</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-0.002</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0.011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20"/>
                <w:szCs w:val="20"/>
                <w:lang w:eastAsia="en-GB"/>
              </w:rPr>
            </w:pPr>
            <w:r w:rsidRPr="00C806D0">
              <w:rPr>
                <w:rFonts w:ascii="Calibri" w:hAnsi="Calibri"/>
                <w:sz w:val="20"/>
                <w:szCs w:val="20"/>
                <w:lang w:eastAsia="en-GB"/>
              </w:rPr>
              <w:t>Constant</w:t>
            </w:r>
          </w:p>
        </w:tc>
        <w:tc>
          <w:tcPr>
            <w:tcW w:w="726"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-0.965</w:t>
            </w:r>
          </w:p>
        </w:tc>
        <w:tc>
          <w:tcPr>
            <w:tcW w:w="612"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0.776</w:t>
            </w:r>
          </w:p>
        </w:tc>
        <w:tc>
          <w:tcPr>
            <w:tcW w:w="46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0.213</w:t>
            </w:r>
          </w:p>
        </w:tc>
        <w:tc>
          <w:tcPr>
            <w:tcW w:w="630"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-2.486</w:t>
            </w:r>
          </w:p>
        </w:tc>
        <w:tc>
          <w:tcPr>
            <w:tcW w:w="588" w:type="pct"/>
            <w:noWrap/>
            <w:vAlign w:val="bottom"/>
            <w:hideMark/>
          </w:tcPr>
          <w:p w:rsidR="004442E4" w:rsidRPr="00C806D0" w:rsidRDefault="004442E4" w:rsidP="004442E4">
            <w:pPr>
              <w:jc w:val="right"/>
              <w:rPr>
                <w:rFonts w:ascii="Calibri" w:hAnsi="Calibri"/>
                <w:color w:val="000000"/>
                <w:sz w:val="20"/>
                <w:szCs w:val="20"/>
              </w:rPr>
            </w:pPr>
            <w:r w:rsidRPr="00C806D0">
              <w:rPr>
                <w:rFonts w:ascii="Calibri" w:hAnsi="Calibri"/>
                <w:color w:val="000000"/>
                <w:sz w:val="20"/>
                <w:szCs w:val="20"/>
              </w:rPr>
              <w:t>0.555</w:t>
            </w:r>
          </w:p>
        </w:tc>
      </w:tr>
    </w:tbl>
    <w:p w:rsidR="004442E4" w:rsidRPr="00C806D0" w:rsidRDefault="004442E4" w:rsidP="004442E4">
      <w:pPr>
        <w:rPr>
          <w:rFonts w:ascii="Caecilia-Roman" w:hAnsi="Caecilia-Roman" w:cs="Caecilia-Roman"/>
          <w:sz w:val="20"/>
          <w:szCs w:val="20"/>
        </w:rPr>
      </w:pPr>
      <w:r w:rsidRPr="00C806D0">
        <w:rPr>
          <w:sz w:val="20"/>
          <w:szCs w:val="20"/>
        </w:rPr>
        <w:t>*Basic GOS coded as indicator variable with GOS 5, good recovery, as the baseline category. Basic GOS category 1, death, not modelled as this will equal zero by definition.</w:t>
      </w:r>
    </w:p>
    <w:p w:rsidR="004442E4" w:rsidRPr="00C806D0" w:rsidRDefault="004442E4" w:rsidP="004442E4"/>
    <w:p w:rsidR="004442E4" w:rsidRPr="00C806D0" w:rsidRDefault="004442E4" w:rsidP="004442E4"/>
    <w:p w:rsidR="004442E4" w:rsidRPr="00C806D0" w:rsidRDefault="004442E4" w:rsidP="002A360F">
      <w:pPr>
        <w:pStyle w:val="Heading3"/>
      </w:pPr>
      <w:r w:rsidRPr="00C806D0">
        <w:lastRenderedPageBreak/>
        <w:t>Change in mean EQ5D</w:t>
      </w:r>
      <w:r w:rsidR="0013642B" w:rsidRPr="00C806D0">
        <w:t xml:space="preserve"> for basic GOS categories</w:t>
      </w:r>
      <w:r w:rsidRPr="00C806D0">
        <w:t xml:space="preserve"> over time</w:t>
      </w:r>
    </w:p>
    <w:p w:rsidR="004442E4" w:rsidRPr="00C806D0" w:rsidRDefault="004442E4" w:rsidP="004442E4">
      <w:r w:rsidRPr="00C806D0">
        <w:t>Two thousand five hundred and forty seven patients, injured between 2009 and 2011, had complete data on both GOS and EQ5D at 6, 12 and 24 months and were included i</w:t>
      </w:r>
      <w:r w:rsidR="0013642B" w:rsidRPr="00C806D0">
        <w:t xml:space="preserve">n an available case analysis examining change in </w:t>
      </w:r>
      <w:r w:rsidRPr="00C806D0">
        <w:t>mean utility values for GOS categories</w:t>
      </w:r>
      <w:r w:rsidR="0013642B" w:rsidRPr="00C806D0">
        <w:t xml:space="preserve"> over time</w:t>
      </w:r>
      <w:r w:rsidRPr="00C806D0">
        <w:t>. A generalised estimating equations model,</w:t>
      </w:r>
      <w:r w:rsidR="00155D84" w:rsidRPr="00C806D0">
        <w:rPr>
          <w:noProof/>
          <w:vertAlign w:val="superscript"/>
        </w:rPr>
        <w:t>[</w:t>
      </w:r>
      <w:r w:rsidR="006D4D62" w:rsidRPr="00C806D0">
        <w:rPr>
          <w:noProof/>
          <w:vertAlign w:val="superscript"/>
        </w:rPr>
        <w:t>80</w:t>
      </w:r>
      <w:r w:rsidR="00155D84" w:rsidRPr="00C806D0">
        <w:rPr>
          <w:noProof/>
          <w:vertAlign w:val="superscript"/>
        </w:rPr>
        <w:t>]</w:t>
      </w:r>
      <w:r w:rsidRPr="00C806D0">
        <w:t xml:space="preserve"> using an auto-regressive working correlation structure and an interaction term for GOS (as a time varying covariate) and time, was used to test whether the mean EQ5D preference weight for GOS categories significantly differed over each time point. As shown in Table F25 mean EQ5D preference weights varied very slightly across different measurement time points for each basic GOS category, but only differed to statistically significant extent for the severe disability health state. </w:t>
      </w:r>
    </w:p>
    <w:p w:rsidR="004442E4" w:rsidRPr="00C806D0" w:rsidRDefault="004442E4" w:rsidP="004442E4"/>
    <w:p w:rsidR="004442E4" w:rsidRPr="00C806D0" w:rsidRDefault="004442E4" w:rsidP="004442E4">
      <w:r w:rsidRPr="00C806D0">
        <w:rPr>
          <w:b/>
        </w:rPr>
        <w:t>Table F25. Mean EQ5D preference weights for GOS categories at different time points post TBI</w:t>
      </w:r>
    </w:p>
    <w:tbl>
      <w:tblPr>
        <w:tblStyle w:val="LightShading1"/>
        <w:tblW w:w="5000" w:type="pct"/>
        <w:jc w:val="center"/>
        <w:tblLook w:val="0620" w:firstRow="1" w:lastRow="0" w:firstColumn="0" w:lastColumn="0" w:noHBand="1" w:noVBand="1"/>
      </w:tblPr>
      <w:tblGrid>
        <w:gridCol w:w="1242"/>
        <w:gridCol w:w="1561"/>
        <w:gridCol w:w="1416"/>
        <w:gridCol w:w="992"/>
        <w:gridCol w:w="1134"/>
        <w:gridCol w:w="1362"/>
        <w:gridCol w:w="1013"/>
      </w:tblGrid>
      <w:tr w:rsidR="004442E4" w:rsidRPr="00C806D0" w:rsidTr="008110E5">
        <w:trPr>
          <w:cnfStyle w:val="100000000000" w:firstRow="1" w:lastRow="0" w:firstColumn="0" w:lastColumn="0" w:oddVBand="0" w:evenVBand="0" w:oddHBand="0" w:evenHBand="0" w:firstRowFirstColumn="0" w:firstRowLastColumn="0" w:lastRowFirstColumn="0" w:lastRowLastColumn="0"/>
          <w:jc w:val="center"/>
        </w:trPr>
        <w:tc>
          <w:tcPr>
            <w:tcW w:w="712" w:type="pct"/>
            <w:tcBorders>
              <w:bottom w:val="nil"/>
            </w:tcBorders>
          </w:tcPr>
          <w:p w:rsidR="004442E4" w:rsidRPr="00C806D0" w:rsidRDefault="004442E4" w:rsidP="004442E4">
            <w:pPr>
              <w:pStyle w:val="NoSpacing"/>
              <w:jc w:val="center"/>
            </w:pPr>
          </w:p>
        </w:tc>
        <w:tc>
          <w:tcPr>
            <w:tcW w:w="895" w:type="pct"/>
            <w:tcBorders>
              <w:bottom w:val="nil"/>
            </w:tcBorders>
          </w:tcPr>
          <w:p w:rsidR="004442E4" w:rsidRPr="00C806D0" w:rsidRDefault="004442E4" w:rsidP="004442E4">
            <w:pPr>
              <w:pStyle w:val="NoSpacing"/>
              <w:jc w:val="center"/>
            </w:pPr>
            <w:r w:rsidRPr="00C806D0">
              <w:t>Measurement time</w:t>
            </w:r>
          </w:p>
        </w:tc>
        <w:tc>
          <w:tcPr>
            <w:tcW w:w="3393" w:type="pct"/>
            <w:gridSpan w:val="5"/>
            <w:tcBorders>
              <w:bottom w:val="single" w:sz="4" w:space="0" w:color="auto"/>
            </w:tcBorders>
          </w:tcPr>
          <w:p w:rsidR="004442E4" w:rsidRPr="00C806D0" w:rsidRDefault="004442E4" w:rsidP="004442E4">
            <w:pPr>
              <w:pStyle w:val="NoSpacing"/>
              <w:jc w:val="center"/>
            </w:pPr>
            <w:r w:rsidRPr="00C806D0">
              <w:t xml:space="preserve">Glasgow Outcome Scale category </w:t>
            </w:r>
          </w:p>
        </w:tc>
      </w:tr>
      <w:tr w:rsidR="004442E4" w:rsidRPr="00C806D0" w:rsidTr="008110E5">
        <w:trPr>
          <w:jc w:val="center"/>
        </w:trPr>
        <w:tc>
          <w:tcPr>
            <w:tcW w:w="712" w:type="pct"/>
            <w:tcBorders>
              <w:top w:val="nil"/>
              <w:bottom w:val="single" w:sz="4" w:space="0" w:color="auto"/>
            </w:tcBorders>
          </w:tcPr>
          <w:p w:rsidR="004442E4" w:rsidRPr="00C806D0" w:rsidRDefault="004442E4" w:rsidP="004442E4">
            <w:pPr>
              <w:pStyle w:val="NoSpacing"/>
              <w:jc w:val="center"/>
              <w:rPr>
                <w:b/>
              </w:rPr>
            </w:pPr>
          </w:p>
        </w:tc>
        <w:tc>
          <w:tcPr>
            <w:tcW w:w="895" w:type="pct"/>
            <w:tcBorders>
              <w:top w:val="nil"/>
              <w:bottom w:val="single" w:sz="4" w:space="0" w:color="auto"/>
            </w:tcBorders>
          </w:tcPr>
          <w:p w:rsidR="004442E4" w:rsidRPr="00C806D0" w:rsidRDefault="004442E4" w:rsidP="004442E4">
            <w:pPr>
              <w:pStyle w:val="NoSpacing"/>
              <w:jc w:val="center"/>
              <w:rPr>
                <w:b/>
              </w:rPr>
            </w:pPr>
          </w:p>
          <w:p w:rsidR="004442E4" w:rsidRPr="00C806D0" w:rsidRDefault="004442E4" w:rsidP="004442E4">
            <w:pPr>
              <w:pStyle w:val="NoSpacing"/>
              <w:jc w:val="center"/>
              <w:rPr>
                <w:b/>
              </w:rPr>
            </w:pPr>
          </w:p>
        </w:tc>
        <w:tc>
          <w:tcPr>
            <w:tcW w:w="812" w:type="pct"/>
            <w:tcBorders>
              <w:top w:val="single" w:sz="4" w:space="0" w:color="auto"/>
              <w:bottom w:val="single" w:sz="4" w:space="0" w:color="auto"/>
            </w:tcBorders>
          </w:tcPr>
          <w:p w:rsidR="004442E4" w:rsidRPr="00C806D0" w:rsidRDefault="004442E4" w:rsidP="004442E4">
            <w:pPr>
              <w:pStyle w:val="NoSpacing"/>
              <w:jc w:val="center"/>
              <w:rPr>
                <w:b/>
              </w:rPr>
            </w:pPr>
            <w:r w:rsidRPr="00C806D0">
              <w:rPr>
                <w:b/>
              </w:rPr>
              <w:t>GOS 1:</w:t>
            </w:r>
          </w:p>
          <w:p w:rsidR="004442E4" w:rsidRPr="00C806D0" w:rsidRDefault="004442E4" w:rsidP="004442E4">
            <w:pPr>
              <w:pStyle w:val="NoSpacing"/>
              <w:jc w:val="center"/>
              <w:rPr>
                <w:b/>
              </w:rPr>
            </w:pPr>
            <w:r w:rsidRPr="00C806D0">
              <w:rPr>
                <w:b/>
              </w:rPr>
              <w:t>Death</w:t>
            </w:r>
          </w:p>
        </w:tc>
        <w:tc>
          <w:tcPr>
            <w:tcW w:w="569" w:type="pct"/>
            <w:tcBorders>
              <w:top w:val="single" w:sz="4" w:space="0" w:color="auto"/>
              <w:bottom w:val="single" w:sz="4" w:space="0" w:color="auto"/>
            </w:tcBorders>
          </w:tcPr>
          <w:p w:rsidR="004442E4" w:rsidRPr="00C806D0" w:rsidRDefault="004442E4" w:rsidP="004442E4">
            <w:pPr>
              <w:pStyle w:val="NoSpacing"/>
              <w:jc w:val="center"/>
              <w:rPr>
                <w:b/>
              </w:rPr>
            </w:pPr>
            <w:r w:rsidRPr="00C806D0">
              <w:rPr>
                <w:b/>
              </w:rPr>
              <w:t>GOS 2:</w:t>
            </w:r>
          </w:p>
          <w:p w:rsidR="004442E4" w:rsidRPr="00C806D0" w:rsidRDefault="004442E4" w:rsidP="004442E4">
            <w:pPr>
              <w:pStyle w:val="NoSpacing"/>
              <w:jc w:val="center"/>
              <w:rPr>
                <w:b/>
              </w:rPr>
            </w:pPr>
            <w:r w:rsidRPr="00C806D0">
              <w:rPr>
                <w:b/>
              </w:rPr>
              <w:t>PVS</w:t>
            </w:r>
          </w:p>
        </w:tc>
        <w:tc>
          <w:tcPr>
            <w:tcW w:w="650" w:type="pct"/>
            <w:tcBorders>
              <w:top w:val="single" w:sz="4" w:space="0" w:color="auto"/>
              <w:bottom w:val="single" w:sz="4" w:space="0" w:color="auto"/>
            </w:tcBorders>
          </w:tcPr>
          <w:p w:rsidR="004442E4" w:rsidRPr="00C806D0" w:rsidRDefault="004442E4" w:rsidP="004442E4">
            <w:pPr>
              <w:pStyle w:val="NoSpacing"/>
              <w:jc w:val="center"/>
              <w:rPr>
                <w:b/>
              </w:rPr>
            </w:pPr>
            <w:r w:rsidRPr="00C806D0">
              <w:rPr>
                <w:b/>
              </w:rPr>
              <w:t xml:space="preserve">GOS 3: </w:t>
            </w:r>
          </w:p>
          <w:p w:rsidR="004442E4" w:rsidRPr="00C806D0" w:rsidRDefault="004442E4" w:rsidP="004442E4">
            <w:pPr>
              <w:pStyle w:val="NoSpacing"/>
              <w:jc w:val="center"/>
              <w:rPr>
                <w:b/>
              </w:rPr>
            </w:pPr>
            <w:r w:rsidRPr="00C806D0">
              <w:rPr>
                <w:b/>
              </w:rPr>
              <w:t>Severe disability</w:t>
            </w:r>
          </w:p>
        </w:tc>
        <w:tc>
          <w:tcPr>
            <w:tcW w:w="781" w:type="pct"/>
            <w:tcBorders>
              <w:top w:val="single" w:sz="4" w:space="0" w:color="auto"/>
              <w:bottom w:val="single" w:sz="4" w:space="0" w:color="auto"/>
            </w:tcBorders>
          </w:tcPr>
          <w:p w:rsidR="004442E4" w:rsidRPr="00C806D0" w:rsidRDefault="004442E4" w:rsidP="004442E4">
            <w:pPr>
              <w:pStyle w:val="NoSpacing"/>
              <w:jc w:val="center"/>
              <w:rPr>
                <w:b/>
              </w:rPr>
            </w:pPr>
            <w:r w:rsidRPr="00C806D0">
              <w:rPr>
                <w:b/>
              </w:rPr>
              <w:t>GOS 4:</w:t>
            </w:r>
          </w:p>
          <w:p w:rsidR="004442E4" w:rsidRPr="00C806D0" w:rsidRDefault="004442E4" w:rsidP="004442E4">
            <w:pPr>
              <w:pStyle w:val="NoSpacing"/>
              <w:jc w:val="center"/>
              <w:rPr>
                <w:b/>
              </w:rPr>
            </w:pPr>
            <w:r w:rsidRPr="00C806D0">
              <w:rPr>
                <w:b/>
              </w:rPr>
              <w:t>Moderate disability</w:t>
            </w:r>
          </w:p>
        </w:tc>
        <w:tc>
          <w:tcPr>
            <w:tcW w:w="581" w:type="pct"/>
            <w:tcBorders>
              <w:top w:val="single" w:sz="4" w:space="0" w:color="auto"/>
              <w:bottom w:val="single" w:sz="4" w:space="0" w:color="auto"/>
            </w:tcBorders>
          </w:tcPr>
          <w:p w:rsidR="004442E4" w:rsidRPr="00C806D0" w:rsidRDefault="004442E4" w:rsidP="004442E4">
            <w:pPr>
              <w:pStyle w:val="NoSpacing"/>
              <w:jc w:val="center"/>
              <w:rPr>
                <w:b/>
              </w:rPr>
            </w:pPr>
            <w:r w:rsidRPr="00C806D0">
              <w:rPr>
                <w:b/>
              </w:rPr>
              <w:t>GOS 5:</w:t>
            </w:r>
          </w:p>
          <w:p w:rsidR="004442E4" w:rsidRPr="00C806D0" w:rsidRDefault="004442E4" w:rsidP="004442E4">
            <w:pPr>
              <w:pStyle w:val="NoSpacing"/>
              <w:jc w:val="center"/>
              <w:rPr>
                <w:b/>
              </w:rPr>
            </w:pPr>
            <w:r w:rsidRPr="00C806D0">
              <w:rPr>
                <w:b/>
              </w:rPr>
              <w:t>Good recovery</w:t>
            </w:r>
          </w:p>
        </w:tc>
      </w:tr>
      <w:tr w:rsidR="004442E4" w:rsidRPr="00C806D0" w:rsidTr="008110E5">
        <w:trPr>
          <w:jc w:val="center"/>
        </w:trPr>
        <w:tc>
          <w:tcPr>
            <w:tcW w:w="712" w:type="pct"/>
            <w:tcBorders>
              <w:top w:val="single" w:sz="4" w:space="0" w:color="auto"/>
              <w:bottom w:val="nil"/>
            </w:tcBorders>
          </w:tcPr>
          <w:p w:rsidR="004442E4" w:rsidRPr="00C806D0" w:rsidRDefault="004442E4" w:rsidP="004442E4"/>
        </w:tc>
        <w:tc>
          <w:tcPr>
            <w:tcW w:w="895" w:type="pct"/>
            <w:tcBorders>
              <w:top w:val="single" w:sz="4" w:space="0" w:color="auto"/>
              <w:bottom w:val="nil"/>
            </w:tcBorders>
          </w:tcPr>
          <w:p w:rsidR="004442E4" w:rsidRPr="00C806D0" w:rsidRDefault="004442E4" w:rsidP="004442E4">
            <w:r w:rsidRPr="00C806D0">
              <w:t>6 months</w:t>
            </w:r>
          </w:p>
        </w:tc>
        <w:tc>
          <w:tcPr>
            <w:tcW w:w="812" w:type="pct"/>
            <w:tcBorders>
              <w:top w:val="single" w:sz="4" w:space="0" w:color="auto"/>
              <w:bottom w:val="nil"/>
            </w:tcBorders>
          </w:tcPr>
          <w:p w:rsidR="004442E4" w:rsidRPr="00C806D0" w:rsidRDefault="004442E4" w:rsidP="004442E4">
            <w:pPr>
              <w:jc w:val="center"/>
            </w:pPr>
            <w:r w:rsidRPr="00C806D0">
              <w:t>0</w:t>
            </w:r>
          </w:p>
          <w:p w:rsidR="004442E4" w:rsidRPr="00C806D0" w:rsidRDefault="004442E4" w:rsidP="004442E4">
            <w:pPr>
              <w:jc w:val="center"/>
            </w:pPr>
            <w:r w:rsidRPr="00C806D0">
              <w:t xml:space="preserve"> (-)</w:t>
            </w:r>
          </w:p>
        </w:tc>
        <w:tc>
          <w:tcPr>
            <w:tcW w:w="569" w:type="pct"/>
            <w:tcBorders>
              <w:top w:val="single" w:sz="4" w:space="0" w:color="auto"/>
              <w:bottom w:val="nil"/>
            </w:tcBorders>
          </w:tcPr>
          <w:p w:rsidR="004442E4" w:rsidRPr="00C806D0" w:rsidRDefault="004442E4" w:rsidP="004442E4">
            <w:pPr>
              <w:jc w:val="center"/>
            </w:pPr>
            <w:r w:rsidRPr="00C806D0">
              <w:t>-0.120 (0.632)</w:t>
            </w:r>
          </w:p>
        </w:tc>
        <w:tc>
          <w:tcPr>
            <w:tcW w:w="650" w:type="pct"/>
            <w:tcBorders>
              <w:top w:val="single" w:sz="4" w:space="0" w:color="auto"/>
              <w:bottom w:val="nil"/>
            </w:tcBorders>
          </w:tcPr>
          <w:p w:rsidR="004442E4" w:rsidRPr="00C806D0" w:rsidRDefault="004442E4" w:rsidP="004442E4">
            <w:pPr>
              <w:jc w:val="center"/>
            </w:pPr>
            <w:r w:rsidRPr="00C806D0">
              <w:t>0.379 (0.012)</w:t>
            </w:r>
          </w:p>
        </w:tc>
        <w:tc>
          <w:tcPr>
            <w:tcW w:w="781" w:type="pct"/>
            <w:tcBorders>
              <w:top w:val="single" w:sz="4" w:space="0" w:color="auto"/>
              <w:bottom w:val="nil"/>
            </w:tcBorders>
          </w:tcPr>
          <w:p w:rsidR="004442E4" w:rsidRPr="00C806D0" w:rsidRDefault="004442E4" w:rsidP="004442E4">
            <w:pPr>
              <w:jc w:val="center"/>
            </w:pPr>
            <w:r w:rsidRPr="00C806D0">
              <w:t>0.669 (0.007)</w:t>
            </w:r>
          </w:p>
        </w:tc>
        <w:tc>
          <w:tcPr>
            <w:tcW w:w="581" w:type="pct"/>
            <w:tcBorders>
              <w:top w:val="single" w:sz="4" w:space="0" w:color="auto"/>
              <w:bottom w:val="nil"/>
            </w:tcBorders>
          </w:tcPr>
          <w:p w:rsidR="004442E4" w:rsidRPr="00C806D0" w:rsidRDefault="004442E4" w:rsidP="004442E4">
            <w:pPr>
              <w:jc w:val="center"/>
            </w:pPr>
            <w:r w:rsidRPr="00C806D0">
              <w:t>0.879 (0.004)</w:t>
            </w:r>
          </w:p>
          <w:p w:rsidR="004442E4" w:rsidRPr="00C806D0" w:rsidRDefault="004442E4" w:rsidP="004442E4">
            <w:pPr>
              <w:jc w:val="center"/>
            </w:pPr>
          </w:p>
        </w:tc>
      </w:tr>
      <w:tr w:rsidR="004442E4" w:rsidRPr="00C806D0" w:rsidTr="008110E5">
        <w:trPr>
          <w:jc w:val="center"/>
        </w:trPr>
        <w:tc>
          <w:tcPr>
            <w:tcW w:w="712" w:type="pct"/>
            <w:tcBorders>
              <w:top w:val="nil"/>
            </w:tcBorders>
          </w:tcPr>
          <w:p w:rsidR="004442E4" w:rsidRPr="00C806D0" w:rsidRDefault="004442E4" w:rsidP="004442E4">
            <w:pPr>
              <w:pStyle w:val="NoSpacing"/>
              <w:rPr>
                <w:b/>
              </w:rPr>
            </w:pPr>
            <w:r w:rsidRPr="00C806D0">
              <w:rPr>
                <w:b/>
              </w:rPr>
              <w:t>EQ5D (mean, se)</w:t>
            </w:r>
          </w:p>
        </w:tc>
        <w:tc>
          <w:tcPr>
            <w:tcW w:w="895" w:type="pct"/>
            <w:tcBorders>
              <w:top w:val="nil"/>
            </w:tcBorders>
          </w:tcPr>
          <w:p w:rsidR="004442E4" w:rsidRPr="00C806D0" w:rsidRDefault="004442E4" w:rsidP="004442E4">
            <w:r w:rsidRPr="00C806D0">
              <w:t xml:space="preserve">12 months </w:t>
            </w:r>
          </w:p>
        </w:tc>
        <w:tc>
          <w:tcPr>
            <w:tcW w:w="812" w:type="pct"/>
            <w:tcBorders>
              <w:top w:val="nil"/>
            </w:tcBorders>
          </w:tcPr>
          <w:p w:rsidR="004442E4" w:rsidRPr="00C806D0" w:rsidRDefault="004442E4" w:rsidP="004442E4">
            <w:pPr>
              <w:jc w:val="center"/>
            </w:pPr>
            <w:r w:rsidRPr="00C806D0">
              <w:t>0</w:t>
            </w:r>
          </w:p>
          <w:p w:rsidR="004442E4" w:rsidRPr="00C806D0" w:rsidRDefault="004442E4" w:rsidP="004442E4">
            <w:pPr>
              <w:jc w:val="center"/>
            </w:pPr>
            <w:r w:rsidRPr="00C806D0">
              <w:t xml:space="preserve"> (-)</w:t>
            </w:r>
          </w:p>
          <w:p w:rsidR="004442E4" w:rsidRPr="00C806D0" w:rsidRDefault="004442E4" w:rsidP="004442E4">
            <w:pPr>
              <w:jc w:val="center"/>
            </w:pPr>
          </w:p>
        </w:tc>
        <w:tc>
          <w:tcPr>
            <w:tcW w:w="569" w:type="pct"/>
            <w:tcBorders>
              <w:top w:val="nil"/>
            </w:tcBorders>
          </w:tcPr>
          <w:p w:rsidR="004442E4" w:rsidRPr="00C806D0" w:rsidRDefault="004442E4" w:rsidP="004442E4">
            <w:pPr>
              <w:jc w:val="center"/>
            </w:pPr>
            <w:r w:rsidRPr="00C806D0">
              <w:t>-0.178 (0.078)</w:t>
            </w:r>
          </w:p>
        </w:tc>
        <w:tc>
          <w:tcPr>
            <w:tcW w:w="650" w:type="pct"/>
            <w:tcBorders>
              <w:top w:val="nil"/>
            </w:tcBorders>
          </w:tcPr>
          <w:p w:rsidR="004442E4" w:rsidRPr="00C806D0" w:rsidRDefault="004442E4" w:rsidP="004442E4">
            <w:pPr>
              <w:jc w:val="center"/>
            </w:pPr>
            <w:r w:rsidRPr="00C806D0">
              <w:t>0.382 (0.012)</w:t>
            </w:r>
          </w:p>
        </w:tc>
        <w:tc>
          <w:tcPr>
            <w:tcW w:w="781" w:type="pct"/>
            <w:tcBorders>
              <w:top w:val="nil"/>
            </w:tcBorders>
          </w:tcPr>
          <w:p w:rsidR="004442E4" w:rsidRPr="00C806D0" w:rsidRDefault="004442E4" w:rsidP="004442E4">
            <w:pPr>
              <w:jc w:val="center"/>
            </w:pPr>
            <w:r w:rsidRPr="00C806D0">
              <w:t>0.675 (0.008)</w:t>
            </w:r>
          </w:p>
        </w:tc>
        <w:tc>
          <w:tcPr>
            <w:tcW w:w="581" w:type="pct"/>
            <w:tcBorders>
              <w:top w:val="nil"/>
            </w:tcBorders>
          </w:tcPr>
          <w:p w:rsidR="004442E4" w:rsidRPr="00C806D0" w:rsidRDefault="004442E4" w:rsidP="004442E4">
            <w:pPr>
              <w:jc w:val="center"/>
            </w:pPr>
            <w:r w:rsidRPr="00C806D0">
              <w:t xml:space="preserve">0.894 </w:t>
            </w:r>
          </w:p>
          <w:p w:rsidR="004442E4" w:rsidRPr="00C806D0" w:rsidRDefault="004442E4" w:rsidP="004442E4">
            <w:pPr>
              <w:jc w:val="center"/>
            </w:pPr>
            <w:r w:rsidRPr="00C806D0">
              <w:t>(0.004)</w:t>
            </w:r>
          </w:p>
        </w:tc>
      </w:tr>
      <w:tr w:rsidR="004442E4" w:rsidRPr="00C806D0" w:rsidTr="008110E5">
        <w:trPr>
          <w:jc w:val="center"/>
        </w:trPr>
        <w:tc>
          <w:tcPr>
            <w:tcW w:w="712" w:type="pct"/>
          </w:tcPr>
          <w:p w:rsidR="004442E4" w:rsidRPr="00C806D0" w:rsidRDefault="004442E4" w:rsidP="004442E4"/>
        </w:tc>
        <w:tc>
          <w:tcPr>
            <w:tcW w:w="895" w:type="pct"/>
          </w:tcPr>
          <w:p w:rsidR="004442E4" w:rsidRPr="00C806D0" w:rsidRDefault="004442E4" w:rsidP="004442E4">
            <w:r w:rsidRPr="00C806D0">
              <w:t>24 months</w:t>
            </w:r>
          </w:p>
        </w:tc>
        <w:tc>
          <w:tcPr>
            <w:tcW w:w="812" w:type="pct"/>
          </w:tcPr>
          <w:p w:rsidR="004442E4" w:rsidRPr="00C806D0" w:rsidRDefault="004442E4" w:rsidP="004442E4">
            <w:pPr>
              <w:jc w:val="center"/>
            </w:pPr>
            <w:r w:rsidRPr="00C806D0">
              <w:t xml:space="preserve">0 </w:t>
            </w:r>
          </w:p>
          <w:p w:rsidR="004442E4" w:rsidRPr="00C806D0" w:rsidRDefault="004442E4" w:rsidP="004442E4">
            <w:pPr>
              <w:jc w:val="center"/>
            </w:pPr>
            <w:r w:rsidRPr="00C806D0">
              <w:t>(-)</w:t>
            </w:r>
          </w:p>
          <w:p w:rsidR="004442E4" w:rsidRPr="00C806D0" w:rsidRDefault="004442E4" w:rsidP="004442E4">
            <w:pPr>
              <w:jc w:val="center"/>
            </w:pPr>
          </w:p>
        </w:tc>
        <w:tc>
          <w:tcPr>
            <w:tcW w:w="569" w:type="pct"/>
          </w:tcPr>
          <w:p w:rsidR="004442E4" w:rsidRPr="00C806D0" w:rsidRDefault="004442E4" w:rsidP="004442E4">
            <w:pPr>
              <w:jc w:val="center"/>
            </w:pPr>
            <w:r w:rsidRPr="00C806D0">
              <w:t>-0.069 (0.056)</w:t>
            </w:r>
          </w:p>
        </w:tc>
        <w:tc>
          <w:tcPr>
            <w:tcW w:w="650" w:type="pct"/>
          </w:tcPr>
          <w:p w:rsidR="004442E4" w:rsidRPr="00C806D0" w:rsidRDefault="004442E4" w:rsidP="004442E4">
            <w:pPr>
              <w:jc w:val="center"/>
            </w:pPr>
            <w:r w:rsidRPr="00C806D0">
              <w:t>0.392 (0.126)</w:t>
            </w:r>
          </w:p>
        </w:tc>
        <w:tc>
          <w:tcPr>
            <w:tcW w:w="781" w:type="pct"/>
          </w:tcPr>
          <w:p w:rsidR="004442E4" w:rsidRPr="00C806D0" w:rsidRDefault="004442E4" w:rsidP="004442E4">
            <w:pPr>
              <w:jc w:val="center"/>
            </w:pPr>
            <w:r w:rsidRPr="00C806D0">
              <w:t>0.646 (0.008)</w:t>
            </w:r>
          </w:p>
        </w:tc>
        <w:tc>
          <w:tcPr>
            <w:tcW w:w="581" w:type="pct"/>
          </w:tcPr>
          <w:p w:rsidR="004442E4" w:rsidRPr="00C806D0" w:rsidRDefault="004442E4" w:rsidP="004442E4">
            <w:pPr>
              <w:jc w:val="center"/>
            </w:pPr>
            <w:r w:rsidRPr="00C806D0">
              <w:t>0.904 (0.004)</w:t>
            </w:r>
          </w:p>
        </w:tc>
      </w:tr>
      <w:tr w:rsidR="004442E4" w:rsidRPr="00C806D0" w:rsidTr="008110E5">
        <w:trPr>
          <w:jc w:val="center"/>
        </w:trPr>
        <w:tc>
          <w:tcPr>
            <w:tcW w:w="712" w:type="pct"/>
          </w:tcPr>
          <w:p w:rsidR="004442E4" w:rsidRPr="00C806D0" w:rsidRDefault="004442E4" w:rsidP="004442E4">
            <w:pPr>
              <w:rPr>
                <w:b/>
              </w:rPr>
            </w:pPr>
            <w:r w:rsidRPr="00C806D0">
              <w:rPr>
                <w:b/>
              </w:rPr>
              <w:t xml:space="preserve">Largest difference </w:t>
            </w:r>
          </w:p>
          <w:p w:rsidR="004442E4" w:rsidRPr="00C806D0" w:rsidRDefault="004442E4" w:rsidP="004442E4">
            <w:pPr>
              <w:rPr>
                <w:b/>
              </w:rPr>
            </w:pPr>
          </w:p>
        </w:tc>
        <w:tc>
          <w:tcPr>
            <w:tcW w:w="895" w:type="pct"/>
          </w:tcPr>
          <w:p w:rsidR="004442E4" w:rsidRPr="00C806D0" w:rsidRDefault="004442E4" w:rsidP="004442E4"/>
        </w:tc>
        <w:tc>
          <w:tcPr>
            <w:tcW w:w="812" w:type="pct"/>
          </w:tcPr>
          <w:p w:rsidR="004442E4" w:rsidRPr="00C806D0" w:rsidRDefault="004442E4" w:rsidP="004442E4">
            <w:pPr>
              <w:jc w:val="center"/>
            </w:pPr>
            <w:r w:rsidRPr="00C806D0">
              <w:t>0</w:t>
            </w:r>
          </w:p>
          <w:p w:rsidR="004442E4" w:rsidRPr="00C806D0" w:rsidRDefault="004442E4" w:rsidP="004442E4">
            <w:pPr>
              <w:jc w:val="center"/>
            </w:pPr>
          </w:p>
        </w:tc>
        <w:tc>
          <w:tcPr>
            <w:tcW w:w="569" w:type="pct"/>
          </w:tcPr>
          <w:p w:rsidR="004442E4" w:rsidRPr="00C806D0" w:rsidRDefault="004442E4" w:rsidP="004442E4">
            <w:pPr>
              <w:jc w:val="center"/>
            </w:pPr>
            <w:r w:rsidRPr="00C806D0">
              <w:t>0.109</w:t>
            </w:r>
          </w:p>
        </w:tc>
        <w:tc>
          <w:tcPr>
            <w:tcW w:w="650" w:type="pct"/>
          </w:tcPr>
          <w:p w:rsidR="004442E4" w:rsidRPr="00C806D0" w:rsidRDefault="004442E4" w:rsidP="004442E4">
            <w:pPr>
              <w:jc w:val="center"/>
            </w:pPr>
            <w:r w:rsidRPr="00C806D0">
              <w:t>0.013</w:t>
            </w:r>
          </w:p>
        </w:tc>
        <w:tc>
          <w:tcPr>
            <w:tcW w:w="781" w:type="pct"/>
          </w:tcPr>
          <w:p w:rsidR="004442E4" w:rsidRPr="00C806D0" w:rsidRDefault="004442E4" w:rsidP="004442E4">
            <w:pPr>
              <w:jc w:val="center"/>
            </w:pPr>
            <w:r w:rsidRPr="00C806D0">
              <w:t>0.029</w:t>
            </w:r>
          </w:p>
        </w:tc>
        <w:tc>
          <w:tcPr>
            <w:tcW w:w="581" w:type="pct"/>
          </w:tcPr>
          <w:p w:rsidR="004442E4" w:rsidRPr="00C806D0" w:rsidRDefault="004442E4" w:rsidP="004442E4">
            <w:pPr>
              <w:jc w:val="center"/>
            </w:pPr>
            <w:r w:rsidRPr="00C806D0">
              <w:t>0.025</w:t>
            </w:r>
          </w:p>
        </w:tc>
      </w:tr>
      <w:tr w:rsidR="004442E4" w:rsidRPr="00C806D0" w:rsidTr="008110E5">
        <w:trPr>
          <w:jc w:val="center"/>
        </w:trPr>
        <w:tc>
          <w:tcPr>
            <w:tcW w:w="712" w:type="pct"/>
          </w:tcPr>
          <w:p w:rsidR="004442E4" w:rsidRPr="00C806D0" w:rsidRDefault="004442E4" w:rsidP="004442E4">
            <w:pPr>
              <w:rPr>
                <w:b/>
              </w:rPr>
            </w:pPr>
            <w:r w:rsidRPr="00C806D0">
              <w:rPr>
                <w:b/>
              </w:rPr>
              <w:t>p-value*</w:t>
            </w:r>
          </w:p>
        </w:tc>
        <w:tc>
          <w:tcPr>
            <w:tcW w:w="895" w:type="pct"/>
          </w:tcPr>
          <w:p w:rsidR="004442E4" w:rsidRPr="00C806D0" w:rsidRDefault="004442E4" w:rsidP="004442E4"/>
        </w:tc>
        <w:tc>
          <w:tcPr>
            <w:tcW w:w="812" w:type="pct"/>
          </w:tcPr>
          <w:p w:rsidR="004442E4" w:rsidRPr="00C806D0" w:rsidRDefault="004442E4" w:rsidP="004442E4">
            <w:pPr>
              <w:jc w:val="center"/>
            </w:pPr>
            <w:r w:rsidRPr="00C806D0">
              <w:t>-</w:t>
            </w:r>
          </w:p>
        </w:tc>
        <w:tc>
          <w:tcPr>
            <w:tcW w:w="569" w:type="pct"/>
          </w:tcPr>
          <w:p w:rsidR="004442E4" w:rsidRPr="00C806D0" w:rsidRDefault="004442E4" w:rsidP="004442E4">
            <w:pPr>
              <w:jc w:val="center"/>
            </w:pPr>
            <w:r w:rsidRPr="00C806D0">
              <w:t>0.80</w:t>
            </w:r>
          </w:p>
        </w:tc>
        <w:tc>
          <w:tcPr>
            <w:tcW w:w="650" w:type="pct"/>
          </w:tcPr>
          <w:p w:rsidR="004442E4" w:rsidRPr="00C806D0" w:rsidRDefault="004442E4" w:rsidP="004442E4">
            <w:pPr>
              <w:jc w:val="center"/>
            </w:pPr>
            <w:r w:rsidRPr="00C806D0">
              <w:t>0.01</w:t>
            </w:r>
          </w:p>
        </w:tc>
        <w:tc>
          <w:tcPr>
            <w:tcW w:w="781" w:type="pct"/>
          </w:tcPr>
          <w:p w:rsidR="004442E4" w:rsidRPr="00C806D0" w:rsidRDefault="004442E4" w:rsidP="004442E4">
            <w:pPr>
              <w:jc w:val="center"/>
            </w:pPr>
            <w:r w:rsidRPr="00C806D0">
              <w:t>0.33</w:t>
            </w:r>
          </w:p>
        </w:tc>
        <w:tc>
          <w:tcPr>
            <w:tcW w:w="581" w:type="pct"/>
          </w:tcPr>
          <w:p w:rsidR="004442E4" w:rsidRPr="00C806D0" w:rsidRDefault="004442E4" w:rsidP="004442E4">
            <w:pPr>
              <w:jc w:val="center"/>
            </w:pPr>
            <w:r w:rsidRPr="00C806D0">
              <w:t>0.08</w:t>
            </w:r>
          </w:p>
        </w:tc>
      </w:tr>
    </w:tbl>
    <w:p w:rsidR="004442E4" w:rsidRPr="00C806D0" w:rsidRDefault="004442E4" w:rsidP="004442E4">
      <w:pPr>
        <w:pStyle w:val="ListParagraph"/>
        <w:rPr>
          <w:sz w:val="20"/>
          <w:szCs w:val="20"/>
        </w:rPr>
      </w:pPr>
      <w:r w:rsidRPr="00C806D0">
        <w:rPr>
          <w:sz w:val="20"/>
          <w:szCs w:val="20"/>
        </w:rPr>
        <w:t>*p-value for null hypothesis of no difference in mean EQ5D for each GOS category across measurement time points.</w:t>
      </w:r>
    </w:p>
    <w:p w:rsidR="004442E4" w:rsidRPr="00C806D0" w:rsidRDefault="004442E4" w:rsidP="002A360F">
      <w:pPr>
        <w:pStyle w:val="Heading3"/>
      </w:pPr>
      <w:r w:rsidRPr="00C806D0">
        <w:lastRenderedPageBreak/>
        <w:t>Linear regression models predicting mean 12 month EQ5D from GOS categories and patient characteristics</w:t>
      </w:r>
    </w:p>
    <w:p w:rsidR="004442E4" w:rsidRPr="00C806D0" w:rsidRDefault="004442E4" w:rsidP="004442E4">
      <w:pPr>
        <w:pStyle w:val="Heading4"/>
      </w:pPr>
      <w:r w:rsidRPr="00C806D0">
        <w:t>Background and methods</w:t>
      </w:r>
    </w:p>
    <w:p w:rsidR="004442E4" w:rsidRPr="00C806D0" w:rsidRDefault="004442E4" w:rsidP="004442E4">
      <w:r w:rsidRPr="00C806D0">
        <w:t>An ordinary least squares prediction model was also developed to allow a comparison of the performance of a simpler and more intuitive statistical approach to the adjusted limited dependent variable mixture model. There is conflicting evidence regarding the validity of a linear regression for mapping EQ5D index scores.</w:t>
      </w:r>
      <w:r w:rsidR="00155D84" w:rsidRPr="00C806D0">
        <w:rPr>
          <w:noProof/>
          <w:vertAlign w:val="superscript"/>
        </w:rPr>
        <w:t>[</w:t>
      </w:r>
      <w:r w:rsidR="006D4D62" w:rsidRPr="00C806D0">
        <w:rPr>
          <w:noProof/>
          <w:vertAlign w:val="superscript"/>
        </w:rPr>
        <w:t>13</w:t>
      </w:r>
      <w:r w:rsidR="00155D84" w:rsidRPr="00C806D0">
        <w:rPr>
          <w:noProof/>
          <w:vertAlign w:val="superscript"/>
        </w:rPr>
        <w:t>]</w:t>
      </w:r>
      <w:r w:rsidRPr="00C806D0">
        <w:t xml:space="preserve"> Concerns, arising secondary to the unusual EQ5D distribution, include the likely violation of assumptions of normality and homoscedasticity of error terms, the possibility of predictions outside the feasible range, and under/over prediction of utility for extreme health states. However, in some settings linear regression has appeared to outperform other commonly used modelling approaches (tobit, limited dependent variable mixture models, or two part models) and shown reasonably comparable results to the adjusted limited dependent variable model.</w:t>
      </w:r>
      <w:r w:rsidR="00155D84" w:rsidRPr="00C806D0">
        <w:rPr>
          <w:noProof/>
          <w:vertAlign w:val="superscript"/>
        </w:rPr>
        <w:t>[</w:t>
      </w:r>
      <w:r w:rsidR="006D4D62" w:rsidRPr="00C806D0">
        <w:rPr>
          <w:noProof/>
          <w:vertAlign w:val="superscript"/>
        </w:rPr>
        <w:t>13</w:t>
      </w:r>
      <w:r w:rsidR="00155D84" w:rsidRPr="00C806D0">
        <w:rPr>
          <w:noProof/>
          <w:vertAlign w:val="superscript"/>
        </w:rPr>
        <w:t xml:space="preserve">, </w:t>
      </w:r>
      <w:r w:rsidR="006D4D62" w:rsidRPr="00C806D0">
        <w:rPr>
          <w:noProof/>
          <w:vertAlign w:val="superscript"/>
        </w:rPr>
        <w:t>21</w:t>
      </w:r>
      <w:r w:rsidR="00155D84" w:rsidRPr="00C806D0">
        <w:rPr>
          <w:noProof/>
          <w:vertAlign w:val="superscript"/>
        </w:rPr>
        <w:t>]</w:t>
      </w:r>
    </w:p>
    <w:p w:rsidR="004442E4" w:rsidRPr="00C806D0" w:rsidRDefault="004442E4" w:rsidP="004442E4"/>
    <w:p w:rsidR="004442E4" w:rsidRPr="00C806D0" w:rsidRDefault="004442E4" w:rsidP="004442E4">
      <w:r w:rsidRPr="00C806D0">
        <w:t>The modelling approach was informed by expert recommendations and followed the same strategy as described previously.</w:t>
      </w:r>
      <w:r w:rsidR="00155D84" w:rsidRPr="00C806D0">
        <w:rPr>
          <w:noProof/>
          <w:vertAlign w:val="superscript"/>
        </w:rPr>
        <w:t>[</w:t>
      </w:r>
      <w:r w:rsidR="006D4D62" w:rsidRPr="00C806D0">
        <w:rPr>
          <w:noProof/>
          <w:vertAlign w:val="superscript"/>
        </w:rPr>
        <w:t>81</w:t>
      </w:r>
      <w:r w:rsidR="00155D84" w:rsidRPr="00C806D0">
        <w:rPr>
          <w:noProof/>
          <w:vertAlign w:val="superscript"/>
        </w:rPr>
        <w:t>]</w:t>
      </w:r>
      <w:r w:rsidRPr="00C806D0">
        <w:t xml:space="preserve"> Initial models considered basic GOS and age only, with detailed models including basic GOS, age, co-morbidity, </w:t>
      </w:r>
      <w:r w:rsidR="002A16B4" w:rsidRPr="00C806D0">
        <w:t>extracranial</w:t>
      </w:r>
      <w:r w:rsidRPr="00C806D0">
        <w:t xml:space="preserve"> injury and gender. Non-linearity between age and EQ5D index score was evaluated using polynomial terms. Inclusion of explanatory variables was based on clinical theory, with covariate exclusion only considered in the case of gross non-significance (p&gt;0.5) and worsening model fit. Interactions between basic GOS and each explanatory variable were initially assessed in a Wald ‘chunk’ test.</w:t>
      </w:r>
      <w:r w:rsidR="00155D84" w:rsidRPr="00C806D0">
        <w:rPr>
          <w:noProof/>
          <w:vertAlign w:val="superscript"/>
        </w:rPr>
        <w:t>[</w:t>
      </w:r>
      <w:r w:rsidR="006D4D62" w:rsidRPr="00C806D0">
        <w:rPr>
          <w:noProof/>
          <w:vertAlign w:val="superscript"/>
        </w:rPr>
        <w:t>82</w:t>
      </w:r>
      <w:r w:rsidR="00155D84" w:rsidRPr="00C806D0">
        <w:rPr>
          <w:noProof/>
          <w:vertAlign w:val="superscript"/>
        </w:rPr>
        <w:t>]</w:t>
      </w:r>
      <w:r w:rsidRPr="00C806D0">
        <w:t xml:space="preserve"> If this was significant individual interactions were subsequently examined. </w:t>
      </w:r>
      <w:r w:rsidRPr="00C806D0">
        <w:rPr>
          <w:shd w:val="clear" w:color="auto" w:fill="FFFFFF"/>
        </w:rPr>
        <w:t xml:space="preserve">Huber-White sandwich estimates of variance were used to compute robust standard errors accounting for model misspecification, non-normality of error terms or </w:t>
      </w:r>
      <w:r w:rsidRPr="00C806D0">
        <w:t>heteroscedasticity.</w:t>
      </w:r>
      <w:r w:rsidR="00155D84" w:rsidRPr="00C806D0">
        <w:rPr>
          <w:noProof/>
          <w:vertAlign w:val="superscript"/>
        </w:rPr>
        <w:t>[</w:t>
      </w:r>
      <w:r w:rsidR="006D4D62" w:rsidRPr="00C806D0">
        <w:rPr>
          <w:noProof/>
          <w:vertAlign w:val="superscript"/>
        </w:rPr>
        <w:t>83</w:t>
      </w:r>
      <w:r w:rsidR="00155D84" w:rsidRPr="00C806D0">
        <w:rPr>
          <w:noProof/>
          <w:vertAlign w:val="superscript"/>
        </w:rPr>
        <w:t xml:space="preserve">, </w:t>
      </w:r>
      <w:r w:rsidR="006D4D62" w:rsidRPr="00C806D0">
        <w:rPr>
          <w:noProof/>
          <w:vertAlign w:val="superscript"/>
        </w:rPr>
        <w:t>84</w:t>
      </w:r>
      <w:r w:rsidR="00155D84" w:rsidRPr="00C806D0">
        <w:rPr>
          <w:noProof/>
          <w:vertAlign w:val="superscript"/>
        </w:rPr>
        <w:t>]</w:t>
      </w:r>
      <w:r w:rsidRPr="00C806D0">
        <w:t xml:space="preserve"> Goodness of model fit was assessed using R</w:t>
      </w:r>
      <w:r w:rsidRPr="00C806D0">
        <w:rPr>
          <w:vertAlign w:val="superscript"/>
        </w:rPr>
        <w:t>2</w:t>
      </w:r>
      <w:r w:rsidRPr="00C806D0">
        <w:t>, root mean squared error, information criterion statistics, and visual comparison of observed versus predicted results. Model diagnostics included a link test for model misspecification, use of quantile-quantile plots and smoothed kernel density plots of residuals to assess normality of error terms, partial regression plots to identify influential or outlying data, and plots of residuals against predicted values to identify heteroscedasticity.</w:t>
      </w:r>
      <w:r w:rsidR="00155D84" w:rsidRPr="00C806D0">
        <w:rPr>
          <w:noProof/>
          <w:vertAlign w:val="superscript"/>
        </w:rPr>
        <w:t>[</w:t>
      </w:r>
      <w:r w:rsidR="006D4D62" w:rsidRPr="00C806D0">
        <w:rPr>
          <w:noProof/>
          <w:vertAlign w:val="superscript"/>
        </w:rPr>
        <w:t>81</w:t>
      </w:r>
      <w:r w:rsidR="00155D84" w:rsidRPr="00C806D0">
        <w:rPr>
          <w:noProof/>
          <w:vertAlign w:val="superscript"/>
        </w:rPr>
        <w:t>]</w:t>
      </w:r>
      <w:r w:rsidRPr="00C806D0">
        <w:t xml:space="preserve"> The internal validity of models was checked using 1,000 bootstrap replications with examination of the stability of model coefficients, standard errors, R</w:t>
      </w:r>
      <w:r w:rsidRPr="00C806D0">
        <w:rPr>
          <w:vertAlign w:val="superscript"/>
        </w:rPr>
        <w:t>2</w:t>
      </w:r>
      <w:r w:rsidRPr="00C806D0">
        <w:t>, and root mean squared error.</w:t>
      </w:r>
    </w:p>
    <w:p w:rsidR="004442E4" w:rsidRPr="00C806D0" w:rsidRDefault="004442E4" w:rsidP="004442E4">
      <w:pPr>
        <w:pStyle w:val="Heading4"/>
      </w:pPr>
      <w:r w:rsidRPr="00C806D0">
        <w:lastRenderedPageBreak/>
        <w:t>Results</w:t>
      </w:r>
    </w:p>
    <w:p w:rsidR="004442E4" w:rsidRPr="00C806D0" w:rsidRDefault="004442E4" w:rsidP="004442E4">
      <w:r w:rsidRPr="00C806D0">
        <w:t>Three thousand four hundred and thirty seven patients were included in an available case analysis examining an initial model including basic GOS and age. There was no evidence for a non-linear relationship between age and mean EQ5D, but a significant interaction was detected between age and basic GOS category (wald test p&lt;0.001). Both age and each basic GOS category were statistically significant independent predictors of mean EQ5D (Table F26). Predicted values demonstrated a close fit to observed mean EQ5D a</w:t>
      </w:r>
      <w:r w:rsidR="00114C70" w:rsidRPr="00C806D0">
        <w:t>t different age groups (Figure F</w:t>
      </w:r>
      <w:r w:rsidR="003371A8" w:rsidRPr="00C806D0">
        <w:t>2</w:t>
      </w:r>
      <w:r w:rsidRPr="00C806D0">
        <w:t>). R</w:t>
      </w:r>
      <w:r w:rsidRPr="00C806D0">
        <w:rPr>
          <w:vertAlign w:val="superscript"/>
        </w:rPr>
        <w:t>2</w:t>
      </w:r>
      <w:r w:rsidRPr="00C806D0">
        <w:t xml:space="preserve"> was 0.396, root mean squared error was 0.256 and the Bayesian Information Criterion was 438.15. Model diagnostics were as follows:</w:t>
      </w:r>
    </w:p>
    <w:p w:rsidR="004442E4" w:rsidRPr="00C806D0" w:rsidRDefault="004442E4" w:rsidP="004442E4"/>
    <w:p w:rsidR="004442E4" w:rsidRPr="00C806D0" w:rsidRDefault="004442E4" w:rsidP="00550C9C">
      <w:pPr>
        <w:pStyle w:val="ListParagraph"/>
        <w:numPr>
          <w:ilvl w:val="0"/>
          <w:numId w:val="20"/>
        </w:numPr>
      </w:pPr>
      <w:r w:rsidRPr="00C806D0">
        <w:t>A single outlying patient was detected: a previously well 105 year old patient sustaining a</w:t>
      </w:r>
      <w:r w:rsidR="00114C70" w:rsidRPr="00C806D0">
        <w:t xml:space="preserve">n AIS injury severity score 5 </w:t>
      </w:r>
      <w:r w:rsidRPr="00C806D0">
        <w:t>brain injury from a low fall resulting in moderate disability and EQ5D of 0.516 at 12 months. There were no reasons to suggest erroneous data collection and this patient was retained in the analysis.</w:t>
      </w:r>
    </w:p>
    <w:p w:rsidR="004442E4" w:rsidRPr="00C806D0" w:rsidRDefault="004442E4" w:rsidP="00550C9C">
      <w:pPr>
        <w:pStyle w:val="ListParagraph"/>
        <w:numPr>
          <w:ilvl w:val="0"/>
          <w:numId w:val="20"/>
        </w:numPr>
      </w:pPr>
      <w:r w:rsidRPr="00C806D0">
        <w:t>Mild non-normality of error terms was evident.</w:t>
      </w:r>
    </w:p>
    <w:p w:rsidR="004442E4" w:rsidRPr="00C806D0" w:rsidRDefault="004442E4" w:rsidP="00550C9C">
      <w:pPr>
        <w:pStyle w:val="ListParagraph"/>
        <w:numPr>
          <w:ilvl w:val="0"/>
          <w:numId w:val="20"/>
        </w:numPr>
      </w:pPr>
      <w:r w:rsidRPr="00C806D0">
        <w:t>Clear heteroscedasticity was present with a decreasing upper limit of the magnitude of residuals with increasing GOS category.</w:t>
      </w:r>
    </w:p>
    <w:p w:rsidR="004442E4" w:rsidRPr="00C806D0" w:rsidRDefault="004442E4" w:rsidP="00550C9C">
      <w:pPr>
        <w:pStyle w:val="ListParagraph"/>
        <w:numPr>
          <w:ilvl w:val="0"/>
          <w:numId w:val="20"/>
        </w:numPr>
      </w:pPr>
      <w:r w:rsidRPr="00C806D0">
        <w:t>There were no concerns regards collinearity with variance inflation factor &lt;10 for all variables.</w:t>
      </w:r>
    </w:p>
    <w:p w:rsidR="004442E4" w:rsidRPr="00C806D0" w:rsidRDefault="004442E4" w:rsidP="00550C9C">
      <w:pPr>
        <w:pStyle w:val="ListParagraph"/>
        <w:numPr>
          <w:ilvl w:val="0"/>
          <w:numId w:val="20"/>
        </w:numPr>
      </w:pPr>
      <w:r w:rsidRPr="00C806D0">
        <w:t>A link test for model misspecification was non-significant (p=0.46)</w:t>
      </w:r>
    </w:p>
    <w:p w:rsidR="004442E4" w:rsidRPr="00C806D0" w:rsidRDefault="004442E4" w:rsidP="00550C9C">
      <w:pPr>
        <w:pStyle w:val="ListParagraph"/>
        <w:numPr>
          <w:ilvl w:val="0"/>
          <w:numId w:val="20"/>
        </w:numPr>
      </w:pPr>
      <w:r w:rsidRPr="00C806D0">
        <w:t>Bootstrapping demonstrated that all model coefficients were stable except for vegetative state terms (</w:t>
      </w:r>
      <w:r w:rsidR="00114C70" w:rsidRPr="00C806D0">
        <w:t xml:space="preserve">vegetative state coefficient: </w:t>
      </w:r>
      <w:r w:rsidRPr="00C806D0">
        <w:t>95% confidence interval -5.12- 1.85, p= 0.36; vegetative state#age interaction: -0.55-0.76, p=0.75). Root mean squared error and R</w:t>
      </w:r>
      <w:r w:rsidRPr="00C806D0">
        <w:rPr>
          <w:vertAlign w:val="superscript"/>
        </w:rPr>
        <w:t>2</w:t>
      </w:r>
      <w:r w:rsidRPr="00C806D0">
        <w:t xml:space="preserve"> varied minimally across replications.</w:t>
      </w:r>
    </w:p>
    <w:p w:rsidR="004442E4" w:rsidRPr="00C806D0" w:rsidRDefault="004442E4" w:rsidP="004442E4">
      <w:pPr>
        <w:rPr>
          <w:noProof/>
          <w:lang w:eastAsia="en-GB"/>
        </w:rPr>
      </w:pPr>
      <w:r w:rsidRPr="00C806D0">
        <w:t>The coefficient covariance matrix is detailed in table F27.</w:t>
      </w:r>
    </w:p>
    <w:p w:rsidR="004442E4" w:rsidRPr="00C806D0" w:rsidRDefault="004442E4" w:rsidP="004442E4">
      <w:pPr>
        <w:rPr>
          <w:noProof/>
          <w:lang w:eastAsia="en-GB"/>
        </w:rPr>
      </w:pPr>
    </w:p>
    <w:p w:rsidR="004442E4" w:rsidRPr="00C806D0" w:rsidRDefault="004442E4" w:rsidP="004442E4">
      <w:pPr>
        <w:rPr>
          <w:noProof/>
          <w:lang w:eastAsia="en-GB"/>
        </w:rPr>
      </w:pPr>
    </w:p>
    <w:p w:rsidR="004442E4" w:rsidRPr="00C806D0" w:rsidRDefault="004442E4" w:rsidP="004442E4">
      <w:pPr>
        <w:rPr>
          <w:noProof/>
          <w:lang w:eastAsia="en-GB"/>
        </w:rPr>
      </w:pPr>
    </w:p>
    <w:p w:rsidR="004442E4" w:rsidRPr="00C806D0" w:rsidRDefault="004442E4" w:rsidP="004442E4">
      <w:pPr>
        <w:rPr>
          <w:noProof/>
          <w:lang w:eastAsia="en-GB"/>
        </w:rPr>
      </w:pPr>
    </w:p>
    <w:p w:rsidR="004442E4" w:rsidRPr="00C806D0" w:rsidRDefault="004442E4" w:rsidP="004442E4">
      <w:pPr>
        <w:rPr>
          <w:noProof/>
          <w:lang w:eastAsia="en-GB"/>
        </w:rPr>
      </w:pPr>
    </w:p>
    <w:p w:rsidR="004442E4" w:rsidRPr="00C806D0" w:rsidRDefault="004442E4" w:rsidP="004442E4">
      <w:pPr>
        <w:rPr>
          <w:noProof/>
          <w:lang w:eastAsia="en-GB"/>
        </w:rPr>
      </w:pPr>
    </w:p>
    <w:p w:rsidR="004442E4" w:rsidRPr="00C806D0" w:rsidRDefault="004442E4" w:rsidP="004442E4">
      <w:pPr>
        <w:rPr>
          <w:noProof/>
          <w:lang w:eastAsia="en-GB"/>
        </w:rPr>
      </w:pPr>
    </w:p>
    <w:p w:rsidR="004442E4" w:rsidRPr="00C806D0" w:rsidRDefault="004442E4" w:rsidP="004442E4">
      <w:pPr>
        <w:rPr>
          <w:noProof/>
          <w:lang w:eastAsia="en-GB"/>
        </w:rPr>
      </w:pPr>
    </w:p>
    <w:p w:rsidR="004442E4" w:rsidRPr="00C806D0" w:rsidRDefault="004442E4" w:rsidP="004442E4">
      <w:pPr>
        <w:rPr>
          <w:b/>
          <w:noProof/>
          <w:lang w:eastAsia="en-GB"/>
        </w:rPr>
      </w:pPr>
      <w:r w:rsidRPr="00C806D0">
        <w:rPr>
          <w:b/>
          <w:noProof/>
          <w:lang w:eastAsia="en-GB"/>
        </w:rPr>
        <w:lastRenderedPageBreak/>
        <w:t>Table F26. Model coeffiecients for model predicting 12 month EQ5D from basic GOS category and age</w:t>
      </w:r>
    </w:p>
    <w:tbl>
      <w:tblPr>
        <w:tblStyle w:val="LightShading1"/>
        <w:tblW w:w="4966" w:type="pct"/>
        <w:jc w:val="center"/>
        <w:tblLook w:val="0620" w:firstRow="1" w:lastRow="0" w:firstColumn="0" w:lastColumn="0" w:noHBand="1" w:noVBand="1"/>
      </w:tblPr>
      <w:tblGrid>
        <w:gridCol w:w="3422"/>
        <w:gridCol w:w="1258"/>
        <w:gridCol w:w="1060"/>
        <w:gridCol w:w="811"/>
        <w:gridCol w:w="1091"/>
        <w:gridCol w:w="1019"/>
      </w:tblGrid>
      <w:tr w:rsidR="004442E4" w:rsidRPr="00C806D0" w:rsidTr="004442E4">
        <w:trPr>
          <w:cnfStyle w:val="100000000000" w:firstRow="1" w:lastRow="0" w:firstColumn="0" w:lastColumn="0" w:oddVBand="0" w:evenVBand="0" w:oddHBand="0" w:evenHBand="0" w:firstRowFirstColumn="0" w:firstRowLastColumn="0" w:lastRowFirstColumn="0" w:lastRowLastColumn="0"/>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Variable</w:t>
            </w:r>
          </w:p>
        </w:tc>
        <w:tc>
          <w:tcPr>
            <w:tcW w:w="726"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Coefficient</w:t>
            </w:r>
          </w:p>
        </w:tc>
        <w:tc>
          <w:tcPr>
            <w:tcW w:w="612"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SE</w:t>
            </w:r>
          </w:p>
        </w:tc>
        <w:tc>
          <w:tcPr>
            <w:tcW w:w="468"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p-Value</w:t>
            </w:r>
          </w:p>
        </w:tc>
        <w:tc>
          <w:tcPr>
            <w:tcW w:w="1218" w:type="pct"/>
            <w:gridSpan w:val="2"/>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95% Confidence Interval</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0.974</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0.009</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&lt;0.001</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0.956</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0.992</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Vegetative state</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-1.636</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0.143</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&lt;0.001</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 xml:space="preserve">-1.916 </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-1.355</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Severe disability</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-0.675</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0.039</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&lt;0.001</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-0.752</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-0.597</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Moderate disability</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-0.263</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0.020</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&lt;0.001</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-0.302</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-0.224</w:t>
            </w:r>
          </w:p>
        </w:tc>
      </w:tr>
      <w:tr w:rsidR="004442E4" w:rsidRPr="00C806D0" w:rsidTr="004442E4">
        <w:trPr>
          <w:trHeight w:val="244"/>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-0.002</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0.0002</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&lt;0.001</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-0.002</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 xml:space="preserve">Vegetative state *age </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0.011</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0.0025</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&lt;0.001</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0.006</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0.015</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Severe disability*age</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0.003</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0.0006</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&lt;0.001</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0.002</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0.004</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Moderate disability*age</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0.001</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0.0004</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0.088</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-0.0001</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0.002</w:t>
            </w:r>
          </w:p>
        </w:tc>
      </w:tr>
    </w:tbl>
    <w:p w:rsidR="004442E4" w:rsidRPr="00C806D0" w:rsidRDefault="00784923" w:rsidP="004442E4">
      <w:pPr>
        <w:rPr>
          <w:b/>
          <w:noProof/>
          <w:sz w:val="18"/>
          <w:szCs w:val="18"/>
          <w:lang w:eastAsia="en-GB"/>
        </w:rPr>
      </w:pPr>
      <w:r w:rsidRPr="00C806D0">
        <w:rPr>
          <w:sz w:val="18"/>
          <w:szCs w:val="18"/>
        </w:rPr>
        <w:t xml:space="preserve">Basic GOS coded as indicator variable with GOS 5, good recovery, as the baseline category. Basic GOS category 1, death, not modelled as this will equal zero by definition. </w:t>
      </w:r>
    </w:p>
    <w:p w:rsidR="004442E4" w:rsidRPr="00C806D0" w:rsidRDefault="004442E4" w:rsidP="004442E4">
      <w:pPr>
        <w:rPr>
          <w:b/>
          <w:noProof/>
          <w:lang w:eastAsia="en-GB"/>
        </w:rPr>
      </w:pPr>
    </w:p>
    <w:p w:rsidR="004442E4" w:rsidRPr="00C806D0" w:rsidRDefault="004442E4" w:rsidP="004442E4">
      <w:pPr>
        <w:rPr>
          <w:b/>
          <w:noProof/>
          <w:lang w:eastAsia="en-GB"/>
        </w:rPr>
      </w:pPr>
      <w:r w:rsidRPr="00C806D0">
        <w:rPr>
          <w:b/>
          <w:noProof/>
          <w:lang w:eastAsia="en-GB"/>
        </w:rPr>
        <w:t>Table F27. Covariance matrix for for model predicting 12 month EQ5D from basic GOS category and age</w:t>
      </w:r>
    </w:p>
    <w:tbl>
      <w:tblPr>
        <w:tblStyle w:val="LightShading1"/>
        <w:tblW w:w="5000" w:type="pct"/>
        <w:jc w:val="center"/>
        <w:tblLook w:val="0620" w:firstRow="1" w:lastRow="0" w:firstColumn="0" w:lastColumn="0" w:noHBand="1" w:noVBand="1"/>
      </w:tblPr>
      <w:tblGrid>
        <w:gridCol w:w="1014"/>
        <w:gridCol w:w="1138"/>
        <w:gridCol w:w="916"/>
        <w:gridCol w:w="916"/>
        <w:gridCol w:w="916"/>
        <w:gridCol w:w="977"/>
        <w:gridCol w:w="978"/>
        <w:gridCol w:w="978"/>
        <w:gridCol w:w="887"/>
      </w:tblGrid>
      <w:tr w:rsidR="004442E4" w:rsidRPr="00C806D0" w:rsidTr="004442E4">
        <w:trPr>
          <w:cnfStyle w:val="100000000000" w:firstRow="1" w:lastRow="0" w:firstColumn="0" w:lastColumn="0" w:oddVBand="0" w:evenVBand="0" w:oddHBand="0" w:evenHBand="0" w:firstRowFirstColumn="0" w:firstRowLastColumn="0" w:lastRowFirstColumn="0" w:lastRowLastColumn="0"/>
          <w:trHeight w:val="300"/>
          <w:jc w:val="center"/>
        </w:trPr>
        <w:tc>
          <w:tcPr>
            <w:tcW w:w="564" w:type="pct"/>
            <w:noWrap/>
            <w:hideMark/>
          </w:tcPr>
          <w:p w:rsidR="004442E4" w:rsidRPr="00C806D0" w:rsidRDefault="004442E4" w:rsidP="004442E4">
            <w:pPr>
              <w:rPr>
                <w:rFonts w:ascii="Calibri" w:hAnsi="Calibri"/>
                <w:sz w:val="18"/>
                <w:szCs w:val="18"/>
                <w:lang w:eastAsia="en-GB"/>
              </w:rPr>
            </w:pPr>
          </w:p>
        </w:tc>
        <w:tc>
          <w:tcPr>
            <w:tcW w:w="633"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GOS 2</w:t>
            </w:r>
          </w:p>
        </w:tc>
        <w:tc>
          <w:tcPr>
            <w:tcW w:w="510"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GOS 3</w:t>
            </w:r>
          </w:p>
        </w:tc>
        <w:tc>
          <w:tcPr>
            <w:tcW w:w="510"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GOS 4</w:t>
            </w:r>
          </w:p>
        </w:tc>
        <w:tc>
          <w:tcPr>
            <w:tcW w:w="510"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Age</w:t>
            </w:r>
          </w:p>
        </w:tc>
        <w:tc>
          <w:tcPr>
            <w:tcW w:w="593" w:type="pct"/>
          </w:tcPr>
          <w:p w:rsidR="004442E4" w:rsidRPr="00C806D0" w:rsidRDefault="004442E4" w:rsidP="004442E4">
            <w:pPr>
              <w:jc w:val="center"/>
              <w:rPr>
                <w:rFonts w:ascii="Calibri" w:hAnsi="Calibri"/>
                <w:b w:val="0"/>
                <w:bCs w:val="0"/>
                <w:sz w:val="18"/>
                <w:szCs w:val="18"/>
                <w:lang w:eastAsia="en-GB"/>
              </w:rPr>
            </w:pPr>
            <w:r w:rsidRPr="00C806D0">
              <w:rPr>
                <w:rFonts w:ascii="Calibri" w:hAnsi="Calibri"/>
                <w:color w:val="000000"/>
                <w:sz w:val="18"/>
                <w:szCs w:val="18"/>
              </w:rPr>
              <w:t>GOS 2* age</w:t>
            </w:r>
          </w:p>
        </w:tc>
        <w:tc>
          <w:tcPr>
            <w:tcW w:w="593" w:type="pct"/>
          </w:tcPr>
          <w:p w:rsidR="004442E4" w:rsidRPr="00C806D0" w:rsidRDefault="004442E4" w:rsidP="004442E4">
            <w:pPr>
              <w:jc w:val="center"/>
              <w:rPr>
                <w:rFonts w:ascii="Calibri" w:hAnsi="Calibri"/>
                <w:sz w:val="18"/>
                <w:szCs w:val="18"/>
                <w:lang w:eastAsia="en-GB"/>
              </w:rPr>
            </w:pPr>
            <w:r w:rsidRPr="00C806D0">
              <w:rPr>
                <w:rFonts w:ascii="Calibri" w:hAnsi="Calibri"/>
                <w:color w:val="000000"/>
                <w:sz w:val="18"/>
                <w:szCs w:val="18"/>
              </w:rPr>
              <w:t>GOS 3* age</w:t>
            </w:r>
          </w:p>
        </w:tc>
        <w:tc>
          <w:tcPr>
            <w:tcW w:w="593" w:type="pct"/>
          </w:tcPr>
          <w:p w:rsidR="004442E4" w:rsidRPr="00C806D0" w:rsidRDefault="004442E4" w:rsidP="004442E4">
            <w:pPr>
              <w:jc w:val="center"/>
              <w:rPr>
                <w:rFonts w:ascii="Calibri" w:hAnsi="Calibri"/>
                <w:sz w:val="18"/>
                <w:szCs w:val="18"/>
                <w:lang w:eastAsia="en-GB"/>
              </w:rPr>
            </w:pPr>
            <w:r w:rsidRPr="00C806D0">
              <w:rPr>
                <w:rFonts w:ascii="Calibri" w:hAnsi="Calibri"/>
                <w:color w:val="000000"/>
                <w:sz w:val="18"/>
                <w:szCs w:val="18"/>
              </w:rPr>
              <w:t>GOS 4* age</w:t>
            </w:r>
          </w:p>
        </w:tc>
        <w:tc>
          <w:tcPr>
            <w:tcW w:w="494" w:type="pct"/>
          </w:tcPr>
          <w:p w:rsidR="004442E4" w:rsidRPr="00C806D0" w:rsidRDefault="004442E4" w:rsidP="004442E4">
            <w:pPr>
              <w:jc w:val="center"/>
              <w:rPr>
                <w:rFonts w:ascii="Calibri" w:hAnsi="Calibri"/>
                <w:sz w:val="18"/>
                <w:szCs w:val="18"/>
                <w:lang w:eastAsia="en-GB"/>
              </w:rPr>
            </w:pPr>
            <w:r w:rsidRPr="00C806D0">
              <w:rPr>
                <w:rFonts w:ascii="Calibri" w:hAnsi="Calibri"/>
                <w:color w:val="000000"/>
                <w:sz w:val="18"/>
                <w:szCs w:val="18"/>
              </w:rPr>
              <w:t>Constant</w:t>
            </w:r>
          </w:p>
        </w:tc>
      </w:tr>
      <w:tr w:rsidR="004442E4" w:rsidRPr="00C806D0" w:rsidTr="004442E4">
        <w:trPr>
          <w:trHeight w:val="300"/>
          <w:jc w:val="center"/>
        </w:trPr>
        <w:tc>
          <w:tcPr>
            <w:tcW w:w="564" w:type="pct"/>
            <w:noWrap/>
            <w:vAlign w:val="bottom"/>
            <w:hideMark/>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GOS 2</w:t>
            </w:r>
          </w:p>
        </w:tc>
        <w:tc>
          <w:tcPr>
            <w:tcW w:w="63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0.02050298</w:t>
            </w:r>
          </w:p>
        </w:tc>
        <w:tc>
          <w:tcPr>
            <w:tcW w:w="510" w:type="pct"/>
            <w:noWrap/>
            <w:vAlign w:val="bottom"/>
            <w:hideMark/>
          </w:tcPr>
          <w:p w:rsidR="004442E4" w:rsidRPr="00C806D0" w:rsidRDefault="004442E4" w:rsidP="004442E4">
            <w:pPr>
              <w:rPr>
                <w:rFonts w:ascii="Calibri" w:hAnsi="Calibri"/>
                <w:color w:val="000000"/>
                <w:sz w:val="18"/>
                <w:szCs w:val="18"/>
              </w:rPr>
            </w:pPr>
          </w:p>
        </w:tc>
        <w:tc>
          <w:tcPr>
            <w:tcW w:w="510" w:type="pct"/>
            <w:noWrap/>
            <w:vAlign w:val="bottom"/>
            <w:hideMark/>
          </w:tcPr>
          <w:p w:rsidR="004442E4" w:rsidRPr="00C806D0" w:rsidRDefault="004442E4" w:rsidP="004442E4">
            <w:pPr>
              <w:rPr>
                <w:rFonts w:ascii="Calibri" w:hAnsi="Calibri"/>
                <w:color w:val="000000"/>
                <w:sz w:val="18"/>
                <w:szCs w:val="18"/>
              </w:rPr>
            </w:pPr>
          </w:p>
        </w:tc>
        <w:tc>
          <w:tcPr>
            <w:tcW w:w="510" w:type="pct"/>
            <w:noWrap/>
            <w:vAlign w:val="bottom"/>
            <w:hideMark/>
          </w:tcPr>
          <w:p w:rsidR="004442E4" w:rsidRPr="00C806D0" w:rsidRDefault="004442E4" w:rsidP="004442E4">
            <w:pPr>
              <w:rPr>
                <w:rFonts w:ascii="Calibri" w:hAnsi="Calibri"/>
                <w:color w:val="000000"/>
                <w:sz w:val="18"/>
                <w:szCs w:val="18"/>
              </w:rPr>
            </w:pPr>
          </w:p>
        </w:tc>
        <w:tc>
          <w:tcPr>
            <w:tcW w:w="593" w:type="pct"/>
            <w:noWrap/>
            <w:vAlign w:val="bottom"/>
            <w:hideMark/>
          </w:tcPr>
          <w:p w:rsidR="004442E4" w:rsidRPr="00C806D0" w:rsidRDefault="004442E4" w:rsidP="004442E4">
            <w:pPr>
              <w:rPr>
                <w:rFonts w:ascii="Calibri" w:hAnsi="Calibri"/>
                <w:color w:val="000000"/>
                <w:sz w:val="18"/>
                <w:szCs w:val="18"/>
              </w:rPr>
            </w:pPr>
          </w:p>
        </w:tc>
        <w:tc>
          <w:tcPr>
            <w:tcW w:w="593" w:type="pct"/>
            <w:vAlign w:val="bottom"/>
          </w:tcPr>
          <w:p w:rsidR="004442E4" w:rsidRPr="00C806D0" w:rsidRDefault="004442E4" w:rsidP="004442E4">
            <w:pPr>
              <w:rPr>
                <w:rFonts w:ascii="Calibri" w:hAnsi="Calibri"/>
                <w:color w:val="000000"/>
                <w:sz w:val="18"/>
                <w:szCs w:val="18"/>
              </w:rPr>
            </w:pPr>
          </w:p>
        </w:tc>
        <w:tc>
          <w:tcPr>
            <w:tcW w:w="593" w:type="pct"/>
            <w:vAlign w:val="bottom"/>
          </w:tcPr>
          <w:p w:rsidR="004442E4" w:rsidRPr="00C806D0" w:rsidRDefault="004442E4" w:rsidP="004442E4">
            <w:pPr>
              <w:rPr>
                <w:rFonts w:ascii="Calibri" w:hAnsi="Calibri"/>
                <w:color w:val="000000"/>
                <w:sz w:val="18"/>
                <w:szCs w:val="18"/>
              </w:rPr>
            </w:pPr>
          </w:p>
        </w:tc>
        <w:tc>
          <w:tcPr>
            <w:tcW w:w="494" w:type="pct"/>
            <w:vAlign w:val="bottom"/>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 xml:space="preserve">           </w:t>
            </w:r>
          </w:p>
        </w:tc>
      </w:tr>
      <w:tr w:rsidR="004442E4" w:rsidRPr="00C806D0" w:rsidTr="004442E4">
        <w:trPr>
          <w:trHeight w:val="300"/>
          <w:jc w:val="center"/>
        </w:trPr>
        <w:tc>
          <w:tcPr>
            <w:tcW w:w="564" w:type="pct"/>
            <w:noWrap/>
            <w:vAlign w:val="bottom"/>
            <w:hideMark/>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GOS 3</w:t>
            </w:r>
          </w:p>
        </w:tc>
        <w:tc>
          <w:tcPr>
            <w:tcW w:w="63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0.00008438</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0.001545</w:t>
            </w:r>
          </w:p>
        </w:tc>
        <w:tc>
          <w:tcPr>
            <w:tcW w:w="510" w:type="pct"/>
            <w:noWrap/>
            <w:vAlign w:val="bottom"/>
            <w:hideMark/>
          </w:tcPr>
          <w:p w:rsidR="004442E4" w:rsidRPr="00C806D0" w:rsidRDefault="004442E4" w:rsidP="004442E4">
            <w:pPr>
              <w:rPr>
                <w:rFonts w:ascii="Calibri" w:hAnsi="Calibri"/>
                <w:color w:val="000000"/>
                <w:sz w:val="18"/>
                <w:szCs w:val="18"/>
              </w:rPr>
            </w:pPr>
          </w:p>
        </w:tc>
        <w:tc>
          <w:tcPr>
            <w:tcW w:w="510" w:type="pct"/>
            <w:noWrap/>
            <w:vAlign w:val="bottom"/>
            <w:hideMark/>
          </w:tcPr>
          <w:p w:rsidR="004442E4" w:rsidRPr="00C806D0" w:rsidRDefault="004442E4" w:rsidP="004442E4">
            <w:pPr>
              <w:rPr>
                <w:rFonts w:ascii="Calibri" w:hAnsi="Calibri"/>
                <w:color w:val="000000"/>
                <w:sz w:val="18"/>
                <w:szCs w:val="18"/>
              </w:rPr>
            </w:pPr>
          </w:p>
        </w:tc>
        <w:tc>
          <w:tcPr>
            <w:tcW w:w="593" w:type="pct"/>
            <w:noWrap/>
            <w:vAlign w:val="bottom"/>
            <w:hideMark/>
          </w:tcPr>
          <w:p w:rsidR="004442E4" w:rsidRPr="00C806D0" w:rsidRDefault="004442E4" w:rsidP="004442E4">
            <w:pPr>
              <w:rPr>
                <w:rFonts w:ascii="Calibri" w:hAnsi="Calibri"/>
                <w:color w:val="000000"/>
                <w:sz w:val="18"/>
                <w:szCs w:val="18"/>
              </w:rPr>
            </w:pPr>
          </w:p>
        </w:tc>
        <w:tc>
          <w:tcPr>
            <w:tcW w:w="593" w:type="pct"/>
            <w:vAlign w:val="bottom"/>
          </w:tcPr>
          <w:p w:rsidR="004442E4" w:rsidRPr="00C806D0" w:rsidRDefault="004442E4" w:rsidP="004442E4">
            <w:pPr>
              <w:rPr>
                <w:rFonts w:ascii="Calibri" w:hAnsi="Calibri"/>
                <w:color w:val="000000"/>
                <w:sz w:val="18"/>
                <w:szCs w:val="18"/>
              </w:rPr>
            </w:pPr>
          </w:p>
        </w:tc>
        <w:tc>
          <w:tcPr>
            <w:tcW w:w="593" w:type="pct"/>
            <w:vAlign w:val="bottom"/>
          </w:tcPr>
          <w:p w:rsidR="004442E4" w:rsidRPr="00C806D0" w:rsidRDefault="004442E4" w:rsidP="004442E4">
            <w:pPr>
              <w:rPr>
                <w:rFonts w:ascii="Calibri" w:hAnsi="Calibri"/>
                <w:color w:val="000000"/>
                <w:sz w:val="18"/>
                <w:szCs w:val="18"/>
              </w:rPr>
            </w:pPr>
          </w:p>
        </w:tc>
        <w:tc>
          <w:tcPr>
            <w:tcW w:w="494" w:type="pct"/>
            <w:vAlign w:val="bottom"/>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 xml:space="preserve">           </w:t>
            </w:r>
          </w:p>
        </w:tc>
      </w:tr>
      <w:tr w:rsidR="004442E4" w:rsidRPr="00C806D0" w:rsidTr="004442E4">
        <w:trPr>
          <w:trHeight w:val="300"/>
          <w:jc w:val="center"/>
        </w:trPr>
        <w:tc>
          <w:tcPr>
            <w:tcW w:w="564" w:type="pct"/>
            <w:noWrap/>
            <w:vAlign w:val="bottom"/>
            <w:hideMark/>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GOS 4</w:t>
            </w:r>
          </w:p>
        </w:tc>
        <w:tc>
          <w:tcPr>
            <w:tcW w:w="63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0.00008438</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8.44E-05</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0.000399</w:t>
            </w:r>
          </w:p>
        </w:tc>
        <w:tc>
          <w:tcPr>
            <w:tcW w:w="510" w:type="pct"/>
            <w:noWrap/>
            <w:vAlign w:val="bottom"/>
            <w:hideMark/>
          </w:tcPr>
          <w:p w:rsidR="004442E4" w:rsidRPr="00C806D0" w:rsidRDefault="004442E4" w:rsidP="004442E4">
            <w:pPr>
              <w:rPr>
                <w:rFonts w:ascii="Calibri" w:hAnsi="Calibri"/>
                <w:color w:val="000000"/>
                <w:sz w:val="18"/>
                <w:szCs w:val="18"/>
              </w:rPr>
            </w:pPr>
          </w:p>
        </w:tc>
        <w:tc>
          <w:tcPr>
            <w:tcW w:w="593" w:type="pct"/>
            <w:noWrap/>
            <w:vAlign w:val="bottom"/>
            <w:hideMark/>
          </w:tcPr>
          <w:p w:rsidR="004442E4" w:rsidRPr="00C806D0" w:rsidRDefault="004442E4" w:rsidP="004442E4">
            <w:pPr>
              <w:rPr>
                <w:rFonts w:ascii="Calibri" w:hAnsi="Calibri"/>
                <w:color w:val="000000"/>
                <w:sz w:val="18"/>
                <w:szCs w:val="18"/>
              </w:rPr>
            </w:pPr>
          </w:p>
        </w:tc>
        <w:tc>
          <w:tcPr>
            <w:tcW w:w="593" w:type="pct"/>
            <w:vAlign w:val="bottom"/>
          </w:tcPr>
          <w:p w:rsidR="004442E4" w:rsidRPr="00C806D0" w:rsidRDefault="004442E4" w:rsidP="004442E4">
            <w:pPr>
              <w:rPr>
                <w:rFonts w:ascii="Calibri" w:hAnsi="Calibri"/>
                <w:color w:val="000000"/>
                <w:sz w:val="18"/>
                <w:szCs w:val="18"/>
              </w:rPr>
            </w:pPr>
          </w:p>
        </w:tc>
        <w:tc>
          <w:tcPr>
            <w:tcW w:w="593" w:type="pct"/>
            <w:vAlign w:val="bottom"/>
          </w:tcPr>
          <w:p w:rsidR="004442E4" w:rsidRPr="00C806D0" w:rsidRDefault="004442E4" w:rsidP="004442E4">
            <w:pPr>
              <w:rPr>
                <w:rFonts w:ascii="Calibri" w:hAnsi="Calibri"/>
                <w:color w:val="000000"/>
                <w:sz w:val="18"/>
                <w:szCs w:val="18"/>
              </w:rPr>
            </w:pPr>
          </w:p>
        </w:tc>
        <w:tc>
          <w:tcPr>
            <w:tcW w:w="494" w:type="pct"/>
            <w:vAlign w:val="bottom"/>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 xml:space="preserve">           </w:t>
            </w:r>
          </w:p>
        </w:tc>
      </w:tr>
      <w:tr w:rsidR="004442E4" w:rsidRPr="00C806D0" w:rsidTr="004442E4">
        <w:trPr>
          <w:trHeight w:val="300"/>
          <w:jc w:val="center"/>
        </w:trPr>
        <w:tc>
          <w:tcPr>
            <w:tcW w:w="564" w:type="pct"/>
            <w:noWrap/>
            <w:vAlign w:val="bottom"/>
            <w:hideMark/>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Age</w:t>
            </w:r>
          </w:p>
        </w:tc>
        <w:tc>
          <w:tcPr>
            <w:tcW w:w="63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3.60E-08</w:t>
            </w:r>
          </w:p>
        </w:tc>
        <w:tc>
          <w:tcPr>
            <w:tcW w:w="593" w:type="pct"/>
            <w:noWrap/>
            <w:vAlign w:val="bottom"/>
            <w:hideMark/>
          </w:tcPr>
          <w:p w:rsidR="004442E4" w:rsidRPr="00C806D0" w:rsidRDefault="004442E4" w:rsidP="004442E4">
            <w:pPr>
              <w:rPr>
                <w:rFonts w:ascii="Calibri" w:hAnsi="Calibri"/>
                <w:color w:val="000000"/>
                <w:sz w:val="18"/>
                <w:szCs w:val="18"/>
              </w:rPr>
            </w:pPr>
          </w:p>
        </w:tc>
        <w:tc>
          <w:tcPr>
            <w:tcW w:w="593" w:type="pct"/>
            <w:vAlign w:val="bottom"/>
          </w:tcPr>
          <w:p w:rsidR="004442E4" w:rsidRPr="00C806D0" w:rsidRDefault="004442E4" w:rsidP="004442E4">
            <w:pPr>
              <w:rPr>
                <w:rFonts w:ascii="Calibri" w:hAnsi="Calibri"/>
                <w:color w:val="000000"/>
                <w:sz w:val="18"/>
                <w:szCs w:val="18"/>
              </w:rPr>
            </w:pPr>
          </w:p>
        </w:tc>
        <w:tc>
          <w:tcPr>
            <w:tcW w:w="593" w:type="pct"/>
            <w:vAlign w:val="bottom"/>
          </w:tcPr>
          <w:p w:rsidR="004442E4" w:rsidRPr="00C806D0" w:rsidRDefault="004442E4" w:rsidP="004442E4">
            <w:pPr>
              <w:rPr>
                <w:rFonts w:ascii="Calibri" w:hAnsi="Calibri"/>
                <w:color w:val="000000"/>
                <w:sz w:val="18"/>
                <w:szCs w:val="18"/>
              </w:rPr>
            </w:pPr>
          </w:p>
        </w:tc>
        <w:tc>
          <w:tcPr>
            <w:tcW w:w="494" w:type="pct"/>
            <w:vAlign w:val="bottom"/>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 xml:space="preserve">           </w:t>
            </w:r>
          </w:p>
        </w:tc>
      </w:tr>
      <w:tr w:rsidR="004442E4" w:rsidRPr="00C806D0" w:rsidTr="004442E4">
        <w:trPr>
          <w:trHeight w:val="244"/>
          <w:jc w:val="center"/>
        </w:trPr>
        <w:tc>
          <w:tcPr>
            <w:tcW w:w="564" w:type="pct"/>
            <w:noWrap/>
            <w:vAlign w:val="bottom"/>
            <w:hideMark/>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GOS 2*age</w:t>
            </w:r>
          </w:p>
        </w:tc>
        <w:tc>
          <w:tcPr>
            <w:tcW w:w="63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-0.00033299</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-3.60E-08</w:t>
            </w:r>
          </w:p>
        </w:tc>
        <w:tc>
          <w:tcPr>
            <w:tcW w:w="5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6.26E-06</w:t>
            </w:r>
          </w:p>
        </w:tc>
        <w:tc>
          <w:tcPr>
            <w:tcW w:w="593" w:type="pct"/>
            <w:vAlign w:val="bottom"/>
          </w:tcPr>
          <w:p w:rsidR="004442E4" w:rsidRPr="00C806D0" w:rsidRDefault="004442E4" w:rsidP="004442E4">
            <w:pPr>
              <w:rPr>
                <w:rFonts w:ascii="Calibri" w:hAnsi="Calibri"/>
                <w:color w:val="000000"/>
                <w:sz w:val="18"/>
                <w:szCs w:val="18"/>
              </w:rPr>
            </w:pPr>
          </w:p>
        </w:tc>
        <w:tc>
          <w:tcPr>
            <w:tcW w:w="593" w:type="pct"/>
            <w:vAlign w:val="bottom"/>
          </w:tcPr>
          <w:p w:rsidR="004442E4" w:rsidRPr="00C806D0" w:rsidRDefault="004442E4" w:rsidP="004442E4">
            <w:pPr>
              <w:rPr>
                <w:rFonts w:ascii="Calibri" w:hAnsi="Calibri"/>
                <w:color w:val="000000"/>
                <w:sz w:val="18"/>
                <w:szCs w:val="18"/>
              </w:rPr>
            </w:pPr>
          </w:p>
        </w:tc>
        <w:tc>
          <w:tcPr>
            <w:tcW w:w="494" w:type="pct"/>
            <w:vAlign w:val="bottom"/>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 xml:space="preserve">           </w:t>
            </w:r>
          </w:p>
        </w:tc>
      </w:tr>
      <w:tr w:rsidR="004442E4" w:rsidRPr="00C806D0" w:rsidTr="004442E4">
        <w:trPr>
          <w:trHeight w:val="300"/>
          <w:jc w:val="center"/>
        </w:trPr>
        <w:tc>
          <w:tcPr>
            <w:tcW w:w="564" w:type="pct"/>
            <w:noWrap/>
            <w:vAlign w:val="bottom"/>
            <w:hideMark/>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GOS 3*age</w:t>
            </w:r>
          </w:p>
        </w:tc>
        <w:tc>
          <w:tcPr>
            <w:tcW w:w="63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-2.1E-05</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-3.60E-08</w:t>
            </w:r>
          </w:p>
        </w:tc>
        <w:tc>
          <w:tcPr>
            <w:tcW w:w="5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3.60E-08</w:t>
            </w:r>
          </w:p>
        </w:tc>
        <w:tc>
          <w:tcPr>
            <w:tcW w:w="593" w:type="pct"/>
            <w:vAlign w:val="bottom"/>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3.18E-07</w:t>
            </w:r>
          </w:p>
        </w:tc>
        <w:tc>
          <w:tcPr>
            <w:tcW w:w="593" w:type="pct"/>
            <w:vAlign w:val="bottom"/>
          </w:tcPr>
          <w:p w:rsidR="004442E4" w:rsidRPr="00C806D0" w:rsidRDefault="004442E4" w:rsidP="004442E4">
            <w:pPr>
              <w:rPr>
                <w:rFonts w:ascii="Calibri" w:hAnsi="Calibri"/>
                <w:color w:val="000000"/>
                <w:sz w:val="18"/>
                <w:szCs w:val="18"/>
              </w:rPr>
            </w:pPr>
          </w:p>
        </w:tc>
        <w:tc>
          <w:tcPr>
            <w:tcW w:w="494" w:type="pct"/>
            <w:vAlign w:val="bottom"/>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 xml:space="preserve">           </w:t>
            </w:r>
          </w:p>
        </w:tc>
      </w:tr>
      <w:tr w:rsidR="004442E4" w:rsidRPr="00C806D0" w:rsidTr="004442E4">
        <w:trPr>
          <w:trHeight w:val="300"/>
          <w:jc w:val="center"/>
        </w:trPr>
        <w:tc>
          <w:tcPr>
            <w:tcW w:w="564" w:type="pct"/>
            <w:noWrap/>
            <w:vAlign w:val="bottom"/>
            <w:hideMark/>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GOS 4*age</w:t>
            </w:r>
          </w:p>
        </w:tc>
        <w:tc>
          <w:tcPr>
            <w:tcW w:w="63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-7.80E-06</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-3.60E-08</w:t>
            </w:r>
          </w:p>
        </w:tc>
        <w:tc>
          <w:tcPr>
            <w:tcW w:w="5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3.60E-08</w:t>
            </w:r>
          </w:p>
        </w:tc>
        <w:tc>
          <w:tcPr>
            <w:tcW w:w="593" w:type="pct"/>
            <w:vAlign w:val="bottom"/>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3.60E-08</w:t>
            </w:r>
          </w:p>
        </w:tc>
        <w:tc>
          <w:tcPr>
            <w:tcW w:w="593" w:type="pct"/>
            <w:vAlign w:val="bottom"/>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1.88E-07</w:t>
            </w:r>
          </w:p>
        </w:tc>
        <w:tc>
          <w:tcPr>
            <w:tcW w:w="494" w:type="pct"/>
            <w:vAlign w:val="bottom"/>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 xml:space="preserve">           </w:t>
            </w:r>
          </w:p>
        </w:tc>
      </w:tr>
      <w:tr w:rsidR="004442E4" w:rsidRPr="00C806D0" w:rsidTr="004442E4">
        <w:trPr>
          <w:trHeight w:val="300"/>
          <w:jc w:val="center"/>
        </w:trPr>
        <w:tc>
          <w:tcPr>
            <w:tcW w:w="564" w:type="pct"/>
            <w:noWrap/>
            <w:vAlign w:val="bottom"/>
            <w:hideMark/>
          </w:tcPr>
          <w:p w:rsidR="004442E4" w:rsidRPr="00C806D0" w:rsidRDefault="004442E4" w:rsidP="004442E4">
            <w:pPr>
              <w:rPr>
                <w:rFonts w:ascii="Calibri" w:hAnsi="Calibri"/>
                <w:color w:val="000000"/>
                <w:sz w:val="18"/>
                <w:szCs w:val="18"/>
              </w:rPr>
            </w:pPr>
            <w:r w:rsidRPr="00C806D0">
              <w:rPr>
                <w:rFonts w:ascii="Calibri" w:hAnsi="Calibri"/>
                <w:color w:val="000000"/>
                <w:sz w:val="18"/>
                <w:szCs w:val="18"/>
              </w:rPr>
              <w:t>Constant</w:t>
            </w:r>
          </w:p>
        </w:tc>
        <w:tc>
          <w:tcPr>
            <w:tcW w:w="63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-0.00008438</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-8.4E-05</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-8.4E-05</w:t>
            </w:r>
          </w:p>
        </w:tc>
        <w:tc>
          <w:tcPr>
            <w:tcW w:w="510"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93" w:type="pct"/>
            <w:noWrap/>
            <w:vAlign w:val="bottom"/>
            <w:hideMark/>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93" w:type="pct"/>
            <w:vAlign w:val="bottom"/>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593" w:type="pct"/>
            <w:vAlign w:val="bottom"/>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1.56E-06</w:t>
            </w:r>
          </w:p>
        </w:tc>
        <w:tc>
          <w:tcPr>
            <w:tcW w:w="494" w:type="pct"/>
            <w:vAlign w:val="bottom"/>
          </w:tcPr>
          <w:p w:rsidR="004442E4" w:rsidRPr="00C806D0" w:rsidRDefault="004442E4" w:rsidP="004442E4">
            <w:pPr>
              <w:jc w:val="right"/>
              <w:rPr>
                <w:rFonts w:ascii="Calibri" w:hAnsi="Calibri"/>
                <w:color w:val="000000"/>
                <w:sz w:val="18"/>
                <w:szCs w:val="18"/>
              </w:rPr>
            </w:pPr>
            <w:r w:rsidRPr="00C806D0">
              <w:rPr>
                <w:rFonts w:ascii="Calibri" w:hAnsi="Calibri"/>
                <w:color w:val="000000"/>
                <w:sz w:val="18"/>
                <w:szCs w:val="18"/>
              </w:rPr>
              <w:t>8.44E-05</w:t>
            </w:r>
          </w:p>
        </w:tc>
      </w:tr>
    </w:tbl>
    <w:p w:rsidR="004442E4" w:rsidRPr="00C806D0" w:rsidRDefault="004442E4" w:rsidP="004442E4">
      <w:pPr>
        <w:rPr>
          <w:b/>
          <w:noProof/>
          <w:lang w:eastAsia="en-GB"/>
        </w:rPr>
      </w:pPr>
    </w:p>
    <w:p w:rsidR="004442E4" w:rsidRPr="00C806D0" w:rsidRDefault="004442E4" w:rsidP="004442E4">
      <w:pPr>
        <w:rPr>
          <w:b/>
          <w:noProof/>
          <w:lang w:eastAsia="en-GB"/>
        </w:rPr>
      </w:pPr>
    </w:p>
    <w:p w:rsidR="004442E4" w:rsidRPr="00C806D0" w:rsidRDefault="004442E4" w:rsidP="004442E4">
      <w:pPr>
        <w:rPr>
          <w:b/>
          <w:noProof/>
          <w:lang w:eastAsia="en-GB"/>
        </w:rPr>
      </w:pPr>
    </w:p>
    <w:p w:rsidR="004442E4" w:rsidRPr="00C806D0" w:rsidRDefault="004442E4" w:rsidP="004442E4">
      <w:pPr>
        <w:rPr>
          <w:b/>
          <w:noProof/>
          <w:lang w:eastAsia="en-GB"/>
        </w:rPr>
      </w:pPr>
    </w:p>
    <w:p w:rsidR="004442E4" w:rsidRPr="00C806D0" w:rsidRDefault="004442E4" w:rsidP="004442E4">
      <w:pPr>
        <w:rPr>
          <w:b/>
          <w:noProof/>
          <w:lang w:eastAsia="en-GB"/>
        </w:rPr>
      </w:pPr>
    </w:p>
    <w:p w:rsidR="004442E4" w:rsidRPr="00C806D0" w:rsidRDefault="004442E4" w:rsidP="004442E4">
      <w:pPr>
        <w:rPr>
          <w:b/>
          <w:noProof/>
          <w:lang w:eastAsia="en-GB"/>
        </w:rPr>
      </w:pPr>
    </w:p>
    <w:p w:rsidR="004442E4" w:rsidRPr="00C806D0" w:rsidRDefault="004442E4" w:rsidP="004442E4">
      <w:pPr>
        <w:rPr>
          <w:b/>
          <w:noProof/>
          <w:lang w:eastAsia="en-GB"/>
        </w:rPr>
      </w:pPr>
    </w:p>
    <w:p w:rsidR="004442E4" w:rsidRPr="00C806D0" w:rsidRDefault="004442E4" w:rsidP="004442E4">
      <w:pPr>
        <w:rPr>
          <w:b/>
          <w:noProof/>
          <w:lang w:eastAsia="en-GB"/>
        </w:rPr>
      </w:pPr>
      <w:r w:rsidRPr="00C806D0">
        <w:rPr>
          <w:b/>
          <w:noProof/>
          <w:lang w:val="en-US"/>
        </w:rPr>
        <w:lastRenderedPageBreak/>
        <w:drawing>
          <wp:inline distT="0" distB="0" distL="0" distR="0">
            <wp:extent cx="5731510" cy="4168140"/>
            <wp:effectExtent l="19050" t="0" r="2540" b="0"/>
            <wp:docPr id="12" name="Picture 1" descr="linear regression observed v predicted basic simple model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regression observed v predicted basic simple model_label.tif"/>
                    <pic:cNvPicPr/>
                  </pic:nvPicPr>
                  <pic:blipFill>
                    <a:blip r:embed="rId22" cstate="print"/>
                    <a:stretch>
                      <a:fillRect/>
                    </a:stretch>
                  </pic:blipFill>
                  <pic:spPr>
                    <a:xfrm>
                      <a:off x="0" y="0"/>
                      <a:ext cx="5731510" cy="4168140"/>
                    </a:xfrm>
                    <a:prstGeom prst="rect">
                      <a:avLst/>
                    </a:prstGeom>
                  </pic:spPr>
                </pic:pic>
              </a:graphicData>
            </a:graphic>
          </wp:inline>
        </w:drawing>
      </w:r>
    </w:p>
    <w:p w:rsidR="004442E4" w:rsidRPr="00C806D0" w:rsidRDefault="004442E4" w:rsidP="004442E4">
      <w:pPr>
        <w:rPr>
          <w:b/>
          <w:noProof/>
          <w:lang w:eastAsia="en-GB"/>
        </w:rPr>
      </w:pPr>
    </w:p>
    <w:p w:rsidR="004442E4" w:rsidRPr="00C806D0" w:rsidRDefault="003371A8" w:rsidP="004442E4">
      <w:pPr>
        <w:rPr>
          <w:noProof/>
          <w:lang w:eastAsia="en-GB"/>
        </w:rPr>
      </w:pPr>
      <w:r w:rsidRPr="00C806D0">
        <w:rPr>
          <w:b/>
          <w:noProof/>
          <w:lang w:eastAsia="en-GB"/>
        </w:rPr>
        <w:t>Figure F2</w:t>
      </w:r>
      <w:r w:rsidR="004442E4" w:rsidRPr="00C806D0">
        <w:rPr>
          <w:b/>
          <w:noProof/>
          <w:lang w:eastAsia="en-GB"/>
        </w:rPr>
        <w:t xml:space="preserve">. Observed v predicted mean EQ5D at 12 months at different ages stratified by basic GOS category. </w:t>
      </w:r>
      <w:r w:rsidR="004442E4" w:rsidRPr="00C806D0">
        <w:rPr>
          <w:noProof/>
          <w:sz w:val="20"/>
          <w:szCs w:val="20"/>
          <w:lang w:eastAsia="en-GB"/>
        </w:rPr>
        <w:t>Symbols and error bars represent observed mean EQ5D and 95% confidence intervals. Lines and shaded areas represent corresponding predicted values. Note that small numbers of patients with vegetative state precluded the caclulation of confidence intervals for the 16-20, 20</w:t>
      </w:r>
      <w:r w:rsidR="00784923" w:rsidRPr="00C806D0">
        <w:rPr>
          <w:noProof/>
          <w:sz w:val="20"/>
          <w:szCs w:val="20"/>
          <w:lang w:eastAsia="en-GB"/>
        </w:rPr>
        <w:t>-30, 40-50 and 50-60 are groups. There were no pateints with vegetative state aged over 60 years.</w:t>
      </w:r>
    </w:p>
    <w:p w:rsidR="004442E4" w:rsidRPr="00C806D0" w:rsidRDefault="004442E4" w:rsidP="004442E4">
      <w:pPr>
        <w:rPr>
          <w:b/>
          <w:noProof/>
          <w:lang w:eastAsia="en-GB"/>
        </w:rPr>
      </w:pPr>
    </w:p>
    <w:p w:rsidR="004442E4" w:rsidRPr="00C806D0" w:rsidRDefault="004442E4" w:rsidP="004442E4">
      <w:r w:rsidRPr="00C806D0">
        <w:t xml:space="preserve">Three thousand and eighty nine cases were included in an available case analysis evaluating a detailed model including basic GOS, age, co-morbidity, </w:t>
      </w:r>
      <w:r w:rsidR="002A16B4" w:rsidRPr="00C806D0">
        <w:t>extracranial</w:t>
      </w:r>
      <w:r w:rsidRPr="00C806D0">
        <w:t xml:space="preserve"> injury and gender. An age by GOS interaction was again apparent and all variables were independent predictors of mean 12 month EQ5D. Model coefficients and covariance matrix are presented in Tables F28 and F29. Predicted values demonstrated a close fit to observed mean EQ5D at</w:t>
      </w:r>
      <w:r w:rsidR="003371A8" w:rsidRPr="00C806D0">
        <w:t xml:space="preserve"> different age groups (Figure F3</w:t>
      </w:r>
      <w:r w:rsidRPr="00C806D0">
        <w:t>). R</w:t>
      </w:r>
      <w:r w:rsidRPr="00C806D0">
        <w:rPr>
          <w:vertAlign w:val="superscript"/>
        </w:rPr>
        <w:t>2</w:t>
      </w:r>
      <w:r w:rsidRPr="00C806D0">
        <w:t xml:space="preserve"> was 0.405, root mean squared error was 0.255 and the Bayesian Information Criterion was 395.15. Model diagnostics were similar to the initial model. </w:t>
      </w:r>
    </w:p>
    <w:p w:rsidR="004442E4" w:rsidRPr="00C806D0" w:rsidRDefault="004442E4" w:rsidP="004442E4">
      <w:pPr>
        <w:rPr>
          <w:b/>
        </w:rPr>
      </w:pPr>
    </w:p>
    <w:p w:rsidR="004442E4" w:rsidRPr="00C806D0" w:rsidRDefault="004442E4" w:rsidP="004442E4">
      <w:pPr>
        <w:rPr>
          <w:b/>
        </w:rPr>
      </w:pPr>
    </w:p>
    <w:p w:rsidR="004442E4" w:rsidRPr="00C806D0" w:rsidRDefault="004442E4" w:rsidP="004442E4">
      <w:pPr>
        <w:rPr>
          <w:b/>
        </w:rPr>
      </w:pPr>
    </w:p>
    <w:p w:rsidR="004442E4" w:rsidRPr="00C806D0" w:rsidRDefault="004442E4" w:rsidP="004442E4">
      <w:pPr>
        <w:rPr>
          <w:b/>
        </w:rPr>
      </w:pPr>
    </w:p>
    <w:p w:rsidR="004442E4" w:rsidRPr="00C806D0" w:rsidRDefault="004442E4" w:rsidP="004442E4">
      <w:pPr>
        <w:rPr>
          <w:b/>
        </w:rPr>
      </w:pPr>
      <w:r w:rsidRPr="00C806D0">
        <w:rPr>
          <w:b/>
          <w:noProof/>
          <w:lang w:eastAsia="en-GB"/>
        </w:rPr>
        <w:lastRenderedPageBreak/>
        <w:t xml:space="preserve">Table F28. Model coeffiecients for model predicting 12 month EQ5D from basic GOS category, age, gender, </w:t>
      </w:r>
      <w:r w:rsidR="002A16B4" w:rsidRPr="00C806D0">
        <w:rPr>
          <w:b/>
          <w:noProof/>
          <w:lang w:eastAsia="en-GB"/>
        </w:rPr>
        <w:t>extracranial</w:t>
      </w:r>
      <w:r w:rsidRPr="00C806D0">
        <w:rPr>
          <w:b/>
          <w:noProof/>
          <w:lang w:eastAsia="en-GB"/>
        </w:rPr>
        <w:t xml:space="preserve"> injury and co-morbidity</w:t>
      </w:r>
    </w:p>
    <w:tbl>
      <w:tblPr>
        <w:tblStyle w:val="LightShading1"/>
        <w:tblW w:w="4966" w:type="pct"/>
        <w:jc w:val="center"/>
        <w:tblLook w:val="0620" w:firstRow="1" w:lastRow="0" w:firstColumn="0" w:lastColumn="0" w:noHBand="1" w:noVBand="1"/>
      </w:tblPr>
      <w:tblGrid>
        <w:gridCol w:w="3422"/>
        <w:gridCol w:w="1258"/>
        <w:gridCol w:w="1060"/>
        <w:gridCol w:w="811"/>
        <w:gridCol w:w="1091"/>
        <w:gridCol w:w="1019"/>
      </w:tblGrid>
      <w:tr w:rsidR="004442E4" w:rsidRPr="00C806D0" w:rsidTr="004442E4">
        <w:trPr>
          <w:cnfStyle w:val="100000000000" w:firstRow="1" w:lastRow="0" w:firstColumn="0" w:lastColumn="0" w:oddVBand="0" w:evenVBand="0" w:oddHBand="0" w:evenHBand="0" w:firstRowFirstColumn="0" w:firstRowLastColumn="0" w:lastRowFirstColumn="0" w:lastRowLastColumn="0"/>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Variable</w:t>
            </w:r>
          </w:p>
        </w:tc>
        <w:tc>
          <w:tcPr>
            <w:tcW w:w="726"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Coefficient</w:t>
            </w:r>
          </w:p>
        </w:tc>
        <w:tc>
          <w:tcPr>
            <w:tcW w:w="612"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SE</w:t>
            </w:r>
          </w:p>
        </w:tc>
        <w:tc>
          <w:tcPr>
            <w:tcW w:w="468" w:type="pct"/>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p-Value</w:t>
            </w:r>
          </w:p>
        </w:tc>
        <w:tc>
          <w:tcPr>
            <w:tcW w:w="1218" w:type="pct"/>
            <w:gridSpan w:val="2"/>
            <w:noWrap/>
            <w:hideMark/>
          </w:tcPr>
          <w:p w:rsidR="004442E4" w:rsidRPr="00C806D0" w:rsidRDefault="004442E4" w:rsidP="004442E4">
            <w:pPr>
              <w:jc w:val="center"/>
              <w:rPr>
                <w:rFonts w:ascii="Calibri" w:hAnsi="Calibri"/>
                <w:sz w:val="18"/>
                <w:szCs w:val="18"/>
                <w:lang w:eastAsia="en-GB"/>
              </w:rPr>
            </w:pPr>
            <w:r w:rsidRPr="00C806D0">
              <w:rPr>
                <w:rFonts w:ascii="Calibri" w:hAnsi="Calibri"/>
                <w:sz w:val="18"/>
                <w:szCs w:val="18"/>
                <w:lang w:eastAsia="en-GB"/>
              </w:rPr>
              <w:t>95% Confidence Interval</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Constant</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0.981</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0.010</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0.961</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1.001</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Vegetative state</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-1.714</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0.101</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-1.912</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-1.516</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Severe disability</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-0.652</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0.042</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-0.734</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-0.570</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Moderate disability</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-0.260</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0.021</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-0.302</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-0.218</w:t>
            </w:r>
          </w:p>
        </w:tc>
      </w:tr>
      <w:tr w:rsidR="004442E4" w:rsidRPr="00C806D0" w:rsidTr="004442E4">
        <w:trPr>
          <w:trHeight w:val="244"/>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Age</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-0.001</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-0.002</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-0.001</w:t>
            </w:r>
          </w:p>
        </w:tc>
      </w:tr>
      <w:tr w:rsidR="004442E4" w:rsidRPr="00C806D0" w:rsidTr="004442E4">
        <w:trPr>
          <w:trHeight w:val="244"/>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Female gender</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-0.034</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0.011</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0.002</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-0.056</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-0.012</w:t>
            </w:r>
          </w:p>
        </w:tc>
      </w:tr>
      <w:tr w:rsidR="004442E4" w:rsidRPr="00C806D0" w:rsidTr="004442E4">
        <w:trPr>
          <w:trHeight w:val="244"/>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 xml:space="preserve">Major </w:t>
            </w:r>
            <w:r w:rsidR="002A16B4" w:rsidRPr="00C806D0">
              <w:rPr>
                <w:rFonts w:ascii="Calibri" w:hAnsi="Calibri"/>
                <w:sz w:val="18"/>
                <w:szCs w:val="18"/>
                <w:lang w:eastAsia="en-GB"/>
              </w:rPr>
              <w:t>extracranial</w:t>
            </w:r>
            <w:r w:rsidRPr="00C806D0">
              <w:rPr>
                <w:rFonts w:ascii="Calibri" w:hAnsi="Calibri"/>
                <w:sz w:val="18"/>
                <w:szCs w:val="18"/>
                <w:lang w:eastAsia="en-GB"/>
              </w:rPr>
              <w:t xml:space="preserve"> injury</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-0.031</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0.010</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0.003</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-0.052</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-0.011</w:t>
            </w:r>
          </w:p>
        </w:tc>
      </w:tr>
      <w:tr w:rsidR="004442E4" w:rsidRPr="00C806D0" w:rsidTr="004442E4">
        <w:trPr>
          <w:trHeight w:val="244"/>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Serious co-morbidity</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-0.047</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0.012</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-0.072</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-0.023</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 xml:space="preserve">Vegetative state *age </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0.012</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0.001</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0.009</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0.014</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Severe disability*age</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0.003</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0.001</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0.002</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0.004</w:t>
            </w:r>
          </w:p>
        </w:tc>
      </w:tr>
      <w:tr w:rsidR="004442E4" w:rsidRPr="00C806D0" w:rsidTr="004442E4">
        <w:trPr>
          <w:trHeight w:val="300"/>
          <w:jc w:val="center"/>
        </w:trPr>
        <w:tc>
          <w:tcPr>
            <w:tcW w:w="1976" w:type="pct"/>
            <w:noWrap/>
            <w:hideMark/>
          </w:tcPr>
          <w:p w:rsidR="004442E4" w:rsidRPr="00C806D0" w:rsidRDefault="004442E4" w:rsidP="004442E4">
            <w:pPr>
              <w:rPr>
                <w:rFonts w:ascii="Calibri" w:hAnsi="Calibri"/>
                <w:sz w:val="18"/>
                <w:szCs w:val="18"/>
                <w:lang w:eastAsia="en-GB"/>
              </w:rPr>
            </w:pPr>
            <w:r w:rsidRPr="00C806D0">
              <w:rPr>
                <w:rFonts w:ascii="Calibri" w:hAnsi="Calibri"/>
                <w:sz w:val="18"/>
                <w:szCs w:val="18"/>
                <w:lang w:eastAsia="en-GB"/>
              </w:rPr>
              <w:t>Moderate disability*age</w:t>
            </w:r>
          </w:p>
        </w:tc>
        <w:tc>
          <w:tcPr>
            <w:tcW w:w="726"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0.001</w:t>
            </w:r>
          </w:p>
        </w:tc>
        <w:tc>
          <w:tcPr>
            <w:tcW w:w="612"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46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0.110</w:t>
            </w:r>
          </w:p>
        </w:tc>
        <w:tc>
          <w:tcPr>
            <w:tcW w:w="630"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0.000</w:t>
            </w:r>
          </w:p>
        </w:tc>
        <w:tc>
          <w:tcPr>
            <w:tcW w:w="588" w:type="pct"/>
            <w:noWrap/>
            <w:vAlign w:val="bottom"/>
            <w:hideMark/>
          </w:tcPr>
          <w:p w:rsidR="004442E4" w:rsidRPr="00C806D0" w:rsidRDefault="004442E4" w:rsidP="004442E4">
            <w:pPr>
              <w:jc w:val="center"/>
              <w:rPr>
                <w:rFonts w:ascii="Calibri" w:hAnsi="Calibri"/>
                <w:color w:val="000000"/>
                <w:sz w:val="18"/>
                <w:szCs w:val="18"/>
              </w:rPr>
            </w:pPr>
            <w:r w:rsidRPr="00C806D0">
              <w:rPr>
                <w:rFonts w:ascii="Calibri" w:hAnsi="Calibri"/>
                <w:color w:val="000000"/>
                <w:sz w:val="18"/>
                <w:szCs w:val="18"/>
              </w:rPr>
              <w:t>0.002</w:t>
            </w:r>
          </w:p>
        </w:tc>
      </w:tr>
    </w:tbl>
    <w:p w:rsidR="00784923" w:rsidRPr="00C806D0" w:rsidRDefault="00784923" w:rsidP="00784923">
      <w:pPr>
        <w:rPr>
          <w:b/>
          <w:noProof/>
          <w:sz w:val="18"/>
          <w:szCs w:val="18"/>
          <w:lang w:eastAsia="en-GB"/>
        </w:rPr>
      </w:pPr>
      <w:r w:rsidRPr="00C806D0">
        <w:rPr>
          <w:sz w:val="18"/>
          <w:szCs w:val="18"/>
        </w:rPr>
        <w:t xml:space="preserve">Basic GOS coded as indicator variable with GOS 5, good recovery, as the baseline category. Basic GOS category 1, death, not modelled as this will equal zero by definition. </w:t>
      </w:r>
    </w:p>
    <w:p w:rsidR="004442E4" w:rsidRPr="00C806D0" w:rsidRDefault="004442E4" w:rsidP="004442E4">
      <w:pPr>
        <w:rPr>
          <w:b/>
        </w:rPr>
      </w:pPr>
      <w:r w:rsidRPr="00C806D0">
        <w:rPr>
          <w:b/>
          <w:noProof/>
          <w:lang w:val="en-US"/>
        </w:rPr>
        <w:drawing>
          <wp:inline distT="0" distB="0" distL="0" distR="0">
            <wp:extent cx="5731510" cy="4168140"/>
            <wp:effectExtent l="19050" t="0" r="2540" b="0"/>
            <wp:docPr id="16" name="Picture 0" descr="linear regression observed v predicted basic detailed model_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regression observed v predicted basic detailed model_label.tif"/>
                    <pic:cNvPicPr/>
                  </pic:nvPicPr>
                  <pic:blipFill>
                    <a:blip r:embed="rId23" cstate="print"/>
                    <a:stretch>
                      <a:fillRect/>
                    </a:stretch>
                  </pic:blipFill>
                  <pic:spPr>
                    <a:xfrm>
                      <a:off x="0" y="0"/>
                      <a:ext cx="5731510" cy="4168140"/>
                    </a:xfrm>
                    <a:prstGeom prst="rect">
                      <a:avLst/>
                    </a:prstGeom>
                  </pic:spPr>
                </pic:pic>
              </a:graphicData>
            </a:graphic>
          </wp:inline>
        </w:drawing>
      </w:r>
    </w:p>
    <w:p w:rsidR="00776188" w:rsidRPr="00C806D0" w:rsidRDefault="003371A8" w:rsidP="004442E4">
      <w:pPr>
        <w:rPr>
          <w:noProof/>
          <w:lang w:eastAsia="en-GB"/>
        </w:rPr>
      </w:pPr>
      <w:r w:rsidRPr="00C806D0">
        <w:rPr>
          <w:b/>
          <w:noProof/>
          <w:lang w:eastAsia="en-GB"/>
        </w:rPr>
        <w:t>Figure F3</w:t>
      </w:r>
      <w:r w:rsidR="004442E4" w:rsidRPr="00C806D0">
        <w:rPr>
          <w:b/>
          <w:noProof/>
          <w:lang w:eastAsia="en-GB"/>
        </w:rPr>
        <w:t xml:space="preserve">. Observed v predicted mean EQ5D at 12 months at different ages stratified by basic GOS category for male patients with no co-morbidities or </w:t>
      </w:r>
      <w:r w:rsidR="002A16B4" w:rsidRPr="00C806D0">
        <w:rPr>
          <w:b/>
          <w:noProof/>
          <w:lang w:eastAsia="en-GB"/>
        </w:rPr>
        <w:t>extracranial</w:t>
      </w:r>
      <w:r w:rsidR="004442E4" w:rsidRPr="00C806D0">
        <w:rPr>
          <w:b/>
          <w:noProof/>
          <w:lang w:eastAsia="en-GB"/>
        </w:rPr>
        <w:t xml:space="preserve"> injuries. </w:t>
      </w:r>
      <w:r w:rsidR="004442E4" w:rsidRPr="00C806D0">
        <w:rPr>
          <w:noProof/>
          <w:sz w:val="20"/>
          <w:szCs w:val="20"/>
          <w:lang w:eastAsia="en-GB"/>
        </w:rPr>
        <w:t>Symbols and error bars represent observed mean EQ5D and 95% confidence intervals. Lines and shaded areas represent corresponding predicted values. Note that small numbers of patients with vegetative state precluded the caclulation of confidence intervals for the observed mean EQ5D.</w:t>
      </w:r>
    </w:p>
    <w:p w:rsidR="00776188" w:rsidRPr="00C806D0" w:rsidRDefault="00776188" w:rsidP="004442E4">
      <w:pPr>
        <w:rPr>
          <w:noProof/>
          <w:lang w:eastAsia="en-GB"/>
        </w:rPr>
      </w:pPr>
    </w:p>
    <w:p w:rsidR="006F2FC6" w:rsidRPr="00C806D0" w:rsidRDefault="006F2FC6" w:rsidP="004442E4">
      <w:pPr>
        <w:rPr>
          <w:b/>
          <w:noProof/>
          <w:lang w:eastAsia="en-GB"/>
        </w:rPr>
        <w:sectPr w:rsidR="006F2FC6" w:rsidRPr="00C806D0" w:rsidSect="00E31429">
          <w:pgSz w:w="11906" w:h="16838"/>
          <w:pgMar w:top="1134" w:right="1134" w:bottom="1134" w:left="2268" w:header="709" w:footer="709" w:gutter="0"/>
          <w:cols w:space="708"/>
          <w:docGrid w:linePitch="360"/>
        </w:sectPr>
      </w:pPr>
    </w:p>
    <w:p w:rsidR="004442E4" w:rsidRPr="00C806D0" w:rsidRDefault="004442E4" w:rsidP="004442E4">
      <w:pPr>
        <w:rPr>
          <w:b/>
        </w:rPr>
      </w:pPr>
      <w:r w:rsidRPr="00C806D0">
        <w:rPr>
          <w:b/>
          <w:noProof/>
          <w:lang w:eastAsia="en-GB"/>
        </w:rPr>
        <w:lastRenderedPageBreak/>
        <w:t xml:space="preserve">Table F29. Covariance matrix for for model predicting 12 month EQ5D from basic GOS category, age, gender, </w:t>
      </w:r>
      <w:r w:rsidR="002A16B4" w:rsidRPr="00C806D0">
        <w:rPr>
          <w:b/>
          <w:noProof/>
          <w:lang w:eastAsia="en-GB"/>
        </w:rPr>
        <w:t>extracranial</w:t>
      </w:r>
      <w:r w:rsidRPr="00C806D0">
        <w:rPr>
          <w:b/>
          <w:noProof/>
          <w:lang w:eastAsia="en-GB"/>
        </w:rPr>
        <w:t xml:space="preserve"> injury and co-morbidity</w:t>
      </w:r>
    </w:p>
    <w:p w:rsidR="004442E4" w:rsidRPr="00C806D0" w:rsidRDefault="004442E4" w:rsidP="004442E4">
      <w:pPr>
        <w:rPr>
          <w:b/>
        </w:rPr>
      </w:pPr>
    </w:p>
    <w:tbl>
      <w:tblPr>
        <w:tblW w:w="0" w:type="auto"/>
        <w:tblLayout w:type="fixed"/>
        <w:tblLook w:val="04A0" w:firstRow="1" w:lastRow="0" w:firstColumn="1" w:lastColumn="0" w:noHBand="0" w:noVBand="1"/>
      </w:tblPr>
      <w:tblGrid>
        <w:gridCol w:w="2235"/>
        <w:gridCol w:w="992"/>
        <w:gridCol w:w="992"/>
        <w:gridCol w:w="1134"/>
        <w:gridCol w:w="992"/>
        <w:gridCol w:w="1134"/>
        <w:gridCol w:w="1276"/>
        <w:gridCol w:w="1276"/>
        <w:gridCol w:w="992"/>
        <w:gridCol w:w="1134"/>
        <w:gridCol w:w="1134"/>
        <w:gridCol w:w="883"/>
      </w:tblGrid>
      <w:tr w:rsidR="004442E4" w:rsidRPr="00C806D0" w:rsidTr="004442E4">
        <w:trPr>
          <w:trHeight w:val="300"/>
        </w:trPr>
        <w:tc>
          <w:tcPr>
            <w:tcW w:w="2235"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p>
        </w:tc>
        <w:tc>
          <w:tcPr>
            <w:tcW w:w="992"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Vegetative state</w:t>
            </w:r>
          </w:p>
        </w:tc>
        <w:tc>
          <w:tcPr>
            <w:tcW w:w="992"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Severe disability</w:t>
            </w:r>
          </w:p>
        </w:tc>
        <w:tc>
          <w:tcPr>
            <w:tcW w:w="1134"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Moderate disability</w:t>
            </w:r>
          </w:p>
        </w:tc>
        <w:tc>
          <w:tcPr>
            <w:tcW w:w="992"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Age</w:t>
            </w:r>
          </w:p>
        </w:tc>
        <w:tc>
          <w:tcPr>
            <w:tcW w:w="1134"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 xml:space="preserve">Vegetative state *age </w:t>
            </w:r>
          </w:p>
        </w:tc>
        <w:tc>
          <w:tcPr>
            <w:tcW w:w="1276"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Severe disability*age</w:t>
            </w:r>
          </w:p>
        </w:tc>
        <w:tc>
          <w:tcPr>
            <w:tcW w:w="1276"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Moderate disability*age</w:t>
            </w:r>
          </w:p>
        </w:tc>
        <w:tc>
          <w:tcPr>
            <w:tcW w:w="992"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Female gender</w:t>
            </w:r>
          </w:p>
        </w:tc>
        <w:tc>
          <w:tcPr>
            <w:tcW w:w="1134"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Major extracranial injury</w:t>
            </w:r>
          </w:p>
        </w:tc>
        <w:tc>
          <w:tcPr>
            <w:tcW w:w="1134"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Serious co-morbidity</w:t>
            </w:r>
          </w:p>
        </w:tc>
        <w:tc>
          <w:tcPr>
            <w:tcW w:w="883" w:type="dxa"/>
            <w:tcBorders>
              <w:top w:val="single" w:sz="4" w:space="0" w:color="auto"/>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Constant</w:t>
            </w:r>
          </w:p>
        </w:tc>
      </w:tr>
      <w:tr w:rsidR="004442E4" w:rsidRPr="00C806D0" w:rsidTr="004442E4">
        <w:trPr>
          <w:trHeight w:val="300"/>
        </w:trPr>
        <w:tc>
          <w:tcPr>
            <w:tcW w:w="2235"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Vegetative state</w:t>
            </w:r>
          </w:p>
        </w:tc>
        <w:tc>
          <w:tcPr>
            <w:tcW w:w="992"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0.102</w:t>
            </w:r>
          </w:p>
        </w:tc>
        <w:tc>
          <w:tcPr>
            <w:tcW w:w="992"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992"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276"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276"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992"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 xml:space="preserve">           </w:t>
            </w:r>
          </w:p>
        </w:tc>
        <w:tc>
          <w:tcPr>
            <w:tcW w:w="883" w:type="dxa"/>
            <w:tcBorders>
              <w:top w:val="single" w:sz="4" w:space="0" w:color="auto"/>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r>
      <w:tr w:rsidR="004442E4" w:rsidRPr="00C806D0" w:rsidTr="004442E4">
        <w:trPr>
          <w:trHeight w:val="300"/>
        </w:trPr>
        <w:tc>
          <w:tcPr>
            <w:tcW w:w="2235" w:type="dxa"/>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Severe disability</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0.0000788</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0.001749</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 xml:space="preserve">           </w:t>
            </w:r>
          </w:p>
        </w:tc>
        <w:tc>
          <w:tcPr>
            <w:tcW w:w="883"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r>
      <w:tr w:rsidR="004442E4" w:rsidRPr="00C806D0" w:rsidTr="004442E4">
        <w:trPr>
          <w:trHeight w:val="300"/>
        </w:trPr>
        <w:tc>
          <w:tcPr>
            <w:tcW w:w="2235" w:type="dxa"/>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Moderate disability</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0.0000644</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8.91E-05</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0.000461</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 xml:space="preserve">           </w:t>
            </w:r>
          </w:p>
        </w:tc>
        <w:tc>
          <w:tcPr>
            <w:tcW w:w="883"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r>
      <w:tr w:rsidR="004442E4" w:rsidRPr="00C806D0" w:rsidTr="004442E4">
        <w:trPr>
          <w:trHeight w:val="300"/>
        </w:trPr>
        <w:tc>
          <w:tcPr>
            <w:tcW w:w="2235" w:type="dxa"/>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Age</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1.86E-06</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1.45E-06</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1.59E-06</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4.60E-08</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 xml:space="preserve">           </w:t>
            </w:r>
          </w:p>
        </w:tc>
        <w:tc>
          <w:tcPr>
            <w:tcW w:w="883"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r>
      <w:tr w:rsidR="004442E4" w:rsidRPr="00C806D0" w:rsidTr="004442E4">
        <w:trPr>
          <w:trHeight w:val="300"/>
        </w:trPr>
        <w:tc>
          <w:tcPr>
            <w:tcW w:w="2235" w:type="dxa"/>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 xml:space="preserve">Vegetative state *age </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-0.000140</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-1.33E-06</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-1.03E-06</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-3.65E-08</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2.06E-06</w:t>
            </w: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 xml:space="preserve">           </w:t>
            </w:r>
          </w:p>
        </w:tc>
        <w:tc>
          <w:tcPr>
            <w:tcW w:w="883"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r>
      <w:tr w:rsidR="004442E4" w:rsidRPr="00C806D0" w:rsidTr="004442E4">
        <w:trPr>
          <w:trHeight w:val="300"/>
        </w:trPr>
        <w:tc>
          <w:tcPr>
            <w:tcW w:w="2235" w:type="dxa"/>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Severe disability*age</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-1.49E-06</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-2.3E-05</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-1.55E-06</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-3.21E-08</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3.56E-08</w:t>
            </w: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3.53E-07</w:t>
            </w: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 xml:space="preserve">           </w:t>
            </w:r>
          </w:p>
        </w:tc>
        <w:tc>
          <w:tcPr>
            <w:tcW w:w="883"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r>
      <w:tr w:rsidR="004442E4" w:rsidRPr="00C806D0" w:rsidTr="004442E4">
        <w:trPr>
          <w:trHeight w:val="300"/>
        </w:trPr>
        <w:tc>
          <w:tcPr>
            <w:tcW w:w="2235" w:type="dxa"/>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Moderate disability*age</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-1.32E-06</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-1.54E-06</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-8.89E-06</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-3.68E-08</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3.15E-08</w:t>
            </w: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3.55E-08</w:t>
            </w: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2.13E-07</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 xml:space="preserve">           </w:t>
            </w:r>
          </w:p>
        </w:tc>
        <w:tc>
          <w:tcPr>
            <w:tcW w:w="883"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r>
      <w:tr w:rsidR="004442E4" w:rsidRPr="00C806D0" w:rsidTr="004442E4">
        <w:trPr>
          <w:trHeight w:val="300"/>
        </w:trPr>
        <w:tc>
          <w:tcPr>
            <w:tcW w:w="2235" w:type="dxa"/>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Female gender</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0.0000736</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8.65E-06</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-1.3E-05</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-5.25E-07</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-1.18E-06</w:t>
            </w: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-2.99E-07</w:t>
            </w: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2.57E-07</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0.000124</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 xml:space="preserve">           </w:t>
            </w:r>
          </w:p>
        </w:tc>
        <w:tc>
          <w:tcPr>
            <w:tcW w:w="883"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r>
      <w:tr w:rsidR="004442E4" w:rsidRPr="00C806D0" w:rsidTr="004442E4">
        <w:trPr>
          <w:trHeight w:val="300"/>
        </w:trPr>
        <w:tc>
          <w:tcPr>
            <w:tcW w:w="2235" w:type="dxa"/>
            <w:tcBorders>
              <w:top w:val="nil"/>
              <w:left w:val="nil"/>
              <w:bottom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 xml:space="preserve">Major </w:t>
            </w:r>
            <w:r w:rsidR="002A16B4" w:rsidRPr="00C806D0">
              <w:rPr>
                <w:rFonts w:ascii="Calibri" w:eastAsia="Times New Roman" w:hAnsi="Calibri" w:cs="Times New Roman"/>
                <w:b/>
                <w:color w:val="000000"/>
                <w:sz w:val="18"/>
                <w:szCs w:val="18"/>
                <w:lang w:eastAsia="en-GB"/>
              </w:rPr>
              <w:t>extracranial</w:t>
            </w:r>
            <w:r w:rsidRPr="00C806D0">
              <w:rPr>
                <w:rFonts w:ascii="Calibri" w:eastAsia="Times New Roman" w:hAnsi="Calibri" w:cs="Times New Roman"/>
                <w:b/>
                <w:color w:val="000000"/>
                <w:sz w:val="18"/>
                <w:szCs w:val="18"/>
                <w:lang w:eastAsia="en-GB"/>
              </w:rPr>
              <w:t xml:space="preserve"> injury</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6.22E-05</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-2E-05</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-2.8E-05</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2.94E-07</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-1.56E-06</w:t>
            </w: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1.93E-07</w:t>
            </w:r>
          </w:p>
        </w:tc>
        <w:tc>
          <w:tcPr>
            <w:tcW w:w="1276"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1.26E-07</w:t>
            </w:r>
          </w:p>
        </w:tc>
        <w:tc>
          <w:tcPr>
            <w:tcW w:w="992"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-1.26E-06</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0.000109</w:t>
            </w:r>
          </w:p>
        </w:tc>
        <w:tc>
          <w:tcPr>
            <w:tcW w:w="1134"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 xml:space="preserve">           </w:t>
            </w:r>
          </w:p>
        </w:tc>
        <w:tc>
          <w:tcPr>
            <w:tcW w:w="883" w:type="dxa"/>
            <w:tcBorders>
              <w:top w:val="nil"/>
              <w:left w:val="nil"/>
              <w:bottom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r>
      <w:tr w:rsidR="004442E4" w:rsidRPr="00C806D0" w:rsidTr="004442E4">
        <w:trPr>
          <w:trHeight w:val="300"/>
        </w:trPr>
        <w:tc>
          <w:tcPr>
            <w:tcW w:w="2235" w:type="dxa"/>
            <w:tcBorders>
              <w:top w:val="nil"/>
              <w:left w:val="nil"/>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Serious co-morbidity</w:t>
            </w:r>
          </w:p>
        </w:tc>
        <w:tc>
          <w:tcPr>
            <w:tcW w:w="992"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-0.000073</w:t>
            </w:r>
          </w:p>
        </w:tc>
        <w:tc>
          <w:tcPr>
            <w:tcW w:w="992"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-3.92E-06</w:t>
            </w:r>
          </w:p>
        </w:tc>
        <w:tc>
          <w:tcPr>
            <w:tcW w:w="1134"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-9.18E-06</w:t>
            </w:r>
          </w:p>
        </w:tc>
        <w:tc>
          <w:tcPr>
            <w:tcW w:w="992"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-1.00E-06</w:t>
            </w:r>
          </w:p>
        </w:tc>
        <w:tc>
          <w:tcPr>
            <w:tcW w:w="1134"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2.83E-07</w:t>
            </w:r>
          </w:p>
        </w:tc>
        <w:tc>
          <w:tcPr>
            <w:tcW w:w="127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-2.52E-07</w:t>
            </w:r>
          </w:p>
        </w:tc>
        <w:tc>
          <w:tcPr>
            <w:tcW w:w="1276"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-2.16E-09</w:t>
            </w:r>
          </w:p>
        </w:tc>
        <w:tc>
          <w:tcPr>
            <w:tcW w:w="992"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-9.80E-06</w:t>
            </w:r>
          </w:p>
        </w:tc>
        <w:tc>
          <w:tcPr>
            <w:tcW w:w="1134"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1.85E-06</w:t>
            </w:r>
          </w:p>
        </w:tc>
        <w:tc>
          <w:tcPr>
            <w:tcW w:w="1134"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0.000155</w:t>
            </w:r>
          </w:p>
        </w:tc>
        <w:tc>
          <w:tcPr>
            <w:tcW w:w="883" w:type="dxa"/>
            <w:tcBorders>
              <w:top w:val="nil"/>
              <w:left w:val="nil"/>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p>
        </w:tc>
      </w:tr>
      <w:tr w:rsidR="004442E4" w:rsidRPr="00C806D0" w:rsidTr="004442E4">
        <w:trPr>
          <w:trHeight w:val="300"/>
        </w:trPr>
        <w:tc>
          <w:tcPr>
            <w:tcW w:w="2235"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rPr>
                <w:rFonts w:ascii="Calibri" w:eastAsia="Times New Roman" w:hAnsi="Calibri" w:cs="Times New Roman"/>
                <w:b/>
                <w:color w:val="000000"/>
                <w:sz w:val="18"/>
                <w:szCs w:val="18"/>
                <w:lang w:eastAsia="en-GB"/>
              </w:rPr>
            </w:pPr>
            <w:r w:rsidRPr="00C806D0">
              <w:rPr>
                <w:rFonts w:ascii="Calibri" w:eastAsia="Times New Roman" w:hAnsi="Calibri" w:cs="Times New Roman"/>
                <w:b/>
                <w:color w:val="000000"/>
                <w:sz w:val="18"/>
                <w:szCs w:val="18"/>
                <w:lang w:eastAsia="en-GB"/>
              </w:rPr>
              <w:t>Constant</w:t>
            </w:r>
          </w:p>
        </w:tc>
        <w:tc>
          <w:tcPr>
            <w:tcW w:w="992"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-1.17E-04</w:t>
            </w:r>
          </w:p>
        </w:tc>
        <w:tc>
          <w:tcPr>
            <w:tcW w:w="992"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-7.7E-05</w:t>
            </w:r>
          </w:p>
        </w:tc>
        <w:tc>
          <w:tcPr>
            <w:tcW w:w="1134"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-7.6E-05</w:t>
            </w:r>
          </w:p>
        </w:tc>
        <w:tc>
          <w:tcPr>
            <w:tcW w:w="992"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-1.81E-06</w:t>
            </w:r>
          </w:p>
        </w:tc>
        <w:tc>
          <w:tcPr>
            <w:tcW w:w="1134"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2.13E-06</w:t>
            </w:r>
          </w:p>
        </w:tc>
        <w:tc>
          <w:tcPr>
            <w:tcW w:w="127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1.43E-06</w:t>
            </w:r>
          </w:p>
        </w:tc>
        <w:tc>
          <w:tcPr>
            <w:tcW w:w="1276"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1.50E-06</w:t>
            </w:r>
          </w:p>
        </w:tc>
        <w:tc>
          <w:tcPr>
            <w:tcW w:w="992"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-3.12E-07</w:t>
            </w:r>
          </w:p>
        </w:tc>
        <w:tc>
          <w:tcPr>
            <w:tcW w:w="1134"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-3.8E-05</w:t>
            </w:r>
          </w:p>
        </w:tc>
        <w:tc>
          <w:tcPr>
            <w:tcW w:w="1134"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2.44E-05</w:t>
            </w:r>
          </w:p>
        </w:tc>
        <w:tc>
          <w:tcPr>
            <w:tcW w:w="883" w:type="dxa"/>
            <w:tcBorders>
              <w:top w:val="nil"/>
              <w:left w:val="nil"/>
              <w:bottom w:val="single" w:sz="4" w:space="0" w:color="auto"/>
              <w:right w:val="nil"/>
            </w:tcBorders>
            <w:shd w:val="clear" w:color="auto" w:fill="auto"/>
            <w:noWrap/>
            <w:hideMark/>
          </w:tcPr>
          <w:p w:rsidR="004442E4" w:rsidRPr="00C806D0" w:rsidRDefault="004442E4" w:rsidP="004442E4">
            <w:pPr>
              <w:spacing w:line="240" w:lineRule="auto"/>
              <w:jc w:val="center"/>
              <w:rPr>
                <w:rFonts w:ascii="Calibri" w:eastAsia="Times New Roman" w:hAnsi="Calibri" w:cs="Times New Roman"/>
                <w:color w:val="000000"/>
                <w:sz w:val="18"/>
                <w:szCs w:val="18"/>
                <w:lang w:eastAsia="en-GB"/>
              </w:rPr>
            </w:pPr>
            <w:r w:rsidRPr="00C806D0">
              <w:rPr>
                <w:rFonts w:ascii="Calibri" w:eastAsia="Times New Roman" w:hAnsi="Calibri" w:cs="Times New Roman"/>
                <w:color w:val="000000"/>
                <w:sz w:val="18"/>
                <w:szCs w:val="18"/>
                <w:lang w:eastAsia="en-GB"/>
              </w:rPr>
              <w:t>1.01E-04</w:t>
            </w:r>
          </w:p>
        </w:tc>
      </w:tr>
    </w:tbl>
    <w:p w:rsidR="006F2FC6" w:rsidRPr="00C806D0" w:rsidRDefault="006F2FC6" w:rsidP="006F2FC6">
      <w:pPr>
        <w:pStyle w:val="Heading2"/>
        <w:numPr>
          <w:ilvl w:val="0"/>
          <w:numId w:val="0"/>
        </w:numPr>
        <w:ind w:left="576"/>
      </w:pPr>
    </w:p>
    <w:p w:rsidR="006F2FC6" w:rsidRPr="00C806D0" w:rsidRDefault="006F2FC6" w:rsidP="006F2FC6">
      <w:pPr>
        <w:sectPr w:rsidR="006F2FC6" w:rsidRPr="00C806D0" w:rsidSect="006F2FC6">
          <w:pgSz w:w="16838" w:h="11906" w:orient="landscape"/>
          <w:pgMar w:top="2268" w:right="1134" w:bottom="1134" w:left="1134" w:header="709" w:footer="709" w:gutter="0"/>
          <w:cols w:space="708"/>
          <w:docGrid w:linePitch="360"/>
        </w:sectPr>
      </w:pPr>
    </w:p>
    <w:p w:rsidR="004442E4" w:rsidRPr="00C806D0" w:rsidRDefault="004442E4" w:rsidP="004442E4">
      <w:pPr>
        <w:pStyle w:val="Heading2"/>
      </w:pPr>
      <w:r w:rsidRPr="00C806D0">
        <w:lastRenderedPageBreak/>
        <w:t>References</w:t>
      </w:r>
    </w:p>
    <w:p w:rsidR="006D4D62" w:rsidRPr="00C806D0" w:rsidRDefault="006D4D62" w:rsidP="006D4D62">
      <w:pPr>
        <w:spacing w:line="240" w:lineRule="auto"/>
        <w:ind w:left="720" w:hanging="720"/>
        <w:rPr>
          <w:rFonts w:ascii="Calibri" w:hAnsi="Calibri"/>
          <w:noProof/>
        </w:rPr>
      </w:pPr>
      <w:bookmarkStart w:id="98" w:name="_ENREF_6_1"/>
      <w:r w:rsidRPr="00C806D0">
        <w:rPr>
          <w:rFonts w:ascii="Calibri" w:hAnsi="Calibri"/>
          <w:noProof/>
        </w:rPr>
        <w:t>1.</w:t>
      </w:r>
      <w:r w:rsidRPr="00C806D0">
        <w:rPr>
          <w:rFonts w:ascii="Calibri" w:hAnsi="Calibri"/>
          <w:noProof/>
        </w:rPr>
        <w:tab/>
        <w:t xml:space="preserve">Weinstein MC, Torrance G, McGuire A: </w:t>
      </w:r>
      <w:r w:rsidRPr="00C806D0">
        <w:rPr>
          <w:rFonts w:ascii="Calibri" w:hAnsi="Calibri"/>
          <w:b/>
          <w:noProof/>
        </w:rPr>
        <w:t>QALYs: the basics</w:t>
      </w:r>
      <w:r w:rsidRPr="00C806D0">
        <w:rPr>
          <w:rFonts w:ascii="Calibri" w:hAnsi="Calibri"/>
          <w:noProof/>
        </w:rPr>
        <w:t xml:space="preserve">. </w:t>
      </w:r>
      <w:r w:rsidRPr="00C806D0">
        <w:rPr>
          <w:rFonts w:ascii="Calibri" w:hAnsi="Calibri"/>
          <w:i/>
          <w:noProof/>
        </w:rPr>
        <w:t xml:space="preserve">Value in health : the journal of the International Society for Pharmacoeconomics and Outcomes Research </w:t>
      </w:r>
      <w:r w:rsidRPr="00C806D0">
        <w:rPr>
          <w:rFonts w:ascii="Calibri" w:hAnsi="Calibri"/>
          <w:noProof/>
        </w:rPr>
        <w:t xml:space="preserve">2009, </w:t>
      </w:r>
      <w:r w:rsidRPr="00C806D0">
        <w:rPr>
          <w:rFonts w:ascii="Calibri" w:hAnsi="Calibri"/>
          <w:b/>
          <w:noProof/>
        </w:rPr>
        <w:t>12 Suppl 1</w:t>
      </w:r>
      <w:r w:rsidRPr="00C806D0">
        <w:rPr>
          <w:rFonts w:ascii="Calibri" w:hAnsi="Calibri"/>
          <w:noProof/>
        </w:rPr>
        <w:t>:S5-9.</w:t>
      </w:r>
      <w:bookmarkEnd w:id="98"/>
    </w:p>
    <w:p w:rsidR="006D4D62" w:rsidRPr="00C806D0" w:rsidRDefault="006D4D62" w:rsidP="006D4D62">
      <w:pPr>
        <w:spacing w:line="240" w:lineRule="auto"/>
        <w:ind w:left="720" w:hanging="720"/>
        <w:rPr>
          <w:rFonts w:ascii="Calibri" w:hAnsi="Calibri"/>
          <w:noProof/>
        </w:rPr>
      </w:pPr>
      <w:bookmarkStart w:id="99" w:name="_ENREF_6_2"/>
      <w:r w:rsidRPr="00C806D0">
        <w:rPr>
          <w:rFonts w:ascii="Calibri" w:hAnsi="Calibri"/>
          <w:noProof/>
        </w:rPr>
        <w:t>2.</w:t>
      </w:r>
      <w:r w:rsidRPr="00C806D0">
        <w:rPr>
          <w:rFonts w:ascii="Calibri" w:hAnsi="Calibri"/>
          <w:noProof/>
        </w:rPr>
        <w:tab/>
        <w:t xml:space="preserve">Torrance GW: </w:t>
      </w:r>
      <w:r w:rsidRPr="00C806D0">
        <w:rPr>
          <w:rFonts w:ascii="Calibri" w:hAnsi="Calibri"/>
          <w:b/>
          <w:noProof/>
        </w:rPr>
        <w:t>Measurement of health state utilities for economic appraisal</w:t>
      </w:r>
      <w:r w:rsidRPr="00C806D0">
        <w:rPr>
          <w:rFonts w:ascii="Calibri" w:hAnsi="Calibri"/>
          <w:noProof/>
        </w:rPr>
        <w:t xml:space="preserve">. </w:t>
      </w:r>
      <w:r w:rsidRPr="00C806D0">
        <w:rPr>
          <w:rFonts w:ascii="Calibri" w:hAnsi="Calibri"/>
          <w:i/>
          <w:noProof/>
        </w:rPr>
        <w:t xml:space="preserve">Journal of health economics </w:t>
      </w:r>
      <w:r w:rsidRPr="00C806D0">
        <w:rPr>
          <w:rFonts w:ascii="Calibri" w:hAnsi="Calibri"/>
          <w:noProof/>
        </w:rPr>
        <w:t xml:space="preserve">1986, </w:t>
      </w:r>
      <w:r w:rsidRPr="00C806D0">
        <w:rPr>
          <w:rFonts w:ascii="Calibri" w:hAnsi="Calibri"/>
          <w:b/>
          <w:noProof/>
        </w:rPr>
        <w:t>5</w:t>
      </w:r>
      <w:r w:rsidRPr="00C806D0">
        <w:rPr>
          <w:rFonts w:ascii="Calibri" w:hAnsi="Calibri"/>
          <w:noProof/>
        </w:rPr>
        <w:t>(1):1-30.</w:t>
      </w:r>
      <w:bookmarkEnd w:id="99"/>
    </w:p>
    <w:p w:rsidR="006D4D62" w:rsidRPr="00C806D0" w:rsidRDefault="006D4D62" w:rsidP="006D4D62">
      <w:pPr>
        <w:spacing w:line="240" w:lineRule="auto"/>
        <w:ind w:left="720" w:hanging="720"/>
        <w:rPr>
          <w:rFonts w:ascii="Calibri" w:hAnsi="Calibri"/>
          <w:noProof/>
        </w:rPr>
      </w:pPr>
      <w:bookmarkStart w:id="100" w:name="_ENREF_6_3"/>
      <w:r w:rsidRPr="00C806D0">
        <w:rPr>
          <w:rFonts w:ascii="Calibri" w:hAnsi="Calibri"/>
          <w:noProof/>
        </w:rPr>
        <w:t>3.</w:t>
      </w:r>
      <w:r w:rsidRPr="00C806D0">
        <w:rPr>
          <w:rFonts w:ascii="Calibri" w:hAnsi="Calibri"/>
          <w:noProof/>
        </w:rPr>
        <w:tab/>
        <w:t xml:space="preserve">Brazier J: </w:t>
      </w:r>
      <w:r w:rsidRPr="00C806D0">
        <w:rPr>
          <w:rFonts w:ascii="Calibri" w:hAnsi="Calibri"/>
          <w:b/>
          <w:noProof/>
        </w:rPr>
        <w:t>Measuring and valuing health benefits for economic evaluation</w:t>
      </w:r>
      <w:r w:rsidRPr="00C806D0">
        <w:rPr>
          <w:rFonts w:ascii="Calibri" w:hAnsi="Calibri"/>
          <w:noProof/>
        </w:rPr>
        <w:t>. Oxford ; New York: Oxford University Press; 2007.</w:t>
      </w:r>
      <w:bookmarkEnd w:id="100"/>
    </w:p>
    <w:p w:rsidR="006D4D62" w:rsidRPr="00C806D0" w:rsidRDefault="006D4D62" w:rsidP="006D4D62">
      <w:pPr>
        <w:spacing w:line="240" w:lineRule="auto"/>
        <w:ind w:left="720" w:hanging="720"/>
        <w:rPr>
          <w:rFonts w:ascii="Calibri" w:hAnsi="Calibri"/>
          <w:noProof/>
        </w:rPr>
      </w:pPr>
      <w:bookmarkStart w:id="101" w:name="_ENREF_6_4"/>
      <w:r w:rsidRPr="00C806D0">
        <w:rPr>
          <w:rFonts w:ascii="Calibri" w:hAnsi="Calibri"/>
          <w:noProof/>
        </w:rPr>
        <w:t>4.</w:t>
      </w:r>
      <w:r w:rsidRPr="00C806D0">
        <w:rPr>
          <w:rFonts w:ascii="Calibri" w:hAnsi="Calibri"/>
          <w:noProof/>
        </w:rPr>
        <w:tab/>
        <w:t xml:space="preserve">K. T: </w:t>
      </w:r>
      <w:r w:rsidRPr="00C806D0">
        <w:rPr>
          <w:rFonts w:ascii="Calibri" w:hAnsi="Calibri"/>
          <w:b/>
          <w:noProof/>
        </w:rPr>
        <w:t>What are health utilities?</w:t>
      </w:r>
      <w:r w:rsidRPr="00C806D0">
        <w:rPr>
          <w:rFonts w:ascii="Calibri" w:hAnsi="Calibri"/>
          <w:noProof/>
        </w:rPr>
        <w:t xml:space="preserve"> In</w:t>
      </w:r>
      <w:r w:rsidRPr="00C806D0">
        <w:rPr>
          <w:rFonts w:ascii="Calibri" w:hAnsi="Calibri"/>
          <w:i/>
          <w:noProof/>
        </w:rPr>
        <w:t>.</w:t>
      </w:r>
      <w:r w:rsidRPr="00C806D0">
        <w:rPr>
          <w:rFonts w:ascii="Calibri" w:hAnsi="Calibri"/>
          <w:noProof/>
        </w:rPr>
        <w:t xml:space="preserve"> London: Hayward Medical Communications.; 2009.</w:t>
      </w:r>
      <w:bookmarkEnd w:id="101"/>
    </w:p>
    <w:p w:rsidR="006D4D62" w:rsidRPr="00C806D0" w:rsidRDefault="006D4D62" w:rsidP="006D4D62">
      <w:pPr>
        <w:spacing w:line="240" w:lineRule="auto"/>
        <w:ind w:left="720" w:hanging="720"/>
        <w:rPr>
          <w:rFonts w:ascii="Calibri" w:hAnsi="Calibri"/>
          <w:noProof/>
        </w:rPr>
      </w:pPr>
      <w:bookmarkStart w:id="102" w:name="_ENREF_6_5"/>
      <w:r w:rsidRPr="00C806D0">
        <w:rPr>
          <w:rFonts w:ascii="Calibri" w:hAnsi="Calibri"/>
          <w:noProof/>
        </w:rPr>
        <w:t>5.</w:t>
      </w:r>
      <w:r w:rsidRPr="00C806D0">
        <w:rPr>
          <w:rFonts w:ascii="Calibri" w:hAnsi="Calibri"/>
          <w:noProof/>
        </w:rPr>
        <w:tab/>
        <w:t xml:space="preserve">Morimoto T, Fukui T: </w:t>
      </w:r>
      <w:r w:rsidRPr="00C806D0">
        <w:rPr>
          <w:rFonts w:ascii="Calibri" w:hAnsi="Calibri"/>
          <w:b/>
          <w:noProof/>
        </w:rPr>
        <w:t>Utilities measured by rating scale, time trade-off, and standard gamble: review and reference for health care professionals</w:t>
      </w:r>
      <w:r w:rsidRPr="00C806D0">
        <w:rPr>
          <w:rFonts w:ascii="Calibri" w:hAnsi="Calibri"/>
          <w:noProof/>
        </w:rPr>
        <w:t xml:space="preserve">. </w:t>
      </w:r>
      <w:r w:rsidRPr="00C806D0">
        <w:rPr>
          <w:rFonts w:ascii="Calibri" w:hAnsi="Calibri"/>
          <w:i/>
          <w:noProof/>
        </w:rPr>
        <w:t xml:space="preserve">Journal of epidemiology / Japan Epidemiological Association </w:t>
      </w:r>
      <w:r w:rsidRPr="00C806D0">
        <w:rPr>
          <w:rFonts w:ascii="Calibri" w:hAnsi="Calibri"/>
          <w:noProof/>
        </w:rPr>
        <w:t xml:space="preserve">2002, </w:t>
      </w:r>
      <w:r w:rsidRPr="00C806D0">
        <w:rPr>
          <w:rFonts w:ascii="Calibri" w:hAnsi="Calibri"/>
          <w:b/>
          <w:noProof/>
        </w:rPr>
        <w:t>12</w:t>
      </w:r>
      <w:r w:rsidRPr="00C806D0">
        <w:rPr>
          <w:rFonts w:ascii="Calibri" w:hAnsi="Calibri"/>
          <w:noProof/>
        </w:rPr>
        <w:t>(2):160-178.</w:t>
      </w:r>
      <w:bookmarkEnd w:id="102"/>
    </w:p>
    <w:p w:rsidR="006D4D62" w:rsidRPr="00C806D0" w:rsidRDefault="006D4D62" w:rsidP="006D4D62">
      <w:pPr>
        <w:spacing w:line="240" w:lineRule="auto"/>
        <w:ind w:left="720" w:hanging="720"/>
        <w:rPr>
          <w:rFonts w:ascii="Calibri" w:hAnsi="Calibri"/>
          <w:noProof/>
        </w:rPr>
      </w:pPr>
      <w:bookmarkStart w:id="103" w:name="_ENREF_6_6"/>
      <w:r w:rsidRPr="00C806D0">
        <w:rPr>
          <w:rFonts w:ascii="Calibri" w:hAnsi="Calibri"/>
          <w:noProof/>
        </w:rPr>
        <w:t>6.</w:t>
      </w:r>
      <w:r w:rsidRPr="00C806D0">
        <w:rPr>
          <w:rFonts w:ascii="Calibri" w:hAnsi="Calibri"/>
          <w:noProof/>
        </w:rPr>
        <w:tab/>
        <w:t xml:space="preserve">Von Neumann J, Morgenstern O: </w:t>
      </w:r>
      <w:r w:rsidRPr="00C806D0">
        <w:rPr>
          <w:rFonts w:ascii="Calibri" w:hAnsi="Calibri"/>
          <w:b/>
          <w:noProof/>
        </w:rPr>
        <w:t>Theory of games and economic behaviour</w:t>
      </w:r>
      <w:r w:rsidRPr="00C806D0">
        <w:rPr>
          <w:rFonts w:ascii="Calibri" w:hAnsi="Calibri"/>
          <w:noProof/>
        </w:rPr>
        <w:t>. [S.l.]: Princeton U. P.; 1944.</w:t>
      </w:r>
      <w:bookmarkEnd w:id="103"/>
    </w:p>
    <w:p w:rsidR="006D4D62" w:rsidRPr="00C806D0" w:rsidRDefault="006D4D62" w:rsidP="006D4D62">
      <w:pPr>
        <w:spacing w:line="240" w:lineRule="auto"/>
        <w:ind w:left="720" w:hanging="720"/>
        <w:rPr>
          <w:rFonts w:ascii="Calibri" w:hAnsi="Calibri"/>
          <w:noProof/>
        </w:rPr>
      </w:pPr>
      <w:bookmarkStart w:id="104" w:name="_ENREF_6_7"/>
      <w:r w:rsidRPr="00C806D0">
        <w:rPr>
          <w:rFonts w:ascii="Calibri" w:hAnsi="Calibri"/>
          <w:noProof/>
        </w:rPr>
        <w:t>7.</w:t>
      </w:r>
      <w:r w:rsidRPr="00C806D0">
        <w:rPr>
          <w:rFonts w:ascii="Calibri" w:hAnsi="Calibri"/>
          <w:noProof/>
        </w:rPr>
        <w:tab/>
        <w:t xml:space="preserve">Attema AE, Edelaar-Peeters Y, Versteegh MM, Stolk EA: </w:t>
      </w:r>
      <w:r w:rsidRPr="00C806D0">
        <w:rPr>
          <w:rFonts w:ascii="Calibri" w:hAnsi="Calibri"/>
          <w:b/>
          <w:noProof/>
        </w:rPr>
        <w:t>Time trade-off: one methodology, different methods</w:t>
      </w:r>
      <w:r w:rsidRPr="00C806D0">
        <w:rPr>
          <w:rFonts w:ascii="Calibri" w:hAnsi="Calibri"/>
          <w:noProof/>
        </w:rPr>
        <w:t xml:space="preserve">. </w:t>
      </w:r>
      <w:r w:rsidRPr="00C806D0">
        <w:rPr>
          <w:rFonts w:ascii="Calibri" w:hAnsi="Calibri"/>
          <w:i/>
          <w:noProof/>
        </w:rPr>
        <w:t xml:space="preserve">The European journal of health economics : HEPAC : health economics in prevention and care </w:t>
      </w:r>
      <w:r w:rsidRPr="00C806D0">
        <w:rPr>
          <w:rFonts w:ascii="Calibri" w:hAnsi="Calibri"/>
          <w:noProof/>
        </w:rPr>
        <w:t xml:space="preserve">2013, </w:t>
      </w:r>
      <w:r w:rsidRPr="00C806D0">
        <w:rPr>
          <w:rFonts w:ascii="Calibri" w:hAnsi="Calibri"/>
          <w:b/>
          <w:noProof/>
        </w:rPr>
        <w:t>14 Suppl 1</w:t>
      </w:r>
      <w:r w:rsidRPr="00C806D0">
        <w:rPr>
          <w:rFonts w:ascii="Calibri" w:hAnsi="Calibri"/>
          <w:noProof/>
        </w:rPr>
        <w:t>:S53-64.</w:t>
      </w:r>
      <w:bookmarkEnd w:id="104"/>
    </w:p>
    <w:p w:rsidR="006D4D62" w:rsidRPr="00C806D0" w:rsidRDefault="006D4D62" w:rsidP="006D4D62">
      <w:pPr>
        <w:spacing w:line="240" w:lineRule="auto"/>
        <w:ind w:left="720" w:hanging="720"/>
        <w:rPr>
          <w:rFonts w:ascii="Calibri" w:hAnsi="Calibri"/>
          <w:noProof/>
        </w:rPr>
      </w:pPr>
      <w:bookmarkStart w:id="105" w:name="_ENREF_6_8"/>
      <w:r w:rsidRPr="00C806D0">
        <w:rPr>
          <w:rFonts w:ascii="Calibri" w:hAnsi="Calibri"/>
          <w:noProof/>
        </w:rPr>
        <w:t>8.</w:t>
      </w:r>
      <w:r w:rsidRPr="00C806D0">
        <w:rPr>
          <w:rFonts w:ascii="Calibri" w:hAnsi="Calibri"/>
          <w:noProof/>
        </w:rPr>
        <w:tab/>
        <w:t xml:space="preserve">Brazier J: </w:t>
      </w:r>
      <w:r w:rsidRPr="00C806D0">
        <w:rPr>
          <w:rFonts w:ascii="Calibri" w:hAnsi="Calibri"/>
          <w:b/>
          <w:noProof/>
        </w:rPr>
        <w:t>Valuing health States for use in cost-effectiveness analysis</w:t>
      </w:r>
      <w:r w:rsidRPr="00C806D0">
        <w:rPr>
          <w:rFonts w:ascii="Calibri" w:hAnsi="Calibri"/>
          <w:noProof/>
        </w:rPr>
        <w:t xml:space="preserve">. </w:t>
      </w:r>
      <w:r w:rsidRPr="00C806D0">
        <w:rPr>
          <w:rFonts w:ascii="Calibri" w:hAnsi="Calibri"/>
          <w:i/>
          <w:noProof/>
        </w:rPr>
        <w:t xml:space="preserve">PharmacoEconomics </w:t>
      </w:r>
      <w:r w:rsidRPr="00C806D0">
        <w:rPr>
          <w:rFonts w:ascii="Calibri" w:hAnsi="Calibri"/>
          <w:noProof/>
        </w:rPr>
        <w:t xml:space="preserve">2008, </w:t>
      </w:r>
      <w:r w:rsidRPr="00C806D0">
        <w:rPr>
          <w:rFonts w:ascii="Calibri" w:hAnsi="Calibri"/>
          <w:b/>
          <w:noProof/>
        </w:rPr>
        <w:t>26</w:t>
      </w:r>
      <w:r w:rsidRPr="00C806D0">
        <w:rPr>
          <w:rFonts w:ascii="Calibri" w:hAnsi="Calibri"/>
          <w:noProof/>
        </w:rPr>
        <w:t>(9):769-779.</w:t>
      </w:r>
      <w:bookmarkEnd w:id="105"/>
    </w:p>
    <w:p w:rsidR="006D4D62" w:rsidRPr="00C806D0" w:rsidRDefault="006D4D62" w:rsidP="006D4D62">
      <w:pPr>
        <w:spacing w:line="240" w:lineRule="auto"/>
        <w:ind w:left="720" w:hanging="720"/>
        <w:rPr>
          <w:rFonts w:ascii="Calibri" w:hAnsi="Calibri"/>
          <w:noProof/>
        </w:rPr>
      </w:pPr>
      <w:bookmarkStart w:id="106" w:name="_ENREF_6_9"/>
      <w:r w:rsidRPr="00C806D0">
        <w:rPr>
          <w:rFonts w:ascii="Calibri" w:hAnsi="Calibri"/>
          <w:noProof/>
        </w:rPr>
        <w:t>9.</w:t>
      </w:r>
      <w:r w:rsidRPr="00C806D0">
        <w:rPr>
          <w:rFonts w:ascii="Calibri" w:hAnsi="Calibri"/>
          <w:noProof/>
        </w:rPr>
        <w:tab/>
        <w:t xml:space="preserve">Parkin D, Devlin N: </w:t>
      </w:r>
      <w:r w:rsidRPr="00C806D0">
        <w:rPr>
          <w:rFonts w:ascii="Calibri" w:hAnsi="Calibri"/>
          <w:b/>
          <w:noProof/>
        </w:rPr>
        <w:t>Is there a case for using visual analogue scale valuations in cost-utility analysis?</w:t>
      </w:r>
      <w:r w:rsidRPr="00C806D0">
        <w:rPr>
          <w:rFonts w:ascii="Calibri" w:hAnsi="Calibri"/>
          <w:noProof/>
        </w:rPr>
        <w:t xml:space="preserve"> </w:t>
      </w:r>
      <w:r w:rsidRPr="00C806D0">
        <w:rPr>
          <w:rFonts w:ascii="Calibri" w:hAnsi="Calibri"/>
          <w:i/>
          <w:noProof/>
        </w:rPr>
        <w:t xml:space="preserve">Health economics </w:t>
      </w:r>
      <w:r w:rsidRPr="00C806D0">
        <w:rPr>
          <w:rFonts w:ascii="Calibri" w:hAnsi="Calibri"/>
          <w:noProof/>
        </w:rPr>
        <w:t xml:space="preserve">2006, </w:t>
      </w:r>
      <w:r w:rsidRPr="00C806D0">
        <w:rPr>
          <w:rFonts w:ascii="Calibri" w:hAnsi="Calibri"/>
          <w:b/>
          <w:noProof/>
        </w:rPr>
        <w:t>15</w:t>
      </w:r>
      <w:r w:rsidRPr="00C806D0">
        <w:rPr>
          <w:rFonts w:ascii="Calibri" w:hAnsi="Calibri"/>
          <w:noProof/>
        </w:rPr>
        <w:t>(7):653-664.</w:t>
      </w:r>
      <w:bookmarkEnd w:id="106"/>
    </w:p>
    <w:p w:rsidR="006D4D62" w:rsidRPr="00C806D0" w:rsidRDefault="006D4D62" w:rsidP="006D4D62">
      <w:pPr>
        <w:spacing w:line="240" w:lineRule="auto"/>
        <w:ind w:left="720" w:hanging="720"/>
        <w:rPr>
          <w:rFonts w:ascii="Calibri" w:hAnsi="Calibri"/>
          <w:noProof/>
        </w:rPr>
      </w:pPr>
      <w:bookmarkStart w:id="107" w:name="_ENREF_6_10"/>
      <w:r w:rsidRPr="00C806D0">
        <w:rPr>
          <w:rFonts w:ascii="Calibri" w:hAnsi="Calibri"/>
          <w:noProof/>
        </w:rPr>
        <w:t>10.</w:t>
      </w:r>
      <w:r w:rsidRPr="00C806D0">
        <w:rPr>
          <w:rFonts w:ascii="Calibri" w:hAnsi="Calibri"/>
          <w:noProof/>
        </w:rPr>
        <w:tab/>
        <w:t xml:space="preserve">Ferreira PL, Ferreira LN, Pereira LN: </w:t>
      </w:r>
      <w:r w:rsidRPr="00C806D0">
        <w:rPr>
          <w:rFonts w:ascii="Calibri" w:hAnsi="Calibri"/>
          <w:b/>
          <w:noProof/>
        </w:rPr>
        <w:t>How consistent are health utility values?</w:t>
      </w:r>
      <w:r w:rsidRPr="00C806D0">
        <w:rPr>
          <w:rFonts w:ascii="Calibri" w:hAnsi="Calibri"/>
          <w:noProof/>
        </w:rPr>
        <w:t xml:space="preserve"> </w:t>
      </w:r>
      <w:r w:rsidRPr="00C806D0">
        <w:rPr>
          <w:rFonts w:ascii="Calibri" w:hAnsi="Calibri"/>
          <w:i/>
          <w:noProof/>
        </w:rPr>
        <w:t xml:space="preserve">Quality of life research : an international journal of quality of life aspects of treatment, care and rehabilitation </w:t>
      </w:r>
      <w:r w:rsidRPr="00C806D0">
        <w:rPr>
          <w:rFonts w:ascii="Calibri" w:hAnsi="Calibri"/>
          <w:noProof/>
        </w:rPr>
        <w:t xml:space="preserve">2008, </w:t>
      </w:r>
      <w:r w:rsidRPr="00C806D0">
        <w:rPr>
          <w:rFonts w:ascii="Calibri" w:hAnsi="Calibri"/>
          <w:b/>
          <w:noProof/>
        </w:rPr>
        <w:t>17</w:t>
      </w:r>
      <w:r w:rsidRPr="00C806D0">
        <w:rPr>
          <w:rFonts w:ascii="Calibri" w:hAnsi="Calibri"/>
          <w:noProof/>
        </w:rPr>
        <w:t>(7):1031-1042.</w:t>
      </w:r>
      <w:bookmarkEnd w:id="107"/>
    </w:p>
    <w:p w:rsidR="006D4D62" w:rsidRPr="00C806D0" w:rsidRDefault="006D4D62" w:rsidP="006D4D62">
      <w:pPr>
        <w:spacing w:line="240" w:lineRule="auto"/>
        <w:ind w:left="720" w:hanging="720"/>
        <w:rPr>
          <w:rFonts w:ascii="Calibri" w:hAnsi="Calibri"/>
          <w:noProof/>
        </w:rPr>
      </w:pPr>
      <w:bookmarkStart w:id="108" w:name="_ENREF_6_11"/>
      <w:r w:rsidRPr="00C806D0">
        <w:rPr>
          <w:rFonts w:ascii="Calibri" w:hAnsi="Calibri"/>
          <w:noProof/>
        </w:rPr>
        <w:t>11.</w:t>
      </w:r>
      <w:r w:rsidRPr="00C806D0">
        <w:rPr>
          <w:rFonts w:ascii="Calibri" w:hAnsi="Calibri"/>
          <w:noProof/>
        </w:rPr>
        <w:tab/>
        <w:t xml:space="preserve">Drummond MF: </w:t>
      </w:r>
      <w:r w:rsidRPr="00C806D0">
        <w:rPr>
          <w:rFonts w:ascii="Calibri" w:hAnsi="Calibri"/>
          <w:b/>
          <w:noProof/>
        </w:rPr>
        <w:t>Methods for the economic evaluation of health care programmes</w:t>
      </w:r>
      <w:r w:rsidRPr="00C806D0">
        <w:rPr>
          <w:rFonts w:ascii="Calibri" w:hAnsi="Calibri"/>
          <w:noProof/>
        </w:rPr>
        <w:t>, 3rd ed. edn. Oxford: Oxford University Press; 2005.</w:t>
      </w:r>
      <w:bookmarkEnd w:id="108"/>
    </w:p>
    <w:p w:rsidR="006D4D62" w:rsidRPr="00C806D0" w:rsidRDefault="006D4D62" w:rsidP="006D4D62">
      <w:pPr>
        <w:spacing w:line="240" w:lineRule="auto"/>
        <w:ind w:left="720" w:hanging="720"/>
        <w:rPr>
          <w:rFonts w:ascii="Calibri" w:hAnsi="Calibri"/>
          <w:noProof/>
        </w:rPr>
      </w:pPr>
      <w:bookmarkStart w:id="109" w:name="_ENREF_6_12"/>
      <w:r w:rsidRPr="00C806D0">
        <w:rPr>
          <w:rFonts w:ascii="Calibri" w:hAnsi="Calibri"/>
          <w:noProof/>
        </w:rPr>
        <w:t>12.</w:t>
      </w:r>
      <w:r w:rsidRPr="00C806D0">
        <w:rPr>
          <w:rFonts w:ascii="Calibri" w:hAnsi="Calibri"/>
          <w:noProof/>
        </w:rPr>
        <w:tab/>
        <w:t>Papaioannou D BJ, Paisley S.:</w:t>
      </w:r>
      <w:r w:rsidRPr="00C806D0">
        <w:rPr>
          <w:rFonts w:ascii="Calibri" w:hAnsi="Calibri"/>
          <w:b/>
          <w:noProof/>
        </w:rPr>
        <w:t xml:space="preserve"> NICE DSU Technical Support Document 9:The identification, review and synthesis of health state utility values from the literature. </w:t>
      </w:r>
      <w:r w:rsidRPr="00C806D0">
        <w:rPr>
          <w:rFonts w:ascii="Calibri" w:hAnsi="Calibri"/>
          <w:noProof/>
        </w:rPr>
        <w:t xml:space="preserve">. In: </w:t>
      </w:r>
      <w:r w:rsidRPr="00C806D0">
        <w:rPr>
          <w:rFonts w:ascii="Calibri" w:hAnsi="Calibri"/>
          <w:i/>
          <w:noProof/>
        </w:rPr>
        <w:t>NICE.</w:t>
      </w:r>
      <w:r w:rsidRPr="00C806D0">
        <w:rPr>
          <w:rFonts w:ascii="Calibri" w:hAnsi="Calibri"/>
          <w:noProof/>
        </w:rPr>
        <w:t xml:space="preserve"> Edited by Excellence NIoHaC. London; 2011.</w:t>
      </w:r>
      <w:bookmarkEnd w:id="109"/>
    </w:p>
    <w:p w:rsidR="006D4D62" w:rsidRPr="00C806D0" w:rsidRDefault="006D4D62" w:rsidP="006D4D62">
      <w:pPr>
        <w:spacing w:line="240" w:lineRule="auto"/>
        <w:ind w:left="720" w:hanging="720"/>
        <w:rPr>
          <w:rFonts w:ascii="Calibri" w:hAnsi="Calibri"/>
          <w:noProof/>
        </w:rPr>
      </w:pPr>
      <w:bookmarkStart w:id="110" w:name="_ENREF_6_13"/>
      <w:r w:rsidRPr="00C806D0">
        <w:rPr>
          <w:rFonts w:ascii="Calibri" w:hAnsi="Calibri"/>
          <w:noProof/>
        </w:rPr>
        <w:t>13.</w:t>
      </w:r>
      <w:r w:rsidRPr="00C806D0">
        <w:rPr>
          <w:rFonts w:ascii="Calibri" w:hAnsi="Calibri"/>
          <w:noProof/>
        </w:rPr>
        <w:tab/>
        <w:t xml:space="preserve">Longworth L, Rowen D: </w:t>
      </w:r>
      <w:r w:rsidRPr="00C806D0">
        <w:rPr>
          <w:rFonts w:ascii="Calibri" w:hAnsi="Calibri"/>
          <w:b/>
          <w:noProof/>
        </w:rPr>
        <w:t>Mapping to obtain EQ-5D utility values for use in NICE health technology assessments</w:t>
      </w:r>
      <w:r w:rsidRPr="00C806D0">
        <w:rPr>
          <w:rFonts w:ascii="Calibri" w:hAnsi="Calibri"/>
          <w:noProof/>
        </w:rPr>
        <w:t xml:space="preserve">. </w:t>
      </w:r>
      <w:r w:rsidRPr="00C806D0">
        <w:rPr>
          <w:rFonts w:ascii="Calibri" w:hAnsi="Calibri"/>
          <w:i/>
          <w:noProof/>
        </w:rPr>
        <w:t xml:space="preserve">Value in health : the journal of the International Society for Pharmacoeconomics and Outcomes Research </w:t>
      </w:r>
      <w:r w:rsidRPr="00C806D0">
        <w:rPr>
          <w:rFonts w:ascii="Calibri" w:hAnsi="Calibri"/>
          <w:noProof/>
        </w:rPr>
        <w:t xml:space="preserve">2013, </w:t>
      </w:r>
      <w:r w:rsidRPr="00C806D0">
        <w:rPr>
          <w:rFonts w:ascii="Calibri" w:hAnsi="Calibri"/>
          <w:b/>
          <w:noProof/>
        </w:rPr>
        <w:t>16</w:t>
      </w:r>
      <w:r w:rsidRPr="00C806D0">
        <w:rPr>
          <w:rFonts w:ascii="Calibri" w:hAnsi="Calibri"/>
          <w:noProof/>
        </w:rPr>
        <w:t>(1):202-210.</w:t>
      </w:r>
      <w:bookmarkEnd w:id="110"/>
    </w:p>
    <w:p w:rsidR="006D4D62" w:rsidRPr="00C806D0" w:rsidRDefault="006D4D62" w:rsidP="006D4D62">
      <w:pPr>
        <w:spacing w:line="240" w:lineRule="auto"/>
        <w:ind w:left="720" w:hanging="720"/>
        <w:rPr>
          <w:rFonts w:ascii="Calibri" w:hAnsi="Calibri"/>
          <w:noProof/>
        </w:rPr>
      </w:pPr>
      <w:bookmarkStart w:id="111" w:name="_ENREF_6_14"/>
      <w:r w:rsidRPr="00C806D0">
        <w:rPr>
          <w:rFonts w:ascii="Calibri" w:hAnsi="Calibri"/>
          <w:noProof/>
        </w:rPr>
        <w:t>14.</w:t>
      </w:r>
      <w:r w:rsidRPr="00C806D0">
        <w:rPr>
          <w:rFonts w:ascii="Calibri" w:hAnsi="Calibri"/>
          <w:noProof/>
        </w:rPr>
        <w:tab/>
        <w:t xml:space="preserve">Teasdale G, Jennett B: </w:t>
      </w:r>
      <w:r w:rsidRPr="00C806D0">
        <w:rPr>
          <w:rFonts w:ascii="Calibri" w:hAnsi="Calibri"/>
          <w:b/>
          <w:noProof/>
        </w:rPr>
        <w:t>Assessment of coma and severity of brain damage</w:t>
      </w:r>
      <w:r w:rsidRPr="00C806D0">
        <w:rPr>
          <w:rFonts w:ascii="Calibri" w:hAnsi="Calibri"/>
          <w:noProof/>
        </w:rPr>
        <w:t xml:space="preserve">. </w:t>
      </w:r>
      <w:r w:rsidRPr="00C806D0">
        <w:rPr>
          <w:rFonts w:ascii="Calibri" w:hAnsi="Calibri"/>
          <w:i/>
          <w:noProof/>
        </w:rPr>
        <w:t xml:space="preserve">Anesthesiology </w:t>
      </w:r>
      <w:r w:rsidRPr="00C806D0">
        <w:rPr>
          <w:rFonts w:ascii="Calibri" w:hAnsi="Calibri"/>
          <w:noProof/>
        </w:rPr>
        <w:t xml:space="preserve">1978, </w:t>
      </w:r>
      <w:r w:rsidRPr="00C806D0">
        <w:rPr>
          <w:rFonts w:ascii="Calibri" w:hAnsi="Calibri"/>
          <w:b/>
          <w:noProof/>
        </w:rPr>
        <w:t>49</w:t>
      </w:r>
      <w:r w:rsidRPr="00C806D0">
        <w:rPr>
          <w:rFonts w:ascii="Calibri" w:hAnsi="Calibri"/>
          <w:noProof/>
        </w:rPr>
        <w:t>(3):225-226.</w:t>
      </w:r>
      <w:bookmarkEnd w:id="111"/>
    </w:p>
    <w:p w:rsidR="006D4D62" w:rsidRPr="00C806D0" w:rsidRDefault="006D4D62" w:rsidP="006D4D62">
      <w:pPr>
        <w:spacing w:line="240" w:lineRule="auto"/>
        <w:ind w:left="720" w:hanging="720"/>
        <w:rPr>
          <w:rFonts w:ascii="Calibri" w:hAnsi="Calibri"/>
          <w:noProof/>
        </w:rPr>
      </w:pPr>
      <w:bookmarkStart w:id="112" w:name="_ENREF_6_15"/>
      <w:r w:rsidRPr="00C806D0">
        <w:rPr>
          <w:rFonts w:ascii="Calibri" w:hAnsi="Calibri"/>
          <w:noProof/>
        </w:rPr>
        <w:t>15.</w:t>
      </w:r>
      <w:r w:rsidRPr="00C806D0">
        <w:rPr>
          <w:rFonts w:ascii="Calibri" w:hAnsi="Calibri"/>
          <w:noProof/>
        </w:rPr>
        <w:tab/>
        <w:t xml:space="preserve">Teasdale GM, Pettigrew LE, Wilson JT, Murray G, Jennett B: </w:t>
      </w:r>
      <w:r w:rsidRPr="00C806D0">
        <w:rPr>
          <w:rFonts w:ascii="Calibri" w:hAnsi="Calibri"/>
          <w:b/>
          <w:noProof/>
        </w:rPr>
        <w:t>Analyzing outcome of treatment of severe head injury: a review and update on advancing the use of the Glasgow Outcome Scale</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1998, </w:t>
      </w:r>
      <w:r w:rsidRPr="00C806D0">
        <w:rPr>
          <w:rFonts w:ascii="Calibri" w:hAnsi="Calibri"/>
          <w:b/>
          <w:noProof/>
        </w:rPr>
        <w:t>15</w:t>
      </w:r>
      <w:r w:rsidRPr="00C806D0">
        <w:rPr>
          <w:rFonts w:ascii="Calibri" w:hAnsi="Calibri"/>
          <w:noProof/>
        </w:rPr>
        <w:t>(8):587-597.</w:t>
      </w:r>
      <w:bookmarkEnd w:id="112"/>
    </w:p>
    <w:p w:rsidR="006D4D62" w:rsidRPr="00C806D0" w:rsidRDefault="006D4D62" w:rsidP="006D4D62">
      <w:pPr>
        <w:spacing w:line="240" w:lineRule="auto"/>
        <w:ind w:left="720" w:hanging="720"/>
        <w:rPr>
          <w:rFonts w:ascii="Calibri" w:hAnsi="Calibri"/>
          <w:noProof/>
        </w:rPr>
      </w:pPr>
      <w:bookmarkStart w:id="113" w:name="_ENREF_6_16"/>
      <w:r w:rsidRPr="00C806D0">
        <w:rPr>
          <w:rFonts w:ascii="Calibri" w:hAnsi="Calibri"/>
          <w:noProof/>
        </w:rPr>
        <w:t>16.</w:t>
      </w:r>
      <w:r w:rsidRPr="00C806D0">
        <w:rPr>
          <w:rFonts w:ascii="Calibri" w:hAnsi="Calibri"/>
          <w:noProof/>
        </w:rPr>
        <w:tab/>
        <w:t xml:space="preserve">Glanville J, Kaunelis D, Mensinkai S: </w:t>
      </w:r>
      <w:r w:rsidRPr="00C806D0">
        <w:rPr>
          <w:rFonts w:ascii="Calibri" w:hAnsi="Calibri"/>
          <w:b/>
          <w:noProof/>
        </w:rPr>
        <w:t>How well do search filters perform in identifying economic evaluations in MEDLINE and EMBASE</w:t>
      </w:r>
      <w:r w:rsidRPr="00C806D0">
        <w:rPr>
          <w:rFonts w:ascii="Calibri" w:hAnsi="Calibri"/>
          <w:noProof/>
        </w:rPr>
        <w:t xml:space="preserve">. </w:t>
      </w:r>
      <w:r w:rsidRPr="00C806D0">
        <w:rPr>
          <w:rFonts w:ascii="Calibri" w:hAnsi="Calibri"/>
          <w:i/>
          <w:noProof/>
        </w:rPr>
        <w:t xml:space="preserve">International journal of technology assessment in health care </w:t>
      </w:r>
      <w:r w:rsidRPr="00C806D0">
        <w:rPr>
          <w:rFonts w:ascii="Calibri" w:hAnsi="Calibri"/>
          <w:noProof/>
        </w:rPr>
        <w:t xml:space="preserve">2009, </w:t>
      </w:r>
      <w:r w:rsidRPr="00C806D0">
        <w:rPr>
          <w:rFonts w:ascii="Calibri" w:hAnsi="Calibri"/>
          <w:b/>
          <w:noProof/>
        </w:rPr>
        <w:t>25</w:t>
      </w:r>
      <w:r w:rsidRPr="00C806D0">
        <w:rPr>
          <w:rFonts w:ascii="Calibri" w:hAnsi="Calibri"/>
          <w:noProof/>
        </w:rPr>
        <w:t>(4):522-529.</w:t>
      </w:r>
      <w:bookmarkEnd w:id="113"/>
    </w:p>
    <w:p w:rsidR="006D4D62" w:rsidRPr="00C806D0" w:rsidRDefault="006D4D62" w:rsidP="006D4D62">
      <w:pPr>
        <w:spacing w:line="240" w:lineRule="auto"/>
        <w:ind w:left="720" w:hanging="720"/>
        <w:rPr>
          <w:rFonts w:ascii="Calibri" w:hAnsi="Calibri"/>
          <w:noProof/>
        </w:rPr>
      </w:pPr>
      <w:bookmarkStart w:id="114" w:name="_ENREF_6_17"/>
      <w:r w:rsidRPr="00C806D0">
        <w:rPr>
          <w:rFonts w:ascii="Calibri" w:hAnsi="Calibri"/>
          <w:noProof/>
        </w:rPr>
        <w:t>17.</w:t>
      </w:r>
      <w:r w:rsidRPr="00C806D0">
        <w:rPr>
          <w:rFonts w:ascii="Calibri" w:hAnsi="Calibri"/>
          <w:noProof/>
        </w:rPr>
        <w:tab/>
        <w:t xml:space="preserve">Alton V, Eckerlund I, Norlund A: </w:t>
      </w:r>
      <w:r w:rsidRPr="00C806D0">
        <w:rPr>
          <w:rFonts w:ascii="Calibri" w:hAnsi="Calibri"/>
          <w:b/>
          <w:noProof/>
        </w:rPr>
        <w:t>Health economic evaluations: how to find them</w:t>
      </w:r>
      <w:r w:rsidRPr="00C806D0">
        <w:rPr>
          <w:rFonts w:ascii="Calibri" w:hAnsi="Calibri"/>
          <w:noProof/>
        </w:rPr>
        <w:t xml:space="preserve">. </w:t>
      </w:r>
      <w:r w:rsidRPr="00C806D0">
        <w:rPr>
          <w:rFonts w:ascii="Calibri" w:hAnsi="Calibri"/>
          <w:i/>
          <w:noProof/>
        </w:rPr>
        <w:t xml:space="preserve">International journal of technology assessment in health care </w:t>
      </w:r>
      <w:r w:rsidRPr="00C806D0">
        <w:rPr>
          <w:rFonts w:ascii="Calibri" w:hAnsi="Calibri"/>
          <w:noProof/>
        </w:rPr>
        <w:t xml:space="preserve">2006, </w:t>
      </w:r>
      <w:r w:rsidRPr="00C806D0">
        <w:rPr>
          <w:rFonts w:ascii="Calibri" w:hAnsi="Calibri"/>
          <w:b/>
          <w:noProof/>
        </w:rPr>
        <w:t>22</w:t>
      </w:r>
      <w:r w:rsidRPr="00C806D0">
        <w:rPr>
          <w:rFonts w:ascii="Calibri" w:hAnsi="Calibri"/>
          <w:noProof/>
        </w:rPr>
        <w:t>(4):512-517.</w:t>
      </w:r>
      <w:bookmarkEnd w:id="114"/>
    </w:p>
    <w:p w:rsidR="006D4D62" w:rsidRPr="00C806D0" w:rsidRDefault="006D4D62" w:rsidP="006D4D62">
      <w:pPr>
        <w:spacing w:line="240" w:lineRule="auto"/>
        <w:ind w:left="720" w:hanging="720"/>
        <w:rPr>
          <w:rFonts w:ascii="Calibri" w:hAnsi="Calibri"/>
          <w:noProof/>
        </w:rPr>
      </w:pPr>
      <w:bookmarkStart w:id="115" w:name="_ENREF_6_18"/>
      <w:r w:rsidRPr="00C806D0">
        <w:rPr>
          <w:rFonts w:ascii="Calibri" w:hAnsi="Calibri"/>
          <w:noProof/>
        </w:rPr>
        <w:t>18.</w:t>
      </w:r>
      <w:r w:rsidRPr="00C806D0">
        <w:rPr>
          <w:rFonts w:ascii="Calibri" w:hAnsi="Calibri"/>
          <w:noProof/>
        </w:rPr>
        <w:tab/>
        <w:t xml:space="preserve">Bland M: </w:t>
      </w:r>
      <w:r w:rsidRPr="00C806D0">
        <w:rPr>
          <w:rFonts w:ascii="Calibri" w:hAnsi="Calibri"/>
          <w:b/>
          <w:noProof/>
        </w:rPr>
        <w:t>An introduction to medical statistics</w:t>
      </w:r>
      <w:r w:rsidRPr="00C806D0">
        <w:rPr>
          <w:rFonts w:ascii="Calibri" w:hAnsi="Calibri"/>
          <w:noProof/>
        </w:rPr>
        <w:t>, 3rd ed. edn. Oxford: Oxford University Press; 2000.</w:t>
      </w:r>
      <w:bookmarkEnd w:id="115"/>
    </w:p>
    <w:p w:rsidR="006D4D62" w:rsidRPr="00C806D0" w:rsidRDefault="006D4D62" w:rsidP="006D4D62">
      <w:pPr>
        <w:spacing w:line="240" w:lineRule="auto"/>
        <w:ind w:left="720" w:hanging="720"/>
        <w:rPr>
          <w:rFonts w:ascii="Calibri" w:hAnsi="Calibri"/>
          <w:noProof/>
        </w:rPr>
      </w:pPr>
      <w:bookmarkStart w:id="116" w:name="_ENREF_6_19"/>
      <w:r w:rsidRPr="00C806D0">
        <w:rPr>
          <w:rFonts w:ascii="Calibri" w:hAnsi="Calibri"/>
          <w:noProof/>
        </w:rPr>
        <w:t>19.</w:t>
      </w:r>
      <w:r w:rsidRPr="00C806D0">
        <w:rPr>
          <w:rFonts w:ascii="Calibri" w:hAnsi="Calibri"/>
          <w:noProof/>
        </w:rPr>
        <w:tab/>
        <w:t xml:space="preserve">Scheffe H: </w:t>
      </w:r>
      <w:r w:rsidRPr="00C806D0">
        <w:rPr>
          <w:rFonts w:ascii="Calibri" w:hAnsi="Calibri"/>
          <w:b/>
          <w:noProof/>
        </w:rPr>
        <w:t>The Analysis of Variance</w:t>
      </w:r>
      <w:r w:rsidRPr="00C806D0">
        <w:rPr>
          <w:rFonts w:ascii="Calibri" w:hAnsi="Calibri"/>
          <w:noProof/>
        </w:rPr>
        <w:t>. New York: John Wiley &amp; Sons ; London : Chapman &amp; Hall; 1959.</w:t>
      </w:r>
      <w:bookmarkEnd w:id="116"/>
    </w:p>
    <w:p w:rsidR="006D4D62" w:rsidRPr="00C806D0" w:rsidRDefault="006D4D62" w:rsidP="006D4D62">
      <w:pPr>
        <w:spacing w:line="240" w:lineRule="auto"/>
        <w:ind w:left="720" w:hanging="720"/>
        <w:rPr>
          <w:rFonts w:ascii="Calibri" w:hAnsi="Calibri"/>
          <w:noProof/>
        </w:rPr>
      </w:pPr>
      <w:bookmarkStart w:id="117" w:name="_ENREF_6_20"/>
      <w:r w:rsidRPr="00C806D0">
        <w:rPr>
          <w:rFonts w:ascii="Calibri" w:hAnsi="Calibri"/>
          <w:noProof/>
        </w:rPr>
        <w:t>20.</w:t>
      </w:r>
      <w:r w:rsidRPr="00C806D0">
        <w:rPr>
          <w:rFonts w:ascii="Calibri" w:hAnsi="Calibri"/>
          <w:noProof/>
        </w:rPr>
        <w:tab/>
        <w:t xml:space="preserve">Hernandez Alava M, Wailoo AJ, Ara R: </w:t>
      </w:r>
      <w:r w:rsidRPr="00C806D0">
        <w:rPr>
          <w:rFonts w:ascii="Calibri" w:hAnsi="Calibri"/>
          <w:b/>
          <w:noProof/>
        </w:rPr>
        <w:t>Tails from the peak district: adjusted limited dependent variable mixture models of EQ-5D questionnaire health state utility values</w:t>
      </w:r>
      <w:r w:rsidRPr="00C806D0">
        <w:rPr>
          <w:rFonts w:ascii="Calibri" w:hAnsi="Calibri"/>
          <w:noProof/>
        </w:rPr>
        <w:t xml:space="preserve">. </w:t>
      </w:r>
      <w:r w:rsidRPr="00C806D0">
        <w:rPr>
          <w:rFonts w:ascii="Calibri" w:hAnsi="Calibri"/>
          <w:i/>
          <w:noProof/>
        </w:rPr>
        <w:t xml:space="preserve">Value in health : the journal of the International Society for Pharmacoeconomics and Outcomes Research </w:t>
      </w:r>
      <w:r w:rsidRPr="00C806D0">
        <w:rPr>
          <w:rFonts w:ascii="Calibri" w:hAnsi="Calibri"/>
          <w:noProof/>
        </w:rPr>
        <w:t xml:space="preserve">2012, </w:t>
      </w:r>
      <w:r w:rsidRPr="00C806D0">
        <w:rPr>
          <w:rFonts w:ascii="Calibri" w:hAnsi="Calibri"/>
          <w:b/>
          <w:noProof/>
        </w:rPr>
        <w:t>15</w:t>
      </w:r>
      <w:r w:rsidRPr="00C806D0">
        <w:rPr>
          <w:rFonts w:ascii="Calibri" w:hAnsi="Calibri"/>
          <w:noProof/>
        </w:rPr>
        <w:t>(3):550-561.</w:t>
      </w:r>
      <w:bookmarkEnd w:id="117"/>
    </w:p>
    <w:p w:rsidR="006D4D62" w:rsidRPr="00C806D0" w:rsidRDefault="006D4D62" w:rsidP="006D4D62">
      <w:pPr>
        <w:spacing w:line="240" w:lineRule="auto"/>
        <w:ind w:left="720" w:hanging="720"/>
        <w:rPr>
          <w:rFonts w:ascii="Calibri" w:hAnsi="Calibri"/>
          <w:noProof/>
        </w:rPr>
      </w:pPr>
      <w:bookmarkStart w:id="118" w:name="_ENREF_6_21"/>
      <w:r w:rsidRPr="00C806D0">
        <w:rPr>
          <w:rFonts w:ascii="Calibri" w:hAnsi="Calibri"/>
          <w:noProof/>
        </w:rPr>
        <w:lastRenderedPageBreak/>
        <w:t>21.</w:t>
      </w:r>
      <w:r w:rsidRPr="00C806D0">
        <w:rPr>
          <w:rFonts w:ascii="Calibri" w:hAnsi="Calibri"/>
          <w:noProof/>
        </w:rPr>
        <w:tab/>
        <w:t xml:space="preserve">Hernandez Alava M, Wailoo A, Wolfe F, Michaud K: </w:t>
      </w:r>
      <w:r w:rsidRPr="00C806D0">
        <w:rPr>
          <w:rFonts w:ascii="Calibri" w:hAnsi="Calibri"/>
          <w:b/>
          <w:noProof/>
        </w:rPr>
        <w:t>A Comparison of Direct and Indirect Methods for the Estimation of Health Utilities from Clinical Outcomes</w:t>
      </w:r>
      <w:r w:rsidRPr="00C806D0">
        <w:rPr>
          <w:rFonts w:ascii="Calibri" w:hAnsi="Calibri"/>
          <w:noProof/>
        </w:rPr>
        <w:t xml:space="preserve">. </w:t>
      </w:r>
      <w:r w:rsidRPr="00C806D0">
        <w:rPr>
          <w:rFonts w:ascii="Calibri" w:hAnsi="Calibri"/>
          <w:i/>
          <w:noProof/>
        </w:rPr>
        <w:t xml:space="preserve">Medical decision making : an international journal of the Society for Medical Decision Making </w:t>
      </w:r>
      <w:r w:rsidRPr="00C806D0">
        <w:rPr>
          <w:rFonts w:ascii="Calibri" w:hAnsi="Calibri"/>
          <w:noProof/>
        </w:rPr>
        <w:t>2013.</w:t>
      </w:r>
      <w:bookmarkEnd w:id="118"/>
    </w:p>
    <w:p w:rsidR="006D4D62" w:rsidRPr="00C806D0" w:rsidRDefault="006D4D62" w:rsidP="006D4D62">
      <w:pPr>
        <w:spacing w:line="240" w:lineRule="auto"/>
        <w:ind w:left="720" w:hanging="720"/>
        <w:rPr>
          <w:rFonts w:ascii="Calibri" w:hAnsi="Calibri"/>
          <w:noProof/>
        </w:rPr>
      </w:pPr>
      <w:bookmarkStart w:id="119" w:name="_ENREF_6_22"/>
      <w:r w:rsidRPr="00C806D0">
        <w:rPr>
          <w:rFonts w:ascii="Calibri" w:hAnsi="Calibri"/>
          <w:noProof/>
        </w:rPr>
        <w:t>22.</w:t>
      </w:r>
      <w:r w:rsidRPr="00C806D0">
        <w:rPr>
          <w:rFonts w:ascii="Calibri" w:hAnsi="Calibri"/>
          <w:noProof/>
        </w:rPr>
        <w:tab/>
        <w:t xml:space="preserve">Dakin H: </w:t>
      </w:r>
      <w:r w:rsidRPr="00C806D0">
        <w:rPr>
          <w:rFonts w:ascii="Calibri" w:hAnsi="Calibri"/>
          <w:b/>
          <w:noProof/>
        </w:rPr>
        <w:t>Review of studies mapping from quality of life or clinical measures to EQ-5D: an online database</w:t>
      </w:r>
      <w:r w:rsidRPr="00C806D0">
        <w:rPr>
          <w:rFonts w:ascii="Calibri" w:hAnsi="Calibri"/>
          <w:noProof/>
        </w:rPr>
        <w:t xml:space="preserve">. </w:t>
      </w:r>
      <w:r w:rsidRPr="00C806D0">
        <w:rPr>
          <w:rFonts w:ascii="Calibri" w:hAnsi="Calibri"/>
          <w:i/>
          <w:noProof/>
        </w:rPr>
        <w:t xml:space="preserve">Health Qual Life Outcomes </w:t>
      </w:r>
      <w:r w:rsidRPr="00C806D0">
        <w:rPr>
          <w:rFonts w:ascii="Calibri" w:hAnsi="Calibri"/>
          <w:noProof/>
        </w:rPr>
        <w:t xml:space="preserve">2013, </w:t>
      </w:r>
      <w:r w:rsidRPr="00C806D0">
        <w:rPr>
          <w:rFonts w:ascii="Calibri" w:hAnsi="Calibri"/>
          <w:b/>
          <w:noProof/>
        </w:rPr>
        <w:t>11</w:t>
      </w:r>
      <w:r w:rsidRPr="00C806D0">
        <w:rPr>
          <w:rFonts w:ascii="Calibri" w:hAnsi="Calibri"/>
          <w:noProof/>
        </w:rPr>
        <w:t>:151.</w:t>
      </w:r>
      <w:bookmarkEnd w:id="119"/>
    </w:p>
    <w:p w:rsidR="006D4D62" w:rsidRPr="00C806D0" w:rsidRDefault="006D4D62" w:rsidP="006D4D62">
      <w:pPr>
        <w:spacing w:line="240" w:lineRule="auto"/>
        <w:ind w:left="720" w:hanging="720"/>
        <w:rPr>
          <w:rFonts w:ascii="Calibri" w:hAnsi="Calibri"/>
          <w:noProof/>
        </w:rPr>
      </w:pPr>
      <w:bookmarkStart w:id="120" w:name="_ENREF_6_23"/>
      <w:r w:rsidRPr="00C806D0">
        <w:rPr>
          <w:rFonts w:ascii="Calibri" w:hAnsi="Calibri"/>
          <w:noProof/>
        </w:rPr>
        <w:t>23.</w:t>
      </w:r>
      <w:r w:rsidRPr="00C806D0">
        <w:rPr>
          <w:rFonts w:ascii="Calibri" w:hAnsi="Calibri"/>
          <w:noProof/>
        </w:rPr>
        <w:tab/>
        <w:t xml:space="preserve">McLachlan GJ, Peel D: </w:t>
      </w:r>
      <w:r w:rsidRPr="00C806D0">
        <w:rPr>
          <w:rFonts w:ascii="Calibri" w:hAnsi="Calibri"/>
          <w:b/>
          <w:noProof/>
        </w:rPr>
        <w:t>Finite mixture models</w:t>
      </w:r>
      <w:r w:rsidRPr="00C806D0">
        <w:rPr>
          <w:rFonts w:ascii="Calibri" w:hAnsi="Calibri"/>
          <w:noProof/>
        </w:rPr>
        <w:t>. New York ; Chichester: Wiley; 2000.</w:t>
      </w:r>
      <w:bookmarkEnd w:id="120"/>
    </w:p>
    <w:p w:rsidR="006D4D62" w:rsidRPr="00C806D0" w:rsidRDefault="006D4D62" w:rsidP="006D4D62">
      <w:pPr>
        <w:spacing w:line="240" w:lineRule="auto"/>
        <w:ind w:left="720" w:hanging="720"/>
        <w:rPr>
          <w:rFonts w:ascii="Calibri" w:hAnsi="Calibri"/>
          <w:noProof/>
        </w:rPr>
      </w:pPr>
      <w:bookmarkStart w:id="121" w:name="_ENREF_6_24"/>
      <w:r w:rsidRPr="00C806D0">
        <w:rPr>
          <w:rFonts w:ascii="Calibri" w:hAnsi="Calibri"/>
          <w:noProof/>
        </w:rPr>
        <w:t>24.</w:t>
      </w:r>
      <w:r w:rsidRPr="00C806D0">
        <w:rPr>
          <w:rFonts w:ascii="Calibri" w:hAnsi="Calibri"/>
          <w:noProof/>
        </w:rPr>
        <w:tab/>
        <w:t xml:space="preserve">Schlattmann P: </w:t>
      </w:r>
      <w:r w:rsidRPr="00C806D0">
        <w:rPr>
          <w:rFonts w:ascii="Calibri" w:hAnsi="Calibri"/>
          <w:b/>
          <w:noProof/>
        </w:rPr>
        <w:t>Medical applications of finite mixture models</w:t>
      </w:r>
      <w:r w:rsidRPr="00C806D0">
        <w:rPr>
          <w:rFonts w:ascii="Calibri" w:hAnsi="Calibri"/>
          <w:noProof/>
        </w:rPr>
        <w:t>. Berlin: Springer; 2009.</w:t>
      </w:r>
      <w:bookmarkEnd w:id="121"/>
    </w:p>
    <w:p w:rsidR="006D4D62" w:rsidRPr="00C806D0" w:rsidRDefault="006D4D62" w:rsidP="006D4D62">
      <w:pPr>
        <w:spacing w:line="240" w:lineRule="auto"/>
        <w:ind w:left="720" w:hanging="720"/>
        <w:rPr>
          <w:rFonts w:ascii="Calibri" w:hAnsi="Calibri"/>
          <w:noProof/>
        </w:rPr>
      </w:pPr>
      <w:bookmarkStart w:id="122" w:name="_ENREF_6_25"/>
      <w:r w:rsidRPr="00C806D0">
        <w:rPr>
          <w:rFonts w:ascii="Calibri" w:hAnsi="Calibri"/>
          <w:noProof/>
        </w:rPr>
        <w:t>25.</w:t>
      </w:r>
      <w:r w:rsidRPr="00C806D0">
        <w:rPr>
          <w:rFonts w:ascii="Calibri" w:hAnsi="Calibri"/>
          <w:noProof/>
        </w:rPr>
        <w:tab/>
        <w:t xml:space="preserve">Steyerberg EW: </w:t>
      </w:r>
      <w:r w:rsidRPr="00C806D0">
        <w:rPr>
          <w:rFonts w:ascii="Calibri" w:hAnsi="Calibri"/>
          <w:b/>
          <w:noProof/>
        </w:rPr>
        <w:t>Clinical prediction models : a practical approach to development, validation, and updating</w:t>
      </w:r>
      <w:r w:rsidRPr="00C806D0">
        <w:rPr>
          <w:rFonts w:ascii="Calibri" w:hAnsi="Calibri"/>
          <w:noProof/>
        </w:rPr>
        <w:t>. New York ; London: Springer; 2009.</w:t>
      </w:r>
      <w:bookmarkEnd w:id="122"/>
    </w:p>
    <w:p w:rsidR="006D4D62" w:rsidRPr="00C806D0" w:rsidRDefault="006D4D62" w:rsidP="006D4D62">
      <w:pPr>
        <w:spacing w:line="240" w:lineRule="auto"/>
        <w:ind w:left="720" w:hanging="720"/>
        <w:rPr>
          <w:rFonts w:ascii="Calibri" w:hAnsi="Calibri"/>
          <w:noProof/>
        </w:rPr>
      </w:pPr>
      <w:bookmarkStart w:id="123" w:name="_ENREF_6_26"/>
      <w:r w:rsidRPr="00C806D0">
        <w:rPr>
          <w:rFonts w:ascii="Calibri" w:hAnsi="Calibri"/>
          <w:noProof/>
        </w:rPr>
        <w:t>26.</w:t>
      </w:r>
      <w:r w:rsidRPr="00C806D0">
        <w:rPr>
          <w:rFonts w:ascii="Calibri" w:hAnsi="Calibri"/>
          <w:noProof/>
        </w:rPr>
        <w:tab/>
        <w:t xml:space="preserve">Hernandez-Alava MW, A.: </w:t>
      </w:r>
      <w:r w:rsidRPr="00C806D0">
        <w:rPr>
          <w:rFonts w:ascii="Calibri" w:hAnsi="Calibri"/>
          <w:b/>
          <w:noProof/>
        </w:rPr>
        <w:t>ALDVMM: A command for fitting Adjusted Limited Dependent Variable Mixture Models to EQ-5D</w:t>
      </w:r>
      <w:r w:rsidRPr="00C806D0">
        <w:rPr>
          <w:rFonts w:ascii="Calibri" w:hAnsi="Calibri"/>
          <w:noProof/>
        </w:rPr>
        <w:t xml:space="preserve">. </w:t>
      </w:r>
      <w:r w:rsidRPr="00C806D0">
        <w:rPr>
          <w:rFonts w:ascii="Calibri" w:hAnsi="Calibri"/>
          <w:i/>
          <w:noProof/>
        </w:rPr>
        <w:t xml:space="preserve">The Stata Journal </w:t>
      </w:r>
      <w:r w:rsidRPr="00C806D0">
        <w:rPr>
          <w:rFonts w:ascii="Calibri" w:hAnsi="Calibri"/>
          <w:noProof/>
        </w:rPr>
        <w:t>2014:In press.</w:t>
      </w:r>
      <w:bookmarkEnd w:id="123"/>
    </w:p>
    <w:p w:rsidR="006D4D62" w:rsidRPr="00C806D0" w:rsidRDefault="006D4D62" w:rsidP="006D4D62">
      <w:pPr>
        <w:spacing w:line="240" w:lineRule="auto"/>
        <w:ind w:left="720" w:hanging="720"/>
        <w:rPr>
          <w:rFonts w:ascii="Calibri" w:hAnsi="Calibri"/>
          <w:noProof/>
        </w:rPr>
      </w:pPr>
      <w:bookmarkStart w:id="124" w:name="_ENREF_6_27"/>
      <w:r w:rsidRPr="00C806D0">
        <w:rPr>
          <w:rFonts w:ascii="Calibri" w:hAnsi="Calibri"/>
          <w:noProof/>
        </w:rPr>
        <w:t>27.</w:t>
      </w:r>
      <w:r w:rsidRPr="00C806D0">
        <w:rPr>
          <w:rFonts w:ascii="Calibri" w:hAnsi="Calibri"/>
          <w:noProof/>
        </w:rPr>
        <w:tab/>
        <w:t xml:space="preserve">Cotton BA, Kao LS, Kozar R, Holcomb JB: </w:t>
      </w:r>
      <w:r w:rsidRPr="00C806D0">
        <w:rPr>
          <w:rFonts w:ascii="Calibri" w:hAnsi="Calibri"/>
          <w:b/>
          <w:noProof/>
        </w:rPr>
        <w:t>Cost-utility analysis of levetiracetam and phenytoin for posttraumatic seizure prophylaxis</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2011, </w:t>
      </w:r>
      <w:r w:rsidRPr="00C806D0">
        <w:rPr>
          <w:rFonts w:ascii="Calibri" w:hAnsi="Calibri"/>
          <w:b/>
          <w:noProof/>
        </w:rPr>
        <w:t>71</w:t>
      </w:r>
      <w:r w:rsidRPr="00C806D0">
        <w:rPr>
          <w:rFonts w:ascii="Calibri" w:hAnsi="Calibri"/>
          <w:noProof/>
        </w:rPr>
        <w:t>(2):375-379.</w:t>
      </w:r>
      <w:bookmarkEnd w:id="124"/>
    </w:p>
    <w:p w:rsidR="006D4D62" w:rsidRPr="00C806D0" w:rsidRDefault="006D4D62" w:rsidP="006D4D62">
      <w:pPr>
        <w:spacing w:line="240" w:lineRule="auto"/>
        <w:ind w:left="720" w:hanging="720"/>
        <w:rPr>
          <w:rFonts w:ascii="Calibri" w:hAnsi="Calibri"/>
          <w:noProof/>
        </w:rPr>
      </w:pPr>
      <w:bookmarkStart w:id="125" w:name="_ENREF_6_28"/>
      <w:r w:rsidRPr="00C806D0">
        <w:rPr>
          <w:rFonts w:ascii="Calibri" w:hAnsi="Calibri"/>
          <w:noProof/>
        </w:rPr>
        <w:t>28.</w:t>
      </w:r>
      <w:r w:rsidRPr="00C806D0">
        <w:rPr>
          <w:rFonts w:ascii="Calibri" w:hAnsi="Calibri"/>
          <w:noProof/>
        </w:rPr>
        <w:tab/>
        <w:t xml:space="preserve">Pandor A, Goodacre S, Harnan S, Holmes M, Pickering A, Fitzgerald P, Rees A, Stevenson M: </w:t>
      </w:r>
      <w:r w:rsidRPr="00C806D0">
        <w:rPr>
          <w:rFonts w:ascii="Calibri" w:hAnsi="Calibri"/>
          <w:b/>
          <w:noProof/>
        </w:rPr>
        <w:t>Diagnostic management strategies for adults and children with minor head injury: a systematic review and an economic evaluation</w:t>
      </w:r>
      <w:r w:rsidRPr="00C806D0">
        <w:rPr>
          <w:rFonts w:ascii="Calibri" w:hAnsi="Calibri"/>
          <w:noProof/>
        </w:rPr>
        <w:t xml:space="preserve">. </w:t>
      </w:r>
      <w:r w:rsidRPr="00C806D0">
        <w:rPr>
          <w:rFonts w:ascii="Calibri" w:hAnsi="Calibri"/>
          <w:i/>
          <w:noProof/>
        </w:rPr>
        <w:t xml:space="preserve">Health technology assessment (Winchester, England) </w:t>
      </w:r>
      <w:r w:rsidRPr="00C806D0">
        <w:rPr>
          <w:rFonts w:ascii="Calibri" w:hAnsi="Calibri"/>
          <w:noProof/>
        </w:rPr>
        <w:t xml:space="preserve">2011, </w:t>
      </w:r>
      <w:r w:rsidRPr="00C806D0">
        <w:rPr>
          <w:rFonts w:ascii="Calibri" w:hAnsi="Calibri"/>
          <w:b/>
          <w:noProof/>
        </w:rPr>
        <w:t>15</w:t>
      </w:r>
      <w:r w:rsidRPr="00C806D0">
        <w:rPr>
          <w:rFonts w:ascii="Calibri" w:hAnsi="Calibri"/>
          <w:noProof/>
        </w:rPr>
        <w:t>(27):1-202.</w:t>
      </w:r>
      <w:bookmarkEnd w:id="125"/>
    </w:p>
    <w:p w:rsidR="006D4D62" w:rsidRPr="00C806D0" w:rsidRDefault="006D4D62" w:rsidP="006D4D62">
      <w:pPr>
        <w:spacing w:line="240" w:lineRule="auto"/>
        <w:ind w:left="720" w:hanging="720"/>
        <w:rPr>
          <w:rFonts w:ascii="Calibri" w:hAnsi="Calibri"/>
          <w:noProof/>
        </w:rPr>
      </w:pPr>
      <w:bookmarkStart w:id="126" w:name="_ENREF_6_29"/>
      <w:r w:rsidRPr="00C806D0">
        <w:rPr>
          <w:rFonts w:ascii="Calibri" w:hAnsi="Calibri"/>
          <w:noProof/>
        </w:rPr>
        <w:t>29.</w:t>
      </w:r>
      <w:r w:rsidRPr="00C806D0">
        <w:rPr>
          <w:rFonts w:ascii="Calibri" w:hAnsi="Calibri"/>
          <w:noProof/>
        </w:rPr>
        <w:tab/>
        <w:t>Smits M, Dippel DW, Nederkoorn PJ, Dekker HM, Vos PE, Kool DR, van Rijssel DA, Hofman PA, Twijnstra A, Tanghe HL</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Minor head injury: CT-based strategies for management--a cost-effectiveness analysis</w:t>
      </w:r>
      <w:r w:rsidRPr="00C806D0">
        <w:rPr>
          <w:rFonts w:ascii="Calibri" w:hAnsi="Calibri"/>
          <w:noProof/>
        </w:rPr>
        <w:t xml:space="preserve">. </w:t>
      </w:r>
      <w:r w:rsidRPr="00C806D0">
        <w:rPr>
          <w:rFonts w:ascii="Calibri" w:hAnsi="Calibri"/>
          <w:i/>
          <w:noProof/>
        </w:rPr>
        <w:t xml:space="preserve">Radiology </w:t>
      </w:r>
      <w:r w:rsidRPr="00C806D0">
        <w:rPr>
          <w:rFonts w:ascii="Calibri" w:hAnsi="Calibri"/>
          <w:noProof/>
        </w:rPr>
        <w:t xml:space="preserve">2010, </w:t>
      </w:r>
      <w:r w:rsidRPr="00C806D0">
        <w:rPr>
          <w:rFonts w:ascii="Calibri" w:hAnsi="Calibri"/>
          <w:b/>
          <w:noProof/>
        </w:rPr>
        <w:t>254</w:t>
      </w:r>
      <w:r w:rsidRPr="00C806D0">
        <w:rPr>
          <w:rFonts w:ascii="Calibri" w:hAnsi="Calibri"/>
          <w:noProof/>
        </w:rPr>
        <w:t>(2):532-540.</w:t>
      </w:r>
      <w:bookmarkEnd w:id="126"/>
    </w:p>
    <w:p w:rsidR="006D4D62" w:rsidRPr="00C806D0" w:rsidRDefault="006D4D62" w:rsidP="006D4D62">
      <w:pPr>
        <w:spacing w:line="240" w:lineRule="auto"/>
        <w:ind w:left="720" w:hanging="720"/>
        <w:rPr>
          <w:rFonts w:ascii="Calibri" w:hAnsi="Calibri"/>
          <w:noProof/>
        </w:rPr>
      </w:pPr>
      <w:bookmarkStart w:id="127" w:name="_ENREF_6_30"/>
      <w:r w:rsidRPr="00C806D0">
        <w:rPr>
          <w:rFonts w:ascii="Calibri" w:hAnsi="Calibri"/>
          <w:noProof/>
        </w:rPr>
        <w:t>30.</w:t>
      </w:r>
      <w:r w:rsidRPr="00C806D0">
        <w:rPr>
          <w:rFonts w:ascii="Calibri" w:hAnsi="Calibri"/>
          <w:noProof/>
        </w:rPr>
        <w:tab/>
        <w:t xml:space="preserve">Stein SC, Burnett MG, Glick HA: </w:t>
      </w:r>
      <w:r w:rsidRPr="00C806D0">
        <w:rPr>
          <w:rFonts w:ascii="Calibri" w:hAnsi="Calibri"/>
          <w:b/>
          <w:noProof/>
        </w:rPr>
        <w:t>Indications for CT scanning in mild traumatic brain injury: A cost-effectiveness study</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2006, </w:t>
      </w:r>
      <w:r w:rsidRPr="00C806D0">
        <w:rPr>
          <w:rFonts w:ascii="Calibri" w:hAnsi="Calibri"/>
          <w:b/>
          <w:noProof/>
        </w:rPr>
        <w:t>61</w:t>
      </w:r>
      <w:r w:rsidRPr="00C806D0">
        <w:rPr>
          <w:rFonts w:ascii="Calibri" w:hAnsi="Calibri"/>
          <w:noProof/>
        </w:rPr>
        <w:t>(3):558-566.</w:t>
      </w:r>
      <w:bookmarkEnd w:id="127"/>
    </w:p>
    <w:p w:rsidR="006D4D62" w:rsidRPr="00C806D0" w:rsidRDefault="006D4D62" w:rsidP="006D4D62">
      <w:pPr>
        <w:spacing w:line="240" w:lineRule="auto"/>
        <w:ind w:left="720" w:hanging="720"/>
        <w:rPr>
          <w:rFonts w:ascii="Calibri" w:hAnsi="Calibri"/>
          <w:noProof/>
        </w:rPr>
      </w:pPr>
      <w:bookmarkStart w:id="128" w:name="_ENREF_6_31"/>
      <w:r w:rsidRPr="00C806D0">
        <w:rPr>
          <w:rFonts w:ascii="Calibri" w:hAnsi="Calibri"/>
          <w:noProof/>
        </w:rPr>
        <w:t>31.</w:t>
      </w:r>
      <w:r w:rsidRPr="00C806D0">
        <w:rPr>
          <w:rFonts w:ascii="Calibri" w:hAnsi="Calibri"/>
          <w:noProof/>
        </w:rPr>
        <w:tab/>
        <w:t xml:space="preserve">Stein SC, Fabbri A, Servadei F: </w:t>
      </w:r>
      <w:r w:rsidRPr="00C806D0">
        <w:rPr>
          <w:rFonts w:ascii="Calibri" w:hAnsi="Calibri"/>
          <w:b/>
          <w:noProof/>
        </w:rPr>
        <w:t>Routine serial computed tomographic scans in mild traumatic brain injury: when are they cost-effective?</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2008, </w:t>
      </w:r>
      <w:r w:rsidRPr="00C806D0">
        <w:rPr>
          <w:rFonts w:ascii="Calibri" w:hAnsi="Calibri"/>
          <w:b/>
          <w:noProof/>
        </w:rPr>
        <w:t>65</w:t>
      </w:r>
      <w:r w:rsidRPr="00C806D0">
        <w:rPr>
          <w:rFonts w:ascii="Calibri" w:hAnsi="Calibri"/>
          <w:noProof/>
        </w:rPr>
        <w:t>(1):66-72.</w:t>
      </w:r>
      <w:bookmarkEnd w:id="128"/>
    </w:p>
    <w:p w:rsidR="006D4D62" w:rsidRPr="00C806D0" w:rsidRDefault="006D4D62" w:rsidP="006D4D62">
      <w:pPr>
        <w:spacing w:line="240" w:lineRule="auto"/>
        <w:ind w:left="720" w:hanging="720"/>
        <w:rPr>
          <w:rFonts w:ascii="Calibri" w:hAnsi="Calibri"/>
          <w:noProof/>
        </w:rPr>
      </w:pPr>
      <w:bookmarkStart w:id="129" w:name="_ENREF_6_32"/>
      <w:r w:rsidRPr="00C806D0">
        <w:rPr>
          <w:rFonts w:ascii="Calibri" w:hAnsi="Calibri"/>
          <w:noProof/>
        </w:rPr>
        <w:t>32.</w:t>
      </w:r>
      <w:r w:rsidRPr="00C806D0">
        <w:rPr>
          <w:rFonts w:ascii="Calibri" w:hAnsi="Calibri"/>
          <w:noProof/>
        </w:rPr>
        <w:tab/>
        <w:t xml:space="preserve">Whitmore RG, Thawani JP, Grady MS, Levine JM, Sanborn MR, Stein SC: </w:t>
      </w:r>
      <w:r w:rsidRPr="00C806D0">
        <w:rPr>
          <w:rFonts w:ascii="Calibri" w:hAnsi="Calibri"/>
          <w:b/>
          <w:noProof/>
        </w:rPr>
        <w:t>Is aggressive treatment of traumatic brain injury cost-effective?</w:t>
      </w:r>
      <w:r w:rsidRPr="00C806D0">
        <w:rPr>
          <w:rFonts w:ascii="Calibri" w:hAnsi="Calibri"/>
          <w:noProof/>
        </w:rPr>
        <w:t xml:space="preserve"> </w:t>
      </w:r>
      <w:r w:rsidRPr="00C806D0">
        <w:rPr>
          <w:rFonts w:ascii="Calibri" w:hAnsi="Calibri"/>
          <w:i/>
          <w:noProof/>
        </w:rPr>
        <w:t xml:space="preserve">Journal of neurosurgery </w:t>
      </w:r>
      <w:r w:rsidRPr="00C806D0">
        <w:rPr>
          <w:rFonts w:ascii="Calibri" w:hAnsi="Calibri"/>
          <w:noProof/>
        </w:rPr>
        <w:t xml:space="preserve">2012, </w:t>
      </w:r>
      <w:r w:rsidRPr="00C806D0">
        <w:rPr>
          <w:rFonts w:ascii="Calibri" w:hAnsi="Calibri"/>
          <w:b/>
          <w:noProof/>
        </w:rPr>
        <w:t>116</w:t>
      </w:r>
      <w:r w:rsidRPr="00C806D0">
        <w:rPr>
          <w:rFonts w:ascii="Calibri" w:hAnsi="Calibri"/>
          <w:noProof/>
        </w:rPr>
        <w:t>(5):1106-1113.</w:t>
      </w:r>
      <w:bookmarkEnd w:id="129"/>
    </w:p>
    <w:p w:rsidR="006D4D62" w:rsidRPr="00C806D0" w:rsidRDefault="006D4D62" w:rsidP="006D4D62">
      <w:pPr>
        <w:spacing w:line="240" w:lineRule="auto"/>
        <w:ind w:left="720" w:hanging="720"/>
        <w:rPr>
          <w:rFonts w:ascii="Calibri" w:hAnsi="Calibri"/>
          <w:noProof/>
        </w:rPr>
      </w:pPr>
      <w:bookmarkStart w:id="130" w:name="_ENREF_6_33"/>
      <w:r w:rsidRPr="00C806D0">
        <w:rPr>
          <w:rFonts w:ascii="Calibri" w:hAnsi="Calibri"/>
          <w:noProof/>
        </w:rPr>
        <w:t>33.</w:t>
      </w:r>
      <w:r w:rsidRPr="00C806D0">
        <w:rPr>
          <w:rFonts w:ascii="Calibri" w:hAnsi="Calibri"/>
          <w:noProof/>
        </w:rPr>
        <w:tab/>
        <w:t xml:space="preserve">Eliason SR: </w:t>
      </w:r>
      <w:r w:rsidRPr="00C806D0">
        <w:rPr>
          <w:rFonts w:ascii="Calibri" w:hAnsi="Calibri"/>
          <w:b/>
          <w:noProof/>
        </w:rPr>
        <w:t>Maximum likelihood estimation : logic and practice</w:t>
      </w:r>
      <w:r w:rsidRPr="00C806D0">
        <w:rPr>
          <w:rFonts w:ascii="Calibri" w:hAnsi="Calibri"/>
          <w:noProof/>
        </w:rPr>
        <w:t>. Newbury Park, Calif.: Sage; 1993.</w:t>
      </w:r>
      <w:bookmarkEnd w:id="130"/>
    </w:p>
    <w:p w:rsidR="006D4D62" w:rsidRPr="00C806D0" w:rsidRDefault="006D4D62" w:rsidP="006D4D62">
      <w:pPr>
        <w:spacing w:line="240" w:lineRule="auto"/>
        <w:ind w:left="720" w:hanging="720"/>
        <w:rPr>
          <w:rFonts w:ascii="Calibri" w:hAnsi="Calibri"/>
          <w:noProof/>
        </w:rPr>
      </w:pPr>
      <w:bookmarkStart w:id="131" w:name="_ENREF_6_34"/>
      <w:r w:rsidRPr="00C806D0">
        <w:rPr>
          <w:rFonts w:ascii="Calibri" w:hAnsi="Calibri"/>
          <w:noProof/>
        </w:rPr>
        <w:t>34.</w:t>
      </w:r>
      <w:r w:rsidRPr="00C806D0">
        <w:rPr>
          <w:rFonts w:ascii="Calibri" w:hAnsi="Calibri"/>
          <w:noProof/>
        </w:rPr>
        <w:tab/>
        <w:t xml:space="preserve">Laarhoven PJMv, Aarts EHL: </w:t>
      </w:r>
      <w:r w:rsidRPr="00C806D0">
        <w:rPr>
          <w:rFonts w:ascii="Calibri" w:hAnsi="Calibri"/>
          <w:b/>
          <w:noProof/>
        </w:rPr>
        <w:t>Simulated annealing : theory and applications</w:t>
      </w:r>
      <w:r w:rsidRPr="00C806D0">
        <w:rPr>
          <w:rFonts w:ascii="Calibri" w:hAnsi="Calibri"/>
          <w:noProof/>
        </w:rPr>
        <w:t>. Dordrecht ; Lancaster: Reidel; 1987.</w:t>
      </w:r>
      <w:bookmarkEnd w:id="131"/>
    </w:p>
    <w:p w:rsidR="006D4D62" w:rsidRPr="00C806D0" w:rsidRDefault="006D4D62" w:rsidP="006D4D62">
      <w:pPr>
        <w:spacing w:line="240" w:lineRule="auto"/>
        <w:ind w:left="720" w:hanging="720"/>
        <w:rPr>
          <w:rFonts w:ascii="Calibri" w:hAnsi="Calibri"/>
          <w:noProof/>
        </w:rPr>
      </w:pPr>
      <w:bookmarkStart w:id="132" w:name="_ENREF_6_35"/>
      <w:r w:rsidRPr="00C806D0">
        <w:rPr>
          <w:rFonts w:ascii="Calibri" w:hAnsi="Calibri"/>
          <w:noProof/>
        </w:rPr>
        <w:t>35.</w:t>
      </w:r>
      <w:r w:rsidRPr="00C806D0">
        <w:rPr>
          <w:rFonts w:ascii="Calibri" w:hAnsi="Calibri"/>
          <w:noProof/>
        </w:rPr>
        <w:tab/>
        <w:t xml:space="preserve">Ahmadi SA, Meier U, Lemcke J: </w:t>
      </w:r>
      <w:r w:rsidRPr="00C806D0">
        <w:rPr>
          <w:rFonts w:ascii="Calibri" w:hAnsi="Calibri"/>
          <w:b/>
          <w:noProof/>
        </w:rPr>
        <w:t>Detailed long-term outcome analysis after decompressive craniectomy for severe traumatic brain injury</w:t>
      </w:r>
      <w:r w:rsidRPr="00C806D0">
        <w:rPr>
          <w:rFonts w:ascii="Calibri" w:hAnsi="Calibri"/>
          <w:noProof/>
        </w:rPr>
        <w:t xml:space="preserve">. </w:t>
      </w:r>
      <w:r w:rsidRPr="00C806D0">
        <w:rPr>
          <w:rFonts w:ascii="Calibri" w:hAnsi="Calibri"/>
          <w:i/>
          <w:noProof/>
        </w:rPr>
        <w:t xml:space="preserve">Brain injury : [BI] </w:t>
      </w:r>
      <w:r w:rsidRPr="00C806D0">
        <w:rPr>
          <w:rFonts w:ascii="Calibri" w:hAnsi="Calibri"/>
          <w:noProof/>
        </w:rPr>
        <w:t xml:space="preserve">2010, </w:t>
      </w:r>
      <w:r w:rsidRPr="00C806D0">
        <w:rPr>
          <w:rFonts w:ascii="Calibri" w:hAnsi="Calibri"/>
          <w:b/>
          <w:noProof/>
        </w:rPr>
        <w:t>24</w:t>
      </w:r>
      <w:r w:rsidRPr="00C806D0">
        <w:rPr>
          <w:rFonts w:ascii="Calibri" w:hAnsi="Calibri"/>
          <w:noProof/>
        </w:rPr>
        <w:t>(13-14):1539-1549.</w:t>
      </w:r>
      <w:bookmarkEnd w:id="132"/>
    </w:p>
    <w:p w:rsidR="006D4D62" w:rsidRPr="00C806D0" w:rsidRDefault="006D4D62" w:rsidP="006D4D62">
      <w:pPr>
        <w:spacing w:line="240" w:lineRule="auto"/>
        <w:ind w:left="720" w:hanging="720"/>
        <w:rPr>
          <w:rFonts w:ascii="Calibri" w:hAnsi="Calibri"/>
          <w:noProof/>
        </w:rPr>
      </w:pPr>
      <w:bookmarkStart w:id="133" w:name="_ENREF_6_36"/>
      <w:r w:rsidRPr="00C806D0">
        <w:rPr>
          <w:rFonts w:ascii="Calibri" w:hAnsi="Calibri"/>
          <w:noProof/>
        </w:rPr>
        <w:t>36.</w:t>
      </w:r>
      <w:r w:rsidRPr="00C806D0">
        <w:rPr>
          <w:rFonts w:ascii="Calibri" w:hAnsi="Calibri"/>
          <w:noProof/>
        </w:rPr>
        <w:tab/>
        <w:t xml:space="preserve">Andelic N, Hammergren N, Bautz-Holter E, Sveen U, Brunborg C, Roe C: </w:t>
      </w:r>
      <w:r w:rsidRPr="00C806D0">
        <w:rPr>
          <w:rFonts w:ascii="Calibri" w:hAnsi="Calibri"/>
          <w:b/>
          <w:noProof/>
        </w:rPr>
        <w:t>Functional outcome and health-related quality of life 10 years after moderate-to-severe traumatic brain injury</w:t>
      </w:r>
      <w:r w:rsidRPr="00C806D0">
        <w:rPr>
          <w:rFonts w:ascii="Calibri" w:hAnsi="Calibri"/>
          <w:noProof/>
        </w:rPr>
        <w:t xml:space="preserve">. </w:t>
      </w:r>
      <w:r w:rsidRPr="00C806D0">
        <w:rPr>
          <w:rFonts w:ascii="Calibri" w:hAnsi="Calibri"/>
          <w:i/>
          <w:noProof/>
        </w:rPr>
        <w:t xml:space="preserve">Acta neurologica Scandinavica </w:t>
      </w:r>
      <w:r w:rsidRPr="00C806D0">
        <w:rPr>
          <w:rFonts w:ascii="Calibri" w:hAnsi="Calibri"/>
          <w:noProof/>
        </w:rPr>
        <w:t xml:space="preserve">2009, </w:t>
      </w:r>
      <w:r w:rsidRPr="00C806D0">
        <w:rPr>
          <w:rFonts w:ascii="Calibri" w:hAnsi="Calibri"/>
          <w:b/>
          <w:noProof/>
        </w:rPr>
        <w:t>120</w:t>
      </w:r>
      <w:r w:rsidRPr="00C806D0">
        <w:rPr>
          <w:rFonts w:ascii="Calibri" w:hAnsi="Calibri"/>
          <w:noProof/>
        </w:rPr>
        <w:t>(1):16-23.</w:t>
      </w:r>
      <w:bookmarkEnd w:id="133"/>
    </w:p>
    <w:p w:rsidR="006D4D62" w:rsidRPr="00C806D0" w:rsidRDefault="006D4D62" w:rsidP="006D4D62">
      <w:pPr>
        <w:spacing w:line="240" w:lineRule="auto"/>
        <w:ind w:left="720" w:hanging="720"/>
        <w:rPr>
          <w:rFonts w:ascii="Calibri" w:hAnsi="Calibri"/>
          <w:noProof/>
        </w:rPr>
      </w:pPr>
      <w:bookmarkStart w:id="134" w:name="_ENREF_6_37"/>
      <w:r w:rsidRPr="00C806D0">
        <w:rPr>
          <w:rFonts w:ascii="Calibri" w:hAnsi="Calibri"/>
          <w:noProof/>
        </w:rPr>
        <w:t>37.</w:t>
      </w:r>
      <w:r w:rsidRPr="00C806D0">
        <w:rPr>
          <w:rFonts w:ascii="Calibri" w:hAnsi="Calibri"/>
          <w:noProof/>
        </w:rPr>
        <w:tab/>
        <w:t>Bayen E, Pradat-Diehl P, Jourdan C, Ghout I, Bosserelle V, Azerad S, Weiss JJ, Joel ME, Aegerter P, Azouvi P</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Predictors of informal care burden 1 year after a severe traumatic brain injury: results from the PariS-TBI study</w:t>
      </w:r>
      <w:r w:rsidRPr="00C806D0">
        <w:rPr>
          <w:rFonts w:ascii="Calibri" w:hAnsi="Calibri"/>
          <w:noProof/>
        </w:rPr>
        <w:t xml:space="preserve">. </w:t>
      </w:r>
      <w:r w:rsidRPr="00C806D0">
        <w:rPr>
          <w:rFonts w:ascii="Calibri" w:hAnsi="Calibri"/>
          <w:i/>
          <w:noProof/>
        </w:rPr>
        <w:t xml:space="preserve">The Journal of head trauma rehabilitation </w:t>
      </w:r>
      <w:r w:rsidRPr="00C806D0">
        <w:rPr>
          <w:rFonts w:ascii="Calibri" w:hAnsi="Calibri"/>
          <w:noProof/>
        </w:rPr>
        <w:t xml:space="preserve">2013, </w:t>
      </w:r>
      <w:r w:rsidRPr="00C806D0">
        <w:rPr>
          <w:rFonts w:ascii="Calibri" w:hAnsi="Calibri"/>
          <w:b/>
          <w:noProof/>
        </w:rPr>
        <w:t>28</w:t>
      </w:r>
      <w:r w:rsidRPr="00C806D0">
        <w:rPr>
          <w:rFonts w:ascii="Calibri" w:hAnsi="Calibri"/>
          <w:noProof/>
        </w:rPr>
        <w:t>(6):408-418.</w:t>
      </w:r>
      <w:bookmarkEnd w:id="134"/>
    </w:p>
    <w:p w:rsidR="006D4D62" w:rsidRPr="00C806D0" w:rsidRDefault="006D4D62" w:rsidP="006D4D62">
      <w:pPr>
        <w:spacing w:line="240" w:lineRule="auto"/>
        <w:ind w:left="720" w:hanging="720"/>
        <w:rPr>
          <w:rFonts w:ascii="Calibri" w:hAnsi="Calibri"/>
          <w:noProof/>
        </w:rPr>
      </w:pPr>
      <w:bookmarkStart w:id="135" w:name="_ENREF_6_38"/>
      <w:r w:rsidRPr="00C806D0">
        <w:rPr>
          <w:rFonts w:ascii="Calibri" w:hAnsi="Calibri"/>
          <w:noProof/>
        </w:rPr>
        <w:t>38.</w:t>
      </w:r>
      <w:r w:rsidRPr="00C806D0">
        <w:rPr>
          <w:rFonts w:ascii="Calibri" w:hAnsi="Calibri"/>
          <w:noProof/>
        </w:rPr>
        <w:tab/>
        <w:t xml:space="preserve">Bell KR, Temkin NR, Esselman PC, Doctor JN, Bombardier CH, Fraser RT, Hoffman JM, Powell JM, Dikmen S: </w:t>
      </w:r>
      <w:r w:rsidRPr="00C806D0">
        <w:rPr>
          <w:rFonts w:ascii="Calibri" w:hAnsi="Calibri"/>
          <w:b/>
          <w:noProof/>
        </w:rPr>
        <w:t>The effect of a scheduled telephone intervention on outcome after moderate to severe traumatic brain injury: a randomized trial</w:t>
      </w:r>
      <w:r w:rsidRPr="00C806D0">
        <w:rPr>
          <w:rFonts w:ascii="Calibri" w:hAnsi="Calibri"/>
          <w:noProof/>
        </w:rPr>
        <w:t xml:space="preserve">. </w:t>
      </w:r>
      <w:r w:rsidRPr="00C806D0">
        <w:rPr>
          <w:rFonts w:ascii="Calibri" w:hAnsi="Calibri"/>
          <w:i/>
          <w:noProof/>
        </w:rPr>
        <w:t xml:space="preserve">Archives of physical medicine and rehabilitation </w:t>
      </w:r>
      <w:r w:rsidRPr="00C806D0">
        <w:rPr>
          <w:rFonts w:ascii="Calibri" w:hAnsi="Calibri"/>
          <w:noProof/>
        </w:rPr>
        <w:t xml:space="preserve">2005, </w:t>
      </w:r>
      <w:r w:rsidRPr="00C806D0">
        <w:rPr>
          <w:rFonts w:ascii="Calibri" w:hAnsi="Calibri"/>
          <w:b/>
          <w:noProof/>
        </w:rPr>
        <w:t>86</w:t>
      </w:r>
      <w:r w:rsidRPr="00C806D0">
        <w:rPr>
          <w:rFonts w:ascii="Calibri" w:hAnsi="Calibri"/>
          <w:noProof/>
        </w:rPr>
        <w:t>(5):851-856.</w:t>
      </w:r>
      <w:bookmarkEnd w:id="135"/>
    </w:p>
    <w:p w:rsidR="006D4D62" w:rsidRPr="00C806D0" w:rsidRDefault="006D4D62" w:rsidP="006D4D62">
      <w:pPr>
        <w:spacing w:line="240" w:lineRule="auto"/>
        <w:ind w:left="720" w:hanging="720"/>
        <w:rPr>
          <w:rFonts w:ascii="Calibri" w:hAnsi="Calibri"/>
          <w:noProof/>
        </w:rPr>
      </w:pPr>
      <w:bookmarkStart w:id="136" w:name="_ENREF_6_39"/>
      <w:r w:rsidRPr="00C806D0">
        <w:rPr>
          <w:rFonts w:ascii="Calibri" w:hAnsi="Calibri"/>
          <w:noProof/>
        </w:rPr>
        <w:t>39.</w:t>
      </w:r>
      <w:r w:rsidRPr="00C806D0">
        <w:rPr>
          <w:rFonts w:ascii="Calibri" w:hAnsi="Calibri"/>
          <w:noProof/>
        </w:rPr>
        <w:tab/>
        <w:t xml:space="preserve">Bell KR, Brockway JA, Hart T, Whyte J, Sherer M, Fraser RT, Temkin NR, Dikmen SS: </w:t>
      </w:r>
      <w:r w:rsidRPr="00C806D0">
        <w:rPr>
          <w:rFonts w:ascii="Calibri" w:hAnsi="Calibri"/>
          <w:b/>
          <w:noProof/>
        </w:rPr>
        <w:t>Scheduled telephone intervention for traumatic brain injury: a multicenter randomized controlled trial</w:t>
      </w:r>
      <w:r w:rsidRPr="00C806D0">
        <w:rPr>
          <w:rFonts w:ascii="Calibri" w:hAnsi="Calibri"/>
          <w:noProof/>
        </w:rPr>
        <w:t xml:space="preserve">. </w:t>
      </w:r>
      <w:r w:rsidRPr="00C806D0">
        <w:rPr>
          <w:rFonts w:ascii="Calibri" w:hAnsi="Calibri"/>
          <w:i/>
          <w:noProof/>
        </w:rPr>
        <w:t xml:space="preserve">Archives of physical medicine and rehabilitation </w:t>
      </w:r>
      <w:r w:rsidRPr="00C806D0">
        <w:rPr>
          <w:rFonts w:ascii="Calibri" w:hAnsi="Calibri"/>
          <w:noProof/>
        </w:rPr>
        <w:t xml:space="preserve">2011, </w:t>
      </w:r>
      <w:r w:rsidRPr="00C806D0">
        <w:rPr>
          <w:rFonts w:ascii="Calibri" w:hAnsi="Calibri"/>
          <w:b/>
          <w:noProof/>
        </w:rPr>
        <w:t>92</w:t>
      </w:r>
      <w:r w:rsidRPr="00C806D0">
        <w:rPr>
          <w:rFonts w:ascii="Calibri" w:hAnsi="Calibri"/>
          <w:noProof/>
        </w:rPr>
        <w:t>(10):1552-1560.</w:t>
      </w:r>
      <w:bookmarkEnd w:id="136"/>
    </w:p>
    <w:p w:rsidR="006D4D62" w:rsidRPr="00C806D0" w:rsidRDefault="006D4D62" w:rsidP="006D4D62">
      <w:pPr>
        <w:spacing w:line="240" w:lineRule="auto"/>
        <w:ind w:left="720" w:hanging="720"/>
        <w:rPr>
          <w:rFonts w:ascii="Calibri" w:hAnsi="Calibri"/>
          <w:noProof/>
        </w:rPr>
      </w:pPr>
      <w:bookmarkStart w:id="137" w:name="_ENREF_6_40"/>
      <w:r w:rsidRPr="00C806D0">
        <w:rPr>
          <w:rFonts w:ascii="Calibri" w:hAnsi="Calibri"/>
          <w:noProof/>
        </w:rPr>
        <w:lastRenderedPageBreak/>
        <w:t>40.</w:t>
      </w:r>
      <w:r w:rsidRPr="00C806D0">
        <w:rPr>
          <w:rFonts w:ascii="Calibri" w:hAnsi="Calibri"/>
          <w:noProof/>
        </w:rPr>
        <w:tab/>
        <w:t xml:space="preserve">Blair H, Wilson L, Gouick J, Gentleman D: </w:t>
      </w:r>
      <w:r w:rsidRPr="00C806D0">
        <w:rPr>
          <w:rFonts w:ascii="Calibri" w:hAnsi="Calibri"/>
          <w:b/>
          <w:noProof/>
        </w:rPr>
        <w:t>Individualized vs. global assessments of quality of life after head injury and their susceptibility to response shift</w:t>
      </w:r>
      <w:r w:rsidRPr="00C806D0">
        <w:rPr>
          <w:rFonts w:ascii="Calibri" w:hAnsi="Calibri"/>
          <w:noProof/>
        </w:rPr>
        <w:t xml:space="preserve">. </w:t>
      </w:r>
      <w:r w:rsidRPr="00C806D0">
        <w:rPr>
          <w:rFonts w:ascii="Calibri" w:hAnsi="Calibri"/>
          <w:i/>
          <w:noProof/>
        </w:rPr>
        <w:t xml:space="preserve">Brain injury : [BI] </w:t>
      </w:r>
      <w:r w:rsidRPr="00C806D0">
        <w:rPr>
          <w:rFonts w:ascii="Calibri" w:hAnsi="Calibri"/>
          <w:noProof/>
        </w:rPr>
        <w:t xml:space="preserve">2010, </w:t>
      </w:r>
      <w:r w:rsidRPr="00C806D0">
        <w:rPr>
          <w:rFonts w:ascii="Calibri" w:hAnsi="Calibri"/>
          <w:b/>
          <w:noProof/>
        </w:rPr>
        <w:t>24</w:t>
      </w:r>
      <w:r w:rsidRPr="00C806D0">
        <w:rPr>
          <w:rFonts w:ascii="Calibri" w:hAnsi="Calibri"/>
          <w:noProof/>
        </w:rPr>
        <w:t>(6):833-843.</w:t>
      </w:r>
      <w:bookmarkEnd w:id="137"/>
    </w:p>
    <w:p w:rsidR="006D4D62" w:rsidRPr="00C806D0" w:rsidRDefault="006D4D62" w:rsidP="006D4D62">
      <w:pPr>
        <w:spacing w:line="240" w:lineRule="auto"/>
        <w:ind w:left="720" w:hanging="720"/>
        <w:rPr>
          <w:rFonts w:ascii="Calibri" w:hAnsi="Calibri"/>
          <w:noProof/>
        </w:rPr>
      </w:pPr>
      <w:bookmarkStart w:id="138" w:name="_ENREF_6_41"/>
      <w:r w:rsidRPr="00C806D0">
        <w:rPr>
          <w:rFonts w:ascii="Calibri" w:hAnsi="Calibri"/>
          <w:noProof/>
        </w:rPr>
        <w:t>41.</w:t>
      </w:r>
      <w:r w:rsidRPr="00C806D0">
        <w:rPr>
          <w:rFonts w:ascii="Calibri" w:hAnsi="Calibri"/>
          <w:noProof/>
        </w:rPr>
        <w:tab/>
        <w:t xml:space="preserve">Bosserelle V AS, Fermanian C, Aegerter P, Weiss J.-J, Azouvi P. : </w:t>
      </w:r>
      <w:r w:rsidRPr="00C806D0">
        <w:rPr>
          <w:rFonts w:ascii="Calibri" w:hAnsi="Calibri"/>
          <w:b/>
          <w:noProof/>
        </w:rPr>
        <w:t xml:space="preserve">One-year outcome after a severe traumatic Brain Injury (TBI) in the Parisian area.  </w:t>
      </w:r>
      <w:r w:rsidRPr="00C806D0">
        <w:rPr>
          <w:rFonts w:ascii="Calibri" w:hAnsi="Calibri"/>
          <w:noProof/>
        </w:rPr>
        <w:t xml:space="preserve">. </w:t>
      </w:r>
      <w:r w:rsidRPr="00C806D0">
        <w:rPr>
          <w:rFonts w:ascii="Calibri" w:hAnsi="Calibri"/>
          <w:i/>
          <w:noProof/>
        </w:rPr>
        <w:t xml:space="preserve">Brain injury : [BI] </w:t>
      </w:r>
      <w:r w:rsidRPr="00C806D0">
        <w:rPr>
          <w:rFonts w:ascii="Calibri" w:hAnsi="Calibri"/>
          <w:noProof/>
        </w:rPr>
        <w:t xml:space="preserve">2010, </w:t>
      </w:r>
      <w:r w:rsidRPr="00C806D0">
        <w:rPr>
          <w:rFonts w:ascii="Calibri" w:hAnsi="Calibri"/>
          <w:b/>
          <w:noProof/>
        </w:rPr>
        <w:t>24</w:t>
      </w:r>
      <w:r w:rsidRPr="00C806D0">
        <w:rPr>
          <w:rFonts w:ascii="Calibri" w:hAnsi="Calibri"/>
          <w:noProof/>
        </w:rPr>
        <w:t>(3).</w:t>
      </w:r>
      <w:bookmarkEnd w:id="138"/>
    </w:p>
    <w:p w:rsidR="006D4D62" w:rsidRPr="00C806D0" w:rsidRDefault="006D4D62" w:rsidP="006D4D62">
      <w:pPr>
        <w:spacing w:line="240" w:lineRule="auto"/>
        <w:ind w:left="720" w:hanging="720"/>
        <w:rPr>
          <w:rFonts w:ascii="Calibri" w:hAnsi="Calibri"/>
          <w:noProof/>
        </w:rPr>
      </w:pPr>
      <w:bookmarkStart w:id="139" w:name="_ENREF_6_42"/>
      <w:r w:rsidRPr="00C806D0">
        <w:rPr>
          <w:rFonts w:ascii="Calibri" w:hAnsi="Calibri"/>
          <w:noProof/>
        </w:rPr>
        <w:t>42.</w:t>
      </w:r>
      <w:r w:rsidRPr="00C806D0">
        <w:rPr>
          <w:rFonts w:ascii="Calibri" w:hAnsi="Calibri"/>
          <w:noProof/>
        </w:rPr>
        <w:tab/>
        <w:t xml:space="preserve">Coplin WM: </w:t>
      </w:r>
      <w:r w:rsidRPr="00C806D0">
        <w:rPr>
          <w:rFonts w:ascii="Calibri" w:hAnsi="Calibri"/>
          <w:b/>
          <w:noProof/>
        </w:rPr>
        <w:t>Intracranial pressure and surgical decompression for traumatic brain injury: biological rationale and protocol for a randomized clinical trial</w:t>
      </w:r>
      <w:r w:rsidRPr="00C806D0">
        <w:rPr>
          <w:rFonts w:ascii="Calibri" w:hAnsi="Calibri"/>
          <w:noProof/>
        </w:rPr>
        <w:t xml:space="preserve">. </w:t>
      </w:r>
      <w:r w:rsidRPr="00C806D0">
        <w:rPr>
          <w:rFonts w:ascii="Calibri" w:hAnsi="Calibri"/>
          <w:i/>
          <w:noProof/>
        </w:rPr>
        <w:t xml:space="preserve">Neurological research </w:t>
      </w:r>
      <w:r w:rsidRPr="00C806D0">
        <w:rPr>
          <w:rFonts w:ascii="Calibri" w:hAnsi="Calibri"/>
          <w:noProof/>
        </w:rPr>
        <w:t xml:space="preserve">2001, </w:t>
      </w:r>
      <w:r w:rsidRPr="00C806D0">
        <w:rPr>
          <w:rFonts w:ascii="Calibri" w:hAnsi="Calibri"/>
          <w:b/>
          <w:noProof/>
        </w:rPr>
        <w:t>23</w:t>
      </w:r>
      <w:r w:rsidRPr="00C806D0">
        <w:rPr>
          <w:rFonts w:ascii="Calibri" w:hAnsi="Calibri"/>
          <w:noProof/>
        </w:rPr>
        <w:t>(2-3):277-290.</w:t>
      </w:r>
      <w:bookmarkEnd w:id="139"/>
    </w:p>
    <w:p w:rsidR="006D4D62" w:rsidRPr="00C806D0" w:rsidRDefault="006D4D62" w:rsidP="006D4D62">
      <w:pPr>
        <w:spacing w:line="240" w:lineRule="auto"/>
        <w:ind w:left="720" w:hanging="720"/>
        <w:rPr>
          <w:rFonts w:ascii="Calibri" w:hAnsi="Calibri"/>
          <w:noProof/>
        </w:rPr>
      </w:pPr>
      <w:bookmarkStart w:id="140" w:name="_ENREF_6_43"/>
      <w:r w:rsidRPr="00C806D0">
        <w:rPr>
          <w:rFonts w:ascii="Calibri" w:hAnsi="Calibri"/>
          <w:noProof/>
        </w:rPr>
        <w:t>43.</w:t>
      </w:r>
      <w:r w:rsidRPr="00C806D0">
        <w:rPr>
          <w:rFonts w:ascii="Calibri" w:hAnsi="Calibri"/>
          <w:noProof/>
        </w:rPr>
        <w:tab/>
        <w:t>Hutchinson PJ, Corteen E, Czosnyka M, Mendelow AD, Menon DK, Mitchell P, Murray G, Pickard JD, Rickels E, Sahuquillo J</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Decompressive craniectomy in traumatic brain injury: the randomized multicenter RESCUEicp study (www.RESCUEicp.com)</w:t>
      </w:r>
      <w:r w:rsidRPr="00C806D0">
        <w:rPr>
          <w:rFonts w:ascii="Calibri" w:hAnsi="Calibri"/>
          <w:noProof/>
        </w:rPr>
        <w:t xml:space="preserve">. </w:t>
      </w:r>
      <w:r w:rsidRPr="00C806D0">
        <w:rPr>
          <w:rFonts w:ascii="Calibri" w:hAnsi="Calibri"/>
          <w:i/>
          <w:noProof/>
        </w:rPr>
        <w:t xml:space="preserve">Acta neurochirurgica Supplement </w:t>
      </w:r>
      <w:r w:rsidRPr="00C806D0">
        <w:rPr>
          <w:rFonts w:ascii="Calibri" w:hAnsi="Calibri"/>
          <w:noProof/>
        </w:rPr>
        <w:t xml:space="preserve">2006, </w:t>
      </w:r>
      <w:r w:rsidRPr="00C806D0">
        <w:rPr>
          <w:rFonts w:ascii="Calibri" w:hAnsi="Calibri"/>
          <w:b/>
          <w:noProof/>
        </w:rPr>
        <w:t>96</w:t>
      </w:r>
      <w:r w:rsidRPr="00C806D0">
        <w:rPr>
          <w:rFonts w:ascii="Calibri" w:hAnsi="Calibri"/>
          <w:noProof/>
        </w:rPr>
        <w:t>:17-20.</w:t>
      </w:r>
      <w:bookmarkEnd w:id="140"/>
    </w:p>
    <w:p w:rsidR="006D4D62" w:rsidRPr="00C806D0" w:rsidRDefault="006D4D62" w:rsidP="006D4D62">
      <w:pPr>
        <w:spacing w:line="240" w:lineRule="auto"/>
        <w:ind w:left="720" w:hanging="720"/>
        <w:rPr>
          <w:rFonts w:ascii="Calibri" w:hAnsi="Calibri"/>
          <w:noProof/>
        </w:rPr>
      </w:pPr>
      <w:bookmarkStart w:id="141" w:name="_ENREF_6_44"/>
      <w:r w:rsidRPr="00C806D0">
        <w:rPr>
          <w:rFonts w:ascii="Calibri" w:hAnsi="Calibri"/>
          <w:noProof/>
        </w:rPr>
        <w:t>44.</w:t>
      </w:r>
      <w:r w:rsidRPr="00C806D0">
        <w:rPr>
          <w:rFonts w:ascii="Calibri" w:hAnsi="Calibri"/>
          <w:noProof/>
        </w:rPr>
        <w:tab/>
        <w:t xml:space="preserve">J D: </w:t>
      </w:r>
      <w:r w:rsidRPr="00C806D0">
        <w:rPr>
          <w:rFonts w:ascii="Calibri" w:hAnsi="Calibri"/>
          <w:b/>
          <w:noProof/>
        </w:rPr>
        <w:t>Relationship of cognitive/linguistic impairment, activity limitation, participation restriction, and quality of life in adults with traumatic brain injury</w:t>
      </w:r>
      <w:r w:rsidRPr="00C806D0">
        <w:rPr>
          <w:rFonts w:ascii="Calibri" w:hAnsi="Calibri"/>
          <w:noProof/>
        </w:rPr>
        <w:t>. University of Virginia; 2008.</w:t>
      </w:r>
      <w:bookmarkEnd w:id="141"/>
    </w:p>
    <w:p w:rsidR="006D4D62" w:rsidRPr="00C806D0" w:rsidRDefault="006D4D62" w:rsidP="006D4D62">
      <w:pPr>
        <w:spacing w:line="240" w:lineRule="auto"/>
        <w:ind w:left="720" w:hanging="720"/>
        <w:rPr>
          <w:rFonts w:ascii="Calibri" w:hAnsi="Calibri"/>
          <w:noProof/>
        </w:rPr>
      </w:pPr>
      <w:bookmarkStart w:id="142" w:name="_ENREF_6_45"/>
      <w:r w:rsidRPr="00C806D0">
        <w:rPr>
          <w:rFonts w:ascii="Calibri" w:hAnsi="Calibri"/>
          <w:noProof/>
        </w:rPr>
        <w:t>45.</w:t>
      </w:r>
      <w:r w:rsidRPr="00C806D0">
        <w:rPr>
          <w:rFonts w:ascii="Calibri" w:hAnsi="Calibri"/>
          <w:noProof/>
        </w:rPr>
        <w:tab/>
        <w:t xml:space="preserve">Dikmen SS, Machamer JE, Powell JM, Temkin NR: </w:t>
      </w:r>
      <w:r w:rsidRPr="00C806D0">
        <w:rPr>
          <w:rFonts w:ascii="Calibri" w:hAnsi="Calibri"/>
          <w:b/>
          <w:noProof/>
        </w:rPr>
        <w:t>Outcome 3 to 5 years after moderate to severe traumatic brain injury</w:t>
      </w:r>
      <w:r w:rsidRPr="00C806D0">
        <w:rPr>
          <w:rFonts w:ascii="Calibri" w:hAnsi="Calibri"/>
          <w:noProof/>
        </w:rPr>
        <w:t xml:space="preserve">. </w:t>
      </w:r>
      <w:r w:rsidRPr="00C806D0">
        <w:rPr>
          <w:rFonts w:ascii="Calibri" w:hAnsi="Calibri"/>
          <w:i/>
          <w:noProof/>
        </w:rPr>
        <w:t xml:space="preserve">Archives of physical medicine and rehabilitation </w:t>
      </w:r>
      <w:r w:rsidRPr="00C806D0">
        <w:rPr>
          <w:rFonts w:ascii="Calibri" w:hAnsi="Calibri"/>
          <w:noProof/>
        </w:rPr>
        <w:t xml:space="preserve">2003, </w:t>
      </w:r>
      <w:r w:rsidRPr="00C806D0">
        <w:rPr>
          <w:rFonts w:ascii="Calibri" w:hAnsi="Calibri"/>
          <w:b/>
          <w:noProof/>
        </w:rPr>
        <w:t>84</w:t>
      </w:r>
      <w:r w:rsidRPr="00C806D0">
        <w:rPr>
          <w:rFonts w:ascii="Calibri" w:hAnsi="Calibri"/>
          <w:noProof/>
        </w:rPr>
        <w:t>(10):1449-1457.</w:t>
      </w:r>
      <w:bookmarkEnd w:id="142"/>
    </w:p>
    <w:p w:rsidR="006D4D62" w:rsidRPr="00C806D0" w:rsidRDefault="006D4D62" w:rsidP="006D4D62">
      <w:pPr>
        <w:spacing w:line="240" w:lineRule="auto"/>
        <w:ind w:left="720" w:hanging="720"/>
        <w:rPr>
          <w:rFonts w:ascii="Calibri" w:hAnsi="Calibri"/>
          <w:noProof/>
        </w:rPr>
      </w:pPr>
      <w:bookmarkStart w:id="143" w:name="_ENREF_6_46"/>
      <w:r w:rsidRPr="00C806D0">
        <w:rPr>
          <w:rFonts w:ascii="Calibri" w:hAnsi="Calibri"/>
          <w:noProof/>
        </w:rPr>
        <w:t>46.</w:t>
      </w:r>
      <w:r w:rsidRPr="00C806D0">
        <w:rPr>
          <w:rFonts w:ascii="Calibri" w:hAnsi="Calibri"/>
          <w:noProof/>
        </w:rPr>
        <w:tab/>
        <w:t xml:space="preserve">Dimopoulou I, Anthi A, Mastora Z, Theodorakopoulou M, Konstandinidis A, Evangelou E, Mandragos K, Roussos C: </w:t>
      </w:r>
      <w:r w:rsidRPr="00C806D0">
        <w:rPr>
          <w:rFonts w:ascii="Calibri" w:hAnsi="Calibri"/>
          <w:b/>
          <w:noProof/>
        </w:rPr>
        <w:t>Health-Related Quality of Life and Disability in Survivors of Multiple Trauma One Year After Intensive Care Unit Discharge</w:t>
      </w:r>
      <w:r w:rsidRPr="00C806D0">
        <w:rPr>
          <w:rFonts w:ascii="Calibri" w:hAnsi="Calibri"/>
          <w:noProof/>
        </w:rPr>
        <w:t xml:space="preserve">. </w:t>
      </w:r>
      <w:r w:rsidRPr="00C806D0">
        <w:rPr>
          <w:rFonts w:ascii="Calibri" w:hAnsi="Calibri"/>
          <w:i/>
          <w:noProof/>
        </w:rPr>
        <w:t xml:space="preserve">American Journal of Physical Medicine &amp; Rehabilitation </w:t>
      </w:r>
      <w:r w:rsidRPr="00C806D0">
        <w:rPr>
          <w:rFonts w:ascii="Calibri" w:hAnsi="Calibri"/>
          <w:noProof/>
        </w:rPr>
        <w:t xml:space="preserve">2004, </w:t>
      </w:r>
      <w:r w:rsidRPr="00C806D0">
        <w:rPr>
          <w:rFonts w:ascii="Calibri" w:hAnsi="Calibri"/>
          <w:b/>
          <w:noProof/>
        </w:rPr>
        <w:t>83</w:t>
      </w:r>
      <w:r w:rsidRPr="00C806D0">
        <w:rPr>
          <w:rFonts w:ascii="Calibri" w:hAnsi="Calibri"/>
          <w:noProof/>
        </w:rPr>
        <w:t>(3):171-176.</w:t>
      </w:r>
      <w:bookmarkEnd w:id="143"/>
    </w:p>
    <w:p w:rsidR="006D4D62" w:rsidRPr="00C806D0" w:rsidRDefault="006D4D62" w:rsidP="006D4D62">
      <w:pPr>
        <w:spacing w:line="240" w:lineRule="auto"/>
        <w:ind w:left="720" w:hanging="720"/>
        <w:rPr>
          <w:rFonts w:ascii="Calibri" w:hAnsi="Calibri"/>
          <w:noProof/>
        </w:rPr>
      </w:pPr>
      <w:bookmarkStart w:id="144" w:name="_ENREF_6_47"/>
      <w:r w:rsidRPr="00C806D0">
        <w:rPr>
          <w:rFonts w:ascii="Calibri" w:hAnsi="Calibri"/>
          <w:noProof/>
        </w:rPr>
        <w:t>47.</w:t>
      </w:r>
      <w:r w:rsidRPr="00C806D0">
        <w:rPr>
          <w:rFonts w:ascii="Calibri" w:hAnsi="Calibri"/>
          <w:noProof/>
        </w:rPr>
        <w:tab/>
        <w:t xml:space="preserve">Gabbe BJ, Sutherland AM, Hart MJ, Cameron PA: </w:t>
      </w:r>
      <w:r w:rsidRPr="00C806D0">
        <w:rPr>
          <w:rFonts w:ascii="Calibri" w:hAnsi="Calibri"/>
          <w:b/>
          <w:noProof/>
        </w:rPr>
        <w:t>Population-based capture of long-term functional and quality of life outcomes after major trauma: the experiences of the Victorian State Trauma Registry</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2010, </w:t>
      </w:r>
      <w:r w:rsidRPr="00C806D0">
        <w:rPr>
          <w:rFonts w:ascii="Calibri" w:hAnsi="Calibri"/>
          <w:b/>
          <w:noProof/>
        </w:rPr>
        <w:t>69</w:t>
      </w:r>
      <w:r w:rsidRPr="00C806D0">
        <w:rPr>
          <w:rFonts w:ascii="Calibri" w:hAnsi="Calibri"/>
          <w:noProof/>
        </w:rPr>
        <w:t>(3):532-536; discussion 536.</w:t>
      </w:r>
      <w:bookmarkEnd w:id="144"/>
    </w:p>
    <w:p w:rsidR="006D4D62" w:rsidRPr="00C806D0" w:rsidRDefault="006D4D62" w:rsidP="006D4D62">
      <w:pPr>
        <w:spacing w:line="240" w:lineRule="auto"/>
        <w:ind w:left="720" w:hanging="720"/>
        <w:rPr>
          <w:rFonts w:ascii="Calibri" w:hAnsi="Calibri"/>
          <w:noProof/>
        </w:rPr>
      </w:pPr>
      <w:bookmarkStart w:id="145" w:name="_ENREF_6_48"/>
      <w:r w:rsidRPr="00C806D0">
        <w:rPr>
          <w:rFonts w:ascii="Calibri" w:hAnsi="Calibri"/>
          <w:noProof/>
        </w:rPr>
        <w:t>48.</w:t>
      </w:r>
      <w:r w:rsidRPr="00C806D0">
        <w:rPr>
          <w:rFonts w:ascii="Calibri" w:hAnsi="Calibri"/>
          <w:noProof/>
        </w:rPr>
        <w:tab/>
        <w:t xml:space="preserve">Guilfoyle MR, Seeley HM, Corteen E, Harkin C, Richards H, Menon DK, Hutchinson PJ: </w:t>
      </w:r>
      <w:r w:rsidRPr="00C806D0">
        <w:rPr>
          <w:rFonts w:ascii="Calibri" w:hAnsi="Calibri"/>
          <w:b/>
          <w:noProof/>
        </w:rPr>
        <w:t>Assessing quality of life after traumatic brain injury: examination of the short form 36 health survey</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2010, </w:t>
      </w:r>
      <w:r w:rsidRPr="00C806D0">
        <w:rPr>
          <w:rFonts w:ascii="Calibri" w:hAnsi="Calibri"/>
          <w:b/>
          <w:noProof/>
        </w:rPr>
        <w:t>27</w:t>
      </w:r>
      <w:r w:rsidRPr="00C806D0">
        <w:rPr>
          <w:rFonts w:ascii="Calibri" w:hAnsi="Calibri"/>
          <w:noProof/>
        </w:rPr>
        <w:t>(12):2173-2181.</w:t>
      </w:r>
      <w:bookmarkEnd w:id="145"/>
    </w:p>
    <w:p w:rsidR="006D4D62" w:rsidRPr="00C806D0" w:rsidRDefault="006D4D62" w:rsidP="006D4D62">
      <w:pPr>
        <w:spacing w:line="240" w:lineRule="auto"/>
        <w:ind w:left="720" w:hanging="720"/>
        <w:rPr>
          <w:rFonts w:ascii="Calibri" w:hAnsi="Calibri"/>
          <w:noProof/>
        </w:rPr>
      </w:pPr>
      <w:bookmarkStart w:id="146" w:name="_ENREF_6_49"/>
      <w:r w:rsidRPr="00C806D0">
        <w:rPr>
          <w:rFonts w:ascii="Calibri" w:hAnsi="Calibri"/>
          <w:noProof/>
        </w:rPr>
        <w:t>49.</w:t>
      </w:r>
      <w:r w:rsidRPr="00C806D0">
        <w:rPr>
          <w:rFonts w:ascii="Calibri" w:hAnsi="Calibri"/>
          <w:noProof/>
        </w:rPr>
        <w:tab/>
        <w:t>Harrison DA, Prabhu G, Grieve R, Harvey SE, Sadique MZ, Gomes M, Griggs KA, Walmsley E, Smith M, Yeoman P</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Risk Adjustment In Neurocritical care (RAIN)--prospective validation of risk prediction models for adult patients with acute traumatic brain injury to use to evaluate the optimum location and comparative costs of neurocritical care: a cohort study</w:t>
      </w:r>
      <w:r w:rsidRPr="00C806D0">
        <w:rPr>
          <w:rFonts w:ascii="Calibri" w:hAnsi="Calibri"/>
          <w:noProof/>
        </w:rPr>
        <w:t xml:space="preserve">. </w:t>
      </w:r>
      <w:r w:rsidRPr="00C806D0">
        <w:rPr>
          <w:rFonts w:ascii="Calibri" w:hAnsi="Calibri"/>
          <w:i/>
          <w:noProof/>
        </w:rPr>
        <w:t xml:space="preserve">Health technology assessment (Winchester, England) </w:t>
      </w:r>
      <w:r w:rsidRPr="00C806D0">
        <w:rPr>
          <w:rFonts w:ascii="Calibri" w:hAnsi="Calibri"/>
          <w:noProof/>
        </w:rPr>
        <w:t xml:space="preserve">2013, </w:t>
      </w:r>
      <w:r w:rsidRPr="00C806D0">
        <w:rPr>
          <w:rFonts w:ascii="Calibri" w:hAnsi="Calibri"/>
          <w:b/>
          <w:noProof/>
        </w:rPr>
        <w:t>17</w:t>
      </w:r>
      <w:r w:rsidRPr="00C806D0">
        <w:rPr>
          <w:rFonts w:ascii="Calibri" w:hAnsi="Calibri"/>
          <w:noProof/>
        </w:rPr>
        <w:t>(23):vii-viii, 1-350.</w:t>
      </w:r>
      <w:bookmarkEnd w:id="146"/>
    </w:p>
    <w:p w:rsidR="006D4D62" w:rsidRPr="00C806D0" w:rsidRDefault="006D4D62" w:rsidP="006D4D62">
      <w:pPr>
        <w:spacing w:line="240" w:lineRule="auto"/>
        <w:ind w:left="720" w:hanging="720"/>
        <w:rPr>
          <w:rFonts w:ascii="Calibri" w:hAnsi="Calibri"/>
          <w:noProof/>
        </w:rPr>
      </w:pPr>
      <w:bookmarkStart w:id="147" w:name="_ENREF_6_50"/>
      <w:r w:rsidRPr="00C806D0">
        <w:rPr>
          <w:rFonts w:ascii="Calibri" w:hAnsi="Calibri"/>
          <w:noProof/>
        </w:rPr>
        <w:t>50.</w:t>
      </w:r>
      <w:r w:rsidRPr="00C806D0">
        <w:rPr>
          <w:rFonts w:ascii="Calibri" w:hAnsi="Calibri"/>
          <w:noProof/>
        </w:rPr>
        <w:tab/>
        <w:t xml:space="preserve">Hawthorne G, Gruen RL, Kaye AH: </w:t>
      </w:r>
      <w:r w:rsidRPr="00C806D0">
        <w:rPr>
          <w:rFonts w:ascii="Calibri" w:hAnsi="Calibri"/>
          <w:b/>
          <w:noProof/>
        </w:rPr>
        <w:t>Traumatic brain injury and long-term quality of life: findings from an Australian study</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2009, </w:t>
      </w:r>
      <w:r w:rsidRPr="00C806D0">
        <w:rPr>
          <w:rFonts w:ascii="Calibri" w:hAnsi="Calibri"/>
          <w:b/>
          <w:noProof/>
        </w:rPr>
        <w:t>26</w:t>
      </w:r>
      <w:r w:rsidRPr="00C806D0">
        <w:rPr>
          <w:rFonts w:ascii="Calibri" w:hAnsi="Calibri"/>
          <w:noProof/>
        </w:rPr>
        <w:t>(10):1623-1633.</w:t>
      </w:r>
      <w:bookmarkEnd w:id="147"/>
    </w:p>
    <w:p w:rsidR="006D4D62" w:rsidRPr="00C806D0" w:rsidRDefault="006D4D62" w:rsidP="006D4D62">
      <w:pPr>
        <w:spacing w:line="240" w:lineRule="auto"/>
        <w:ind w:left="720" w:hanging="720"/>
        <w:rPr>
          <w:rFonts w:ascii="Calibri" w:hAnsi="Calibri"/>
          <w:noProof/>
        </w:rPr>
      </w:pPr>
      <w:bookmarkStart w:id="148" w:name="_ENREF_6_51"/>
      <w:r w:rsidRPr="00C806D0">
        <w:rPr>
          <w:rFonts w:ascii="Calibri" w:hAnsi="Calibri"/>
          <w:noProof/>
        </w:rPr>
        <w:t>51.</w:t>
      </w:r>
      <w:r w:rsidRPr="00C806D0">
        <w:rPr>
          <w:rFonts w:ascii="Calibri" w:hAnsi="Calibri"/>
          <w:noProof/>
        </w:rPr>
        <w:tab/>
        <w:t xml:space="preserve">Hawthorne G, Kaye AH, Gruen R, Houseman D, Bauer I: </w:t>
      </w:r>
      <w:r w:rsidRPr="00C806D0">
        <w:rPr>
          <w:rFonts w:ascii="Calibri" w:hAnsi="Calibri"/>
          <w:b/>
          <w:noProof/>
        </w:rPr>
        <w:t>Traumatic brain injury and quality of life: initial Australian validation of the QOLIBRI</w:t>
      </w:r>
      <w:r w:rsidRPr="00C806D0">
        <w:rPr>
          <w:rFonts w:ascii="Calibri" w:hAnsi="Calibri"/>
          <w:noProof/>
        </w:rPr>
        <w:t xml:space="preserve">. </w:t>
      </w:r>
      <w:r w:rsidRPr="00C806D0">
        <w:rPr>
          <w:rFonts w:ascii="Calibri" w:hAnsi="Calibri"/>
          <w:i/>
          <w:noProof/>
        </w:rPr>
        <w:t xml:space="preserve">Journal of clinical neuroscience : official journal of the Neurosurgical Society of Australasia </w:t>
      </w:r>
      <w:r w:rsidRPr="00C806D0">
        <w:rPr>
          <w:rFonts w:ascii="Calibri" w:hAnsi="Calibri"/>
          <w:noProof/>
        </w:rPr>
        <w:t xml:space="preserve">2011, </w:t>
      </w:r>
      <w:r w:rsidRPr="00C806D0">
        <w:rPr>
          <w:rFonts w:ascii="Calibri" w:hAnsi="Calibri"/>
          <w:b/>
          <w:noProof/>
        </w:rPr>
        <w:t>18</w:t>
      </w:r>
      <w:r w:rsidRPr="00C806D0">
        <w:rPr>
          <w:rFonts w:ascii="Calibri" w:hAnsi="Calibri"/>
          <w:noProof/>
        </w:rPr>
        <w:t>(2):197-202.</w:t>
      </w:r>
      <w:bookmarkEnd w:id="148"/>
    </w:p>
    <w:p w:rsidR="006D4D62" w:rsidRPr="00C806D0" w:rsidRDefault="006D4D62" w:rsidP="006D4D62">
      <w:pPr>
        <w:spacing w:line="240" w:lineRule="auto"/>
        <w:ind w:left="720" w:hanging="720"/>
        <w:rPr>
          <w:rFonts w:ascii="Calibri" w:hAnsi="Calibri"/>
          <w:noProof/>
        </w:rPr>
      </w:pPr>
      <w:bookmarkStart w:id="149" w:name="_ENREF_6_52"/>
      <w:r w:rsidRPr="00C806D0">
        <w:rPr>
          <w:rFonts w:ascii="Calibri" w:hAnsi="Calibri"/>
          <w:noProof/>
        </w:rPr>
        <w:t>52.</w:t>
      </w:r>
      <w:r w:rsidRPr="00C806D0">
        <w:rPr>
          <w:rFonts w:ascii="Calibri" w:hAnsi="Calibri"/>
          <w:noProof/>
        </w:rPr>
        <w:tab/>
        <w:t xml:space="preserve">Heijenbrok-Kal M VBB, Ribbers G. : </w:t>
      </w:r>
      <w:r w:rsidRPr="00C806D0">
        <w:rPr>
          <w:rFonts w:ascii="Calibri" w:hAnsi="Calibri"/>
          <w:b/>
          <w:noProof/>
        </w:rPr>
        <w:t xml:space="preserve">Long-term functional outcome following moderate to severe traumatic brain injury.  </w:t>
      </w:r>
      <w:r w:rsidRPr="00C806D0">
        <w:rPr>
          <w:rFonts w:ascii="Calibri" w:hAnsi="Calibri"/>
          <w:noProof/>
        </w:rPr>
        <w:t>.</w:t>
      </w:r>
      <w:r w:rsidRPr="00C806D0">
        <w:rPr>
          <w:rFonts w:ascii="Calibri" w:hAnsi="Calibri"/>
          <w:i/>
          <w:noProof/>
        </w:rPr>
        <w:t xml:space="preserve"> Brain Inj </w:t>
      </w:r>
      <w:r w:rsidRPr="00C806D0">
        <w:rPr>
          <w:rFonts w:ascii="Calibri" w:hAnsi="Calibri"/>
          <w:noProof/>
        </w:rPr>
        <w:t xml:space="preserve">2010, </w:t>
      </w:r>
      <w:r w:rsidRPr="00C806D0">
        <w:rPr>
          <w:rFonts w:ascii="Calibri" w:hAnsi="Calibri"/>
          <w:b/>
          <w:noProof/>
        </w:rPr>
        <w:t>24</w:t>
      </w:r>
      <w:r w:rsidRPr="00C806D0">
        <w:rPr>
          <w:rFonts w:ascii="Calibri" w:hAnsi="Calibri"/>
          <w:noProof/>
        </w:rPr>
        <w:t>(3):360-361.</w:t>
      </w:r>
      <w:bookmarkEnd w:id="149"/>
    </w:p>
    <w:p w:rsidR="006D4D62" w:rsidRPr="00C806D0" w:rsidRDefault="006D4D62" w:rsidP="006D4D62">
      <w:pPr>
        <w:spacing w:line="240" w:lineRule="auto"/>
        <w:ind w:left="720" w:hanging="720"/>
        <w:rPr>
          <w:rFonts w:ascii="Calibri" w:hAnsi="Calibri"/>
          <w:noProof/>
        </w:rPr>
      </w:pPr>
      <w:bookmarkStart w:id="150" w:name="_ENREF_6_53"/>
      <w:r w:rsidRPr="00C806D0">
        <w:rPr>
          <w:rFonts w:ascii="Calibri" w:hAnsi="Calibri"/>
          <w:noProof/>
        </w:rPr>
        <w:t>53.</w:t>
      </w:r>
      <w:r w:rsidRPr="00C806D0">
        <w:rPr>
          <w:rFonts w:ascii="Calibri" w:hAnsi="Calibri"/>
          <w:noProof/>
        </w:rPr>
        <w:tab/>
        <w:t xml:space="preserve">Holthe IL HR, Hauger SL, Lovstad M, Schanke A.-K. : </w:t>
      </w:r>
      <w:r w:rsidRPr="00C806D0">
        <w:rPr>
          <w:rFonts w:ascii="Calibri" w:hAnsi="Calibri"/>
          <w:b/>
          <w:noProof/>
        </w:rPr>
        <w:t xml:space="preserve">Assessment of post traumatic confusion and outcome one year post injury. </w:t>
      </w:r>
      <w:r w:rsidRPr="00C806D0">
        <w:rPr>
          <w:rFonts w:ascii="Calibri" w:hAnsi="Calibri"/>
          <w:noProof/>
        </w:rPr>
        <w:t xml:space="preserve">. </w:t>
      </w:r>
      <w:r w:rsidRPr="00C806D0">
        <w:rPr>
          <w:rFonts w:ascii="Calibri" w:hAnsi="Calibri"/>
          <w:i/>
          <w:noProof/>
        </w:rPr>
        <w:t xml:space="preserve">Brain Inj </w:t>
      </w:r>
      <w:r w:rsidRPr="00C806D0">
        <w:rPr>
          <w:rFonts w:ascii="Calibri" w:hAnsi="Calibri"/>
          <w:noProof/>
        </w:rPr>
        <w:t xml:space="preserve">2012, </w:t>
      </w:r>
      <w:r w:rsidRPr="00C806D0">
        <w:rPr>
          <w:rFonts w:ascii="Calibri" w:hAnsi="Calibri"/>
          <w:b/>
          <w:noProof/>
        </w:rPr>
        <w:t>26</w:t>
      </w:r>
      <w:r w:rsidRPr="00C806D0">
        <w:rPr>
          <w:rFonts w:ascii="Calibri" w:hAnsi="Calibri"/>
          <w:noProof/>
        </w:rPr>
        <w:t>(4-5):539-540.</w:t>
      </w:r>
      <w:bookmarkEnd w:id="150"/>
    </w:p>
    <w:p w:rsidR="006D4D62" w:rsidRPr="00C806D0" w:rsidRDefault="006D4D62" w:rsidP="006D4D62">
      <w:pPr>
        <w:spacing w:line="240" w:lineRule="auto"/>
        <w:ind w:left="720" w:hanging="720"/>
        <w:rPr>
          <w:rFonts w:ascii="Calibri" w:hAnsi="Calibri"/>
          <w:noProof/>
        </w:rPr>
      </w:pPr>
      <w:bookmarkStart w:id="151" w:name="_ENREF_6_54"/>
      <w:r w:rsidRPr="00C806D0">
        <w:rPr>
          <w:rFonts w:ascii="Calibri" w:hAnsi="Calibri"/>
          <w:noProof/>
        </w:rPr>
        <w:t>54.</w:t>
      </w:r>
      <w:r w:rsidRPr="00C806D0">
        <w:rPr>
          <w:rFonts w:ascii="Calibri" w:hAnsi="Calibri"/>
          <w:noProof/>
        </w:rPr>
        <w:tab/>
        <w:t xml:space="preserve">Holtslag HR, van Beeck EF, Lindeman E, Leenen LP: </w:t>
      </w:r>
      <w:r w:rsidRPr="00C806D0">
        <w:rPr>
          <w:rFonts w:ascii="Calibri" w:hAnsi="Calibri"/>
          <w:b/>
          <w:noProof/>
        </w:rPr>
        <w:t>Determinants of long-term functional consequences after major trauma</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2007, </w:t>
      </w:r>
      <w:r w:rsidRPr="00C806D0">
        <w:rPr>
          <w:rFonts w:ascii="Calibri" w:hAnsi="Calibri"/>
          <w:b/>
          <w:noProof/>
        </w:rPr>
        <w:t>62</w:t>
      </w:r>
      <w:r w:rsidRPr="00C806D0">
        <w:rPr>
          <w:rFonts w:ascii="Calibri" w:hAnsi="Calibri"/>
          <w:noProof/>
        </w:rPr>
        <w:t>(4):919-927.</w:t>
      </w:r>
      <w:bookmarkEnd w:id="151"/>
    </w:p>
    <w:p w:rsidR="006D4D62" w:rsidRPr="00C806D0" w:rsidRDefault="006D4D62" w:rsidP="006D4D62">
      <w:pPr>
        <w:spacing w:line="240" w:lineRule="auto"/>
        <w:ind w:left="720" w:hanging="720"/>
        <w:rPr>
          <w:rFonts w:ascii="Calibri" w:hAnsi="Calibri"/>
          <w:noProof/>
        </w:rPr>
      </w:pPr>
      <w:bookmarkStart w:id="152" w:name="_ENREF_6_55"/>
      <w:r w:rsidRPr="00C806D0">
        <w:rPr>
          <w:rFonts w:ascii="Calibri" w:hAnsi="Calibri"/>
          <w:noProof/>
        </w:rPr>
        <w:t>55.</w:t>
      </w:r>
      <w:r w:rsidRPr="00C806D0">
        <w:rPr>
          <w:rFonts w:ascii="Calibri" w:hAnsi="Calibri"/>
          <w:noProof/>
        </w:rPr>
        <w:tab/>
        <w:t xml:space="preserve">Intiso D, Lombardi T, Grimaldi G, Iarossi A, Tolfa M, Russo M, Di Rienzo F: </w:t>
      </w:r>
      <w:r w:rsidRPr="00C806D0">
        <w:rPr>
          <w:rFonts w:ascii="Calibri" w:hAnsi="Calibri"/>
          <w:b/>
          <w:noProof/>
        </w:rPr>
        <w:t>Long-term outcome and health status in decompressive craniectomized patients with intractable intracranial pressure after severe brain injury</w:t>
      </w:r>
      <w:r w:rsidRPr="00C806D0">
        <w:rPr>
          <w:rFonts w:ascii="Calibri" w:hAnsi="Calibri"/>
          <w:noProof/>
        </w:rPr>
        <w:t xml:space="preserve">. </w:t>
      </w:r>
      <w:r w:rsidRPr="00C806D0">
        <w:rPr>
          <w:rFonts w:ascii="Calibri" w:hAnsi="Calibri"/>
          <w:i/>
          <w:noProof/>
        </w:rPr>
        <w:t xml:space="preserve">Brain injury : [BI] </w:t>
      </w:r>
      <w:r w:rsidRPr="00C806D0">
        <w:rPr>
          <w:rFonts w:ascii="Calibri" w:hAnsi="Calibri"/>
          <w:noProof/>
        </w:rPr>
        <w:t xml:space="preserve">2011, </w:t>
      </w:r>
      <w:r w:rsidRPr="00C806D0">
        <w:rPr>
          <w:rFonts w:ascii="Calibri" w:hAnsi="Calibri"/>
          <w:b/>
          <w:noProof/>
        </w:rPr>
        <w:t>25</w:t>
      </w:r>
      <w:r w:rsidRPr="00C806D0">
        <w:rPr>
          <w:rFonts w:ascii="Calibri" w:hAnsi="Calibri"/>
          <w:noProof/>
        </w:rPr>
        <w:t>(4):379-386.</w:t>
      </w:r>
      <w:bookmarkEnd w:id="152"/>
    </w:p>
    <w:p w:rsidR="006D4D62" w:rsidRPr="00C806D0" w:rsidRDefault="006D4D62" w:rsidP="006D4D62">
      <w:pPr>
        <w:spacing w:line="240" w:lineRule="auto"/>
        <w:ind w:left="720" w:hanging="720"/>
        <w:rPr>
          <w:rFonts w:ascii="Calibri" w:hAnsi="Calibri"/>
          <w:noProof/>
        </w:rPr>
      </w:pPr>
      <w:bookmarkStart w:id="153" w:name="_ENREF_6_56"/>
      <w:r w:rsidRPr="00C806D0">
        <w:rPr>
          <w:rFonts w:ascii="Calibri" w:hAnsi="Calibri"/>
          <w:noProof/>
        </w:rPr>
        <w:lastRenderedPageBreak/>
        <w:t>56.</w:t>
      </w:r>
      <w:r w:rsidRPr="00C806D0">
        <w:rPr>
          <w:rFonts w:ascii="Calibri" w:hAnsi="Calibri"/>
          <w:noProof/>
        </w:rPr>
        <w:tab/>
        <w:t xml:space="preserve">Ksibi I DC, Ben Salah FZ, Hammadi M, Bellelahom L: </w:t>
      </w:r>
      <w:r w:rsidRPr="00C806D0">
        <w:rPr>
          <w:rFonts w:ascii="Calibri" w:hAnsi="Calibri"/>
          <w:b/>
          <w:noProof/>
        </w:rPr>
        <w:t>The contribution of the new scale for assessing disability</w:t>
      </w:r>
      <w:r w:rsidRPr="00C806D0">
        <w:rPr>
          <w:rFonts w:ascii="Calibri" w:hAnsi="Calibri"/>
          <w:noProof/>
        </w:rPr>
        <w:t xml:space="preserve">. </w:t>
      </w:r>
      <w:r w:rsidRPr="00C806D0">
        <w:rPr>
          <w:rFonts w:ascii="Calibri" w:hAnsi="Calibri"/>
          <w:i/>
          <w:noProof/>
        </w:rPr>
        <w:t xml:space="preserve">La Tunise Medicale </w:t>
      </w:r>
      <w:r w:rsidRPr="00C806D0">
        <w:rPr>
          <w:rFonts w:ascii="Calibri" w:hAnsi="Calibri"/>
          <w:noProof/>
        </w:rPr>
        <w:t xml:space="preserve">2010, </w:t>
      </w:r>
      <w:r w:rsidRPr="00C806D0">
        <w:rPr>
          <w:rFonts w:ascii="Calibri" w:hAnsi="Calibri"/>
          <w:b/>
          <w:noProof/>
        </w:rPr>
        <w:t>88</w:t>
      </w:r>
      <w:r w:rsidRPr="00C806D0">
        <w:rPr>
          <w:rFonts w:ascii="Calibri" w:hAnsi="Calibri"/>
          <w:noProof/>
        </w:rPr>
        <w:t>(8):551-556.</w:t>
      </w:r>
      <w:bookmarkEnd w:id="153"/>
    </w:p>
    <w:p w:rsidR="006D4D62" w:rsidRPr="00C806D0" w:rsidRDefault="006D4D62" w:rsidP="006D4D62">
      <w:pPr>
        <w:spacing w:line="240" w:lineRule="auto"/>
        <w:ind w:left="720" w:hanging="720"/>
        <w:rPr>
          <w:rFonts w:ascii="Calibri" w:hAnsi="Calibri"/>
          <w:noProof/>
        </w:rPr>
      </w:pPr>
      <w:bookmarkStart w:id="154" w:name="_ENREF_6_57"/>
      <w:r w:rsidRPr="00C806D0">
        <w:rPr>
          <w:rFonts w:ascii="Calibri" w:hAnsi="Calibri"/>
          <w:noProof/>
        </w:rPr>
        <w:t>57.</w:t>
      </w:r>
      <w:r w:rsidRPr="00C806D0">
        <w:rPr>
          <w:rFonts w:ascii="Calibri" w:hAnsi="Calibri"/>
          <w:noProof/>
        </w:rPr>
        <w:tab/>
      </w:r>
      <w:r w:rsidRPr="00C806D0">
        <w:rPr>
          <w:rFonts w:ascii="Calibri" w:hAnsi="Calibri"/>
          <w:b/>
          <w:noProof/>
        </w:rPr>
        <w:t xml:space="preserve">Head Injury Straight to Neurosurgery Trial </w:t>
      </w:r>
      <w:r w:rsidRPr="00C806D0">
        <w:rPr>
          <w:rFonts w:ascii="Calibri" w:hAnsi="Calibri"/>
          <w:noProof/>
        </w:rPr>
        <w:t>[http://www.hits-ns.tarn.ac.uk/]</w:t>
      </w:r>
      <w:bookmarkEnd w:id="154"/>
    </w:p>
    <w:p w:rsidR="006D4D62" w:rsidRPr="00C806D0" w:rsidRDefault="006D4D62" w:rsidP="006D4D62">
      <w:pPr>
        <w:spacing w:line="240" w:lineRule="auto"/>
        <w:ind w:left="720" w:hanging="720"/>
        <w:rPr>
          <w:rFonts w:ascii="Calibri" w:hAnsi="Calibri"/>
          <w:noProof/>
        </w:rPr>
      </w:pPr>
      <w:bookmarkStart w:id="155" w:name="_ENREF_6_58"/>
      <w:r w:rsidRPr="00C806D0">
        <w:rPr>
          <w:rFonts w:ascii="Calibri" w:hAnsi="Calibri"/>
          <w:noProof/>
        </w:rPr>
        <w:t>58.</w:t>
      </w:r>
      <w:r w:rsidRPr="00C806D0">
        <w:rPr>
          <w:rFonts w:ascii="Calibri" w:hAnsi="Calibri"/>
          <w:noProof/>
        </w:rPr>
        <w:tab/>
        <w:t xml:space="preserve">Malmivaara K, Hernesniemi J, Salmenpera R, Ohman J, Roine RP, Siironen J: </w:t>
      </w:r>
      <w:r w:rsidRPr="00C806D0">
        <w:rPr>
          <w:rFonts w:ascii="Calibri" w:hAnsi="Calibri"/>
          <w:b/>
          <w:noProof/>
        </w:rPr>
        <w:t>Survival and outcome of neurosurgical patients requiring ventilatory support after intensive care unit stay</w:t>
      </w:r>
      <w:r w:rsidRPr="00C806D0">
        <w:rPr>
          <w:rFonts w:ascii="Calibri" w:hAnsi="Calibri"/>
          <w:noProof/>
        </w:rPr>
        <w:t xml:space="preserve">. </w:t>
      </w:r>
      <w:r w:rsidRPr="00C806D0">
        <w:rPr>
          <w:rFonts w:ascii="Calibri" w:hAnsi="Calibri"/>
          <w:i/>
          <w:noProof/>
        </w:rPr>
        <w:t xml:space="preserve">Neurosurgery </w:t>
      </w:r>
      <w:r w:rsidRPr="00C806D0">
        <w:rPr>
          <w:rFonts w:ascii="Calibri" w:hAnsi="Calibri"/>
          <w:noProof/>
        </w:rPr>
        <w:t xml:space="preserve">2009, </w:t>
      </w:r>
      <w:r w:rsidRPr="00C806D0">
        <w:rPr>
          <w:rFonts w:ascii="Calibri" w:hAnsi="Calibri"/>
          <w:b/>
          <w:noProof/>
        </w:rPr>
        <w:t>65</w:t>
      </w:r>
      <w:r w:rsidRPr="00C806D0">
        <w:rPr>
          <w:rFonts w:ascii="Calibri" w:hAnsi="Calibri"/>
          <w:noProof/>
        </w:rPr>
        <w:t>(3):530-537; discussion 537-538.</w:t>
      </w:r>
      <w:bookmarkEnd w:id="155"/>
    </w:p>
    <w:p w:rsidR="006D4D62" w:rsidRPr="00C806D0" w:rsidRDefault="006D4D62" w:rsidP="006D4D62">
      <w:pPr>
        <w:spacing w:line="240" w:lineRule="auto"/>
        <w:ind w:left="720" w:hanging="720"/>
        <w:rPr>
          <w:rFonts w:ascii="Calibri" w:hAnsi="Calibri"/>
          <w:noProof/>
        </w:rPr>
      </w:pPr>
      <w:bookmarkStart w:id="156" w:name="_ENREF_6_59"/>
      <w:r w:rsidRPr="00C806D0">
        <w:rPr>
          <w:rFonts w:ascii="Calibri" w:hAnsi="Calibri"/>
          <w:noProof/>
        </w:rPr>
        <w:t>59.</w:t>
      </w:r>
      <w:r w:rsidRPr="00C806D0">
        <w:rPr>
          <w:rFonts w:ascii="Calibri" w:hAnsi="Calibri"/>
          <w:noProof/>
        </w:rPr>
        <w:tab/>
        <w:t xml:space="preserve">Malmivaara K, Kivisaari R, Hernesniemi J, Siironen J: </w:t>
      </w:r>
      <w:r w:rsidRPr="00C806D0">
        <w:rPr>
          <w:rFonts w:ascii="Calibri" w:hAnsi="Calibri"/>
          <w:b/>
          <w:noProof/>
        </w:rPr>
        <w:t>Cost-effectiveness of decompressive craniectomy in traumatic brain injuries</w:t>
      </w:r>
      <w:r w:rsidRPr="00C806D0">
        <w:rPr>
          <w:rFonts w:ascii="Calibri" w:hAnsi="Calibri"/>
          <w:noProof/>
        </w:rPr>
        <w:t xml:space="preserve">. </w:t>
      </w:r>
      <w:r w:rsidRPr="00C806D0">
        <w:rPr>
          <w:rFonts w:ascii="Calibri" w:hAnsi="Calibri"/>
          <w:i/>
          <w:noProof/>
        </w:rPr>
        <w:t xml:space="preserve">European journal of neurology : the official journal of the European Federation of Neurological Societies </w:t>
      </w:r>
      <w:r w:rsidRPr="00C806D0">
        <w:rPr>
          <w:rFonts w:ascii="Calibri" w:hAnsi="Calibri"/>
          <w:noProof/>
        </w:rPr>
        <w:t xml:space="preserve">2011, </w:t>
      </w:r>
      <w:r w:rsidRPr="00C806D0">
        <w:rPr>
          <w:rFonts w:ascii="Calibri" w:hAnsi="Calibri"/>
          <w:b/>
          <w:noProof/>
        </w:rPr>
        <w:t>18</w:t>
      </w:r>
      <w:r w:rsidRPr="00C806D0">
        <w:rPr>
          <w:rFonts w:ascii="Calibri" w:hAnsi="Calibri"/>
          <w:noProof/>
        </w:rPr>
        <w:t>(4):656-662.</w:t>
      </w:r>
      <w:bookmarkEnd w:id="156"/>
    </w:p>
    <w:p w:rsidR="006D4D62" w:rsidRPr="00C806D0" w:rsidRDefault="006D4D62" w:rsidP="006D4D62">
      <w:pPr>
        <w:spacing w:line="240" w:lineRule="auto"/>
        <w:ind w:left="720" w:hanging="720"/>
        <w:rPr>
          <w:rFonts w:ascii="Calibri" w:hAnsi="Calibri"/>
          <w:noProof/>
        </w:rPr>
      </w:pPr>
      <w:bookmarkStart w:id="157" w:name="_ENREF_6_60"/>
      <w:r w:rsidRPr="00C806D0">
        <w:rPr>
          <w:rFonts w:ascii="Calibri" w:hAnsi="Calibri"/>
          <w:noProof/>
        </w:rPr>
        <w:t>60.</w:t>
      </w:r>
      <w:r w:rsidRPr="00C806D0">
        <w:rPr>
          <w:rFonts w:ascii="Calibri" w:hAnsi="Calibri"/>
          <w:noProof/>
        </w:rPr>
        <w:tab/>
        <w:t xml:space="preserve">McMillan TM, Weir CJ, Ireland A, Stewart E: </w:t>
      </w:r>
      <w:r w:rsidRPr="00C806D0">
        <w:rPr>
          <w:rFonts w:ascii="Calibri" w:hAnsi="Calibri"/>
          <w:b/>
          <w:noProof/>
        </w:rPr>
        <w:t>The Glasgow Outcome at Discharge Scale: an inpatient assessment of disability after brain injury</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2013, </w:t>
      </w:r>
      <w:r w:rsidRPr="00C806D0">
        <w:rPr>
          <w:rFonts w:ascii="Calibri" w:hAnsi="Calibri"/>
          <w:b/>
          <w:noProof/>
        </w:rPr>
        <w:t>30</w:t>
      </w:r>
      <w:r w:rsidRPr="00C806D0">
        <w:rPr>
          <w:rFonts w:ascii="Calibri" w:hAnsi="Calibri"/>
          <w:noProof/>
        </w:rPr>
        <w:t>(11):970-974.</w:t>
      </w:r>
      <w:bookmarkEnd w:id="157"/>
    </w:p>
    <w:p w:rsidR="006D4D62" w:rsidRPr="00C806D0" w:rsidRDefault="006D4D62" w:rsidP="006D4D62">
      <w:pPr>
        <w:spacing w:line="240" w:lineRule="auto"/>
        <w:ind w:left="720" w:hanging="720"/>
        <w:rPr>
          <w:rFonts w:ascii="Calibri" w:hAnsi="Calibri"/>
          <w:noProof/>
        </w:rPr>
      </w:pPr>
      <w:bookmarkStart w:id="158" w:name="_ENREF_6_61"/>
      <w:r w:rsidRPr="00C806D0">
        <w:rPr>
          <w:rFonts w:ascii="Calibri" w:hAnsi="Calibri"/>
          <w:noProof/>
        </w:rPr>
        <w:t>61.</w:t>
      </w:r>
      <w:r w:rsidRPr="00C806D0">
        <w:rPr>
          <w:rFonts w:ascii="Calibri" w:hAnsi="Calibri"/>
          <w:noProof/>
        </w:rPr>
        <w:tab/>
        <w:t xml:space="preserve">Nelson N PV, MacAllister T. : </w:t>
      </w:r>
      <w:r w:rsidRPr="00C806D0">
        <w:rPr>
          <w:rFonts w:ascii="Calibri" w:hAnsi="Calibri"/>
          <w:b/>
          <w:noProof/>
        </w:rPr>
        <w:t xml:space="preserve">SyNAPSe :Study BHR-100-301: A randomized, double-blind, placebo-controlled phase 3 study to investigate the efficacy and safety of progesterone in patients with severe traumatic brain injury (TBI). </w:t>
      </w:r>
      <w:r w:rsidRPr="00C806D0">
        <w:rPr>
          <w:rFonts w:ascii="Calibri" w:hAnsi="Calibri"/>
          <w:noProof/>
        </w:rPr>
        <w:t xml:space="preserve">. </w:t>
      </w:r>
      <w:r w:rsidRPr="00C806D0">
        <w:rPr>
          <w:rFonts w:ascii="Calibri" w:hAnsi="Calibri"/>
          <w:i/>
          <w:noProof/>
        </w:rPr>
        <w:t xml:space="preserve">Brain Inj </w:t>
      </w:r>
      <w:r w:rsidRPr="00C806D0">
        <w:rPr>
          <w:rFonts w:ascii="Calibri" w:hAnsi="Calibri"/>
          <w:noProof/>
        </w:rPr>
        <w:t xml:space="preserve">2012, </w:t>
      </w:r>
      <w:r w:rsidRPr="00C806D0">
        <w:rPr>
          <w:rFonts w:ascii="Calibri" w:hAnsi="Calibri"/>
          <w:b/>
          <w:noProof/>
        </w:rPr>
        <w:t>26</w:t>
      </w:r>
      <w:r w:rsidRPr="00C806D0">
        <w:rPr>
          <w:rFonts w:ascii="Calibri" w:hAnsi="Calibri"/>
          <w:noProof/>
        </w:rPr>
        <w:t>((4-5)):713-714. .</w:t>
      </w:r>
      <w:bookmarkEnd w:id="158"/>
    </w:p>
    <w:p w:rsidR="006D4D62" w:rsidRPr="00C806D0" w:rsidRDefault="006D4D62" w:rsidP="006D4D62">
      <w:pPr>
        <w:spacing w:line="240" w:lineRule="auto"/>
        <w:ind w:left="720" w:hanging="720"/>
        <w:rPr>
          <w:rFonts w:ascii="Calibri" w:hAnsi="Calibri"/>
          <w:noProof/>
        </w:rPr>
      </w:pPr>
      <w:bookmarkStart w:id="159" w:name="_ENREF_6_62"/>
      <w:r w:rsidRPr="00C806D0">
        <w:rPr>
          <w:rFonts w:ascii="Calibri" w:hAnsi="Calibri"/>
          <w:noProof/>
        </w:rPr>
        <w:t>62.</w:t>
      </w:r>
      <w:r w:rsidRPr="00C806D0">
        <w:rPr>
          <w:rFonts w:ascii="Calibri" w:hAnsi="Calibri"/>
          <w:noProof/>
        </w:rPr>
        <w:tab/>
        <w:t xml:space="preserve">Ripley DL, Harrison-Felix C, Sendroy-Terrill M, Cusick CP, Dannels-McClure A, Morey C: </w:t>
      </w:r>
      <w:r w:rsidRPr="00C806D0">
        <w:rPr>
          <w:rFonts w:ascii="Calibri" w:hAnsi="Calibri"/>
          <w:b/>
          <w:noProof/>
        </w:rPr>
        <w:t>The impact of female reproductive function on outcomes after traumatic brain injury</w:t>
      </w:r>
      <w:r w:rsidRPr="00C806D0">
        <w:rPr>
          <w:rFonts w:ascii="Calibri" w:hAnsi="Calibri"/>
          <w:noProof/>
        </w:rPr>
        <w:t xml:space="preserve">. </w:t>
      </w:r>
      <w:r w:rsidRPr="00C806D0">
        <w:rPr>
          <w:rFonts w:ascii="Calibri" w:hAnsi="Calibri"/>
          <w:i/>
          <w:noProof/>
        </w:rPr>
        <w:t xml:space="preserve">Archives of physical medicine and rehabilitation </w:t>
      </w:r>
      <w:r w:rsidRPr="00C806D0">
        <w:rPr>
          <w:rFonts w:ascii="Calibri" w:hAnsi="Calibri"/>
          <w:noProof/>
        </w:rPr>
        <w:t xml:space="preserve">2008, </w:t>
      </w:r>
      <w:r w:rsidRPr="00C806D0">
        <w:rPr>
          <w:rFonts w:ascii="Calibri" w:hAnsi="Calibri"/>
          <w:b/>
          <w:noProof/>
        </w:rPr>
        <w:t>89</w:t>
      </w:r>
      <w:r w:rsidRPr="00C806D0">
        <w:rPr>
          <w:rFonts w:ascii="Calibri" w:hAnsi="Calibri"/>
          <w:noProof/>
        </w:rPr>
        <w:t>(6):1090-1096.</w:t>
      </w:r>
      <w:bookmarkEnd w:id="159"/>
    </w:p>
    <w:p w:rsidR="006D4D62" w:rsidRPr="00C806D0" w:rsidRDefault="006D4D62" w:rsidP="006D4D62">
      <w:pPr>
        <w:spacing w:line="240" w:lineRule="auto"/>
        <w:ind w:left="720" w:hanging="720"/>
        <w:rPr>
          <w:rFonts w:ascii="Calibri" w:hAnsi="Calibri"/>
          <w:noProof/>
        </w:rPr>
      </w:pPr>
      <w:bookmarkStart w:id="160" w:name="_ENREF_6_63"/>
      <w:r w:rsidRPr="00C806D0">
        <w:rPr>
          <w:rFonts w:ascii="Calibri" w:hAnsi="Calibri"/>
          <w:noProof/>
        </w:rPr>
        <w:t>63.</w:t>
      </w:r>
      <w:r w:rsidRPr="00C806D0">
        <w:rPr>
          <w:rFonts w:ascii="Calibri" w:hAnsi="Calibri"/>
          <w:noProof/>
        </w:rPr>
        <w:tab/>
        <w:t xml:space="preserve">Gregson BA, Rowan EN, Mitchell PM, Unterberg A, McColl EM, Chambers IR, McNamee P, Mendelow AD: </w:t>
      </w:r>
      <w:r w:rsidRPr="00C806D0">
        <w:rPr>
          <w:rFonts w:ascii="Calibri" w:hAnsi="Calibri"/>
          <w:b/>
          <w:noProof/>
        </w:rPr>
        <w:t>Surgical trial in traumatic intracerebral hemorrhage (STITCH(Trauma)): study protocol for a randomized controlled trial</w:t>
      </w:r>
      <w:r w:rsidRPr="00C806D0">
        <w:rPr>
          <w:rFonts w:ascii="Calibri" w:hAnsi="Calibri"/>
          <w:noProof/>
        </w:rPr>
        <w:t xml:space="preserve">. </w:t>
      </w:r>
      <w:r w:rsidRPr="00C806D0">
        <w:rPr>
          <w:rFonts w:ascii="Calibri" w:hAnsi="Calibri"/>
          <w:i/>
          <w:noProof/>
        </w:rPr>
        <w:t xml:space="preserve">Trials </w:t>
      </w:r>
      <w:r w:rsidRPr="00C806D0">
        <w:rPr>
          <w:rFonts w:ascii="Calibri" w:hAnsi="Calibri"/>
          <w:noProof/>
        </w:rPr>
        <w:t xml:space="preserve">2012, </w:t>
      </w:r>
      <w:r w:rsidRPr="00C806D0">
        <w:rPr>
          <w:rFonts w:ascii="Calibri" w:hAnsi="Calibri"/>
          <w:b/>
          <w:noProof/>
        </w:rPr>
        <w:t>13</w:t>
      </w:r>
      <w:r w:rsidRPr="00C806D0">
        <w:rPr>
          <w:rFonts w:ascii="Calibri" w:hAnsi="Calibri"/>
          <w:noProof/>
        </w:rPr>
        <w:t>:193.</w:t>
      </w:r>
      <w:bookmarkEnd w:id="160"/>
    </w:p>
    <w:p w:rsidR="006D4D62" w:rsidRPr="00C806D0" w:rsidRDefault="006D4D62" w:rsidP="006D4D62">
      <w:pPr>
        <w:spacing w:line="240" w:lineRule="auto"/>
        <w:ind w:left="720" w:hanging="720"/>
        <w:rPr>
          <w:rFonts w:ascii="Calibri" w:hAnsi="Calibri"/>
          <w:noProof/>
        </w:rPr>
      </w:pPr>
      <w:bookmarkStart w:id="161" w:name="_ENREF_6_64"/>
      <w:r w:rsidRPr="00C806D0">
        <w:rPr>
          <w:rFonts w:ascii="Calibri" w:hAnsi="Calibri"/>
          <w:noProof/>
        </w:rPr>
        <w:t>64.</w:t>
      </w:r>
      <w:r w:rsidRPr="00C806D0">
        <w:rPr>
          <w:rFonts w:ascii="Calibri" w:hAnsi="Calibri"/>
          <w:noProof/>
        </w:rPr>
        <w:tab/>
        <w:t xml:space="preserve">Temkin NR, Machamer JE, Dikmen SS: </w:t>
      </w:r>
      <w:r w:rsidRPr="00C806D0">
        <w:rPr>
          <w:rFonts w:ascii="Calibri" w:hAnsi="Calibri"/>
          <w:b/>
          <w:noProof/>
        </w:rPr>
        <w:t>Correlates of functional status 3-5 years after traumatic brain injury with CT abnormalities</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2003, </w:t>
      </w:r>
      <w:r w:rsidRPr="00C806D0">
        <w:rPr>
          <w:rFonts w:ascii="Calibri" w:hAnsi="Calibri"/>
          <w:b/>
          <w:noProof/>
        </w:rPr>
        <w:t>20</w:t>
      </w:r>
      <w:r w:rsidRPr="00C806D0">
        <w:rPr>
          <w:rFonts w:ascii="Calibri" w:hAnsi="Calibri"/>
          <w:noProof/>
        </w:rPr>
        <w:t>(3):229-241.</w:t>
      </w:r>
      <w:bookmarkEnd w:id="161"/>
    </w:p>
    <w:p w:rsidR="006D4D62" w:rsidRPr="00C806D0" w:rsidRDefault="006D4D62" w:rsidP="006D4D62">
      <w:pPr>
        <w:spacing w:line="240" w:lineRule="auto"/>
        <w:ind w:left="720" w:hanging="720"/>
        <w:rPr>
          <w:rFonts w:ascii="Calibri" w:hAnsi="Calibri"/>
          <w:noProof/>
        </w:rPr>
      </w:pPr>
      <w:bookmarkStart w:id="162" w:name="_ENREF_6_65"/>
      <w:r w:rsidRPr="00C806D0">
        <w:rPr>
          <w:rFonts w:ascii="Calibri" w:hAnsi="Calibri"/>
          <w:noProof/>
        </w:rPr>
        <w:t>65.</w:t>
      </w:r>
      <w:r w:rsidRPr="00C806D0">
        <w:rPr>
          <w:rFonts w:ascii="Calibri" w:hAnsi="Calibri"/>
          <w:noProof/>
        </w:rPr>
        <w:tab/>
        <w:t xml:space="preserve">Timofeev I, Kirkpatrick PJ, Corteen E, Hiler M, Czosnyka M, Menon DK, Pickard JD, Hutchinson PJ: </w:t>
      </w:r>
      <w:r w:rsidRPr="00C806D0">
        <w:rPr>
          <w:rFonts w:ascii="Calibri" w:hAnsi="Calibri"/>
          <w:b/>
          <w:noProof/>
        </w:rPr>
        <w:t>Decompressive craniectomy in traumatic brain injury: outcome following protocol-driven therapy</w:t>
      </w:r>
      <w:r w:rsidRPr="00C806D0">
        <w:rPr>
          <w:rFonts w:ascii="Calibri" w:hAnsi="Calibri"/>
          <w:noProof/>
        </w:rPr>
        <w:t xml:space="preserve">. </w:t>
      </w:r>
      <w:r w:rsidRPr="00C806D0">
        <w:rPr>
          <w:rFonts w:ascii="Calibri" w:hAnsi="Calibri"/>
          <w:i/>
          <w:noProof/>
        </w:rPr>
        <w:t xml:space="preserve">Acta neurochirurgica Supplement </w:t>
      </w:r>
      <w:r w:rsidRPr="00C806D0">
        <w:rPr>
          <w:rFonts w:ascii="Calibri" w:hAnsi="Calibri"/>
          <w:noProof/>
        </w:rPr>
        <w:t xml:space="preserve">2006, </w:t>
      </w:r>
      <w:r w:rsidRPr="00C806D0">
        <w:rPr>
          <w:rFonts w:ascii="Calibri" w:hAnsi="Calibri"/>
          <w:b/>
          <w:noProof/>
        </w:rPr>
        <w:t>96</w:t>
      </w:r>
      <w:r w:rsidRPr="00C806D0">
        <w:rPr>
          <w:rFonts w:ascii="Calibri" w:hAnsi="Calibri"/>
          <w:noProof/>
        </w:rPr>
        <w:t>:11-16.</w:t>
      </w:r>
      <w:bookmarkEnd w:id="162"/>
    </w:p>
    <w:p w:rsidR="006D4D62" w:rsidRPr="00C806D0" w:rsidRDefault="006D4D62" w:rsidP="006D4D62">
      <w:pPr>
        <w:spacing w:line="240" w:lineRule="auto"/>
        <w:ind w:left="720" w:hanging="720"/>
        <w:rPr>
          <w:rFonts w:ascii="Calibri" w:hAnsi="Calibri"/>
          <w:noProof/>
        </w:rPr>
      </w:pPr>
      <w:bookmarkStart w:id="163" w:name="_ENREF_6_66"/>
      <w:r w:rsidRPr="00C806D0">
        <w:rPr>
          <w:rFonts w:ascii="Calibri" w:hAnsi="Calibri"/>
          <w:noProof/>
        </w:rPr>
        <w:t>66.</w:t>
      </w:r>
      <w:r w:rsidRPr="00C806D0">
        <w:rPr>
          <w:rFonts w:ascii="Calibri" w:hAnsi="Calibri"/>
          <w:noProof/>
        </w:rPr>
        <w:tab/>
        <w:t xml:space="preserve">Tomberg T, Toomela A, Pulver A, Tikk A: </w:t>
      </w:r>
      <w:r w:rsidRPr="00C806D0">
        <w:rPr>
          <w:rFonts w:ascii="Calibri" w:hAnsi="Calibri"/>
          <w:b/>
          <w:noProof/>
        </w:rPr>
        <w:t>Coping strategies, social support, life orientation and health-related quality of life following traumatic brain injury</w:t>
      </w:r>
      <w:r w:rsidRPr="00C806D0">
        <w:rPr>
          <w:rFonts w:ascii="Calibri" w:hAnsi="Calibri"/>
          <w:noProof/>
        </w:rPr>
        <w:t xml:space="preserve">. </w:t>
      </w:r>
      <w:r w:rsidRPr="00C806D0">
        <w:rPr>
          <w:rFonts w:ascii="Calibri" w:hAnsi="Calibri"/>
          <w:i/>
          <w:noProof/>
        </w:rPr>
        <w:t xml:space="preserve">Brain injury : [BI] </w:t>
      </w:r>
      <w:r w:rsidRPr="00C806D0">
        <w:rPr>
          <w:rFonts w:ascii="Calibri" w:hAnsi="Calibri"/>
          <w:noProof/>
        </w:rPr>
        <w:t xml:space="preserve">2005, </w:t>
      </w:r>
      <w:r w:rsidRPr="00C806D0">
        <w:rPr>
          <w:rFonts w:ascii="Calibri" w:hAnsi="Calibri"/>
          <w:b/>
          <w:noProof/>
        </w:rPr>
        <w:t>19</w:t>
      </w:r>
      <w:r w:rsidRPr="00C806D0">
        <w:rPr>
          <w:rFonts w:ascii="Calibri" w:hAnsi="Calibri"/>
          <w:noProof/>
        </w:rPr>
        <w:t>(14):1181-1190.</w:t>
      </w:r>
      <w:bookmarkEnd w:id="163"/>
    </w:p>
    <w:p w:rsidR="006D4D62" w:rsidRPr="00C806D0" w:rsidRDefault="006D4D62" w:rsidP="006D4D62">
      <w:pPr>
        <w:spacing w:line="240" w:lineRule="auto"/>
        <w:ind w:left="720" w:hanging="720"/>
        <w:rPr>
          <w:rFonts w:ascii="Calibri" w:hAnsi="Calibri"/>
          <w:noProof/>
        </w:rPr>
      </w:pPr>
      <w:bookmarkStart w:id="164" w:name="_ENREF_6_67"/>
      <w:r w:rsidRPr="00C806D0">
        <w:rPr>
          <w:rFonts w:ascii="Calibri" w:hAnsi="Calibri"/>
          <w:noProof/>
        </w:rPr>
        <w:t>67.</w:t>
      </w:r>
      <w:r w:rsidRPr="00C806D0">
        <w:rPr>
          <w:rFonts w:ascii="Calibri" w:hAnsi="Calibri"/>
          <w:noProof/>
        </w:rPr>
        <w:tab/>
        <w:t xml:space="preserve">TOWNEND W: </w:t>
      </w:r>
      <w:r w:rsidRPr="00C806D0">
        <w:rPr>
          <w:rFonts w:ascii="Calibri" w:hAnsi="Calibri"/>
          <w:b/>
          <w:noProof/>
        </w:rPr>
        <w:t>Relation between Glasgow outcome score extended (GOSE) and the EQ-5D health status questionnaire after head injury</w:t>
      </w:r>
      <w:r w:rsidRPr="00C806D0">
        <w:rPr>
          <w:rFonts w:ascii="Calibri" w:hAnsi="Calibri"/>
          <w:noProof/>
        </w:rPr>
        <w:t xml:space="preserve">. </w:t>
      </w:r>
      <w:r w:rsidRPr="00C806D0">
        <w:rPr>
          <w:rFonts w:ascii="Calibri" w:hAnsi="Calibri"/>
          <w:i/>
          <w:noProof/>
        </w:rPr>
        <w:t xml:space="preserve">Journal of Neurology, Neurosurgery &amp; Psychiatry </w:t>
      </w:r>
      <w:r w:rsidRPr="00C806D0">
        <w:rPr>
          <w:rFonts w:ascii="Calibri" w:hAnsi="Calibri"/>
          <w:noProof/>
        </w:rPr>
        <w:t xml:space="preserve">2001, </w:t>
      </w:r>
      <w:r w:rsidRPr="00C806D0">
        <w:rPr>
          <w:rFonts w:ascii="Calibri" w:hAnsi="Calibri"/>
          <w:b/>
          <w:noProof/>
        </w:rPr>
        <w:t>70</w:t>
      </w:r>
      <w:r w:rsidRPr="00C806D0">
        <w:rPr>
          <w:rFonts w:ascii="Calibri" w:hAnsi="Calibri"/>
          <w:noProof/>
        </w:rPr>
        <w:t>(2):267-268.</w:t>
      </w:r>
      <w:bookmarkEnd w:id="164"/>
    </w:p>
    <w:p w:rsidR="006D4D62" w:rsidRPr="00C806D0" w:rsidRDefault="006D4D62" w:rsidP="006D4D62">
      <w:pPr>
        <w:spacing w:line="240" w:lineRule="auto"/>
        <w:ind w:left="720" w:hanging="720"/>
        <w:rPr>
          <w:rFonts w:ascii="Calibri" w:hAnsi="Calibri"/>
          <w:noProof/>
        </w:rPr>
      </w:pPr>
      <w:bookmarkStart w:id="165" w:name="_ENREF_6_68"/>
      <w:r w:rsidRPr="00C806D0">
        <w:rPr>
          <w:rFonts w:ascii="Calibri" w:hAnsi="Calibri"/>
          <w:noProof/>
        </w:rPr>
        <w:t>68.</w:t>
      </w:r>
      <w:r w:rsidRPr="00C806D0">
        <w:rPr>
          <w:rFonts w:ascii="Calibri" w:hAnsi="Calibri"/>
          <w:noProof/>
        </w:rPr>
        <w:tab/>
        <w:t xml:space="preserve">Ulfarsson T, Arnar Gudnason G, Rosen T, Blomstrand C, Sunnerhagen KS, Lundgren-Nilsson A, Nilsson M: </w:t>
      </w:r>
      <w:r w:rsidRPr="00C806D0">
        <w:rPr>
          <w:rFonts w:ascii="Calibri" w:hAnsi="Calibri"/>
          <w:b/>
          <w:noProof/>
        </w:rPr>
        <w:t>Pituitary function and functional outcome in adults after severe traumatic brain injury: the long-term perspective</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2013, </w:t>
      </w:r>
      <w:r w:rsidRPr="00C806D0">
        <w:rPr>
          <w:rFonts w:ascii="Calibri" w:hAnsi="Calibri"/>
          <w:b/>
          <w:noProof/>
        </w:rPr>
        <w:t>30</w:t>
      </w:r>
      <w:r w:rsidRPr="00C806D0">
        <w:rPr>
          <w:rFonts w:ascii="Calibri" w:hAnsi="Calibri"/>
          <w:noProof/>
        </w:rPr>
        <w:t>(4):271-280.</w:t>
      </w:r>
      <w:bookmarkEnd w:id="165"/>
    </w:p>
    <w:p w:rsidR="006D4D62" w:rsidRPr="00C806D0" w:rsidRDefault="006D4D62" w:rsidP="006D4D62">
      <w:pPr>
        <w:spacing w:line="240" w:lineRule="auto"/>
        <w:ind w:left="720" w:hanging="720"/>
        <w:rPr>
          <w:rFonts w:ascii="Calibri" w:hAnsi="Calibri"/>
          <w:noProof/>
        </w:rPr>
      </w:pPr>
      <w:bookmarkStart w:id="166" w:name="_ENREF_6_69"/>
      <w:r w:rsidRPr="00C806D0">
        <w:rPr>
          <w:rFonts w:ascii="Calibri" w:hAnsi="Calibri"/>
          <w:noProof/>
        </w:rPr>
        <w:t>69.</w:t>
      </w:r>
      <w:r w:rsidRPr="00C806D0">
        <w:rPr>
          <w:rFonts w:ascii="Calibri" w:hAnsi="Calibri"/>
          <w:noProof/>
        </w:rPr>
        <w:tab/>
        <w:t xml:space="preserve">van Baalen B, Odding E, van Woensel MPC, van Kessel MA, Roebroeck ME, Stam HJ: </w:t>
      </w:r>
      <w:r w:rsidRPr="00C806D0">
        <w:rPr>
          <w:rFonts w:ascii="Calibri" w:hAnsi="Calibri"/>
          <w:b/>
          <w:noProof/>
        </w:rPr>
        <w:t>Reliability and sensitivity to change of measurement instruments used in a traumatic brain injury population</w:t>
      </w:r>
      <w:r w:rsidRPr="00C806D0">
        <w:rPr>
          <w:rFonts w:ascii="Calibri" w:hAnsi="Calibri"/>
          <w:noProof/>
        </w:rPr>
        <w:t xml:space="preserve">. </w:t>
      </w:r>
      <w:r w:rsidRPr="00C806D0">
        <w:rPr>
          <w:rFonts w:ascii="Calibri" w:hAnsi="Calibri"/>
          <w:i/>
          <w:noProof/>
        </w:rPr>
        <w:t xml:space="preserve">Clinical Rehabilitation </w:t>
      </w:r>
      <w:r w:rsidRPr="00C806D0">
        <w:rPr>
          <w:rFonts w:ascii="Calibri" w:hAnsi="Calibri"/>
          <w:noProof/>
        </w:rPr>
        <w:t xml:space="preserve">2006, </w:t>
      </w:r>
      <w:r w:rsidRPr="00C806D0">
        <w:rPr>
          <w:rFonts w:ascii="Calibri" w:hAnsi="Calibri"/>
          <w:b/>
          <w:noProof/>
        </w:rPr>
        <w:t>20</w:t>
      </w:r>
      <w:r w:rsidRPr="00C806D0">
        <w:rPr>
          <w:rFonts w:ascii="Calibri" w:hAnsi="Calibri"/>
          <w:noProof/>
        </w:rPr>
        <w:t>(8):686-700.</w:t>
      </w:r>
      <w:bookmarkEnd w:id="166"/>
    </w:p>
    <w:p w:rsidR="006D4D62" w:rsidRPr="00C806D0" w:rsidRDefault="006D4D62" w:rsidP="006D4D62">
      <w:pPr>
        <w:spacing w:line="240" w:lineRule="auto"/>
        <w:ind w:left="720" w:hanging="720"/>
        <w:rPr>
          <w:rFonts w:ascii="Calibri" w:hAnsi="Calibri"/>
          <w:noProof/>
        </w:rPr>
      </w:pPr>
      <w:bookmarkStart w:id="167" w:name="_ENREF_6_70"/>
      <w:r w:rsidRPr="00C806D0">
        <w:rPr>
          <w:rFonts w:ascii="Calibri" w:hAnsi="Calibri"/>
          <w:noProof/>
        </w:rPr>
        <w:t>70.</w:t>
      </w:r>
      <w:r w:rsidRPr="00C806D0">
        <w:rPr>
          <w:rFonts w:ascii="Calibri" w:hAnsi="Calibri"/>
          <w:noProof/>
        </w:rPr>
        <w:tab/>
        <w:t xml:space="preserve">Van Baalen B OE, Henk, Stam J. : </w:t>
      </w:r>
      <w:r w:rsidRPr="00C806D0">
        <w:rPr>
          <w:rFonts w:ascii="Calibri" w:hAnsi="Calibri"/>
          <w:b/>
          <w:noProof/>
        </w:rPr>
        <w:t xml:space="preserve">Functional prognosis and quality of life in traumatic Brain Injury (TBI) patients. </w:t>
      </w:r>
      <w:r w:rsidRPr="00C806D0">
        <w:rPr>
          <w:rFonts w:ascii="Calibri" w:hAnsi="Calibri"/>
          <w:noProof/>
        </w:rPr>
        <w:t xml:space="preserve">. </w:t>
      </w:r>
      <w:r w:rsidRPr="00C806D0">
        <w:rPr>
          <w:rFonts w:ascii="Calibri" w:hAnsi="Calibri"/>
          <w:i/>
          <w:noProof/>
        </w:rPr>
        <w:t xml:space="preserve">Brain Inj </w:t>
      </w:r>
      <w:r w:rsidRPr="00C806D0">
        <w:rPr>
          <w:rFonts w:ascii="Calibri" w:hAnsi="Calibri"/>
          <w:noProof/>
        </w:rPr>
        <w:t xml:space="preserve">2010, </w:t>
      </w:r>
      <w:r w:rsidRPr="00C806D0">
        <w:rPr>
          <w:rFonts w:ascii="Calibri" w:hAnsi="Calibri"/>
          <w:b/>
          <w:noProof/>
        </w:rPr>
        <w:t>24</w:t>
      </w:r>
      <w:r w:rsidRPr="00C806D0">
        <w:rPr>
          <w:rFonts w:ascii="Calibri" w:hAnsi="Calibri"/>
          <w:noProof/>
        </w:rPr>
        <w:t>(3):175-176. .</w:t>
      </w:r>
      <w:bookmarkEnd w:id="167"/>
    </w:p>
    <w:p w:rsidR="006D4D62" w:rsidRPr="00C806D0" w:rsidRDefault="006D4D62" w:rsidP="006D4D62">
      <w:pPr>
        <w:spacing w:line="240" w:lineRule="auto"/>
        <w:ind w:left="720" w:hanging="720"/>
        <w:rPr>
          <w:rFonts w:ascii="Calibri" w:hAnsi="Calibri"/>
          <w:noProof/>
        </w:rPr>
      </w:pPr>
      <w:bookmarkStart w:id="168" w:name="_ENREF_6_71"/>
      <w:r w:rsidRPr="00C806D0">
        <w:rPr>
          <w:rFonts w:ascii="Calibri" w:hAnsi="Calibri"/>
          <w:noProof/>
        </w:rPr>
        <w:t>71.</w:t>
      </w:r>
      <w:r w:rsidRPr="00C806D0">
        <w:rPr>
          <w:rFonts w:ascii="Calibri" w:hAnsi="Calibri"/>
          <w:noProof/>
        </w:rPr>
        <w:tab/>
        <w:t xml:space="preserve">von Elm E, Osterwalder JJ, Graber C, Schoettker P, Stocker R, Zangger P, Vuadens P, Egger M, Walder B: </w:t>
      </w:r>
      <w:r w:rsidRPr="00C806D0">
        <w:rPr>
          <w:rFonts w:ascii="Calibri" w:hAnsi="Calibri"/>
          <w:b/>
          <w:noProof/>
        </w:rPr>
        <w:t>Severe traumatic brain injury in Switzerland - feasibility and first results of a cohort study</w:t>
      </w:r>
      <w:r w:rsidRPr="00C806D0">
        <w:rPr>
          <w:rFonts w:ascii="Calibri" w:hAnsi="Calibri"/>
          <w:noProof/>
        </w:rPr>
        <w:t xml:space="preserve">. </w:t>
      </w:r>
      <w:r w:rsidRPr="00C806D0">
        <w:rPr>
          <w:rFonts w:ascii="Calibri" w:hAnsi="Calibri"/>
          <w:i/>
          <w:noProof/>
        </w:rPr>
        <w:t xml:space="preserve">Swiss medical weekly </w:t>
      </w:r>
      <w:r w:rsidRPr="00C806D0">
        <w:rPr>
          <w:rFonts w:ascii="Calibri" w:hAnsi="Calibri"/>
          <w:noProof/>
        </w:rPr>
        <w:t xml:space="preserve">2008, </w:t>
      </w:r>
      <w:r w:rsidRPr="00C806D0">
        <w:rPr>
          <w:rFonts w:ascii="Calibri" w:hAnsi="Calibri"/>
          <w:b/>
          <w:noProof/>
        </w:rPr>
        <w:t>138</w:t>
      </w:r>
      <w:r w:rsidRPr="00C806D0">
        <w:rPr>
          <w:rFonts w:ascii="Calibri" w:hAnsi="Calibri"/>
          <w:noProof/>
        </w:rPr>
        <w:t>(23-24):327-334.</w:t>
      </w:r>
      <w:bookmarkEnd w:id="168"/>
    </w:p>
    <w:p w:rsidR="006D4D62" w:rsidRPr="00C806D0" w:rsidRDefault="006D4D62" w:rsidP="006D4D62">
      <w:pPr>
        <w:spacing w:line="240" w:lineRule="auto"/>
        <w:ind w:left="720" w:hanging="720"/>
        <w:rPr>
          <w:rFonts w:ascii="Calibri" w:hAnsi="Calibri"/>
          <w:noProof/>
        </w:rPr>
      </w:pPr>
      <w:bookmarkStart w:id="169" w:name="_ENREF_6_72"/>
      <w:r w:rsidRPr="00C806D0">
        <w:rPr>
          <w:rFonts w:ascii="Calibri" w:hAnsi="Calibri"/>
          <w:noProof/>
        </w:rPr>
        <w:t>72.</w:t>
      </w:r>
      <w:r w:rsidRPr="00C806D0">
        <w:rPr>
          <w:rFonts w:ascii="Calibri" w:hAnsi="Calibri"/>
          <w:noProof/>
        </w:rPr>
        <w:tab/>
        <w:t>von Steinbuchel N, Wilson L, Gibbons H, Hawthorne G, Hofer S, Schmidt S, Bullinger M, Maas A, Neugebauer E, Powell J</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Quality of Life after Brain Injury (QOLIBRI): scale validity and correlates of quality of life</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2010, </w:t>
      </w:r>
      <w:r w:rsidRPr="00C806D0">
        <w:rPr>
          <w:rFonts w:ascii="Calibri" w:hAnsi="Calibri"/>
          <w:b/>
          <w:noProof/>
        </w:rPr>
        <w:t>27</w:t>
      </w:r>
      <w:r w:rsidRPr="00C806D0">
        <w:rPr>
          <w:rFonts w:ascii="Calibri" w:hAnsi="Calibri"/>
          <w:noProof/>
        </w:rPr>
        <w:t>(7):1157-1165.</w:t>
      </w:r>
      <w:bookmarkEnd w:id="169"/>
    </w:p>
    <w:p w:rsidR="006D4D62" w:rsidRPr="00C806D0" w:rsidRDefault="006D4D62" w:rsidP="006D4D62">
      <w:pPr>
        <w:spacing w:line="240" w:lineRule="auto"/>
        <w:ind w:left="720" w:hanging="720"/>
        <w:rPr>
          <w:rFonts w:ascii="Calibri" w:hAnsi="Calibri"/>
          <w:noProof/>
        </w:rPr>
      </w:pPr>
      <w:bookmarkStart w:id="170" w:name="_ENREF_6_73"/>
      <w:r w:rsidRPr="00C806D0">
        <w:rPr>
          <w:rFonts w:ascii="Calibri" w:hAnsi="Calibri"/>
          <w:noProof/>
        </w:rPr>
        <w:t>73.</w:t>
      </w:r>
      <w:r w:rsidRPr="00C806D0">
        <w:rPr>
          <w:rFonts w:ascii="Calibri" w:hAnsi="Calibri"/>
          <w:noProof/>
        </w:rPr>
        <w:tab/>
        <w:t xml:space="preserve">Wilson JT, Pettigrew LE, Teasdale GM: </w:t>
      </w:r>
      <w:r w:rsidRPr="00C806D0">
        <w:rPr>
          <w:rFonts w:ascii="Calibri" w:hAnsi="Calibri"/>
          <w:b/>
          <w:noProof/>
        </w:rPr>
        <w:t>Emotional and cognitive consequences of head injury in relation to the glasgow outcome scale</w:t>
      </w:r>
      <w:r w:rsidRPr="00C806D0">
        <w:rPr>
          <w:rFonts w:ascii="Calibri" w:hAnsi="Calibri"/>
          <w:noProof/>
        </w:rPr>
        <w:t xml:space="preserve">. </w:t>
      </w:r>
      <w:r w:rsidRPr="00C806D0">
        <w:rPr>
          <w:rFonts w:ascii="Calibri" w:hAnsi="Calibri"/>
          <w:i/>
          <w:noProof/>
        </w:rPr>
        <w:t xml:space="preserve">Journal of neurology, neurosurgery, and psychiatry </w:t>
      </w:r>
      <w:r w:rsidRPr="00C806D0">
        <w:rPr>
          <w:rFonts w:ascii="Calibri" w:hAnsi="Calibri"/>
          <w:noProof/>
        </w:rPr>
        <w:t xml:space="preserve">2000, </w:t>
      </w:r>
      <w:r w:rsidRPr="00C806D0">
        <w:rPr>
          <w:rFonts w:ascii="Calibri" w:hAnsi="Calibri"/>
          <w:b/>
          <w:noProof/>
        </w:rPr>
        <w:t>69</w:t>
      </w:r>
      <w:r w:rsidRPr="00C806D0">
        <w:rPr>
          <w:rFonts w:ascii="Calibri" w:hAnsi="Calibri"/>
          <w:noProof/>
        </w:rPr>
        <w:t>(2):204-209.</w:t>
      </w:r>
      <w:bookmarkEnd w:id="170"/>
    </w:p>
    <w:p w:rsidR="006D4D62" w:rsidRPr="00C806D0" w:rsidRDefault="006D4D62" w:rsidP="006D4D62">
      <w:pPr>
        <w:spacing w:line="240" w:lineRule="auto"/>
        <w:ind w:left="720" w:hanging="720"/>
        <w:rPr>
          <w:rFonts w:ascii="Calibri" w:hAnsi="Calibri"/>
          <w:noProof/>
        </w:rPr>
      </w:pPr>
      <w:bookmarkStart w:id="171" w:name="_ENREF_6_74"/>
      <w:r w:rsidRPr="00C806D0">
        <w:rPr>
          <w:rFonts w:ascii="Calibri" w:hAnsi="Calibri"/>
          <w:noProof/>
        </w:rPr>
        <w:lastRenderedPageBreak/>
        <w:t>74.</w:t>
      </w:r>
      <w:r w:rsidRPr="00C806D0">
        <w:rPr>
          <w:rFonts w:ascii="Calibri" w:hAnsi="Calibri"/>
          <w:noProof/>
        </w:rPr>
        <w:tab/>
        <w:t xml:space="preserve">Zeckey C, Hildebrand F, Pape HC, Mommsen P, Panzica M, Zelle BA, Sittaro NA, Lohse R, Krettek C, Probst C: </w:t>
      </w:r>
      <w:r w:rsidRPr="00C806D0">
        <w:rPr>
          <w:rFonts w:ascii="Calibri" w:hAnsi="Calibri"/>
          <w:b/>
          <w:noProof/>
        </w:rPr>
        <w:t>Head injury in polytrauma-Is there an effect on outcome more than 10 years after the injury?</w:t>
      </w:r>
      <w:r w:rsidRPr="00C806D0">
        <w:rPr>
          <w:rFonts w:ascii="Calibri" w:hAnsi="Calibri"/>
          <w:noProof/>
        </w:rPr>
        <w:t xml:space="preserve"> </w:t>
      </w:r>
      <w:r w:rsidRPr="00C806D0">
        <w:rPr>
          <w:rFonts w:ascii="Calibri" w:hAnsi="Calibri"/>
          <w:i/>
          <w:noProof/>
        </w:rPr>
        <w:t xml:space="preserve">Brain injury : [BI] </w:t>
      </w:r>
      <w:r w:rsidRPr="00C806D0">
        <w:rPr>
          <w:rFonts w:ascii="Calibri" w:hAnsi="Calibri"/>
          <w:noProof/>
        </w:rPr>
        <w:t xml:space="preserve">2011, </w:t>
      </w:r>
      <w:r w:rsidRPr="00C806D0">
        <w:rPr>
          <w:rFonts w:ascii="Calibri" w:hAnsi="Calibri"/>
          <w:b/>
          <w:noProof/>
        </w:rPr>
        <w:t>25</w:t>
      </w:r>
      <w:r w:rsidRPr="00C806D0">
        <w:rPr>
          <w:rFonts w:ascii="Calibri" w:hAnsi="Calibri"/>
          <w:noProof/>
        </w:rPr>
        <w:t>(6):551-559.</w:t>
      </w:r>
      <w:bookmarkEnd w:id="171"/>
    </w:p>
    <w:p w:rsidR="006D4D62" w:rsidRPr="00C806D0" w:rsidRDefault="006D4D62" w:rsidP="006D4D62">
      <w:pPr>
        <w:spacing w:line="240" w:lineRule="auto"/>
        <w:ind w:left="720" w:hanging="720"/>
        <w:rPr>
          <w:rFonts w:ascii="Calibri" w:hAnsi="Calibri"/>
          <w:noProof/>
        </w:rPr>
      </w:pPr>
      <w:bookmarkStart w:id="172" w:name="_ENREF_6_75"/>
      <w:r w:rsidRPr="00C806D0">
        <w:rPr>
          <w:rFonts w:ascii="Calibri" w:hAnsi="Calibri"/>
          <w:noProof/>
        </w:rPr>
        <w:t>75.</w:t>
      </w:r>
      <w:r w:rsidRPr="00C806D0">
        <w:rPr>
          <w:rFonts w:ascii="Calibri" w:hAnsi="Calibri"/>
          <w:noProof/>
        </w:rPr>
        <w:tab/>
        <w:t xml:space="preserve">Kosty J, Macyszyn L, Lai K, McCroskery J, Park HR, Stein SC: </w:t>
      </w:r>
      <w:r w:rsidRPr="00C806D0">
        <w:rPr>
          <w:rFonts w:ascii="Calibri" w:hAnsi="Calibri"/>
          <w:b/>
          <w:noProof/>
        </w:rPr>
        <w:t>Relating quality of life to Glasgow outcome scale health states</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2012, </w:t>
      </w:r>
      <w:r w:rsidRPr="00C806D0">
        <w:rPr>
          <w:rFonts w:ascii="Calibri" w:hAnsi="Calibri"/>
          <w:b/>
          <w:noProof/>
        </w:rPr>
        <w:t>29</w:t>
      </w:r>
      <w:r w:rsidRPr="00C806D0">
        <w:rPr>
          <w:rFonts w:ascii="Calibri" w:hAnsi="Calibri"/>
          <w:noProof/>
        </w:rPr>
        <w:t>(7):1322-1327.</w:t>
      </w:r>
      <w:bookmarkEnd w:id="172"/>
    </w:p>
    <w:p w:rsidR="006D4D62" w:rsidRPr="00C806D0" w:rsidRDefault="006D4D62" w:rsidP="006D4D62">
      <w:pPr>
        <w:spacing w:line="240" w:lineRule="auto"/>
        <w:ind w:left="720" w:hanging="720"/>
        <w:rPr>
          <w:rFonts w:ascii="Calibri" w:hAnsi="Calibri"/>
          <w:noProof/>
        </w:rPr>
      </w:pPr>
      <w:bookmarkStart w:id="173" w:name="_ENREF_6_76"/>
      <w:r w:rsidRPr="00C806D0">
        <w:rPr>
          <w:rFonts w:ascii="Calibri" w:hAnsi="Calibri"/>
          <w:noProof/>
        </w:rPr>
        <w:t>76.</w:t>
      </w:r>
      <w:r w:rsidRPr="00C806D0">
        <w:rPr>
          <w:rFonts w:ascii="Calibri" w:hAnsi="Calibri"/>
          <w:noProof/>
        </w:rPr>
        <w:tab/>
        <w:t>Smits M, Hunink MG, van Rijssel DA, Dekker HM, Vos PE, Kool DR, Nederkoorn PJ, Hofman PA, Twijnstra A, Tanghe HL</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Outcome after complicated minor head injury</w:t>
      </w:r>
      <w:r w:rsidRPr="00C806D0">
        <w:rPr>
          <w:rFonts w:ascii="Calibri" w:hAnsi="Calibri"/>
          <w:noProof/>
        </w:rPr>
        <w:t xml:space="preserve">. </w:t>
      </w:r>
      <w:r w:rsidRPr="00C806D0">
        <w:rPr>
          <w:rFonts w:ascii="Calibri" w:hAnsi="Calibri"/>
          <w:i/>
          <w:noProof/>
        </w:rPr>
        <w:t xml:space="preserve">AJNR American journal of neuroradiology </w:t>
      </w:r>
      <w:r w:rsidRPr="00C806D0">
        <w:rPr>
          <w:rFonts w:ascii="Calibri" w:hAnsi="Calibri"/>
          <w:noProof/>
        </w:rPr>
        <w:t xml:space="preserve">2008, </w:t>
      </w:r>
      <w:r w:rsidRPr="00C806D0">
        <w:rPr>
          <w:rFonts w:ascii="Calibri" w:hAnsi="Calibri"/>
          <w:b/>
          <w:noProof/>
        </w:rPr>
        <w:t>29</w:t>
      </w:r>
      <w:r w:rsidRPr="00C806D0">
        <w:rPr>
          <w:rFonts w:ascii="Calibri" w:hAnsi="Calibri"/>
          <w:noProof/>
        </w:rPr>
        <w:t>(3):506-513.</w:t>
      </w:r>
      <w:bookmarkEnd w:id="173"/>
    </w:p>
    <w:p w:rsidR="006D4D62" w:rsidRPr="00C806D0" w:rsidRDefault="006D4D62" w:rsidP="006D4D62">
      <w:pPr>
        <w:spacing w:line="240" w:lineRule="auto"/>
        <w:ind w:left="720" w:hanging="720"/>
        <w:rPr>
          <w:rFonts w:ascii="Calibri" w:hAnsi="Calibri"/>
          <w:noProof/>
        </w:rPr>
      </w:pPr>
      <w:bookmarkStart w:id="174" w:name="_ENREF_6_77"/>
      <w:r w:rsidRPr="00C806D0">
        <w:rPr>
          <w:rFonts w:ascii="Calibri" w:hAnsi="Calibri"/>
          <w:noProof/>
        </w:rPr>
        <w:t>77.</w:t>
      </w:r>
      <w:r w:rsidRPr="00C806D0">
        <w:rPr>
          <w:rFonts w:ascii="Calibri" w:hAnsi="Calibri"/>
          <w:noProof/>
        </w:rPr>
        <w:tab/>
        <w:t xml:space="preserve">Dijkers MP: </w:t>
      </w:r>
      <w:r w:rsidRPr="00C806D0">
        <w:rPr>
          <w:rFonts w:ascii="Calibri" w:hAnsi="Calibri"/>
          <w:b/>
          <w:noProof/>
        </w:rPr>
        <w:t>Quality of life after traumatic brain injury: a review of research approaches and findings</w:t>
      </w:r>
      <w:r w:rsidRPr="00C806D0">
        <w:rPr>
          <w:rFonts w:ascii="Calibri" w:hAnsi="Calibri"/>
          <w:noProof/>
        </w:rPr>
        <w:t xml:space="preserve">. </w:t>
      </w:r>
      <w:r w:rsidRPr="00C806D0">
        <w:rPr>
          <w:rFonts w:ascii="Calibri" w:hAnsi="Calibri"/>
          <w:i/>
          <w:noProof/>
        </w:rPr>
        <w:t xml:space="preserve">Archives of physical medicine and rehabilitation </w:t>
      </w:r>
      <w:r w:rsidRPr="00C806D0">
        <w:rPr>
          <w:rFonts w:ascii="Calibri" w:hAnsi="Calibri"/>
          <w:noProof/>
        </w:rPr>
        <w:t xml:space="preserve">2004, </w:t>
      </w:r>
      <w:r w:rsidRPr="00C806D0">
        <w:rPr>
          <w:rFonts w:ascii="Calibri" w:hAnsi="Calibri"/>
          <w:b/>
          <w:noProof/>
        </w:rPr>
        <w:t>85</w:t>
      </w:r>
      <w:r w:rsidRPr="00C806D0">
        <w:rPr>
          <w:rFonts w:ascii="Calibri" w:hAnsi="Calibri"/>
          <w:noProof/>
        </w:rPr>
        <w:t>(4 Suppl 2):S21-35.</w:t>
      </w:r>
      <w:bookmarkEnd w:id="174"/>
    </w:p>
    <w:p w:rsidR="006D4D62" w:rsidRPr="00C806D0" w:rsidRDefault="006D4D62" w:rsidP="006D4D62">
      <w:pPr>
        <w:spacing w:line="240" w:lineRule="auto"/>
        <w:ind w:left="720" w:hanging="720"/>
        <w:rPr>
          <w:rFonts w:ascii="Calibri" w:hAnsi="Calibri"/>
          <w:noProof/>
        </w:rPr>
      </w:pPr>
      <w:bookmarkStart w:id="175" w:name="_ENREF_6_78"/>
      <w:r w:rsidRPr="00C806D0">
        <w:rPr>
          <w:rFonts w:ascii="Calibri" w:hAnsi="Calibri"/>
          <w:noProof/>
        </w:rPr>
        <w:t>78.</w:t>
      </w:r>
      <w:r w:rsidRPr="00C806D0">
        <w:rPr>
          <w:rFonts w:ascii="Calibri" w:hAnsi="Calibri"/>
          <w:noProof/>
        </w:rPr>
        <w:tab/>
        <w:t xml:space="preserve">Tsauo JY, Hwang JS, Chiu WT, Hung CC, Wang JD: </w:t>
      </w:r>
      <w:r w:rsidRPr="00C806D0">
        <w:rPr>
          <w:rFonts w:ascii="Calibri" w:hAnsi="Calibri"/>
          <w:b/>
          <w:noProof/>
        </w:rPr>
        <w:t>Estimation of expected utility gained from the helmet law in Taiwan by quality-adjusted survival time</w:t>
      </w:r>
      <w:r w:rsidRPr="00C806D0">
        <w:rPr>
          <w:rFonts w:ascii="Calibri" w:hAnsi="Calibri"/>
          <w:noProof/>
        </w:rPr>
        <w:t xml:space="preserve">. </w:t>
      </w:r>
      <w:r w:rsidRPr="00C806D0">
        <w:rPr>
          <w:rFonts w:ascii="Calibri" w:hAnsi="Calibri"/>
          <w:i/>
          <w:noProof/>
        </w:rPr>
        <w:t xml:space="preserve">Accident; analysis and prevention </w:t>
      </w:r>
      <w:r w:rsidRPr="00C806D0">
        <w:rPr>
          <w:rFonts w:ascii="Calibri" w:hAnsi="Calibri"/>
          <w:noProof/>
        </w:rPr>
        <w:t xml:space="preserve">1999, </w:t>
      </w:r>
      <w:r w:rsidRPr="00C806D0">
        <w:rPr>
          <w:rFonts w:ascii="Calibri" w:hAnsi="Calibri"/>
          <w:b/>
          <w:noProof/>
        </w:rPr>
        <w:t>31</w:t>
      </w:r>
      <w:r w:rsidRPr="00C806D0">
        <w:rPr>
          <w:rFonts w:ascii="Calibri" w:hAnsi="Calibri"/>
          <w:noProof/>
        </w:rPr>
        <w:t>(3):253-263.</w:t>
      </w:r>
      <w:bookmarkEnd w:id="175"/>
    </w:p>
    <w:p w:rsidR="006D4D62" w:rsidRPr="00C806D0" w:rsidRDefault="006D4D62" w:rsidP="006D4D62">
      <w:pPr>
        <w:spacing w:line="240" w:lineRule="auto"/>
        <w:ind w:left="720" w:hanging="720"/>
        <w:rPr>
          <w:rFonts w:ascii="Calibri" w:hAnsi="Calibri"/>
          <w:noProof/>
        </w:rPr>
      </w:pPr>
      <w:bookmarkStart w:id="176" w:name="_ENREF_6_79"/>
      <w:r w:rsidRPr="00C806D0">
        <w:rPr>
          <w:rFonts w:ascii="Calibri" w:hAnsi="Calibri"/>
          <w:noProof/>
        </w:rPr>
        <w:t>79.</w:t>
      </w:r>
      <w:r w:rsidRPr="00C806D0">
        <w:rPr>
          <w:rFonts w:ascii="Calibri" w:hAnsi="Calibri"/>
          <w:noProof/>
        </w:rPr>
        <w:tab/>
        <w:t xml:space="preserve">Aoki N, Kitahara T, Fukui T, Beck JR, Soma K, Yamamoto W, Kamae I, Ohwada T: </w:t>
      </w:r>
      <w:r w:rsidRPr="00C806D0">
        <w:rPr>
          <w:rFonts w:ascii="Calibri" w:hAnsi="Calibri"/>
          <w:b/>
          <w:noProof/>
        </w:rPr>
        <w:t>Management of unruptured intracranial aneurysm in Japan: a Markovian decision analysis with utility measurements based on the Glasgow Outcome Scale</w:t>
      </w:r>
      <w:r w:rsidRPr="00C806D0">
        <w:rPr>
          <w:rFonts w:ascii="Calibri" w:hAnsi="Calibri"/>
          <w:noProof/>
        </w:rPr>
        <w:t xml:space="preserve">. </w:t>
      </w:r>
      <w:r w:rsidRPr="00C806D0">
        <w:rPr>
          <w:rFonts w:ascii="Calibri" w:hAnsi="Calibri"/>
          <w:i/>
          <w:noProof/>
        </w:rPr>
        <w:t xml:space="preserve">Medical decision making : an international journal of the Society for Medical Decision Making </w:t>
      </w:r>
      <w:r w:rsidRPr="00C806D0">
        <w:rPr>
          <w:rFonts w:ascii="Calibri" w:hAnsi="Calibri"/>
          <w:noProof/>
        </w:rPr>
        <w:t xml:space="preserve">1998, </w:t>
      </w:r>
      <w:r w:rsidRPr="00C806D0">
        <w:rPr>
          <w:rFonts w:ascii="Calibri" w:hAnsi="Calibri"/>
          <w:b/>
          <w:noProof/>
        </w:rPr>
        <w:t>18</w:t>
      </w:r>
      <w:r w:rsidRPr="00C806D0">
        <w:rPr>
          <w:rFonts w:ascii="Calibri" w:hAnsi="Calibri"/>
          <w:noProof/>
        </w:rPr>
        <w:t>(4):357-364.</w:t>
      </w:r>
      <w:bookmarkEnd w:id="176"/>
    </w:p>
    <w:p w:rsidR="006D4D62" w:rsidRPr="00C806D0" w:rsidRDefault="006D4D62" w:rsidP="006D4D62">
      <w:pPr>
        <w:spacing w:line="240" w:lineRule="auto"/>
        <w:ind w:left="720" w:hanging="720"/>
        <w:rPr>
          <w:rFonts w:ascii="Calibri" w:hAnsi="Calibri"/>
          <w:noProof/>
        </w:rPr>
      </w:pPr>
      <w:bookmarkStart w:id="177" w:name="_ENREF_6_80"/>
      <w:r w:rsidRPr="00C806D0">
        <w:rPr>
          <w:rFonts w:ascii="Calibri" w:hAnsi="Calibri"/>
          <w:noProof/>
        </w:rPr>
        <w:t>80.</w:t>
      </w:r>
      <w:r w:rsidRPr="00C806D0">
        <w:rPr>
          <w:rFonts w:ascii="Calibri" w:hAnsi="Calibri"/>
          <w:noProof/>
        </w:rPr>
        <w:tab/>
        <w:t xml:space="preserve">Ziegler A: </w:t>
      </w:r>
      <w:r w:rsidRPr="00C806D0">
        <w:rPr>
          <w:rFonts w:ascii="Calibri" w:hAnsi="Calibri"/>
          <w:b/>
          <w:noProof/>
        </w:rPr>
        <w:t>Generalized estimating equations</w:t>
      </w:r>
      <w:r w:rsidRPr="00C806D0">
        <w:rPr>
          <w:rFonts w:ascii="Calibri" w:hAnsi="Calibri"/>
          <w:noProof/>
        </w:rPr>
        <w:t>. New York: Springer; 2011.</w:t>
      </w:r>
      <w:bookmarkEnd w:id="177"/>
    </w:p>
    <w:p w:rsidR="006D4D62" w:rsidRPr="00C806D0" w:rsidRDefault="006D4D62" w:rsidP="006D4D62">
      <w:pPr>
        <w:spacing w:line="240" w:lineRule="auto"/>
        <w:ind w:left="720" w:hanging="720"/>
        <w:rPr>
          <w:rFonts w:ascii="Calibri" w:hAnsi="Calibri"/>
          <w:noProof/>
        </w:rPr>
      </w:pPr>
      <w:bookmarkStart w:id="178" w:name="_ENREF_6_81"/>
      <w:r w:rsidRPr="00C806D0">
        <w:rPr>
          <w:rFonts w:ascii="Calibri" w:hAnsi="Calibri"/>
          <w:noProof/>
        </w:rPr>
        <w:t>81.</w:t>
      </w:r>
      <w:r w:rsidRPr="00C806D0">
        <w:rPr>
          <w:rFonts w:ascii="Calibri" w:hAnsi="Calibri"/>
          <w:noProof/>
        </w:rPr>
        <w:tab/>
        <w:t xml:space="preserve">Weisberg S: </w:t>
      </w:r>
      <w:r w:rsidRPr="00C806D0">
        <w:rPr>
          <w:rFonts w:ascii="Calibri" w:hAnsi="Calibri"/>
          <w:b/>
          <w:noProof/>
        </w:rPr>
        <w:t>Applied linear regression</w:t>
      </w:r>
      <w:r w:rsidRPr="00C806D0">
        <w:rPr>
          <w:rFonts w:ascii="Calibri" w:hAnsi="Calibri"/>
          <w:noProof/>
        </w:rPr>
        <w:t>, 3rd ed. edn. Hoboken, N.J. ; [Chichester]: Wiley; 2005.</w:t>
      </w:r>
      <w:bookmarkEnd w:id="178"/>
    </w:p>
    <w:p w:rsidR="006D4D62" w:rsidRPr="00C806D0" w:rsidRDefault="006D4D62" w:rsidP="006D4D62">
      <w:pPr>
        <w:spacing w:line="240" w:lineRule="auto"/>
        <w:ind w:left="720" w:hanging="720"/>
        <w:rPr>
          <w:rFonts w:ascii="Calibri" w:hAnsi="Calibri"/>
          <w:noProof/>
        </w:rPr>
      </w:pPr>
      <w:bookmarkStart w:id="179" w:name="_ENREF_6_82"/>
      <w:r w:rsidRPr="00C806D0">
        <w:rPr>
          <w:rFonts w:ascii="Calibri" w:hAnsi="Calibri"/>
          <w:noProof/>
        </w:rPr>
        <w:t>82.</w:t>
      </w:r>
      <w:r w:rsidRPr="00C806D0">
        <w:rPr>
          <w:rFonts w:ascii="Calibri" w:hAnsi="Calibri"/>
          <w:noProof/>
        </w:rPr>
        <w:tab/>
        <w:t xml:space="preserve">Kleinbaum DG, Klein M: </w:t>
      </w:r>
      <w:r w:rsidRPr="00C806D0">
        <w:rPr>
          <w:rFonts w:ascii="Calibri" w:hAnsi="Calibri"/>
          <w:b/>
          <w:noProof/>
        </w:rPr>
        <w:t>Logistic regression : a self-learning text</w:t>
      </w:r>
      <w:r w:rsidRPr="00C806D0">
        <w:rPr>
          <w:rFonts w:ascii="Calibri" w:hAnsi="Calibri"/>
          <w:noProof/>
        </w:rPr>
        <w:t>, 2nd ed. edn. New York, NY: Springer-Verlag; 2002.</w:t>
      </w:r>
      <w:bookmarkEnd w:id="179"/>
    </w:p>
    <w:p w:rsidR="006D4D62" w:rsidRPr="00C806D0" w:rsidRDefault="006D4D62" w:rsidP="006D4D62">
      <w:pPr>
        <w:spacing w:line="240" w:lineRule="auto"/>
        <w:ind w:left="720" w:hanging="720"/>
        <w:rPr>
          <w:rFonts w:ascii="Calibri" w:hAnsi="Calibri"/>
          <w:noProof/>
        </w:rPr>
      </w:pPr>
      <w:bookmarkStart w:id="180" w:name="_ENREF_6_83"/>
      <w:r w:rsidRPr="00C806D0">
        <w:rPr>
          <w:rFonts w:ascii="Calibri" w:hAnsi="Calibri"/>
          <w:noProof/>
        </w:rPr>
        <w:t>83.</w:t>
      </w:r>
      <w:r w:rsidRPr="00C806D0">
        <w:rPr>
          <w:rFonts w:ascii="Calibri" w:hAnsi="Calibri"/>
          <w:noProof/>
        </w:rPr>
        <w:tab/>
        <w:t xml:space="preserve">Freedman DA: </w:t>
      </w:r>
      <w:r w:rsidRPr="00C806D0">
        <w:rPr>
          <w:rFonts w:ascii="Calibri" w:hAnsi="Calibri"/>
          <w:b/>
          <w:noProof/>
        </w:rPr>
        <w:t>On The So-Called “Huber Sandwich Estimator” and “Robust Standard Errors”</w:t>
      </w:r>
      <w:r w:rsidRPr="00C806D0">
        <w:rPr>
          <w:rFonts w:ascii="Calibri" w:hAnsi="Calibri"/>
          <w:noProof/>
        </w:rPr>
        <w:t xml:space="preserve">. </w:t>
      </w:r>
      <w:r w:rsidRPr="00C806D0">
        <w:rPr>
          <w:rFonts w:ascii="Calibri" w:hAnsi="Calibri"/>
          <w:i/>
          <w:noProof/>
        </w:rPr>
        <w:t xml:space="preserve">The American Statistician </w:t>
      </w:r>
      <w:r w:rsidRPr="00C806D0">
        <w:rPr>
          <w:rFonts w:ascii="Calibri" w:hAnsi="Calibri"/>
          <w:noProof/>
        </w:rPr>
        <w:t xml:space="preserve">2006, </w:t>
      </w:r>
      <w:r w:rsidRPr="00C806D0">
        <w:rPr>
          <w:rFonts w:ascii="Calibri" w:hAnsi="Calibri"/>
          <w:b/>
          <w:noProof/>
        </w:rPr>
        <w:t>60</w:t>
      </w:r>
      <w:r w:rsidRPr="00C806D0">
        <w:rPr>
          <w:rFonts w:ascii="Calibri" w:hAnsi="Calibri"/>
          <w:noProof/>
        </w:rPr>
        <w:t>(4):299-302.</w:t>
      </w:r>
      <w:bookmarkEnd w:id="180"/>
    </w:p>
    <w:p w:rsidR="006D4D62" w:rsidRPr="00C806D0" w:rsidRDefault="006D4D62" w:rsidP="006D4D62">
      <w:pPr>
        <w:spacing w:line="240" w:lineRule="auto"/>
        <w:ind w:left="720" w:hanging="720"/>
        <w:rPr>
          <w:rFonts w:ascii="Calibri" w:hAnsi="Calibri"/>
          <w:noProof/>
        </w:rPr>
      </w:pPr>
      <w:bookmarkStart w:id="181" w:name="_ENREF_6_84"/>
      <w:r w:rsidRPr="00C806D0">
        <w:rPr>
          <w:rFonts w:ascii="Calibri" w:hAnsi="Calibri"/>
          <w:noProof/>
        </w:rPr>
        <w:t>84.</w:t>
      </w:r>
      <w:r w:rsidRPr="00C806D0">
        <w:rPr>
          <w:rFonts w:ascii="Calibri" w:hAnsi="Calibri"/>
          <w:noProof/>
        </w:rPr>
        <w:tab/>
        <w:t xml:space="preserve">Scott Long J EL: </w:t>
      </w:r>
      <w:r w:rsidRPr="00C806D0">
        <w:rPr>
          <w:rFonts w:ascii="Calibri" w:hAnsi="Calibri"/>
          <w:b/>
          <w:noProof/>
        </w:rPr>
        <w:t>Using Heteroscedasticity Consistent Standard Errors in the Linear Regression Model</w:t>
      </w:r>
      <w:r w:rsidRPr="00C806D0">
        <w:rPr>
          <w:rFonts w:ascii="Calibri" w:hAnsi="Calibri"/>
          <w:noProof/>
        </w:rPr>
        <w:t xml:space="preserve">. </w:t>
      </w:r>
      <w:r w:rsidRPr="00C806D0">
        <w:rPr>
          <w:rFonts w:ascii="Calibri" w:hAnsi="Calibri"/>
          <w:i/>
          <w:noProof/>
        </w:rPr>
        <w:t xml:space="preserve">The American Statistician </w:t>
      </w:r>
      <w:r w:rsidRPr="00C806D0">
        <w:rPr>
          <w:rFonts w:ascii="Calibri" w:hAnsi="Calibri"/>
          <w:noProof/>
        </w:rPr>
        <w:t xml:space="preserve">2000, </w:t>
      </w:r>
      <w:r w:rsidRPr="00C806D0">
        <w:rPr>
          <w:rFonts w:ascii="Calibri" w:hAnsi="Calibri"/>
          <w:b/>
          <w:noProof/>
        </w:rPr>
        <w:t>54</w:t>
      </w:r>
      <w:r w:rsidRPr="00C806D0">
        <w:rPr>
          <w:rFonts w:ascii="Calibri" w:hAnsi="Calibri"/>
          <w:noProof/>
        </w:rPr>
        <w:t>(3):217-224.</w:t>
      </w:r>
      <w:bookmarkEnd w:id="181"/>
    </w:p>
    <w:p w:rsidR="006D4D62" w:rsidRPr="00C806D0" w:rsidRDefault="006D4D62" w:rsidP="006D4D62">
      <w:pPr>
        <w:spacing w:line="240" w:lineRule="auto"/>
        <w:rPr>
          <w:rFonts w:ascii="Calibri" w:hAnsi="Calibri"/>
          <w:noProof/>
        </w:rPr>
      </w:pPr>
    </w:p>
    <w:p w:rsidR="00105532" w:rsidRPr="00C806D0" w:rsidRDefault="00105532" w:rsidP="004442E4"/>
    <w:p w:rsidR="00053597" w:rsidRPr="00C806D0" w:rsidRDefault="00053597" w:rsidP="004442E4">
      <w:pPr>
        <w:sectPr w:rsidR="00053597" w:rsidRPr="00C806D0" w:rsidSect="00E31429">
          <w:pgSz w:w="11906" w:h="16838"/>
          <w:pgMar w:top="1134" w:right="1134" w:bottom="1134" w:left="2268" w:header="709" w:footer="709" w:gutter="0"/>
          <w:cols w:space="708"/>
          <w:docGrid w:linePitch="360"/>
        </w:sectPr>
      </w:pPr>
    </w:p>
    <w:p w:rsidR="000027E7" w:rsidRPr="00C806D0" w:rsidRDefault="000027E7" w:rsidP="000027E7">
      <w:pPr>
        <w:pStyle w:val="Heading1"/>
      </w:pPr>
      <w:r w:rsidRPr="00C806D0">
        <w:lastRenderedPageBreak/>
        <w:t xml:space="preserve">appendix G: </w:t>
      </w:r>
      <w:r w:rsidRPr="00C806D0">
        <w:rPr>
          <w:szCs w:val="22"/>
        </w:rPr>
        <w:t xml:space="preserve">long term </w:t>
      </w:r>
      <w:r w:rsidRPr="00C806D0">
        <w:t xml:space="preserve">Survival Following traumatic brain injury: A Population Based </w:t>
      </w:r>
      <w:r w:rsidRPr="00C806D0">
        <w:rPr>
          <w:szCs w:val="22"/>
        </w:rPr>
        <w:t xml:space="preserve">parametric </w:t>
      </w:r>
      <w:r w:rsidRPr="00C806D0">
        <w:t>Survival analysis</w:t>
      </w:r>
    </w:p>
    <w:p w:rsidR="000027E7" w:rsidRPr="00C806D0" w:rsidRDefault="000027E7" w:rsidP="000027E7">
      <w:pPr>
        <w:pStyle w:val="Heading2"/>
      </w:pPr>
      <w:r w:rsidRPr="00C806D0">
        <w:t>Supplementary methodological information</w:t>
      </w:r>
    </w:p>
    <w:p w:rsidR="000027E7" w:rsidRPr="00C806D0" w:rsidRDefault="000027E7" w:rsidP="002A360F">
      <w:pPr>
        <w:pStyle w:val="Heading3"/>
      </w:pPr>
      <w:r w:rsidRPr="00C806D0">
        <w:t>Parametric survival models</w:t>
      </w:r>
    </w:p>
    <w:p w:rsidR="000027E7" w:rsidRPr="00C806D0" w:rsidRDefault="000027E7" w:rsidP="000027E7">
      <w:r w:rsidRPr="00C806D0">
        <w:t>In many applications, particularly examination of long term survival, the study endpoint is the time to an event of interest. Commonly, not all individuals have experienced this event by the end of follow up and the true time to event for these cases is unknown. This process, termed censoring, means that the special statistical methods of survival analysis are necessary to obtain valid results.</w:t>
      </w:r>
      <w:r w:rsidRPr="00C806D0">
        <w:rPr>
          <w:noProof/>
          <w:vertAlign w:val="superscript"/>
        </w:rPr>
        <w:t>[</w:t>
      </w:r>
      <w:r w:rsidR="006D4D62" w:rsidRPr="00C806D0">
        <w:rPr>
          <w:noProof/>
          <w:vertAlign w:val="superscript"/>
        </w:rPr>
        <w:t>1</w:t>
      </w:r>
      <w:r w:rsidRPr="00C806D0">
        <w:rPr>
          <w:noProof/>
          <w:vertAlign w:val="superscript"/>
        </w:rPr>
        <w:t>]</w:t>
      </w:r>
    </w:p>
    <w:p w:rsidR="000027E7" w:rsidRPr="00C806D0" w:rsidRDefault="000027E7" w:rsidP="000027E7"/>
    <w:p w:rsidR="000027E7" w:rsidRPr="00C806D0" w:rsidRDefault="000027E7" w:rsidP="000027E7">
      <w:pPr>
        <w:rPr>
          <w:i/>
        </w:rPr>
      </w:pPr>
      <w:r w:rsidRPr="00C806D0">
        <w:t xml:space="preserve">The hazard rate, also known as the force of mortality, is defined as the instantaneous probability of an event, given survival up to that point in time. The hazard rate will follow a particular pattern over time. For example in humans hazards are slightly elevated in the first year of life, then very low until middle age, from when the hazard rate increases exponentially. The hazard function is can be mathematically rearranged to provide related functions describing different aspects of time to event data </w:t>
      </w:r>
      <w:r w:rsidRPr="00C806D0">
        <w:rPr>
          <w:i/>
        </w:rPr>
        <w:t>viz</w:t>
      </w:r>
      <w:r w:rsidRPr="00C806D0">
        <w:rPr>
          <w:i/>
          <w:noProof/>
          <w:vertAlign w:val="superscript"/>
        </w:rPr>
        <w:t>[</w:t>
      </w:r>
      <w:r w:rsidR="006D4D62" w:rsidRPr="00C806D0">
        <w:rPr>
          <w:i/>
          <w:noProof/>
          <w:vertAlign w:val="superscript"/>
        </w:rPr>
        <w:t>1</w:t>
      </w:r>
      <w:r w:rsidRPr="00C806D0">
        <w:rPr>
          <w:i/>
          <w:noProof/>
          <w:vertAlign w:val="superscript"/>
        </w:rPr>
        <w:t>]</w:t>
      </w:r>
      <w:r w:rsidRPr="00C806D0">
        <w:rPr>
          <w:i/>
        </w:rPr>
        <w:t>:</w:t>
      </w:r>
    </w:p>
    <w:p w:rsidR="000027E7" w:rsidRPr="00C806D0" w:rsidRDefault="000027E7" w:rsidP="000027E7">
      <w:pPr>
        <w:rPr>
          <w:i/>
        </w:rPr>
      </w:pPr>
    </w:p>
    <w:p w:rsidR="000027E7" w:rsidRPr="00C806D0" w:rsidRDefault="000027E7" w:rsidP="00550C9C">
      <w:pPr>
        <w:pStyle w:val="ListParagraph"/>
        <w:numPr>
          <w:ilvl w:val="0"/>
          <w:numId w:val="25"/>
        </w:numPr>
      </w:pPr>
      <w:r w:rsidRPr="00C806D0">
        <w:t>Probability density function: The unconditional probability that the event will occur at a particular time.</w:t>
      </w:r>
    </w:p>
    <w:p w:rsidR="000027E7" w:rsidRPr="00C806D0" w:rsidRDefault="000027E7" w:rsidP="00550C9C">
      <w:pPr>
        <w:pStyle w:val="ListParagraph"/>
        <w:numPr>
          <w:ilvl w:val="0"/>
          <w:numId w:val="25"/>
        </w:numPr>
      </w:pPr>
      <w:r w:rsidRPr="00C806D0">
        <w:t>Survival function: The proportion of cases remaining at risk of an event given follow up to a certain time.</w:t>
      </w:r>
    </w:p>
    <w:p w:rsidR="000027E7" w:rsidRPr="00C806D0" w:rsidRDefault="000027E7" w:rsidP="00550C9C">
      <w:pPr>
        <w:pStyle w:val="ListParagraph"/>
        <w:numPr>
          <w:ilvl w:val="0"/>
          <w:numId w:val="25"/>
        </w:numPr>
      </w:pPr>
      <w:r w:rsidRPr="00C806D0">
        <w:t>Cumulative incidence function: The cumulative proportion of cases that have already experienced an event up to a certain time.</w:t>
      </w:r>
    </w:p>
    <w:p w:rsidR="000027E7" w:rsidRPr="00C806D0" w:rsidRDefault="000027E7" w:rsidP="00550C9C">
      <w:pPr>
        <w:pStyle w:val="ListParagraph"/>
        <w:numPr>
          <w:ilvl w:val="0"/>
          <w:numId w:val="25"/>
        </w:numPr>
      </w:pPr>
      <w:r w:rsidRPr="00C806D0">
        <w:t xml:space="preserve">Cumulative hazard function: The sum of the hazard rates up to a certain time. </w:t>
      </w:r>
    </w:p>
    <w:p w:rsidR="000027E7" w:rsidRPr="00C806D0" w:rsidRDefault="000027E7" w:rsidP="000027E7">
      <w:r w:rsidRPr="00C806D0">
        <w:t>Parametric survival models assume that the probability density function for survival time comes from a particular distribution family. The parameters to fully specify this distribution are estimated from the study data and the related hazard function, and corresponding survival and cumulative hazard functions, can subsequently be derived algebraically.</w:t>
      </w:r>
      <w:r w:rsidRPr="00C806D0">
        <w:rPr>
          <w:noProof/>
          <w:vertAlign w:val="superscript"/>
        </w:rPr>
        <w:t>[</w:t>
      </w:r>
      <w:r w:rsidR="006D4D62" w:rsidRPr="00C806D0">
        <w:rPr>
          <w:noProof/>
          <w:vertAlign w:val="superscript"/>
        </w:rPr>
        <w:t>1</w:t>
      </w:r>
      <w:r w:rsidRPr="00C806D0">
        <w:rPr>
          <w:noProof/>
          <w:vertAlign w:val="superscript"/>
        </w:rPr>
        <w:t>]</w:t>
      </w:r>
    </w:p>
    <w:p w:rsidR="000027E7" w:rsidRPr="00C806D0" w:rsidRDefault="000027E7" w:rsidP="000027E7"/>
    <w:p w:rsidR="000027E7" w:rsidRPr="00C806D0" w:rsidRDefault="000027E7" w:rsidP="000027E7">
      <w:r w:rsidRPr="00C806D0">
        <w:t xml:space="preserve">As the underlying form of the hazard function is fully defined in parametric models future, out of sample, hazard rates can be predicted conditional on the modelled covariates. This contrasts to the semi-parametric Cox model where the probability density function for survival </w:t>
      </w:r>
      <w:r w:rsidRPr="00C806D0">
        <w:lastRenderedPageBreak/>
        <w:t>time is not considered, and only the multiplicative effects of explanatory variables on the baseline hazard observed during the study is modelled. As the actual form of the hazard function is ignored it is not possible to comment on its shape beyond the follow up period, or perform future extrapolation. Application of the Cox method is therefore limited to an examination of the relative effects of a treatment or exposure over a particular time; quantified by hazard ratios which measure the ratio of the haz</w:t>
      </w:r>
      <w:r w:rsidR="004A4511" w:rsidRPr="00C806D0">
        <w:t>ard rates in two groups, which are</w:t>
      </w:r>
      <w:r w:rsidRPr="00C806D0">
        <w:t xml:space="preserve"> assumed to </w:t>
      </w:r>
      <w:r w:rsidR="004A4511" w:rsidRPr="00C806D0">
        <w:t xml:space="preserve">be </w:t>
      </w:r>
      <w:r w:rsidRPr="00C806D0">
        <w:t>constant over time</w:t>
      </w:r>
      <w:r w:rsidR="004A4511" w:rsidRPr="00C806D0">
        <w:t>,</w:t>
      </w:r>
      <w:r w:rsidRPr="00C806D0">
        <w:t xml:space="preserve"> irrespective of the shape of the baseline hazard.</w:t>
      </w:r>
      <w:r w:rsidRPr="00C806D0">
        <w:rPr>
          <w:noProof/>
          <w:vertAlign w:val="superscript"/>
        </w:rPr>
        <w:t>[</w:t>
      </w:r>
      <w:r w:rsidR="006D4D62" w:rsidRPr="00C806D0">
        <w:rPr>
          <w:noProof/>
          <w:vertAlign w:val="superscript"/>
        </w:rPr>
        <w:t>1</w:t>
      </w:r>
      <w:r w:rsidRPr="00C806D0">
        <w:rPr>
          <w:noProof/>
          <w:vertAlign w:val="superscript"/>
        </w:rPr>
        <w:t>]</w:t>
      </w:r>
      <w:r w:rsidRPr="00C806D0">
        <w:t xml:space="preserve"> </w:t>
      </w:r>
    </w:p>
    <w:p w:rsidR="000027E7" w:rsidRPr="00C806D0" w:rsidRDefault="000027E7" w:rsidP="000027E7"/>
    <w:p w:rsidR="000027E7" w:rsidRPr="00C806D0" w:rsidRDefault="000027E7" w:rsidP="000027E7">
      <w:r w:rsidRPr="00C806D0">
        <w:t>There are a wide range of statistical distribution families that can be applied to survival data and that may provide an appropriate representation of the hazard function. The most commonly used distributions are variants of the generalised F distribution, and comprise the: Weibull, Gompertz, log-logistic, log-normal and generalised gamma distributions. These distributions are characterised by shape and scale parameters which determine the attributes of their probability density function.</w:t>
      </w:r>
    </w:p>
    <w:p w:rsidR="004A4511" w:rsidRPr="00C806D0" w:rsidRDefault="004A4511" w:rsidP="000027E7"/>
    <w:p w:rsidR="000027E7" w:rsidRPr="00C806D0" w:rsidRDefault="000027E7" w:rsidP="000027E7">
      <w:r w:rsidRPr="00C806D0">
        <w:t>Shape parameters impose the form or shape of the distribution, described by moments including the mean, variance, skewness or kutosis. Scale parameters control the spread of a probability density function over the x-axis (i.e. survival time), shrinking or stretching the shape of the distribution. Shape parameters are often assumed to constant for all individuals in a population, with the scale changing according to the values of explanatory variables included in the parametric model. However it is also possible to develop models where the shape parameter also varies dependent on patient characteristics.</w:t>
      </w:r>
      <w:r w:rsidRPr="00C806D0">
        <w:rPr>
          <w:noProof/>
          <w:vertAlign w:val="superscript"/>
        </w:rPr>
        <w:t>[</w:t>
      </w:r>
      <w:r w:rsidR="006D4D62" w:rsidRPr="00C806D0">
        <w:rPr>
          <w:noProof/>
          <w:vertAlign w:val="superscript"/>
        </w:rPr>
        <w:t>1</w:t>
      </w:r>
      <w:r w:rsidRPr="00C806D0">
        <w:rPr>
          <w:noProof/>
          <w:vertAlign w:val="superscript"/>
        </w:rPr>
        <w:t>]</w:t>
      </w:r>
      <w:r w:rsidRPr="00C806D0">
        <w:t xml:space="preserve"> </w:t>
      </w:r>
    </w:p>
    <w:p w:rsidR="000027E7" w:rsidRPr="00C806D0" w:rsidRDefault="000027E7" w:rsidP="000027E7"/>
    <w:p w:rsidR="00776188" w:rsidRPr="00C806D0" w:rsidRDefault="000027E7" w:rsidP="000027E7">
      <w:r w:rsidRPr="00C806D0">
        <w:t>Survival models can be categorised according to how explanatory v</w:t>
      </w:r>
      <w:r w:rsidR="004A4511" w:rsidRPr="00C806D0">
        <w:t>ariables affect the hazard or</w:t>
      </w:r>
      <w:r w:rsidRPr="00C806D0">
        <w:t xml:space="preserve"> survival functions. In proportional hazard models it is assumed that the hazard function in one group is a constant proportion of the hazard in another. For the Weibull and Gompertz models, this proportionality of hazards assumption relies on a common shape parameter. In accelerated failure models the underlying assumption is that the effect of covariates is multiplicative with respect to survival time. Some types of survival models can only be parameterised using proportional hazards e.g. the Gomperz distribution, some only using accelerated failure time e.g. log-normal, and others using either form e.g. log-logistic. It should be noted that for distributions that can be parameterised as proportional hazard or accelerated time failure models, the models are actually the same. The only difference is the focus of assumptions on the hazard or survival functions</w:t>
      </w:r>
      <w:r w:rsidR="004A4511" w:rsidRPr="00C806D0">
        <w:t>;</w:t>
      </w:r>
      <w:r w:rsidRPr="00C806D0">
        <w:t xml:space="preserve"> all resulting estimates e.g. median survival will be identical.  The key properties of different parametric models are summarised in Table G1.</w:t>
      </w:r>
      <w:r w:rsidRPr="00C806D0">
        <w:rPr>
          <w:noProof/>
          <w:vertAlign w:val="superscript"/>
        </w:rPr>
        <w:t>[</w:t>
      </w:r>
      <w:r w:rsidR="006D4D62" w:rsidRPr="00C806D0">
        <w:rPr>
          <w:noProof/>
          <w:vertAlign w:val="superscript"/>
        </w:rPr>
        <w:t>1</w:t>
      </w:r>
      <w:r w:rsidRPr="00C806D0">
        <w:rPr>
          <w:noProof/>
          <w:vertAlign w:val="superscript"/>
        </w:rPr>
        <w:t>]</w:t>
      </w:r>
      <w:r w:rsidRPr="00C806D0">
        <w:t xml:space="preserve"> </w:t>
      </w:r>
    </w:p>
    <w:p w:rsidR="007F7392" w:rsidRPr="00C806D0" w:rsidRDefault="007F7392" w:rsidP="000027E7">
      <w:pPr>
        <w:rPr>
          <w:b/>
        </w:rPr>
        <w:sectPr w:rsidR="007F7392" w:rsidRPr="00C806D0" w:rsidSect="00E31429">
          <w:footerReference w:type="default" r:id="rId24"/>
          <w:pgSz w:w="11906" w:h="16838"/>
          <w:pgMar w:top="1134" w:right="1134" w:bottom="1134" w:left="2268" w:header="709" w:footer="709" w:gutter="0"/>
          <w:cols w:space="708"/>
          <w:docGrid w:linePitch="360"/>
        </w:sectPr>
      </w:pPr>
    </w:p>
    <w:p w:rsidR="000027E7" w:rsidRPr="00C806D0" w:rsidRDefault="000027E7" w:rsidP="000027E7">
      <w:pPr>
        <w:rPr>
          <w:i/>
        </w:rPr>
      </w:pPr>
      <w:r w:rsidRPr="00C806D0">
        <w:rPr>
          <w:b/>
        </w:rPr>
        <w:lastRenderedPageBreak/>
        <w:t>Table G1. Predicted median survival time from sensitivity analyses examining non-informative censoring.</w:t>
      </w:r>
    </w:p>
    <w:tbl>
      <w:tblPr>
        <w:tblStyle w:val="LightShading1"/>
        <w:tblW w:w="5000" w:type="pct"/>
        <w:jc w:val="center"/>
        <w:tblLook w:val="0620" w:firstRow="1" w:lastRow="0" w:firstColumn="0" w:lastColumn="0" w:noHBand="1" w:noVBand="1"/>
      </w:tblPr>
      <w:tblGrid>
        <w:gridCol w:w="2114"/>
        <w:gridCol w:w="5823"/>
        <w:gridCol w:w="4303"/>
        <w:gridCol w:w="2546"/>
      </w:tblGrid>
      <w:tr w:rsidR="000027E7" w:rsidRPr="00C806D0" w:rsidTr="000027E7">
        <w:trPr>
          <w:cnfStyle w:val="100000000000" w:firstRow="1" w:lastRow="0" w:firstColumn="0" w:lastColumn="0" w:oddVBand="0" w:evenVBand="0" w:oddHBand="0" w:evenHBand="0" w:firstRowFirstColumn="0" w:firstRowLastColumn="0" w:lastRowFirstColumn="0" w:lastRowLastColumn="0"/>
          <w:jc w:val="center"/>
        </w:trPr>
        <w:tc>
          <w:tcPr>
            <w:tcW w:w="715" w:type="pct"/>
          </w:tcPr>
          <w:p w:rsidR="000027E7" w:rsidRPr="00C806D0" w:rsidRDefault="000027E7" w:rsidP="000027E7">
            <w:pPr>
              <w:pStyle w:val="NoSpacing"/>
            </w:pPr>
            <w:r w:rsidRPr="00C806D0">
              <w:t>Distribution</w:t>
            </w:r>
          </w:p>
        </w:tc>
        <w:tc>
          <w:tcPr>
            <w:tcW w:w="1969" w:type="pct"/>
          </w:tcPr>
          <w:p w:rsidR="000027E7" w:rsidRPr="00C806D0" w:rsidRDefault="000027E7" w:rsidP="000027E7">
            <w:pPr>
              <w:pStyle w:val="NoSpacing"/>
            </w:pPr>
            <w:r w:rsidRPr="00C806D0">
              <w:t>Hazard pattern over time</w:t>
            </w:r>
          </w:p>
          <w:p w:rsidR="000027E7" w:rsidRPr="00C806D0" w:rsidRDefault="000027E7" w:rsidP="000027E7">
            <w:pPr>
              <w:pStyle w:val="NoSpacing"/>
            </w:pPr>
          </w:p>
        </w:tc>
        <w:tc>
          <w:tcPr>
            <w:tcW w:w="1455" w:type="pct"/>
          </w:tcPr>
          <w:p w:rsidR="000027E7" w:rsidRPr="00C806D0" w:rsidRDefault="000027E7" w:rsidP="000027E7">
            <w:pPr>
              <w:pStyle w:val="NoSpacing"/>
            </w:pPr>
            <w:r w:rsidRPr="00C806D0">
              <w:t>Effect of explanatory variables</w:t>
            </w:r>
          </w:p>
        </w:tc>
        <w:tc>
          <w:tcPr>
            <w:tcW w:w="861" w:type="pct"/>
          </w:tcPr>
          <w:p w:rsidR="000027E7" w:rsidRPr="00C806D0" w:rsidRDefault="000027E7" w:rsidP="000027E7">
            <w:pPr>
              <w:pStyle w:val="NoSpacing"/>
              <w:jc w:val="center"/>
            </w:pPr>
            <w:r w:rsidRPr="00C806D0">
              <w:t>Hazard function* (h(t)=)</w:t>
            </w:r>
          </w:p>
        </w:tc>
      </w:tr>
      <w:tr w:rsidR="000027E7" w:rsidRPr="00C806D0" w:rsidTr="000027E7">
        <w:trPr>
          <w:jc w:val="center"/>
        </w:trPr>
        <w:tc>
          <w:tcPr>
            <w:tcW w:w="715" w:type="pct"/>
          </w:tcPr>
          <w:p w:rsidR="000027E7" w:rsidRPr="00C806D0" w:rsidRDefault="000027E7" w:rsidP="000027E7">
            <w:r w:rsidRPr="00C806D0">
              <w:t>Exponential</w:t>
            </w:r>
          </w:p>
        </w:tc>
        <w:tc>
          <w:tcPr>
            <w:tcW w:w="1969" w:type="pct"/>
          </w:tcPr>
          <w:p w:rsidR="000027E7" w:rsidRPr="00C806D0" w:rsidRDefault="000027E7" w:rsidP="000027E7">
            <w:pPr>
              <w:pStyle w:val="NoSpacing"/>
              <w:rPr>
                <w:rFonts w:ascii="Calibri" w:hAnsi="Calibri"/>
              </w:rPr>
            </w:pPr>
            <w:r w:rsidRPr="00C806D0">
              <w:rPr>
                <w:rFonts w:ascii="Calibri" w:hAnsi="Calibri"/>
              </w:rPr>
              <w:t xml:space="preserve">Constant </w:t>
            </w:r>
          </w:p>
          <w:p w:rsidR="000027E7" w:rsidRPr="00C806D0" w:rsidRDefault="000027E7" w:rsidP="000027E7">
            <w:pPr>
              <w:pStyle w:val="NoSpacing"/>
              <w:rPr>
                <w:rFonts w:ascii="Calibri" w:hAnsi="Calibri"/>
              </w:rPr>
            </w:pPr>
          </w:p>
        </w:tc>
        <w:tc>
          <w:tcPr>
            <w:tcW w:w="1455" w:type="pct"/>
          </w:tcPr>
          <w:p w:rsidR="000027E7" w:rsidRPr="00C806D0" w:rsidRDefault="000027E7" w:rsidP="000027E7">
            <w:pPr>
              <w:pStyle w:val="NoSpacing"/>
              <w:rPr>
                <w:rFonts w:ascii="Calibri" w:hAnsi="Calibri"/>
              </w:rPr>
            </w:pPr>
            <w:r w:rsidRPr="00C806D0">
              <w:rPr>
                <w:rFonts w:ascii="Calibri" w:hAnsi="Calibri"/>
              </w:rPr>
              <w:t>PH: Multiplicative on hazard</w:t>
            </w:r>
          </w:p>
          <w:p w:rsidR="000027E7" w:rsidRPr="00C806D0" w:rsidRDefault="000027E7" w:rsidP="000027E7">
            <w:pPr>
              <w:pStyle w:val="NoSpacing"/>
              <w:rPr>
                <w:rFonts w:ascii="Calibri" w:hAnsi="Calibri"/>
              </w:rPr>
            </w:pPr>
            <w:r w:rsidRPr="00C806D0">
              <w:rPr>
                <w:rFonts w:ascii="Calibri" w:hAnsi="Calibri"/>
              </w:rPr>
              <w:t>AFT: Multiplicative on survival time</w:t>
            </w:r>
          </w:p>
          <w:p w:rsidR="000027E7" w:rsidRPr="00C806D0" w:rsidRDefault="000027E7" w:rsidP="000027E7">
            <w:pPr>
              <w:pStyle w:val="NoSpacing"/>
              <w:rPr>
                <w:rFonts w:ascii="Calibri" w:hAnsi="Calibri"/>
              </w:rPr>
            </w:pPr>
            <w:r w:rsidRPr="00C806D0">
              <w:rPr>
                <w:rFonts w:ascii="Calibri" w:hAnsi="Calibri"/>
              </w:rPr>
              <w:t xml:space="preserve"> </w:t>
            </w:r>
          </w:p>
        </w:tc>
        <w:tc>
          <w:tcPr>
            <w:tcW w:w="861" w:type="pct"/>
          </w:tcPr>
          <w:p w:rsidR="000027E7" w:rsidRPr="00C806D0" w:rsidRDefault="000027E7" w:rsidP="000027E7">
            <w:pPr>
              <w:pStyle w:val="NoSpacing"/>
              <w:jc w:val="center"/>
              <w:rPr>
                <w:rFonts w:ascii="Calibri" w:hAnsi="Calibri"/>
                <w:sz w:val="20"/>
                <w:szCs w:val="20"/>
              </w:rPr>
            </w:pPr>
            <w:r w:rsidRPr="00C806D0">
              <w:rPr>
                <w:rFonts w:ascii="Calibri" w:hAnsi="Calibri"/>
                <w:sz w:val="20"/>
                <w:szCs w:val="20"/>
              </w:rPr>
              <w:t>λ</w:t>
            </w:r>
          </w:p>
        </w:tc>
      </w:tr>
      <w:tr w:rsidR="000027E7" w:rsidRPr="00C806D0" w:rsidTr="000027E7">
        <w:trPr>
          <w:jc w:val="center"/>
        </w:trPr>
        <w:tc>
          <w:tcPr>
            <w:tcW w:w="715" w:type="pct"/>
          </w:tcPr>
          <w:p w:rsidR="000027E7" w:rsidRPr="00C806D0" w:rsidRDefault="000027E7" w:rsidP="000027E7">
            <w:r w:rsidRPr="00C806D0">
              <w:t>Gompertz</w:t>
            </w:r>
          </w:p>
        </w:tc>
        <w:tc>
          <w:tcPr>
            <w:tcW w:w="1969" w:type="pct"/>
          </w:tcPr>
          <w:p w:rsidR="000027E7" w:rsidRPr="00C806D0" w:rsidRDefault="000027E7" w:rsidP="000027E7">
            <w:pPr>
              <w:pStyle w:val="NoSpacing"/>
              <w:rPr>
                <w:rFonts w:ascii="Calibri" w:hAnsi="Calibri"/>
              </w:rPr>
            </w:pPr>
            <w:r w:rsidRPr="00C806D0">
              <w:rPr>
                <w:rFonts w:ascii="Calibri" w:hAnsi="Calibri"/>
              </w:rPr>
              <w:t>γ&gt;1: monotonically increasing</w:t>
            </w:r>
          </w:p>
          <w:p w:rsidR="000027E7" w:rsidRPr="00C806D0" w:rsidRDefault="000027E7" w:rsidP="000027E7">
            <w:pPr>
              <w:pStyle w:val="NoSpacing"/>
              <w:rPr>
                <w:rFonts w:ascii="Calibri" w:hAnsi="Calibri"/>
              </w:rPr>
            </w:pPr>
            <w:r w:rsidRPr="00C806D0">
              <w:rPr>
                <w:rFonts w:ascii="Calibri" w:hAnsi="Calibri"/>
              </w:rPr>
              <w:t>γ&lt;1: monotonically decreasing</w:t>
            </w:r>
          </w:p>
          <w:p w:rsidR="000027E7" w:rsidRPr="00C806D0" w:rsidRDefault="000027E7" w:rsidP="000027E7">
            <w:pPr>
              <w:pStyle w:val="NoSpacing"/>
              <w:rPr>
                <w:rFonts w:ascii="Calibri" w:hAnsi="Calibri"/>
              </w:rPr>
            </w:pPr>
          </w:p>
        </w:tc>
        <w:tc>
          <w:tcPr>
            <w:tcW w:w="1455" w:type="pct"/>
          </w:tcPr>
          <w:p w:rsidR="000027E7" w:rsidRPr="00C806D0" w:rsidRDefault="000027E7" w:rsidP="000027E7">
            <w:pPr>
              <w:pStyle w:val="NoSpacing"/>
              <w:rPr>
                <w:rFonts w:ascii="Calibri" w:hAnsi="Calibri"/>
              </w:rPr>
            </w:pPr>
            <w:r w:rsidRPr="00C806D0">
              <w:rPr>
                <w:rFonts w:ascii="Calibri" w:hAnsi="Calibri"/>
              </w:rPr>
              <w:t>PH: Multiplicative on hazard</w:t>
            </w:r>
          </w:p>
        </w:tc>
        <w:tc>
          <w:tcPr>
            <w:tcW w:w="861" w:type="pct"/>
          </w:tcPr>
          <w:p w:rsidR="000027E7" w:rsidRPr="00C806D0" w:rsidRDefault="000027E7" w:rsidP="000027E7">
            <w:pPr>
              <w:pStyle w:val="NoSpacing"/>
              <w:jc w:val="center"/>
              <w:rPr>
                <w:rFonts w:ascii="Calibri" w:hAnsi="Calibri"/>
                <w:sz w:val="20"/>
                <w:szCs w:val="20"/>
              </w:rPr>
            </w:pPr>
            <m:oMathPara>
              <m:oMath>
                <m:r>
                  <m:rPr>
                    <m:nor/>
                  </m:rPr>
                  <w:rPr>
                    <w:rFonts w:ascii="Calibri" w:hAnsi="Calibri"/>
                    <w:sz w:val="20"/>
                    <w:szCs w:val="20"/>
                  </w:rPr>
                  <m:t>λ</m:t>
                </m:r>
                <m:sSup>
                  <m:sSupPr>
                    <m:ctrlPr>
                      <w:rPr>
                        <w:rFonts w:ascii="Cambria Math" w:eastAsiaTheme="minorEastAsia" w:hAnsi="Calibri"/>
                        <w:i/>
                        <w:sz w:val="20"/>
                        <w:szCs w:val="20"/>
                      </w:rPr>
                    </m:ctrlPr>
                  </m:sSupPr>
                  <m:e>
                    <m:r>
                      <w:rPr>
                        <w:rFonts w:ascii="Cambria Math" w:hAnsi="Cambria Math"/>
                        <w:sz w:val="20"/>
                        <w:szCs w:val="20"/>
                      </w:rPr>
                      <m:t>e</m:t>
                    </m:r>
                  </m:e>
                  <m:sup>
                    <m:r>
                      <w:rPr>
                        <w:rFonts w:ascii="Cambria Math" w:hAnsi="Cambria Math"/>
                        <w:sz w:val="20"/>
                        <w:szCs w:val="20"/>
                      </w:rPr>
                      <m:t>γt</m:t>
                    </m:r>
                  </m:sup>
                </m:sSup>
              </m:oMath>
            </m:oMathPara>
          </w:p>
        </w:tc>
      </w:tr>
      <w:tr w:rsidR="000027E7" w:rsidRPr="00C806D0" w:rsidTr="000027E7">
        <w:trPr>
          <w:jc w:val="center"/>
        </w:trPr>
        <w:tc>
          <w:tcPr>
            <w:tcW w:w="715" w:type="pct"/>
          </w:tcPr>
          <w:p w:rsidR="000027E7" w:rsidRPr="00C806D0" w:rsidRDefault="000027E7" w:rsidP="000027E7">
            <w:r w:rsidRPr="00C806D0">
              <w:t xml:space="preserve">Weibull </w:t>
            </w:r>
          </w:p>
        </w:tc>
        <w:tc>
          <w:tcPr>
            <w:tcW w:w="1969" w:type="pct"/>
          </w:tcPr>
          <w:p w:rsidR="000027E7" w:rsidRPr="00C806D0" w:rsidRDefault="000027E7" w:rsidP="000027E7">
            <w:pPr>
              <w:pStyle w:val="NoSpacing"/>
              <w:rPr>
                <w:rFonts w:ascii="Calibri" w:hAnsi="Calibri"/>
              </w:rPr>
            </w:pPr>
            <w:r w:rsidRPr="00C806D0">
              <w:rPr>
                <w:rFonts w:ascii="Calibri" w:hAnsi="Calibri"/>
              </w:rPr>
              <w:t>γ&gt;1: monotonically increasing</w:t>
            </w:r>
          </w:p>
          <w:p w:rsidR="000027E7" w:rsidRPr="00C806D0" w:rsidRDefault="000027E7" w:rsidP="000027E7">
            <w:pPr>
              <w:pStyle w:val="NoSpacing"/>
              <w:rPr>
                <w:rFonts w:ascii="Calibri" w:hAnsi="Calibri"/>
              </w:rPr>
            </w:pPr>
            <w:r w:rsidRPr="00C806D0">
              <w:rPr>
                <w:rFonts w:ascii="Calibri" w:hAnsi="Calibri"/>
              </w:rPr>
              <w:t>0&lt;γ&lt;1: monotonically decreasing</w:t>
            </w:r>
          </w:p>
          <w:p w:rsidR="000027E7" w:rsidRPr="00C806D0" w:rsidRDefault="000027E7" w:rsidP="000027E7">
            <w:pPr>
              <w:pStyle w:val="NoSpacing"/>
              <w:rPr>
                <w:rFonts w:ascii="Calibri" w:hAnsi="Calibri"/>
              </w:rPr>
            </w:pPr>
          </w:p>
        </w:tc>
        <w:tc>
          <w:tcPr>
            <w:tcW w:w="1455" w:type="pct"/>
          </w:tcPr>
          <w:p w:rsidR="000027E7" w:rsidRPr="00C806D0" w:rsidRDefault="000027E7" w:rsidP="000027E7">
            <w:pPr>
              <w:pStyle w:val="NoSpacing"/>
              <w:rPr>
                <w:rFonts w:ascii="Calibri" w:hAnsi="Calibri"/>
              </w:rPr>
            </w:pPr>
            <w:r w:rsidRPr="00C806D0">
              <w:rPr>
                <w:rFonts w:ascii="Calibri" w:hAnsi="Calibri"/>
              </w:rPr>
              <w:t>PH: Multiplicative on hazard</w:t>
            </w:r>
          </w:p>
          <w:p w:rsidR="000027E7" w:rsidRPr="00C806D0" w:rsidRDefault="000027E7" w:rsidP="000027E7">
            <w:pPr>
              <w:pStyle w:val="NoSpacing"/>
              <w:rPr>
                <w:rFonts w:ascii="Calibri" w:hAnsi="Calibri"/>
              </w:rPr>
            </w:pPr>
            <w:r w:rsidRPr="00C806D0">
              <w:rPr>
                <w:rFonts w:ascii="Calibri" w:hAnsi="Calibri"/>
              </w:rPr>
              <w:t>AFT: Multiplicative on survival time</w:t>
            </w:r>
          </w:p>
        </w:tc>
        <w:tc>
          <w:tcPr>
            <w:tcW w:w="861" w:type="pct"/>
          </w:tcPr>
          <w:p w:rsidR="000027E7" w:rsidRPr="00C806D0" w:rsidRDefault="000027E7" w:rsidP="000027E7">
            <w:pPr>
              <w:pStyle w:val="NoSpacing"/>
              <w:jc w:val="center"/>
              <w:rPr>
                <w:rFonts w:ascii="Calibri" w:hAnsi="Calibri"/>
                <w:sz w:val="20"/>
                <w:szCs w:val="20"/>
              </w:rPr>
            </w:pPr>
            <m:oMathPara>
              <m:oMath>
                <m:r>
                  <m:rPr>
                    <m:nor/>
                  </m:rPr>
                  <w:rPr>
                    <w:rFonts w:ascii="Calibri" w:hAnsi="Calibri"/>
                    <w:sz w:val="20"/>
                    <w:szCs w:val="20"/>
                  </w:rPr>
                  <m:t>λ</m:t>
                </m:r>
                <m:sSup>
                  <m:sSupPr>
                    <m:ctrlPr>
                      <w:rPr>
                        <w:rFonts w:ascii="Cambria Math" w:eastAsiaTheme="minorEastAsia" w:hAnsi="Calibri"/>
                        <w:i/>
                        <w:sz w:val="20"/>
                        <w:szCs w:val="20"/>
                      </w:rPr>
                    </m:ctrlPr>
                  </m:sSupPr>
                  <m:e>
                    <m:r>
                      <w:rPr>
                        <w:rFonts w:ascii="Cambria Math" w:hAnsi="Cambria Math"/>
                        <w:sz w:val="20"/>
                        <w:szCs w:val="20"/>
                      </w:rPr>
                      <m:t>γt</m:t>
                    </m:r>
                  </m:e>
                  <m:sup>
                    <m:r>
                      <w:rPr>
                        <w:rFonts w:ascii="Cambria Math" w:hAnsi="Cambria Math"/>
                        <w:sz w:val="20"/>
                        <w:szCs w:val="20"/>
                      </w:rPr>
                      <m:t>γ-1</m:t>
                    </m:r>
                  </m:sup>
                </m:sSup>
              </m:oMath>
            </m:oMathPara>
          </w:p>
        </w:tc>
      </w:tr>
      <w:tr w:rsidR="000027E7" w:rsidRPr="00C806D0" w:rsidTr="000027E7">
        <w:trPr>
          <w:jc w:val="center"/>
        </w:trPr>
        <w:tc>
          <w:tcPr>
            <w:tcW w:w="715" w:type="pct"/>
          </w:tcPr>
          <w:p w:rsidR="000027E7" w:rsidRPr="00C806D0" w:rsidRDefault="000027E7" w:rsidP="000027E7">
            <w:r w:rsidRPr="00C806D0">
              <w:t>Lognormal†</w:t>
            </w:r>
          </w:p>
        </w:tc>
        <w:tc>
          <w:tcPr>
            <w:tcW w:w="1969" w:type="pct"/>
          </w:tcPr>
          <w:p w:rsidR="000027E7" w:rsidRPr="00C806D0" w:rsidRDefault="000027E7" w:rsidP="000027E7">
            <w:pPr>
              <w:pStyle w:val="NoSpacing"/>
              <w:rPr>
                <w:rFonts w:ascii="Calibri" w:hAnsi="Calibri"/>
              </w:rPr>
            </w:pPr>
            <w:r w:rsidRPr="00C806D0">
              <w:rPr>
                <w:rFonts w:ascii="Calibri" w:hAnsi="Calibri"/>
              </w:rPr>
              <w:t>Log of event time is normally distributed</w:t>
            </w:r>
          </w:p>
        </w:tc>
        <w:tc>
          <w:tcPr>
            <w:tcW w:w="1455" w:type="pct"/>
          </w:tcPr>
          <w:p w:rsidR="000027E7" w:rsidRPr="00C806D0" w:rsidRDefault="000027E7" w:rsidP="000027E7">
            <w:pPr>
              <w:pStyle w:val="NoSpacing"/>
              <w:rPr>
                <w:rFonts w:ascii="Calibri" w:hAnsi="Calibri"/>
              </w:rPr>
            </w:pPr>
            <w:r w:rsidRPr="00C806D0">
              <w:rPr>
                <w:rFonts w:ascii="Calibri" w:hAnsi="Calibri"/>
              </w:rPr>
              <w:t>AFT: Multiplicative on survival time</w:t>
            </w:r>
          </w:p>
          <w:p w:rsidR="000027E7" w:rsidRPr="00C806D0" w:rsidRDefault="000027E7" w:rsidP="000027E7">
            <w:pPr>
              <w:pStyle w:val="NoSpacing"/>
              <w:rPr>
                <w:rFonts w:ascii="Calibri" w:hAnsi="Calibri"/>
              </w:rPr>
            </w:pPr>
          </w:p>
          <w:p w:rsidR="000027E7" w:rsidRPr="00C806D0" w:rsidRDefault="000027E7" w:rsidP="000027E7">
            <w:pPr>
              <w:pStyle w:val="NoSpacing"/>
              <w:rPr>
                <w:rFonts w:ascii="Calibri" w:hAnsi="Calibri"/>
              </w:rPr>
            </w:pPr>
          </w:p>
        </w:tc>
        <w:tc>
          <w:tcPr>
            <w:tcW w:w="861" w:type="pct"/>
          </w:tcPr>
          <w:p w:rsidR="000027E7" w:rsidRPr="00C806D0" w:rsidRDefault="000027E7" w:rsidP="000027E7">
            <w:pPr>
              <w:pStyle w:val="NoSpacing"/>
              <w:jc w:val="center"/>
              <w:rPr>
                <w:rFonts w:ascii="Calibri" w:hAnsi="Calibri"/>
                <w:sz w:val="20"/>
                <w:szCs w:val="20"/>
              </w:rPr>
            </w:pPr>
            <m:oMathPara>
              <m:oMath>
                <m:r>
                  <w:rPr>
                    <w:rFonts w:ascii="Cambria Math" w:hAnsi="Cambria Math"/>
                    <w:sz w:val="20"/>
                    <w:szCs w:val="20"/>
                  </w:rPr>
                  <m:t>S</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=1-∅</m:t>
                </m:r>
                <m:d>
                  <m:dPr>
                    <m:ctrlPr>
                      <w:rPr>
                        <w:rFonts w:ascii="Cambria Math" w:hAnsi="Cambria Math"/>
                        <w:i/>
                        <w:sz w:val="20"/>
                        <w:szCs w:val="20"/>
                      </w:rPr>
                    </m:ctrlPr>
                  </m:dPr>
                  <m:e>
                    <m:f>
                      <m:fPr>
                        <m:ctrlPr>
                          <w:rPr>
                            <w:rFonts w:ascii="Cambria Math" w:hAnsi="Cambria Math"/>
                            <w:i/>
                            <w:sz w:val="20"/>
                            <w:szCs w:val="20"/>
                          </w:rPr>
                        </m:ctrlPr>
                      </m:fPr>
                      <m:num>
                        <m:func>
                          <m:funcPr>
                            <m:ctrlPr>
                              <w:rPr>
                                <w:rFonts w:ascii="Cambria Math" w:hAnsi="Cambria Math"/>
                                <w:sz w:val="20"/>
                                <w:szCs w:val="20"/>
                              </w:rPr>
                            </m:ctrlPr>
                          </m:funcPr>
                          <m:fName>
                            <m:r>
                              <m:rPr>
                                <m:sty m:val="p"/>
                              </m:rPr>
                              <w:rPr>
                                <w:rFonts w:ascii="Cambria Math" w:hAnsi="Cambria Math"/>
                                <w:sz w:val="20"/>
                                <w:szCs w:val="20"/>
                              </w:rPr>
                              <m:t>log</m:t>
                            </m:r>
                          </m:fName>
                          <m:e>
                            <m:d>
                              <m:dPr>
                                <m:ctrlPr>
                                  <w:rPr>
                                    <w:rFonts w:ascii="Cambria Math" w:hAnsi="Cambria Math"/>
                                    <w:i/>
                                    <w:sz w:val="20"/>
                                    <w:szCs w:val="20"/>
                                  </w:rPr>
                                </m:ctrlPr>
                              </m:dPr>
                              <m:e>
                                <m:r>
                                  <w:rPr>
                                    <w:rFonts w:ascii="Cambria Math" w:hAnsi="Cambria Math"/>
                                    <w:sz w:val="20"/>
                                    <w:szCs w:val="20"/>
                                  </w:rPr>
                                  <m:t>t</m:t>
                                </m:r>
                              </m:e>
                            </m:d>
                            <m:ctrlPr>
                              <w:rPr>
                                <w:rFonts w:ascii="Cambria Math" w:hAnsi="Cambria Math"/>
                                <w:i/>
                                <w:sz w:val="20"/>
                                <w:szCs w:val="20"/>
                              </w:rPr>
                            </m:ctrlPr>
                          </m:e>
                        </m:func>
                        <m:r>
                          <w:rPr>
                            <w:rFonts w:ascii="Cambria Math" w:hAnsi="Cambria Math"/>
                            <w:sz w:val="20"/>
                            <w:szCs w:val="20"/>
                          </w:rPr>
                          <m:t>-λ</m:t>
                        </m:r>
                      </m:num>
                      <m:den>
                        <m:sSup>
                          <m:sSupPr>
                            <m:ctrlPr>
                              <w:rPr>
                                <w:rFonts w:ascii="Cambria Math" w:hAnsi="Cambria Math"/>
                                <w:i/>
                                <w:sz w:val="20"/>
                                <w:szCs w:val="20"/>
                              </w:rPr>
                            </m:ctrlPr>
                          </m:sSupPr>
                          <m:e>
                            <m:r>
                              <w:rPr>
                                <w:rFonts w:ascii="Cambria Math" w:hAnsi="Cambria Math"/>
                                <w:sz w:val="20"/>
                                <w:szCs w:val="20"/>
                              </w:rPr>
                              <m:t>γ</m:t>
                            </m:r>
                          </m:e>
                          <m:sup>
                            <m:r>
                              <w:rPr>
                                <w:rFonts w:ascii="Cambria Math" w:hAnsi="Cambria Math"/>
                                <w:sz w:val="20"/>
                                <w:szCs w:val="20"/>
                              </w:rPr>
                              <m:t>-1</m:t>
                            </m:r>
                          </m:sup>
                        </m:sSup>
                      </m:den>
                    </m:f>
                  </m:e>
                </m:d>
              </m:oMath>
            </m:oMathPara>
          </w:p>
        </w:tc>
      </w:tr>
      <w:tr w:rsidR="000027E7" w:rsidRPr="00C806D0" w:rsidTr="000027E7">
        <w:trPr>
          <w:jc w:val="center"/>
        </w:trPr>
        <w:tc>
          <w:tcPr>
            <w:tcW w:w="715" w:type="pct"/>
          </w:tcPr>
          <w:p w:rsidR="000027E7" w:rsidRPr="00C806D0" w:rsidRDefault="000027E7" w:rsidP="000027E7">
            <w:r w:rsidRPr="00C806D0">
              <w:t>Log-logistic</w:t>
            </w:r>
          </w:p>
        </w:tc>
        <w:tc>
          <w:tcPr>
            <w:tcW w:w="1969" w:type="pct"/>
          </w:tcPr>
          <w:p w:rsidR="000027E7" w:rsidRPr="00C806D0" w:rsidRDefault="000027E7" w:rsidP="000027E7">
            <w:pPr>
              <w:pStyle w:val="NoSpacing"/>
              <w:rPr>
                <w:rFonts w:ascii="Calibri" w:hAnsi="Calibri"/>
              </w:rPr>
            </w:pPr>
            <w:r w:rsidRPr="00C806D0">
              <w:rPr>
                <w:rFonts w:ascii="Calibri" w:hAnsi="Calibri"/>
              </w:rPr>
              <w:t>γ≤1: monotonically decreasing</w:t>
            </w:r>
          </w:p>
          <w:p w:rsidR="000027E7" w:rsidRPr="00C806D0" w:rsidRDefault="000027E7" w:rsidP="000027E7">
            <w:pPr>
              <w:pStyle w:val="NoSpacing"/>
              <w:rPr>
                <w:rFonts w:ascii="Calibri" w:hAnsi="Calibri"/>
              </w:rPr>
            </w:pPr>
            <w:r w:rsidRPr="00C806D0">
              <w:rPr>
                <w:rFonts w:ascii="Calibri" w:hAnsi="Calibri"/>
              </w:rPr>
              <w:t>γ&gt;1: increasing followed by decreasing</w:t>
            </w:r>
          </w:p>
          <w:p w:rsidR="000027E7" w:rsidRPr="00C806D0" w:rsidRDefault="000027E7" w:rsidP="000027E7">
            <w:pPr>
              <w:pStyle w:val="NoSpacing"/>
              <w:rPr>
                <w:rFonts w:ascii="Calibri" w:hAnsi="Calibri"/>
              </w:rPr>
            </w:pPr>
          </w:p>
          <w:p w:rsidR="000027E7" w:rsidRPr="00C806D0" w:rsidRDefault="000027E7" w:rsidP="000027E7">
            <w:pPr>
              <w:pStyle w:val="NoSpacing"/>
              <w:rPr>
                <w:rFonts w:ascii="Calibri" w:hAnsi="Calibri"/>
              </w:rPr>
            </w:pPr>
          </w:p>
        </w:tc>
        <w:tc>
          <w:tcPr>
            <w:tcW w:w="1455" w:type="pct"/>
          </w:tcPr>
          <w:p w:rsidR="000027E7" w:rsidRPr="00C806D0" w:rsidRDefault="000027E7" w:rsidP="000027E7">
            <w:pPr>
              <w:pStyle w:val="NoSpacing"/>
              <w:rPr>
                <w:rFonts w:ascii="Calibri" w:hAnsi="Calibri"/>
              </w:rPr>
            </w:pPr>
            <w:r w:rsidRPr="00C806D0">
              <w:rPr>
                <w:rFonts w:ascii="Calibri" w:hAnsi="Calibri"/>
              </w:rPr>
              <w:t>AFT: Multiplicative on survival time</w:t>
            </w:r>
          </w:p>
          <w:p w:rsidR="000027E7" w:rsidRPr="00C806D0" w:rsidRDefault="000027E7" w:rsidP="000027E7">
            <w:pPr>
              <w:pStyle w:val="NoSpacing"/>
              <w:rPr>
                <w:rFonts w:ascii="Calibri" w:hAnsi="Calibri"/>
              </w:rPr>
            </w:pPr>
            <w:r w:rsidRPr="00C806D0">
              <w:rPr>
                <w:rFonts w:ascii="Calibri" w:hAnsi="Calibri"/>
              </w:rPr>
              <w:t>PO: Multiplicative on odds</w:t>
            </w:r>
          </w:p>
        </w:tc>
        <w:tc>
          <w:tcPr>
            <w:tcW w:w="861" w:type="pct"/>
          </w:tcPr>
          <w:p w:rsidR="000027E7" w:rsidRPr="00C806D0" w:rsidRDefault="009C40A1" w:rsidP="000027E7">
            <w:pPr>
              <w:pStyle w:val="NoSpacing"/>
              <w:jc w:val="center"/>
              <w:rPr>
                <w:rFonts w:ascii="Calibri" w:hAnsi="Calibri"/>
                <w:sz w:val="20"/>
                <w:szCs w:val="20"/>
              </w:rPr>
            </w:pPr>
            <m:oMathPara>
              <m:oMath>
                <m:f>
                  <m:fPr>
                    <m:ctrlPr>
                      <w:rPr>
                        <w:rFonts w:ascii="Cambria Math" w:eastAsiaTheme="minorEastAsia" w:hAnsi="Calibri"/>
                        <w:i/>
                        <w:sz w:val="20"/>
                        <w:szCs w:val="20"/>
                      </w:rPr>
                    </m:ctrlPr>
                  </m:fPr>
                  <m:num>
                    <m:r>
                      <m:rPr>
                        <m:nor/>
                      </m:rPr>
                      <w:rPr>
                        <w:rFonts w:ascii="Calibri" w:hAnsi="Calibri"/>
                        <w:sz w:val="20"/>
                        <w:szCs w:val="20"/>
                      </w:rPr>
                      <m:t>λ</m:t>
                    </m:r>
                    <m:sSup>
                      <m:sSupPr>
                        <m:ctrlPr>
                          <w:rPr>
                            <w:rFonts w:ascii="Cambria Math" w:eastAsiaTheme="minorEastAsia" w:hAnsi="Calibri"/>
                            <w:i/>
                            <w:sz w:val="20"/>
                            <w:szCs w:val="20"/>
                          </w:rPr>
                        </m:ctrlPr>
                      </m:sSupPr>
                      <m:e>
                        <m:r>
                          <w:rPr>
                            <w:rFonts w:ascii="Cambria Math" w:hAnsi="Cambria Math"/>
                            <w:sz w:val="20"/>
                            <w:szCs w:val="20"/>
                          </w:rPr>
                          <m:t>γt</m:t>
                        </m:r>
                      </m:e>
                      <m:sup>
                        <m:r>
                          <w:rPr>
                            <w:rFonts w:ascii="Cambria Math" w:hAnsi="Cambria Math"/>
                            <w:sz w:val="20"/>
                            <w:szCs w:val="20"/>
                          </w:rPr>
                          <m:t>γ-1</m:t>
                        </m:r>
                      </m:sup>
                    </m:sSup>
                  </m:num>
                  <m:den>
                    <m:r>
                      <m:rPr>
                        <m:nor/>
                      </m:rPr>
                      <w:rPr>
                        <w:rFonts w:ascii="Calibri" w:hAnsi="Calibri"/>
                        <w:sz w:val="20"/>
                        <w:szCs w:val="20"/>
                      </w:rPr>
                      <m:t>1+</m:t>
                    </m:r>
                    <m:sSup>
                      <m:sSupPr>
                        <m:ctrlPr>
                          <w:rPr>
                            <w:rFonts w:ascii="Cambria Math" w:eastAsiaTheme="minorEastAsia" w:hAnsi="Calibri"/>
                            <w:i/>
                            <w:sz w:val="20"/>
                            <w:szCs w:val="20"/>
                          </w:rPr>
                        </m:ctrlPr>
                      </m:sSupPr>
                      <m:e>
                        <m:r>
                          <w:rPr>
                            <w:rFonts w:ascii="Cambria Math" w:hAnsi="Cambria Math"/>
                            <w:sz w:val="20"/>
                            <w:szCs w:val="20"/>
                          </w:rPr>
                          <m:t>λt</m:t>
                        </m:r>
                      </m:e>
                      <m:sup>
                        <m:r>
                          <w:rPr>
                            <w:rFonts w:ascii="Cambria Math" w:hAnsi="Cambria Math"/>
                            <w:sz w:val="20"/>
                            <w:szCs w:val="20"/>
                          </w:rPr>
                          <m:t>γ</m:t>
                        </m:r>
                      </m:sup>
                    </m:sSup>
                  </m:den>
                </m:f>
              </m:oMath>
            </m:oMathPara>
          </w:p>
        </w:tc>
      </w:tr>
      <w:tr w:rsidR="000027E7" w:rsidRPr="00C806D0" w:rsidTr="000027E7">
        <w:trPr>
          <w:jc w:val="center"/>
        </w:trPr>
        <w:tc>
          <w:tcPr>
            <w:tcW w:w="715" w:type="pct"/>
          </w:tcPr>
          <w:p w:rsidR="000027E7" w:rsidRPr="00C806D0" w:rsidRDefault="000027E7" w:rsidP="000027E7">
            <w:r w:rsidRPr="00C806D0">
              <w:t>Gamma</w:t>
            </w:r>
          </w:p>
        </w:tc>
        <w:tc>
          <w:tcPr>
            <w:tcW w:w="1969" w:type="pct"/>
          </w:tcPr>
          <w:p w:rsidR="000027E7" w:rsidRPr="00C806D0" w:rsidRDefault="000027E7" w:rsidP="000027E7">
            <w:pPr>
              <w:pStyle w:val="NoSpacing"/>
              <w:rPr>
                <w:rFonts w:ascii="Calibri" w:hAnsi="Calibri"/>
              </w:rPr>
            </w:pPr>
            <w:r w:rsidRPr="00C806D0">
              <w:rPr>
                <w:rFonts w:ascii="Calibri" w:hAnsi="Calibri"/>
              </w:rPr>
              <w:t>Very flexible including U shaped, inverted U shaped, smoothly increasing to asymptote.</w:t>
            </w:r>
          </w:p>
          <w:p w:rsidR="000027E7" w:rsidRPr="00C806D0" w:rsidRDefault="000027E7" w:rsidP="000027E7">
            <w:pPr>
              <w:pStyle w:val="NoSpacing"/>
              <w:rPr>
                <w:rFonts w:ascii="Calibri" w:hAnsi="Calibri"/>
              </w:rPr>
            </w:pPr>
            <w:r w:rsidRPr="00C806D0">
              <w:rPr>
                <w:rFonts w:ascii="Calibri" w:hAnsi="Calibri"/>
              </w:rPr>
              <w:t>Exponential, Weibull and Log-normal are nested special cases.</w:t>
            </w:r>
          </w:p>
          <w:p w:rsidR="000027E7" w:rsidRPr="00C806D0" w:rsidRDefault="000027E7" w:rsidP="000027E7">
            <w:pPr>
              <w:pStyle w:val="NoSpacing"/>
              <w:rPr>
                <w:rFonts w:ascii="Calibri" w:hAnsi="Calibri"/>
              </w:rPr>
            </w:pPr>
          </w:p>
        </w:tc>
        <w:tc>
          <w:tcPr>
            <w:tcW w:w="1455" w:type="pct"/>
          </w:tcPr>
          <w:p w:rsidR="000027E7" w:rsidRPr="00C806D0" w:rsidRDefault="000027E7" w:rsidP="000027E7">
            <w:pPr>
              <w:pStyle w:val="NoSpacing"/>
              <w:rPr>
                <w:rFonts w:ascii="Calibri" w:hAnsi="Calibri"/>
              </w:rPr>
            </w:pPr>
            <w:r w:rsidRPr="00C806D0">
              <w:rPr>
                <w:rFonts w:ascii="Calibri" w:hAnsi="Calibri"/>
              </w:rPr>
              <w:t>AFT: Multiplicative on survival time</w:t>
            </w:r>
          </w:p>
        </w:tc>
        <w:tc>
          <w:tcPr>
            <w:tcW w:w="861" w:type="pct"/>
          </w:tcPr>
          <w:p w:rsidR="000027E7" w:rsidRPr="00C806D0" w:rsidRDefault="000027E7" w:rsidP="000027E7">
            <w:pPr>
              <w:pStyle w:val="NoSpacing"/>
              <w:jc w:val="center"/>
              <w:rPr>
                <w:rFonts w:ascii="Calibri" w:hAnsi="Calibri"/>
                <w:sz w:val="20"/>
                <w:szCs w:val="20"/>
              </w:rPr>
            </w:pPr>
            <m:oMath>
              <m:r>
                <w:rPr>
                  <w:rFonts w:ascii="Cambria Math" w:hAnsi="Cambria Math"/>
                  <w:sz w:val="20"/>
                  <w:szCs w:val="20"/>
                </w:rPr>
                <m:t>S</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=1-F</m:t>
              </m:r>
              <m:d>
                <m:dPr>
                  <m:ctrlPr>
                    <w:rPr>
                      <w:rFonts w:ascii="Cambria Math" w:hAnsi="Cambria Math"/>
                      <w:i/>
                      <w:sz w:val="20"/>
                      <w:szCs w:val="20"/>
                    </w:rPr>
                  </m:ctrlPr>
                </m:dPr>
                <m:e>
                  <m:r>
                    <w:rPr>
                      <w:rFonts w:ascii="Cambria Math" w:hAnsi="Cambria Math"/>
                      <w:sz w:val="20"/>
                      <w:szCs w:val="20"/>
                    </w:rPr>
                    <m:t>t</m:t>
                  </m:r>
                </m:e>
              </m:d>
            </m:oMath>
            <w:r w:rsidRPr="00C806D0">
              <w:rPr>
                <w:rFonts w:ascii="Calibri" w:eastAsiaTheme="minorEastAsia" w:hAnsi="Calibri"/>
                <w:sz w:val="20"/>
                <w:szCs w:val="20"/>
              </w:rPr>
              <w:t>**</w:t>
            </w:r>
          </w:p>
        </w:tc>
      </w:tr>
    </w:tbl>
    <w:p w:rsidR="000027E7" w:rsidRPr="00C806D0" w:rsidRDefault="000027E7" w:rsidP="000027E7">
      <w:pPr>
        <w:rPr>
          <w:sz w:val="20"/>
          <w:szCs w:val="20"/>
        </w:rPr>
      </w:pPr>
      <w:r w:rsidRPr="00C806D0">
        <w:rPr>
          <w:sz w:val="20"/>
          <w:szCs w:val="20"/>
        </w:rPr>
        <w:t xml:space="preserve">PH: Proportional hazards, AFT: Accelerated time failure, PO: Proportional odds, γ: distribution shape parameter, λ: distribution scale parameter, </w:t>
      </w:r>
      <m:oMath>
        <m:r>
          <w:rPr>
            <w:rFonts w:ascii="Cambria Math" w:hAnsi="Cambria Math"/>
            <w:sz w:val="20"/>
            <w:szCs w:val="20"/>
          </w:rPr>
          <m:t>∅</m:t>
        </m:r>
      </m:oMath>
      <w:r w:rsidRPr="00C806D0">
        <w:rPr>
          <w:rFonts w:eastAsiaTheme="minorEastAsia"/>
          <w:sz w:val="20"/>
          <w:szCs w:val="20"/>
        </w:rPr>
        <w:t>: cumulative standard normal distribution</w:t>
      </w:r>
      <w:r w:rsidR="004A4511" w:rsidRPr="00C806D0">
        <w:rPr>
          <w:rFonts w:eastAsiaTheme="minorEastAsia"/>
          <w:sz w:val="20"/>
          <w:szCs w:val="20"/>
        </w:rPr>
        <w:t>, s(t): survival function.</w:t>
      </w:r>
    </w:p>
    <w:p w:rsidR="000027E7" w:rsidRPr="00C806D0" w:rsidRDefault="000027E7" w:rsidP="000027E7">
      <w:pPr>
        <w:rPr>
          <w:sz w:val="20"/>
          <w:szCs w:val="20"/>
        </w:rPr>
      </w:pPr>
      <w:r w:rsidRPr="00C806D0">
        <w:rPr>
          <w:sz w:val="20"/>
          <w:szCs w:val="20"/>
        </w:rPr>
        <w:t>*Survival function, cumulative hazard function, and probability density function can be algebraically derived from the hazard function.</w:t>
      </w:r>
    </w:p>
    <w:p w:rsidR="000027E7" w:rsidRPr="00C806D0" w:rsidRDefault="000027E7" w:rsidP="000027E7">
      <w:pPr>
        <w:rPr>
          <w:sz w:val="20"/>
          <w:szCs w:val="20"/>
        </w:rPr>
      </w:pPr>
      <w:r w:rsidRPr="00C806D0">
        <w:rPr>
          <w:sz w:val="20"/>
          <w:szCs w:val="20"/>
        </w:rPr>
        <w:t>†Lognormal distribution can only be parameterised in the accelerated failure time metric</w:t>
      </w:r>
    </w:p>
    <w:p w:rsidR="003A4BDE" w:rsidRPr="00C806D0" w:rsidRDefault="000027E7" w:rsidP="000027E7">
      <w:pPr>
        <w:rPr>
          <w:rFonts w:eastAsiaTheme="minorEastAsia"/>
        </w:rPr>
      </w:pPr>
      <w:r w:rsidRPr="00C806D0">
        <w:t xml:space="preserve">**Where: </w:t>
      </w:r>
      <m:oMath>
        <m:r>
          <m:rPr>
            <m:sty m:val="p"/>
          </m:rPr>
          <w:rPr>
            <w:rFonts w:ascii="Cambria Math" w:hAnsi="Cambria Math"/>
          </w:rPr>
          <m:t>F(t)=</m:t>
        </m:r>
        <m:r>
          <m:rPr>
            <m:sty m:val="p"/>
          </m:rPr>
          <w:rPr>
            <w:rFonts w:ascii="Cambria Math"/>
          </w:rPr>
          <m:t>I</m:t>
        </m:r>
        <m:d>
          <m:dPr>
            <m:ctrlPr>
              <w:rPr>
                <w:rFonts w:ascii="Cambria Math" w:hAnsi="Cambria Math"/>
                <w:i/>
              </w:rPr>
            </m:ctrlPr>
          </m:dPr>
          <m:e>
            <m:r>
              <w:rPr>
                <w:rFonts w:ascii="Cambria Math" w:hAnsi="Cambria Math"/>
              </w:rPr>
              <m:t>γ,u</m:t>
            </m:r>
          </m:e>
        </m:d>
      </m:oMath>
      <w:r w:rsidRPr="00C806D0">
        <w:rPr>
          <w:rFonts w:eastAsiaTheme="minorEastAsia"/>
        </w:rPr>
        <w:t xml:space="preserve">if κ&gt;0; </w:t>
      </w:r>
      <m:oMath>
        <m:r>
          <m:rPr>
            <m:sty m:val="p"/>
          </m:rPr>
          <w:rPr>
            <w:rFonts w:ascii="Cambria Math" w:eastAsiaTheme="minorEastAsia" w:hAnsi="Cambria Math"/>
          </w:rPr>
          <m:t xml:space="preserve">F(t)=Φ(z) </m:t>
        </m:r>
      </m:oMath>
      <w:r w:rsidRPr="00C806D0">
        <w:rPr>
          <w:rFonts w:eastAsiaTheme="minorEastAsia"/>
        </w:rPr>
        <w:t xml:space="preserve">if κ=0; </w:t>
      </w:r>
      <m:oMath>
        <m:r>
          <m:rPr>
            <m:sty m:val="p"/>
          </m:rPr>
          <w:rPr>
            <w:rFonts w:ascii="Cambria Math" w:eastAsiaTheme="minorEastAsia" w:hAnsi="Cambria Math"/>
          </w:rPr>
          <m:t>F(t)=1-I</m:t>
        </m:r>
        <m:d>
          <m:dPr>
            <m:ctrlPr>
              <w:rPr>
                <w:rFonts w:ascii="Cambria Math" w:hAnsi="Cambria Math"/>
                <w:i/>
              </w:rPr>
            </m:ctrlPr>
          </m:dPr>
          <m:e>
            <m:r>
              <w:rPr>
                <w:rFonts w:ascii="Cambria Math" w:hAnsi="Cambria Math"/>
              </w:rPr>
              <m:t>γ,u</m:t>
            </m:r>
          </m:e>
        </m:d>
      </m:oMath>
      <w:r w:rsidRPr="00C806D0">
        <w:rPr>
          <w:rFonts w:eastAsiaTheme="minorEastAsia"/>
        </w:rPr>
        <w:t xml:space="preserve"> </w:t>
      </w:r>
      <w:r w:rsidR="00403EC3" w:rsidRPr="00C806D0">
        <w:rPr>
          <w:rFonts w:eastAsiaTheme="minorEastAsia"/>
        </w:rPr>
        <w:t xml:space="preserve">if </w:t>
      </w:r>
      <w:r w:rsidRPr="00C806D0">
        <w:rPr>
          <w:rFonts w:eastAsiaTheme="minorEastAsia"/>
        </w:rPr>
        <w:t xml:space="preserve">κ&lt;0. And where: </w:t>
      </w:r>
      <m:oMath>
        <m:r>
          <w:rPr>
            <w:rFonts w:ascii="Cambria Math" w:eastAsiaTheme="minorEastAsia" w:hAnsi="Cambria Math"/>
          </w:rPr>
          <m:t>γ=</m:t>
        </m:r>
        <m:sSup>
          <m:sSupPr>
            <m:ctrlPr>
              <w:rPr>
                <w:rFonts w:ascii="Cambria Math" w:eastAsiaTheme="minorEastAsia" w:hAnsi="Cambria Math"/>
                <w:i/>
              </w:rPr>
            </m:ctrlPr>
          </m:sSupPr>
          <m:e>
            <m:r>
              <w:rPr>
                <w:rFonts w:ascii="Cambria Math" w:eastAsiaTheme="minorEastAsia" w:hAnsi="Cambria Math"/>
              </w:rPr>
              <m:t>|κ|</m:t>
            </m:r>
          </m:e>
          <m:sup>
            <m:r>
              <w:rPr>
                <w:rFonts w:ascii="Cambria Math" w:eastAsiaTheme="minorEastAsia" w:hAnsi="Cambria Math"/>
              </w:rPr>
              <m:t>-2</m:t>
            </m:r>
          </m:sup>
        </m:sSup>
      </m:oMath>
      <w:r w:rsidRPr="00C806D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r>
          <m:rPr>
            <m:sty m:val="p"/>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sign (κ)</m:t>
            </m:r>
            <m:d>
              <m:dPr>
                <m:begChr m:val="{"/>
                <m:endChr m:val="}"/>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ln</m:t>
                    </m:r>
                  </m:fName>
                  <m:e>
                    <m:d>
                      <m:dPr>
                        <m:ctrlPr>
                          <w:rPr>
                            <w:rFonts w:ascii="Cambria Math" w:eastAsiaTheme="minorEastAsia" w:hAnsi="Cambria Math"/>
                            <w:i/>
                          </w:rPr>
                        </m:ctrlPr>
                      </m:dPr>
                      <m:e>
                        <m:r>
                          <w:rPr>
                            <w:rFonts w:ascii="Cambria Math" w:eastAsiaTheme="minorEastAsia" w:hAnsi="Cambria Math"/>
                          </w:rPr>
                          <m:t>τ</m:t>
                        </m:r>
                      </m:e>
                    </m:d>
                    <m:ctrlPr>
                      <w:rPr>
                        <w:rFonts w:ascii="Cambria Math" w:eastAsiaTheme="minorEastAsia" w:hAnsi="Cambria Math"/>
                        <w:i/>
                      </w:rPr>
                    </m:ctrlPr>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e>
            </m:d>
          </m:num>
          <m:den>
            <m:r>
              <w:rPr>
                <w:rFonts w:ascii="Cambria Math" w:eastAsiaTheme="minorEastAsia" w:hAnsi="Cambria Math"/>
              </w:rPr>
              <m:t>σ</m:t>
            </m:r>
          </m:den>
        </m:f>
      </m:oMath>
      <w:r w:rsidRPr="00C806D0">
        <w:rPr>
          <w:rFonts w:eastAsiaTheme="minorEastAsia"/>
        </w:rPr>
        <w:t xml:space="preserve">; </w:t>
      </w:r>
      <m:oMath>
        <m:r>
          <w:rPr>
            <w:rFonts w:ascii="Cambria Math" w:eastAsiaTheme="minorEastAsia" w:hAnsi="Cambria Math"/>
          </w:rPr>
          <m:t>u=γexp</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m:t>
                    </m:r>
                  </m:sub>
                </m:sSub>
              </m:e>
            </m:rad>
          </m:e>
        </m:d>
      </m:oMath>
      <w:r w:rsidRPr="00C806D0">
        <w:rPr>
          <w:rFonts w:eastAsiaTheme="minorEastAsia"/>
        </w:rPr>
        <w:t>.</w:t>
      </w:r>
    </w:p>
    <w:p w:rsidR="007F7392" w:rsidRPr="00C806D0" w:rsidRDefault="007F7392" w:rsidP="000027E7">
      <w:pPr>
        <w:rPr>
          <w:rFonts w:eastAsiaTheme="minorEastAsia"/>
        </w:rPr>
        <w:sectPr w:rsidR="007F7392" w:rsidRPr="00C806D0" w:rsidSect="007F7392">
          <w:pgSz w:w="16838" w:h="11906" w:orient="landscape"/>
          <w:pgMar w:top="2268" w:right="1134" w:bottom="1134" w:left="1134" w:header="709" w:footer="709" w:gutter="0"/>
          <w:cols w:space="708"/>
          <w:docGrid w:linePitch="360"/>
        </w:sectPr>
      </w:pPr>
    </w:p>
    <w:p w:rsidR="003A4BDE" w:rsidRPr="00C806D0" w:rsidRDefault="003A4BDE" w:rsidP="000027E7">
      <w:pPr>
        <w:rPr>
          <w:rFonts w:eastAsiaTheme="minorEastAsia"/>
        </w:rPr>
      </w:pPr>
    </w:p>
    <w:p w:rsidR="000027E7" w:rsidRPr="00C806D0" w:rsidRDefault="000027E7" w:rsidP="000027E7">
      <w:r w:rsidRPr="00C806D0">
        <w:t>Choosing an appropriate statistical distribution is fundamental to achieving valid results in parametric survival analysis. When these techniques are applied to extrapolate survival data a careful assessment is required of how well the model fits the observed data, and also whether the projected survival patterns are plausible and credible. Ishak and colleagues (2013) provide an example where using an exponential model for mortality in a study of young adults could demonstrate satisfactory goodness of fit as deaths are relatively rare, but ‘would have very poor external validity since the hazard of death increases over time’.</w:t>
      </w:r>
      <w:r w:rsidR="00D368BB" w:rsidRPr="00C806D0">
        <w:rPr>
          <w:noProof/>
          <w:vertAlign w:val="superscript"/>
        </w:rPr>
        <w:t>[</w:t>
      </w:r>
      <w:r w:rsidR="006D4D62" w:rsidRPr="00C806D0">
        <w:rPr>
          <w:noProof/>
          <w:vertAlign w:val="superscript"/>
        </w:rPr>
        <w:t>2</w:t>
      </w:r>
      <w:r w:rsidR="00D368BB" w:rsidRPr="00C806D0">
        <w:rPr>
          <w:noProof/>
          <w:vertAlign w:val="superscript"/>
        </w:rPr>
        <w:t>]</w:t>
      </w:r>
      <w:r w:rsidRPr="00C806D0">
        <w:t xml:space="preserve"> </w:t>
      </w:r>
    </w:p>
    <w:p w:rsidR="000027E7" w:rsidRPr="00C806D0" w:rsidRDefault="000027E7" w:rsidP="000027E7"/>
    <w:p w:rsidR="000027E7" w:rsidRPr="00C806D0" w:rsidRDefault="000027E7" w:rsidP="000027E7">
      <w:r w:rsidRPr="00C806D0">
        <w:t>Recommendations have recently been published outlining a reproducible, systematic and transparent approach to parametric survival modelling aiming to extrapolate long term outcomes</w:t>
      </w:r>
      <w:r w:rsidR="00403EC3" w:rsidRPr="00C806D0">
        <w:t>.</w:t>
      </w:r>
      <w:r w:rsidR="00D368BB" w:rsidRPr="00C806D0">
        <w:rPr>
          <w:noProof/>
          <w:vertAlign w:val="superscript"/>
        </w:rPr>
        <w:t>[</w:t>
      </w:r>
      <w:r w:rsidR="006D4D62" w:rsidRPr="00C806D0">
        <w:rPr>
          <w:noProof/>
          <w:vertAlign w:val="superscript"/>
        </w:rPr>
        <w:t>2-4</w:t>
      </w:r>
      <w:r w:rsidR="00D368BB" w:rsidRPr="00C806D0">
        <w:rPr>
          <w:noProof/>
          <w:vertAlign w:val="superscript"/>
        </w:rPr>
        <w:t>]</w:t>
      </w:r>
      <w:r w:rsidR="00403EC3" w:rsidRPr="00C806D0">
        <w:t xml:space="preserve"> These</w:t>
      </w:r>
      <w:r w:rsidRPr="00C806D0">
        <w:t xml:space="preserve"> </w:t>
      </w:r>
      <w:r w:rsidR="00403EC3" w:rsidRPr="00C806D0">
        <w:t xml:space="preserve">guidelines </w:t>
      </w:r>
      <w:r w:rsidRPr="00C806D0">
        <w:t>emphasise the following important steps:</w:t>
      </w:r>
    </w:p>
    <w:p w:rsidR="000027E7" w:rsidRPr="00C806D0" w:rsidRDefault="000027E7" w:rsidP="000027E7"/>
    <w:p w:rsidR="000027E7" w:rsidRPr="00C806D0" w:rsidRDefault="000027E7" w:rsidP="00550C9C">
      <w:pPr>
        <w:pStyle w:val="ListParagraph"/>
        <w:numPr>
          <w:ilvl w:val="0"/>
          <w:numId w:val="26"/>
        </w:numPr>
      </w:pPr>
      <w:r w:rsidRPr="00C806D0">
        <w:t>Consider</w:t>
      </w:r>
      <w:r w:rsidR="00403EC3" w:rsidRPr="00C806D0">
        <w:t>ation of</w:t>
      </w:r>
      <w:r w:rsidRPr="00C806D0">
        <w:t xml:space="preserve"> important theoretical or subject matter factors that may inform the choice of a suitable distribution for survival times.</w:t>
      </w:r>
    </w:p>
    <w:p w:rsidR="000027E7" w:rsidRPr="00C806D0" w:rsidRDefault="00403EC3" w:rsidP="00550C9C">
      <w:pPr>
        <w:pStyle w:val="ListParagraph"/>
        <w:numPr>
          <w:ilvl w:val="0"/>
          <w:numId w:val="26"/>
        </w:numPr>
      </w:pPr>
      <w:r w:rsidRPr="00C806D0">
        <w:t>Examination of</w:t>
      </w:r>
      <w:r w:rsidR="000027E7" w:rsidRPr="00C806D0">
        <w:t xml:space="preserve"> the observed survival function, both in crude and stratified analyses, to learn about the distribution shape, appropriateness of proportional hazard and accelerated time failure assumptions, and whether certain patient characteristics are important.</w:t>
      </w:r>
    </w:p>
    <w:p w:rsidR="000027E7" w:rsidRPr="00C806D0" w:rsidRDefault="00403EC3" w:rsidP="00550C9C">
      <w:pPr>
        <w:pStyle w:val="ListParagraph"/>
        <w:numPr>
          <w:ilvl w:val="0"/>
          <w:numId w:val="26"/>
        </w:numPr>
      </w:pPr>
      <w:r w:rsidRPr="00C806D0">
        <w:t>Evaluation of</w:t>
      </w:r>
      <w:r w:rsidR="000027E7" w:rsidRPr="00C806D0">
        <w:t xml:space="preserve"> the suitability of candidate parametric distributions based on appropriate graphical analyses of whether the linear relationships implied in each distribution are met.</w:t>
      </w:r>
    </w:p>
    <w:p w:rsidR="000027E7" w:rsidRPr="00C806D0" w:rsidRDefault="00403EC3" w:rsidP="00550C9C">
      <w:pPr>
        <w:pStyle w:val="ListParagraph"/>
        <w:numPr>
          <w:ilvl w:val="0"/>
          <w:numId w:val="26"/>
        </w:numPr>
      </w:pPr>
      <w:r w:rsidRPr="00C806D0">
        <w:t xml:space="preserve">After exclusion of </w:t>
      </w:r>
      <w:r w:rsidR="000027E7" w:rsidRPr="00C806D0">
        <w:t>any unsuitable distributions, fit</w:t>
      </w:r>
      <w:r w:rsidRPr="00C806D0">
        <w:t>ting of</w:t>
      </w:r>
      <w:r w:rsidR="000027E7" w:rsidRPr="00C806D0">
        <w:t xml:space="preserve"> potential candidate distributions to the data. Consider</w:t>
      </w:r>
      <w:r w:rsidRPr="00C806D0">
        <w:t>ation of</w:t>
      </w:r>
      <w:r w:rsidR="000027E7" w:rsidRPr="00C806D0">
        <w:t xml:space="preserve"> interactions, time-varying coefficients, and ancillary parameterisation of distribution shape.</w:t>
      </w:r>
    </w:p>
    <w:p w:rsidR="000027E7" w:rsidRPr="00C806D0" w:rsidRDefault="000027E7" w:rsidP="00550C9C">
      <w:pPr>
        <w:pStyle w:val="ListParagraph"/>
        <w:numPr>
          <w:ilvl w:val="0"/>
          <w:numId w:val="26"/>
        </w:numPr>
      </w:pPr>
      <w:r w:rsidRPr="00C806D0">
        <w:t>Assess</w:t>
      </w:r>
      <w:r w:rsidR="00403EC3" w:rsidRPr="00C806D0">
        <w:t>ment of</w:t>
      </w:r>
      <w:r w:rsidRPr="00C806D0">
        <w:t xml:space="preserve"> the goodness of fit of each parametric model to the observed data by comparing: model diagnostics (e.g. test</w:t>
      </w:r>
      <w:r w:rsidR="00403EC3" w:rsidRPr="00C806D0">
        <w:t>ing</w:t>
      </w:r>
      <w:r w:rsidRPr="00C806D0">
        <w:t xml:space="preserve"> that the proportional hazards assumption holds); information criterion statistics; the sum of the squared errors (SSE) between model predicted and actual survival curves during the study period; and plot</w:t>
      </w:r>
      <w:r w:rsidR="00403EC3" w:rsidRPr="00C806D0">
        <w:t>ting</w:t>
      </w:r>
      <w:r w:rsidRPr="00C806D0">
        <w:t xml:space="preserve"> observed (i.e. Kaplan-Meier) and predicted survival curves.</w:t>
      </w:r>
    </w:p>
    <w:p w:rsidR="000027E7" w:rsidRPr="00C806D0" w:rsidRDefault="000027E7" w:rsidP="00550C9C">
      <w:pPr>
        <w:pStyle w:val="ListParagraph"/>
        <w:numPr>
          <w:ilvl w:val="0"/>
          <w:numId w:val="26"/>
        </w:numPr>
      </w:pPr>
      <w:r w:rsidRPr="00C806D0">
        <w:t>Assess</w:t>
      </w:r>
      <w:r w:rsidR="00403EC3" w:rsidRPr="00C806D0">
        <w:t>ment of</w:t>
      </w:r>
      <w:r w:rsidRPr="00C806D0">
        <w:t xml:space="preserve"> the plausibility of the extrapolated survival function beyond the data window based on: theoretical and subject matter knowledge; expert opinion; comparison to previously published estimates of long term survival; or examination of survival in the general population or similar disease areas.</w:t>
      </w:r>
    </w:p>
    <w:p w:rsidR="000027E7" w:rsidRPr="00C806D0" w:rsidRDefault="00403EC3" w:rsidP="000027E7">
      <w:pPr>
        <w:pStyle w:val="ListParagraph"/>
        <w:numPr>
          <w:ilvl w:val="0"/>
          <w:numId w:val="26"/>
        </w:numPr>
      </w:pPr>
      <w:r w:rsidRPr="00C806D0">
        <w:lastRenderedPageBreak/>
        <w:t>Choosing</w:t>
      </w:r>
      <w:r w:rsidR="000027E7" w:rsidRPr="00C806D0">
        <w:t xml:space="preserve"> the most suitable parametric model based on the best goodness of fit and most plausible extrapolations. </w:t>
      </w:r>
      <w:r w:rsidRPr="00C806D0">
        <w:t xml:space="preserve">Use of </w:t>
      </w:r>
      <w:r w:rsidR="000027E7" w:rsidRPr="00C806D0">
        <w:t>model ave</w:t>
      </w:r>
      <w:r w:rsidRPr="00C806D0">
        <w:t>raging or sensitivity analyses If several models are potentially applicable.</w:t>
      </w:r>
    </w:p>
    <w:p w:rsidR="000027E7" w:rsidRPr="00C806D0" w:rsidRDefault="000027E7" w:rsidP="000027E7">
      <w:pPr>
        <w:pStyle w:val="ListParagraph"/>
        <w:ind w:left="360"/>
      </w:pPr>
      <w:r w:rsidRPr="00C806D0">
        <w:t>It may be the case that the shape of the underlying hazard function over the study and projection period is too complex to validly fit one of the commonly used parametric distributions and give credible results.</w:t>
      </w:r>
      <w:r w:rsidR="00D368BB" w:rsidRPr="00C806D0">
        <w:rPr>
          <w:noProof/>
          <w:vertAlign w:val="superscript"/>
        </w:rPr>
        <w:t>[</w:t>
      </w:r>
      <w:r w:rsidR="006D4D62" w:rsidRPr="00C806D0">
        <w:rPr>
          <w:noProof/>
          <w:vertAlign w:val="superscript"/>
        </w:rPr>
        <w:t>5</w:t>
      </w:r>
      <w:r w:rsidR="00D368BB" w:rsidRPr="00C806D0">
        <w:rPr>
          <w:noProof/>
          <w:vertAlign w:val="superscript"/>
        </w:rPr>
        <w:t>]</w:t>
      </w:r>
      <w:r w:rsidRPr="00C806D0">
        <w:t xml:space="preserve"> Alternative approaches include: dividing follow up time into different periods which have hazard functions that can be individually modelled; using ‘mixtures’ of distributions; or using cubic splines, fractional polynomials or Bayesian semi-parametric models to flexibly </w:t>
      </w:r>
      <w:r w:rsidR="00403EC3" w:rsidRPr="00C806D0">
        <w:t>represent</w:t>
      </w:r>
      <w:r w:rsidRPr="00C806D0">
        <w:t xml:space="preserve"> the baseline hazard.</w:t>
      </w:r>
      <w:r w:rsidR="00D368BB" w:rsidRPr="00C806D0">
        <w:rPr>
          <w:noProof/>
          <w:vertAlign w:val="superscript"/>
        </w:rPr>
        <w:t>[</w:t>
      </w:r>
      <w:r w:rsidR="006D4D62" w:rsidRPr="00C806D0">
        <w:rPr>
          <w:noProof/>
          <w:vertAlign w:val="superscript"/>
        </w:rPr>
        <w:t>6</w:t>
      </w:r>
      <w:r w:rsidR="00D368BB" w:rsidRPr="00C806D0">
        <w:rPr>
          <w:noProof/>
          <w:vertAlign w:val="superscript"/>
        </w:rPr>
        <w:t>]</w:t>
      </w:r>
    </w:p>
    <w:p w:rsidR="000027E7" w:rsidRPr="00C806D0" w:rsidRDefault="000027E7" w:rsidP="000027E7">
      <w:pPr>
        <w:pStyle w:val="ListParagraph"/>
        <w:ind w:left="360"/>
      </w:pPr>
    </w:p>
    <w:p w:rsidR="00F65BE0" w:rsidRPr="00C806D0" w:rsidRDefault="000027E7" w:rsidP="00F65BE0">
      <w:pPr>
        <w:pStyle w:val="ListParagraph"/>
        <w:ind w:left="360"/>
      </w:pPr>
      <w:r w:rsidRPr="00C806D0">
        <w:t>Splines are functions consisting of multiple consecutive polynomial equations which are used to describe a continuous variable, such as the hazard function. The piecewise polynomials smoothly pass through a defined number of control points or ‘knots’ allowing very complex shapes to be modelled. Restricted cubic splines are commonly used, which use polynomials of order 3, and force the fitted function to be linear before the first knot and after the final knot.</w:t>
      </w:r>
      <w:r w:rsidR="00D368BB" w:rsidRPr="00C806D0">
        <w:rPr>
          <w:noProof/>
          <w:vertAlign w:val="superscript"/>
        </w:rPr>
        <w:t>[</w:t>
      </w:r>
      <w:r w:rsidR="006D4D62" w:rsidRPr="00C806D0">
        <w:rPr>
          <w:noProof/>
          <w:vertAlign w:val="superscript"/>
        </w:rPr>
        <w:t>7</w:t>
      </w:r>
      <w:r w:rsidR="00D368BB" w:rsidRPr="00C806D0">
        <w:rPr>
          <w:noProof/>
          <w:vertAlign w:val="superscript"/>
        </w:rPr>
        <w:t>]</w:t>
      </w:r>
      <w:r w:rsidRPr="00C806D0">
        <w:t xml:space="preserve"> This linearity constraint may reduce the suitability for extrapolating survival as it implies that a constantly increasing hazard occurs after the end of study follow up which is unlikely to be tenable. </w:t>
      </w:r>
    </w:p>
    <w:p w:rsidR="000027E7" w:rsidRPr="00C806D0" w:rsidRDefault="00D37128" w:rsidP="002A360F">
      <w:pPr>
        <w:pStyle w:val="Heading3"/>
      </w:pPr>
      <w:r w:rsidRPr="00C806D0">
        <w:t xml:space="preserve">The </w:t>
      </w:r>
      <w:r w:rsidR="00F65BE0" w:rsidRPr="00C806D0">
        <w:t>Ma</w:t>
      </w:r>
      <w:r w:rsidR="000027E7" w:rsidRPr="00C806D0">
        <w:t>yo TBI Severity Classification System</w:t>
      </w:r>
    </w:p>
    <w:p w:rsidR="000027E7" w:rsidRPr="00C806D0" w:rsidRDefault="000027E7" w:rsidP="000027E7">
      <w:r w:rsidRPr="00C806D0">
        <w:t xml:space="preserve">Incident cases of TBI were categorised according to severity using the Mayo TBI Severity Classification System developed by Malec and colleagues </w:t>
      </w:r>
      <w:r w:rsidRPr="00C806D0">
        <w:rPr>
          <w:rFonts w:ascii="Calibri" w:hAnsi="Calibri"/>
        </w:rPr>
        <w:t>(2007).</w:t>
      </w:r>
      <w:r w:rsidR="00D368BB" w:rsidRPr="00C806D0">
        <w:rPr>
          <w:rFonts w:ascii="Calibri" w:hAnsi="Calibri"/>
          <w:noProof/>
          <w:vertAlign w:val="superscript"/>
        </w:rPr>
        <w:t>[</w:t>
      </w:r>
      <w:r w:rsidR="006D4D62" w:rsidRPr="00C806D0">
        <w:rPr>
          <w:rFonts w:ascii="Calibri" w:hAnsi="Calibri"/>
          <w:noProof/>
          <w:vertAlign w:val="superscript"/>
        </w:rPr>
        <w:t>8</w:t>
      </w:r>
      <w:r w:rsidR="00D368BB" w:rsidRPr="00C806D0">
        <w:rPr>
          <w:rFonts w:ascii="Calibri" w:hAnsi="Calibri"/>
          <w:noProof/>
          <w:vertAlign w:val="superscript"/>
        </w:rPr>
        <w:t>]</w:t>
      </w:r>
      <w:r w:rsidRPr="00C806D0">
        <w:rPr>
          <w:rFonts w:ascii="Calibri" w:hAnsi="Calibri"/>
        </w:rPr>
        <w:t xml:space="preserve"> </w:t>
      </w:r>
      <w:r w:rsidRPr="00C806D0">
        <w:t xml:space="preserve">The system uses all available positive evidence from medical notes, radiology reports, surgical records and post mortem results; with neuro-imaging, </w:t>
      </w:r>
      <w:r w:rsidR="00D37128" w:rsidRPr="00C806D0">
        <w:t>GCS</w:t>
      </w:r>
      <w:r w:rsidRPr="00C806D0">
        <w:t>, loss of consciousness, neurological signs and post-concussive symptoms all contributing to categorisation. Positive evidence is required for classification at each level with more objective evidence required for increasingly severe categories. Sensitivity and specificity for moderate/severe TBI has been estimated at 89% and 98% respectively in a previous validation study.</w:t>
      </w:r>
      <w:r w:rsidR="00D368BB" w:rsidRPr="00C806D0">
        <w:rPr>
          <w:noProof/>
          <w:vertAlign w:val="superscript"/>
        </w:rPr>
        <w:t>[</w:t>
      </w:r>
      <w:r w:rsidR="006D4D62" w:rsidRPr="00C806D0">
        <w:rPr>
          <w:noProof/>
          <w:vertAlign w:val="superscript"/>
        </w:rPr>
        <w:t>8</w:t>
      </w:r>
      <w:r w:rsidR="00D368BB" w:rsidRPr="00C806D0">
        <w:rPr>
          <w:noProof/>
          <w:vertAlign w:val="superscript"/>
        </w:rPr>
        <w:t>]</w:t>
      </w:r>
      <w:r w:rsidRPr="00C806D0">
        <w:t xml:space="preserve"> Table G2 details the criteria for classification of TBI.</w:t>
      </w:r>
    </w:p>
    <w:p w:rsidR="00F65BE0" w:rsidRPr="00C806D0" w:rsidRDefault="00F65BE0" w:rsidP="000027E7"/>
    <w:p w:rsidR="00F65BE0" w:rsidRPr="00C806D0" w:rsidRDefault="00F65BE0" w:rsidP="000027E7"/>
    <w:p w:rsidR="00F65BE0" w:rsidRPr="00C806D0" w:rsidRDefault="00F65BE0" w:rsidP="000027E7"/>
    <w:p w:rsidR="006F2FC6" w:rsidRPr="00C806D0" w:rsidRDefault="006F2FC6" w:rsidP="000027E7"/>
    <w:p w:rsidR="006F2FC6" w:rsidRPr="00C806D0" w:rsidRDefault="006F2FC6" w:rsidP="000027E7"/>
    <w:p w:rsidR="006F2FC6" w:rsidRPr="00C806D0" w:rsidRDefault="006F2FC6" w:rsidP="000027E7"/>
    <w:p w:rsidR="000027E7" w:rsidRPr="00C806D0" w:rsidRDefault="000027E7" w:rsidP="000027E7">
      <w:pPr>
        <w:rPr>
          <w:b/>
        </w:rPr>
      </w:pPr>
      <w:r w:rsidRPr="00C806D0">
        <w:rPr>
          <w:b/>
        </w:rPr>
        <w:lastRenderedPageBreak/>
        <w:t>Table G2. Classification of TBI severity</w:t>
      </w:r>
    </w:p>
    <w:tbl>
      <w:tblPr>
        <w:tblStyle w:val="LightShading1"/>
        <w:tblW w:w="0" w:type="auto"/>
        <w:tblLook w:val="0620" w:firstRow="1" w:lastRow="0" w:firstColumn="0" w:lastColumn="0" w:noHBand="1" w:noVBand="1"/>
      </w:tblPr>
      <w:tblGrid>
        <w:gridCol w:w="8720"/>
      </w:tblGrid>
      <w:tr w:rsidR="000027E7" w:rsidRPr="00C806D0" w:rsidTr="000027E7">
        <w:trPr>
          <w:cnfStyle w:val="100000000000" w:firstRow="1" w:lastRow="0" w:firstColumn="0" w:lastColumn="0" w:oddVBand="0" w:evenVBand="0" w:oddHBand="0" w:evenHBand="0" w:firstRowFirstColumn="0" w:firstRowLastColumn="0" w:lastRowFirstColumn="0" w:lastRowLastColumn="0"/>
        </w:trPr>
        <w:tc>
          <w:tcPr>
            <w:tcW w:w="9242" w:type="dxa"/>
          </w:tcPr>
          <w:p w:rsidR="000027E7" w:rsidRPr="00C806D0" w:rsidRDefault="000027E7" w:rsidP="000027E7">
            <w:pPr>
              <w:spacing w:line="240" w:lineRule="auto"/>
            </w:pPr>
            <w:r w:rsidRPr="00C806D0">
              <w:t xml:space="preserve">Moderate/severe TBI. </w:t>
            </w:r>
          </w:p>
          <w:p w:rsidR="000027E7" w:rsidRPr="00C806D0" w:rsidRDefault="000027E7" w:rsidP="000027E7">
            <w:pPr>
              <w:spacing w:line="240" w:lineRule="auto"/>
            </w:pPr>
            <w:r w:rsidRPr="00C806D0">
              <w:t>Documented head trauma associated with:</w:t>
            </w:r>
          </w:p>
        </w:tc>
      </w:tr>
      <w:tr w:rsidR="000027E7" w:rsidRPr="00C806D0" w:rsidTr="000027E7">
        <w:tc>
          <w:tcPr>
            <w:tcW w:w="9242" w:type="dxa"/>
          </w:tcPr>
          <w:p w:rsidR="000027E7" w:rsidRPr="00C806D0" w:rsidRDefault="000027E7" w:rsidP="00550C9C">
            <w:pPr>
              <w:pStyle w:val="ListParagraph"/>
              <w:numPr>
                <w:ilvl w:val="0"/>
                <w:numId w:val="22"/>
              </w:numPr>
              <w:spacing w:after="0" w:line="240" w:lineRule="auto"/>
            </w:pPr>
            <w:r w:rsidRPr="00C806D0">
              <w:t>Death due to TBI</w:t>
            </w:r>
          </w:p>
        </w:tc>
      </w:tr>
      <w:tr w:rsidR="000027E7" w:rsidRPr="00C806D0" w:rsidTr="000027E7">
        <w:tc>
          <w:tcPr>
            <w:tcW w:w="9242" w:type="dxa"/>
          </w:tcPr>
          <w:p w:rsidR="000027E7" w:rsidRPr="00C806D0" w:rsidRDefault="000027E7" w:rsidP="00550C9C">
            <w:pPr>
              <w:pStyle w:val="ListParagraph"/>
              <w:numPr>
                <w:ilvl w:val="0"/>
                <w:numId w:val="22"/>
              </w:numPr>
              <w:spacing w:after="0" w:line="240" w:lineRule="auto"/>
            </w:pPr>
            <w:r w:rsidRPr="00C806D0">
              <w:t>Loss of consciousness ≥30 mins</w:t>
            </w:r>
          </w:p>
        </w:tc>
      </w:tr>
      <w:tr w:rsidR="000027E7" w:rsidRPr="00C806D0" w:rsidTr="000027E7">
        <w:tc>
          <w:tcPr>
            <w:tcW w:w="9242" w:type="dxa"/>
          </w:tcPr>
          <w:p w:rsidR="000027E7" w:rsidRPr="00C806D0" w:rsidRDefault="000027E7" w:rsidP="00550C9C">
            <w:pPr>
              <w:pStyle w:val="ListParagraph"/>
              <w:numPr>
                <w:ilvl w:val="0"/>
                <w:numId w:val="22"/>
              </w:numPr>
              <w:spacing w:after="0" w:line="240" w:lineRule="auto"/>
            </w:pPr>
            <w:r w:rsidRPr="00C806D0">
              <w:t>Post traumatic amnesia ≥24 hours</w:t>
            </w:r>
          </w:p>
        </w:tc>
      </w:tr>
      <w:tr w:rsidR="000027E7" w:rsidRPr="00C806D0" w:rsidTr="000027E7">
        <w:tc>
          <w:tcPr>
            <w:tcW w:w="9242" w:type="dxa"/>
          </w:tcPr>
          <w:p w:rsidR="000027E7" w:rsidRPr="00C806D0" w:rsidRDefault="000027E7" w:rsidP="00550C9C">
            <w:pPr>
              <w:pStyle w:val="ListParagraph"/>
              <w:numPr>
                <w:ilvl w:val="0"/>
                <w:numId w:val="22"/>
              </w:numPr>
              <w:spacing w:after="0" w:line="240" w:lineRule="auto"/>
            </w:pPr>
            <w:r w:rsidRPr="00C806D0">
              <w:t>Worst Glasgow Coma Scale score &lt;13 in first 24 hours post injury</w:t>
            </w:r>
          </w:p>
        </w:tc>
      </w:tr>
      <w:tr w:rsidR="000027E7" w:rsidRPr="00C806D0" w:rsidTr="000027E7">
        <w:tc>
          <w:tcPr>
            <w:tcW w:w="9242" w:type="dxa"/>
            <w:tcBorders>
              <w:bottom w:val="single" w:sz="4" w:space="0" w:color="auto"/>
            </w:tcBorders>
          </w:tcPr>
          <w:p w:rsidR="000027E7" w:rsidRPr="00C806D0" w:rsidRDefault="000027E7" w:rsidP="00550C9C">
            <w:pPr>
              <w:pStyle w:val="ListParagraph"/>
              <w:numPr>
                <w:ilvl w:val="0"/>
                <w:numId w:val="22"/>
              </w:numPr>
              <w:spacing w:after="0" w:line="240" w:lineRule="auto"/>
            </w:pPr>
            <w:r w:rsidRPr="00C806D0">
              <w:t xml:space="preserve">Structural intracranial lesion present: </w:t>
            </w:r>
          </w:p>
          <w:p w:rsidR="000027E7" w:rsidRPr="00C806D0" w:rsidRDefault="000027E7" w:rsidP="000027E7">
            <w:pPr>
              <w:autoSpaceDE w:val="0"/>
              <w:autoSpaceDN w:val="0"/>
              <w:adjustRightInd w:val="0"/>
              <w:spacing w:line="240" w:lineRule="auto"/>
              <w:ind w:left="1440"/>
              <w:rPr>
                <w:rFonts w:cs="Univers-Light"/>
                <w:color w:val="000000"/>
              </w:rPr>
            </w:pPr>
            <w:r w:rsidRPr="00C806D0">
              <w:rPr>
                <w:rFonts w:eastAsia="MTSY" w:cs="MTSY"/>
                <w:color w:val="000000"/>
              </w:rPr>
              <w:t xml:space="preserve">• </w:t>
            </w:r>
            <w:r w:rsidRPr="00C806D0">
              <w:rPr>
                <w:rFonts w:cs="Univers-Light"/>
                <w:color w:val="000000"/>
              </w:rPr>
              <w:t>Intracerebral hematoma.</w:t>
            </w:r>
          </w:p>
          <w:p w:rsidR="000027E7" w:rsidRPr="00C806D0" w:rsidRDefault="000027E7" w:rsidP="000027E7">
            <w:pPr>
              <w:autoSpaceDE w:val="0"/>
              <w:autoSpaceDN w:val="0"/>
              <w:adjustRightInd w:val="0"/>
              <w:spacing w:line="240" w:lineRule="auto"/>
              <w:ind w:left="1440"/>
              <w:rPr>
                <w:rFonts w:cs="Univers-Light"/>
                <w:color w:val="000000"/>
              </w:rPr>
            </w:pPr>
            <w:r w:rsidRPr="00C806D0">
              <w:rPr>
                <w:rFonts w:eastAsia="MTSY" w:cs="MTSY"/>
                <w:color w:val="000000"/>
              </w:rPr>
              <w:t xml:space="preserve">• </w:t>
            </w:r>
            <w:r w:rsidRPr="00C806D0">
              <w:rPr>
                <w:rFonts w:cs="Univers-Light"/>
                <w:color w:val="000000"/>
              </w:rPr>
              <w:t>Subdural hematoma.</w:t>
            </w:r>
          </w:p>
          <w:p w:rsidR="000027E7" w:rsidRPr="00C806D0" w:rsidRDefault="000027E7" w:rsidP="000027E7">
            <w:pPr>
              <w:autoSpaceDE w:val="0"/>
              <w:autoSpaceDN w:val="0"/>
              <w:adjustRightInd w:val="0"/>
              <w:spacing w:line="240" w:lineRule="auto"/>
              <w:ind w:left="1440"/>
              <w:rPr>
                <w:rFonts w:cs="Univers-Light"/>
                <w:color w:val="000000"/>
              </w:rPr>
            </w:pPr>
            <w:r w:rsidRPr="00C806D0">
              <w:rPr>
                <w:rFonts w:eastAsia="MTSY" w:cs="MTSY"/>
                <w:color w:val="000000"/>
              </w:rPr>
              <w:t xml:space="preserve">• </w:t>
            </w:r>
            <w:r w:rsidRPr="00C806D0">
              <w:rPr>
                <w:rFonts w:cs="Univers-Light"/>
                <w:color w:val="000000"/>
              </w:rPr>
              <w:t>Epidural hematoma.</w:t>
            </w:r>
          </w:p>
          <w:p w:rsidR="000027E7" w:rsidRPr="00C806D0" w:rsidRDefault="000027E7" w:rsidP="000027E7">
            <w:pPr>
              <w:autoSpaceDE w:val="0"/>
              <w:autoSpaceDN w:val="0"/>
              <w:adjustRightInd w:val="0"/>
              <w:spacing w:line="240" w:lineRule="auto"/>
              <w:ind w:left="1440"/>
              <w:rPr>
                <w:rFonts w:cs="Univers-Light"/>
                <w:color w:val="000000"/>
              </w:rPr>
            </w:pPr>
            <w:r w:rsidRPr="00C806D0">
              <w:rPr>
                <w:rFonts w:eastAsia="MTSY" w:cs="MTSY"/>
                <w:color w:val="000000"/>
              </w:rPr>
              <w:t xml:space="preserve">• </w:t>
            </w:r>
            <w:r w:rsidRPr="00C806D0">
              <w:rPr>
                <w:rFonts w:cs="Univers-Light"/>
                <w:color w:val="000000"/>
              </w:rPr>
              <w:t>Cerebral contusion.</w:t>
            </w:r>
          </w:p>
          <w:p w:rsidR="000027E7" w:rsidRPr="00C806D0" w:rsidRDefault="000027E7" w:rsidP="000027E7">
            <w:pPr>
              <w:autoSpaceDE w:val="0"/>
              <w:autoSpaceDN w:val="0"/>
              <w:adjustRightInd w:val="0"/>
              <w:spacing w:line="240" w:lineRule="auto"/>
              <w:ind w:left="1440"/>
              <w:rPr>
                <w:rFonts w:cs="Univers-Light"/>
                <w:color w:val="000000"/>
              </w:rPr>
            </w:pPr>
            <w:r w:rsidRPr="00C806D0">
              <w:rPr>
                <w:rFonts w:eastAsia="MTSY" w:cs="MTSY"/>
                <w:color w:val="000000"/>
              </w:rPr>
              <w:t xml:space="preserve">• </w:t>
            </w:r>
            <w:r w:rsidRPr="00C806D0">
              <w:rPr>
                <w:rFonts w:cs="Univers-Light"/>
                <w:color w:val="000000"/>
              </w:rPr>
              <w:t>Hemorrhagic contusion.</w:t>
            </w:r>
          </w:p>
          <w:p w:rsidR="000027E7" w:rsidRPr="00C806D0" w:rsidRDefault="000027E7" w:rsidP="000027E7">
            <w:pPr>
              <w:autoSpaceDE w:val="0"/>
              <w:autoSpaceDN w:val="0"/>
              <w:adjustRightInd w:val="0"/>
              <w:spacing w:line="240" w:lineRule="auto"/>
              <w:ind w:left="1440"/>
              <w:rPr>
                <w:rFonts w:cs="Univers-Light"/>
                <w:color w:val="000000"/>
              </w:rPr>
            </w:pPr>
            <w:r w:rsidRPr="00C806D0">
              <w:rPr>
                <w:rFonts w:eastAsia="MTSY" w:cs="MTSY"/>
                <w:color w:val="000000"/>
              </w:rPr>
              <w:t xml:space="preserve">• </w:t>
            </w:r>
            <w:r w:rsidRPr="00C806D0">
              <w:rPr>
                <w:rFonts w:cs="Univers-Light"/>
                <w:color w:val="000000"/>
              </w:rPr>
              <w:t>Penetrating TBI (dura penetrated).</w:t>
            </w:r>
          </w:p>
          <w:p w:rsidR="000027E7" w:rsidRPr="00C806D0" w:rsidRDefault="000027E7" w:rsidP="000027E7">
            <w:pPr>
              <w:autoSpaceDE w:val="0"/>
              <w:autoSpaceDN w:val="0"/>
              <w:adjustRightInd w:val="0"/>
              <w:spacing w:line="240" w:lineRule="auto"/>
              <w:ind w:left="1440"/>
              <w:rPr>
                <w:rFonts w:cs="Univers-Light"/>
                <w:color w:val="000000"/>
              </w:rPr>
            </w:pPr>
            <w:r w:rsidRPr="00C806D0">
              <w:rPr>
                <w:rFonts w:eastAsia="MTSY" w:cs="MTSY"/>
                <w:color w:val="000000"/>
              </w:rPr>
              <w:t xml:space="preserve">• </w:t>
            </w:r>
            <w:r w:rsidRPr="00C806D0">
              <w:rPr>
                <w:rFonts w:cs="Univers-Light"/>
                <w:color w:val="000000"/>
              </w:rPr>
              <w:t>Subarachnoid hemorrhage.</w:t>
            </w:r>
          </w:p>
          <w:p w:rsidR="000027E7" w:rsidRPr="00C806D0" w:rsidRDefault="000027E7" w:rsidP="000027E7">
            <w:pPr>
              <w:autoSpaceDE w:val="0"/>
              <w:autoSpaceDN w:val="0"/>
              <w:adjustRightInd w:val="0"/>
              <w:spacing w:line="240" w:lineRule="auto"/>
              <w:ind w:left="1440"/>
            </w:pPr>
          </w:p>
        </w:tc>
      </w:tr>
      <w:tr w:rsidR="000027E7" w:rsidRPr="00C806D0" w:rsidTr="000027E7">
        <w:tc>
          <w:tcPr>
            <w:tcW w:w="9242" w:type="dxa"/>
            <w:tcBorders>
              <w:top w:val="single" w:sz="4" w:space="0" w:color="auto"/>
              <w:bottom w:val="single" w:sz="4" w:space="0" w:color="auto"/>
            </w:tcBorders>
          </w:tcPr>
          <w:p w:rsidR="000027E7" w:rsidRPr="00C806D0" w:rsidRDefault="000027E7" w:rsidP="000027E7">
            <w:pPr>
              <w:spacing w:line="240" w:lineRule="auto"/>
              <w:rPr>
                <w:b/>
              </w:rPr>
            </w:pPr>
            <w:r w:rsidRPr="00C806D0">
              <w:rPr>
                <w:b/>
              </w:rPr>
              <w:t xml:space="preserve">Mild TBI. </w:t>
            </w:r>
          </w:p>
          <w:p w:rsidR="000027E7" w:rsidRPr="00C806D0" w:rsidRDefault="000027E7" w:rsidP="000027E7">
            <w:pPr>
              <w:spacing w:line="240" w:lineRule="auto"/>
              <w:rPr>
                <w:b/>
              </w:rPr>
            </w:pPr>
            <w:r w:rsidRPr="00C806D0">
              <w:rPr>
                <w:b/>
              </w:rPr>
              <w:t>Documented head trauma associated with no moderate/severe criteria, and:</w:t>
            </w:r>
          </w:p>
        </w:tc>
      </w:tr>
      <w:tr w:rsidR="000027E7" w:rsidRPr="00C806D0" w:rsidTr="000027E7">
        <w:tc>
          <w:tcPr>
            <w:tcW w:w="9242" w:type="dxa"/>
          </w:tcPr>
          <w:p w:rsidR="000027E7" w:rsidRPr="00C806D0" w:rsidRDefault="000027E7" w:rsidP="00550C9C">
            <w:pPr>
              <w:pStyle w:val="ListParagraph"/>
              <w:numPr>
                <w:ilvl w:val="0"/>
                <w:numId w:val="22"/>
              </w:numPr>
              <w:spacing w:after="0" w:line="240" w:lineRule="auto"/>
            </w:pPr>
            <w:r w:rsidRPr="00C806D0">
              <w:t>Loss of consciousness &lt;30 mins</w:t>
            </w:r>
          </w:p>
        </w:tc>
      </w:tr>
      <w:tr w:rsidR="000027E7" w:rsidRPr="00C806D0" w:rsidTr="000027E7">
        <w:tc>
          <w:tcPr>
            <w:tcW w:w="9242" w:type="dxa"/>
          </w:tcPr>
          <w:p w:rsidR="000027E7" w:rsidRPr="00C806D0" w:rsidRDefault="000027E7" w:rsidP="00550C9C">
            <w:pPr>
              <w:pStyle w:val="ListParagraph"/>
              <w:numPr>
                <w:ilvl w:val="0"/>
                <w:numId w:val="22"/>
              </w:numPr>
              <w:spacing w:after="0" w:line="240" w:lineRule="auto"/>
            </w:pPr>
            <w:r w:rsidRPr="00C806D0">
              <w:t>Post traumatic amnesia &lt;24 hours</w:t>
            </w:r>
          </w:p>
        </w:tc>
      </w:tr>
      <w:tr w:rsidR="000027E7" w:rsidRPr="00C806D0" w:rsidTr="000027E7">
        <w:tc>
          <w:tcPr>
            <w:tcW w:w="9242" w:type="dxa"/>
          </w:tcPr>
          <w:p w:rsidR="000027E7" w:rsidRPr="00C806D0" w:rsidRDefault="000027E7" w:rsidP="00550C9C">
            <w:pPr>
              <w:pStyle w:val="ListParagraph"/>
              <w:numPr>
                <w:ilvl w:val="0"/>
                <w:numId w:val="22"/>
              </w:numPr>
              <w:spacing w:after="0" w:line="240" w:lineRule="auto"/>
            </w:pPr>
            <w:r w:rsidRPr="00C806D0">
              <w:t>Worst Glasgow Coma Scale score 13-15 in first 24 hours post injury</w:t>
            </w:r>
          </w:p>
        </w:tc>
      </w:tr>
      <w:tr w:rsidR="000027E7" w:rsidRPr="00C806D0" w:rsidTr="000027E7">
        <w:trPr>
          <w:trHeight w:val="924"/>
        </w:trPr>
        <w:tc>
          <w:tcPr>
            <w:tcW w:w="9242" w:type="dxa"/>
          </w:tcPr>
          <w:p w:rsidR="000027E7" w:rsidRPr="00C806D0" w:rsidRDefault="000027E7" w:rsidP="00550C9C">
            <w:pPr>
              <w:pStyle w:val="ListParagraph"/>
              <w:numPr>
                <w:ilvl w:val="0"/>
                <w:numId w:val="22"/>
              </w:numPr>
              <w:spacing w:after="0" w:line="240" w:lineRule="auto"/>
            </w:pPr>
            <w:r w:rsidRPr="00C806D0">
              <w:t xml:space="preserve">Structural intracranial lesion present: </w:t>
            </w:r>
          </w:p>
          <w:p w:rsidR="000027E7" w:rsidRPr="00C806D0" w:rsidRDefault="000027E7" w:rsidP="000027E7">
            <w:pPr>
              <w:autoSpaceDE w:val="0"/>
              <w:autoSpaceDN w:val="0"/>
              <w:adjustRightInd w:val="0"/>
              <w:spacing w:line="240" w:lineRule="auto"/>
              <w:ind w:left="1440"/>
              <w:rPr>
                <w:rFonts w:cs="Univers-Light"/>
                <w:color w:val="000000"/>
              </w:rPr>
            </w:pPr>
            <w:r w:rsidRPr="00C806D0">
              <w:rPr>
                <w:rFonts w:eastAsia="MTSY" w:cs="MTSY"/>
                <w:color w:val="000000"/>
              </w:rPr>
              <w:t xml:space="preserve">• </w:t>
            </w:r>
            <w:r w:rsidRPr="00C806D0">
              <w:rPr>
                <w:rFonts w:cs="Univers-Light"/>
                <w:color w:val="000000"/>
              </w:rPr>
              <w:t>Basilar skull fracture (dura intact)</w:t>
            </w:r>
          </w:p>
          <w:p w:rsidR="000027E7" w:rsidRPr="00C806D0" w:rsidRDefault="000027E7" w:rsidP="000027E7">
            <w:pPr>
              <w:autoSpaceDE w:val="0"/>
              <w:autoSpaceDN w:val="0"/>
              <w:adjustRightInd w:val="0"/>
              <w:spacing w:line="240" w:lineRule="auto"/>
              <w:ind w:left="1440"/>
              <w:rPr>
                <w:rFonts w:cs="Univers-Light"/>
                <w:color w:val="000000"/>
              </w:rPr>
            </w:pPr>
            <w:r w:rsidRPr="00C806D0">
              <w:rPr>
                <w:rFonts w:eastAsia="MTSY" w:cs="MTSY"/>
                <w:color w:val="000000"/>
              </w:rPr>
              <w:t xml:space="preserve">• </w:t>
            </w:r>
            <w:r w:rsidRPr="00C806D0">
              <w:rPr>
                <w:rFonts w:cs="Univers-Light"/>
                <w:color w:val="000000"/>
              </w:rPr>
              <w:t>Linear skull fracture</w:t>
            </w:r>
          </w:p>
        </w:tc>
      </w:tr>
      <w:tr w:rsidR="000027E7" w:rsidRPr="00C806D0" w:rsidTr="000027E7">
        <w:tc>
          <w:tcPr>
            <w:tcW w:w="9242" w:type="dxa"/>
          </w:tcPr>
          <w:p w:rsidR="000027E7" w:rsidRPr="00C806D0" w:rsidRDefault="000027E7" w:rsidP="00550C9C">
            <w:pPr>
              <w:pStyle w:val="ListParagraph"/>
              <w:numPr>
                <w:ilvl w:val="0"/>
                <w:numId w:val="22"/>
              </w:numPr>
              <w:spacing w:after="0" w:line="240" w:lineRule="auto"/>
            </w:pPr>
            <w:r w:rsidRPr="00C806D0">
              <w:t>Post-concussive symptoms:</w:t>
            </w:r>
          </w:p>
          <w:p w:rsidR="000027E7" w:rsidRPr="00C806D0" w:rsidRDefault="000027E7" w:rsidP="000027E7">
            <w:pPr>
              <w:pStyle w:val="NoSpacing"/>
              <w:ind w:left="1440"/>
            </w:pPr>
            <w:r w:rsidRPr="00C806D0">
              <w:rPr>
                <w:rFonts w:eastAsia="MTSY" w:cs="MTSY"/>
              </w:rPr>
              <w:t xml:space="preserve">• </w:t>
            </w:r>
            <w:r w:rsidRPr="00C806D0">
              <w:t>Blurred vision</w:t>
            </w:r>
          </w:p>
          <w:p w:rsidR="000027E7" w:rsidRPr="00C806D0" w:rsidRDefault="000027E7" w:rsidP="000027E7">
            <w:pPr>
              <w:pStyle w:val="NoSpacing"/>
              <w:ind w:left="1440"/>
            </w:pPr>
            <w:r w:rsidRPr="00C806D0">
              <w:rPr>
                <w:rFonts w:eastAsia="MTSY" w:cs="MTSY"/>
              </w:rPr>
              <w:t xml:space="preserve">• </w:t>
            </w:r>
            <w:r w:rsidRPr="00C806D0">
              <w:t>Confusion (mental state changes)</w:t>
            </w:r>
          </w:p>
          <w:p w:rsidR="000027E7" w:rsidRPr="00C806D0" w:rsidRDefault="000027E7" w:rsidP="000027E7">
            <w:pPr>
              <w:pStyle w:val="NoSpacing"/>
              <w:ind w:left="1440"/>
            </w:pPr>
            <w:r w:rsidRPr="00C806D0">
              <w:rPr>
                <w:rFonts w:eastAsia="MTSY" w:cs="MTSY"/>
              </w:rPr>
              <w:t xml:space="preserve">• </w:t>
            </w:r>
            <w:r w:rsidRPr="00C806D0">
              <w:t>Dazed</w:t>
            </w:r>
          </w:p>
          <w:p w:rsidR="000027E7" w:rsidRPr="00C806D0" w:rsidRDefault="000027E7" w:rsidP="000027E7">
            <w:pPr>
              <w:pStyle w:val="NoSpacing"/>
              <w:ind w:left="1440"/>
            </w:pPr>
            <w:r w:rsidRPr="00C806D0">
              <w:rPr>
                <w:rFonts w:eastAsia="MTSY" w:cs="MTSY"/>
              </w:rPr>
              <w:t xml:space="preserve">• </w:t>
            </w:r>
            <w:r w:rsidRPr="00C806D0">
              <w:t>Dizziness</w:t>
            </w:r>
          </w:p>
          <w:p w:rsidR="000027E7" w:rsidRPr="00C806D0" w:rsidRDefault="000027E7" w:rsidP="000027E7">
            <w:pPr>
              <w:pStyle w:val="NoSpacing"/>
              <w:ind w:left="1440"/>
            </w:pPr>
            <w:r w:rsidRPr="00C806D0">
              <w:rPr>
                <w:rFonts w:eastAsia="MTSY" w:cs="MTSY"/>
              </w:rPr>
              <w:t xml:space="preserve">• </w:t>
            </w:r>
            <w:r w:rsidRPr="00C806D0">
              <w:t>Focal neurological symptoms</w:t>
            </w:r>
          </w:p>
          <w:p w:rsidR="000027E7" w:rsidRPr="00C806D0" w:rsidRDefault="000027E7" w:rsidP="000027E7">
            <w:pPr>
              <w:pStyle w:val="NoSpacing"/>
              <w:ind w:left="1440"/>
            </w:pPr>
            <w:r w:rsidRPr="00C806D0">
              <w:rPr>
                <w:rFonts w:eastAsia="MTSY" w:cs="MTSY"/>
              </w:rPr>
              <w:t xml:space="preserve">• </w:t>
            </w:r>
            <w:r w:rsidRPr="00C806D0">
              <w:t>Headache</w:t>
            </w:r>
          </w:p>
          <w:p w:rsidR="000027E7" w:rsidRPr="00C806D0" w:rsidRDefault="000027E7" w:rsidP="000027E7">
            <w:pPr>
              <w:pStyle w:val="NoSpacing"/>
              <w:ind w:left="1440"/>
            </w:pPr>
            <w:r w:rsidRPr="00C806D0">
              <w:rPr>
                <w:rFonts w:eastAsia="MTSY" w:cs="MTSY"/>
              </w:rPr>
              <w:t xml:space="preserve">• </w:t>
            </w:r>
            <w:r w:rsidRPr="00C806D0">
              <w:t>Nausea</w:t>
            </w:r>
          </w:p>
          <w:p w:rsidR="000027E7" w:rsidRPr="00C806D0" w:rsidRDefault="000027E7" w:rsidP="000027E7">
            <w:pPr>
              <w:pStyle w:val="NoSpacing"/>
              <w:ind w:left="1440"/>
              <w:rPr>
                <w:lang w:val="en-CA"/>
              </w:rPr>
            </w:pPr>
          </w:p>
        </w:tc>
      </w:tr>
    </w:tbl>
    <w:p w:rsidR="000027E7" w:rsidRPr="00C806D0" w:rsidRDefault="000027E7" w:rsidP="000027E7">
      <w:pPr>
        <w:rPr>
          <w:rFonts w:ascii="Univers-Light" w:hAnsi="Univers-Light" w:cs="Univers-Light"/>
          <w:color w:val="000000"/>
          <w:sz w:val="12"/>
          <w:szCs w:val="12"/>
        </w:rPr>
      </w:pPr>
    </w:p>
    <w:p w:rsidR="000027E7" w:rsidRPr="00C806D0" w:rsidRDefault="000027E7" w:rsidP="002A360F">
      <w:pPr>
        <w:pStyle w:val="Heading3"/>
      </w:pPr>
      <w:r w:rsidRPr="00C806D0">
        <w:t>Cohort and period life tables</w:t>
      </w:r>
    </w:p>
    <w:p w:rsidR="000027E7" w:rsidRPr="00C806D0" w:rsidRDefault="000027E7" w:rsidP="000027E7">
      <w:r w:rsidRPr="00C806D0">
        <w:t>Life tables conceptually trace a cohort of newborn babies from a defined population through their entire life; providing a summary of their mortality experience by reporting the probability of death at each age of life. From this, additional inferences on the number of deaths per year, expectation of life at a given age, and population survival curves and hazard functions can be derived. Such information may be of interest in actuarial science, health economics, epidemiology or biological disciplines.</w:t>
      </w:r>
      <w:r w:rsidR="00D368BB" w:rsidRPr="00C806D0">
        <w:rPr>
          <w:noProof/>
          <w:vertAlign w:val="superscript"/>
        </w:rPr>
        <w:t>[</w:t>
      </w:r>
      <w:r w:rsidR="006D4D62" w:rsidRPr="00C806D0">
        <w:rPr>
          <w:noProof/>
          <w:vertAlign w:val="superscript"/>
        </w:rPr>
        <w:t>9-11</w:t>
      </w:r>
      <w:r w:rsidR="00D368BB" w:rsidRPr="00C806D0">
        <w:rPr>
          <w:noProof/>
          <w:vertAlign w:val="superscript"/>
        </w:rPr>
        <w:t>]</w:t>
      </w:r>
      <w:r w:rsidRPr="00C806D0">
        <w:t xml:space="preserve"> </w:t>
      </w:r>
    </w:p>
    <w:p w:rsidR="000027E7" w:rsidRPr="00C806D0" w:rsidRDefault="000027E7" w:rsidP="000027E7"/>
    <w:p w:rsidR="000027E7" w:rsidRPr="00C806D0" w:rsidRDefault="000027E7" w:rsidP="000027E7">
      <w:r w:rsidRPr="00C806D0">
        <w:t>The basic structure of a life table is shown in Table G3. Each row refers to a specific time period, usually a single year of life. Conventionally there are 7 columns, which are defined as follows:</w:t>
      </w:r>
    </w:p>
    <w:p w:rsidR="000027E7" w:rsidRPr="00C806D0" w:rsidRDefault="000027E7" w:rsidP="000027E7"/>
    <w:p w:rsidR="000027E7" w:rsidRPr="00C806D0" w:rsidRDefault="000027E7" w:rsidP="00550C9C">
      <w:pPr>
        <w:pStyle w:val="ListParagraph"/>
        <w:numPr>
          <w:ilvl w:val="0"/>
          <w:numId w:val="24"/>
        </w:numPr>
      </w:pPr>
      <w:r w:rsidRPr="00C806D0">
        <w:t>Age (x): The age at the beginning of a one year interval of life between age x and x+1.</w:t>
      </w:r>
    </w:p>
    <w:p w:rsidR="000027E7" w:rsidRPr="00C806D0" w:rsidRDefault="000027E7" w:rsidP="00550C9C">
      <w:pPr>
        <w:pStyle w:val="ListParagraph"/>
        <w:numPr>
          <w:ilvl w:val="0"/>
          <w:numId w:val="24"/>
        </w:numPr>
      </w:pPr>
      <w:r w:rsidRPr="00C806D0">
        <w:t>Proportion dying (</w:t>
      </w:r>
      <w:r w:rsidRPr="00C806D0">
        <w:rPr>
          <w:vertAlign w:val="subscript"/>
        </w:rPr>
        <w:t>n</w:t>
      </w:r>
      <w:r w:rsidRPr="00C806D0">
        <w:t>q</w:t>
      </w:r>
      <w:r w:rsidRPr="00C806D0">
        <w:rPr>
          <w:vertAlign w:val="subscript"/>
        </w:rPr>
        <w:t>x</w:t>
      </w:r>
      <w:r w:rsidRPr="00C806D0">
        <w:t>): The proportion of the cohort dying during each age interval. This is synonymous with the risk of death during the interval x to x+1, conditional on surviving to age x.</w:t>
      </w:r>
    </w:p>
    <w:p w:rsidR="000027E7" w:rsidRPr="00C806D0" w:rsidRDefault="000027E7" w:rsidP="00550C9C">
      <w:pPr>
        <w:pStyle w:val="ListParagraph"/>
        <w:numPr>
          <w:ilvl w:val="0"/>
          <w:numId w:val="24"/>
        </w:numPr>
      </w:pPr>
      <w:r w:rsidRPr="00C806D0">
        <w:t>Number alive (</w:t>
      </w:r>
      <w:r w:rsidRPr="00C806D0">
        <w:rPr>
          <w:i/>
        </w:rPr>
        <w:t>l</w:t>
      </w:r>
      <w:r w:rsidRPr="00C806D0">
        <w:rPr>
          <w:vertAlign w:val="subscript"/>
        </w:rPr>
        <w:t>x</w:t>
      </w:r>
      <w:r w:rsidRPr="00C806D0">
        <w:t>): The number of cases alive at the beginning of the age interval. The initial size of the conceptual cohort is termed the radix and is conventionally set to 100,000. As time progresses the number of living persons declines as individuals die during each age interval.</w:t>
      </w:r>
    </w:p>
    <w:p w:rsidR="000027E7" w:rsidRPr="00C806D0" w:rsidRDefault="000027E7" w:rsidP="00550C9C">
      <w:pPr>
        <w:pStyle w:val="ListParagraph"/>
        <w:numPr>
          <w:ilvl w:val="0"/>
          <w:numId w:val="24"/>
        </w:numPr>
      </w:pPr>
      <w:r w:rsidRPr="00C806D0">
        <w:t>Number of deaths (</w:t>
      </w:r>
      <w:r w:rsidRPr="00C806D0">
        <w:rPr>
          <w:vertAlign w:val="subscript"/>
        </w:rPr>
        <w:t>n</w:t>
      </w:r>
      <w:r w:rsidRPr="00C806D0">
        <w:t>d</w:t>
      </w:r>
      <w:r w:rsidRPr="00C806D0">
        <w:rPr>
          <w:vertAlign w:val="subscript"/>
        </w:rPr>
        <w:t>x</w:t>
      </w:r>
      <w:r w:rsidRPr="00C806D0">
        <w:t>): The number of individuals from the hypothetical cohort dying during each age interval.</w:t>
      </w:r>
    </w:p>
    <w:p w:rsidR="000027E7" w:rsidRPr="00C806D0" w:rsidRDefault="000027E7" w:rsidP="00550C9C">
      <w:pPr>
        <w:pStyle w:val="ListParagraph"/>
        <w:numPr>
          <w:ilvl w:val="0"/>
          <w:numId w:val="24"/>
        </w:numPr>
      </w:pPr>
      <w:r w:rsidRPr="00C806D0">
        <w:t>Number of years lived (</w:t>
      </w:r>
      <w:r w:rsidRPr="00C806D0">
        <w:rPr>
          <w:vertAlign w:val="subscript"/>
        </w:rPr>
        <w:t>n</w:t>
      </w:r>
      <w:r w:rsidRPr="00C806D0">
        <w:t>L</w:t>
      </w:r>
      <w:r w:rsidRPr="00C806D0">
        <w:rPr>
          <w:vertAlign w:val="subscript"/>
        </w:rPr>
        <w:t>x</w:t>
      </w:r>
      <w:r w:rsidRPr="00C806D0">
        <w:t>): The number of years lived by remaining individuals in the cohort during each age interval. Individuals dying during an age period contribute a portion of a year to this calculation.</w:t>
      </w:r>
    </w:p>
    <w:p w:rsidR="000027E7" w:rsidRPr="00C806D0" w:rsidRDefault="000027E7" w:rsidP="00550C9C">
      <w:pPr>
        <w:pStyle w:val="ListParagraph"/>
        <w:numPr>
          <w:ilvl w:val="0"/>
          <w:numId w:val="24"/>
        </w:numPr>
      </w:pPr>
      <w:r w:rsidRPr="00C806D0">
        <w:t>Total time lived (T</w:t>
      </w:r>
      <w:r w:rsidRPr="00C806D0">
        <w:rPr>
          <w:vertAlign w:val="subscript"/>
        </w:rPr>
        <w:t>x</w:t>
      </w:r>
      <w:r w:rsidRPr="00C806D0">
        <w:t>): The total number of years lived by members of the cohort beyond a given age x.</w:t>
      </w:r>
    </w:p>
    <w:p w:rsidR="000027E7" w:rsidRPr="00C806D0" w:rsidRDefault="000027E7" w:rsidP="00550C9C">
      <w:pPr>
        <w:pStyle w:val="ListParagraph"/>
        <w:numPr>
          <w:ilvl w:val="0"/>
          <w:numId w:val="24"/>
        </w:numPr>
      </w:pPr>
      <w:r w:rsidRPr="00C806D0">
        <w:t>e</w:t>
      </w:r>
      <w:r w:rsidRPr="00C806D0">
        <w:rPr>
          <w:vertAlign w:val="subscript"/>
        </w:rPr>
        <w:t>x</w:t>
      </w:r>
      <w:r w:rsidRPr="00C806D0">
        <w:t>: Expectation of life at age x:  The average life expectancy having reached age x.</w:t>
      </w:r>
    </w:p>
    <w:p w:rsidR="000027E7" w:rsidRPr="00C806D0" w:rsidRDefault="000027E7" w:rsidP="000027E7">
      <w:r w:rsidRPr="00C806D0">
        <w:t xml:space="preserve">The subscript before each parameter defines the width of the age interval, usually 1 year. The subscript after the parameter defines the starting point of the interval i.e. age x. </w:t>
      </w:r>
      <w:r w:rsidRPr="00C806D0">
        <w:rPr>
          <w:i/>
        </w:rPr>
        <w:t>l</w:t>
      </w:r>
      <w:r w:rsidRPr="00C806D0">
        <w:rPr>
          <w:vertAlign w:val="subscript"/>
        </w:rPr>
        <w:t>x</w:t>
      </w:r>
      <w:r w:rsidRPr="00C806D0">
        <w:t>, T</w:t>
      </w:r>
      <w:r w:rsidRPr="00C806D0">
        <w:rPr>
          <w:vertAlign w:val="subscript"/>
        </w:rPr>
        <w:t>x</w:t>
      </w:r>
      <w:r w:rsidRPr="00C806D0">
        <w:t>, and e</w:t>
      </w:r>
      <w:r w:rsidRPr="00C806D0">
        <w:rPr>
          <w:vertAlign w:val="subscript"/>
        </w:rPr>
        <w:t>x</w:t>
      </w:r>
      <w:r w:rsidRPr="00C806D0">
        <w:t xml:space="preserve"> to not have an initial subscript as they refer to an exact age x, rather than an age interval. The conditional probability of dying, </w:t>
      </w:r>
      <w:r w:rsidRPr="00C806D0">
        <w:rPr>
          <w:vertAlign w:val="subscript"/>
        </w:rPr>
        <w:t>n</w:t>
      </w:r>
      <w:r w:rsidRPr="00C806D0">
        <w:t>q</w:t>
      </w:r>
      <w:r w:rsidRPr="00C806D0">
        <w:rPr>
          <w:vertAlign w:val="subscript"/>
        </w:rPr>
        <w:t>x</w:t>
      </w:r>
      <w:r w:rsidRPr="00C806D0">
        <w:t>, is the basic function of the life table and other values can be derived from this and the radix.</w:t>
      </w:r>
      <w:r w:rsidR="00D368BB" w:rsidRPr="00C806D0">
        <w:rPr>
          <w:noProof/>
          <w:vertAlign w:val="superscript"/>
        </w:rPr>
        <w:t>[</w:t>
      </w:r>
      <w:r w:rsidR="006D4D62" w:rsidRPr="00C806D0">
        <w:rPr>
          <w:noProof/>
          <w:vertAlign w:val="superscript"/>
        </w:rPr>
        <w:t>9-11</w:t>
      </w:r>
      <w:r w:rsidR="00D368BB" w:rsidRPr="00C806D0">
        <w:rPr>
          <w:noProof/>
          <w:vertAlign w:val="superscript"/>
        </w:rPr>
        <w:t>]</w:t>
      </w:r>
    </w:p>
    <w:p w:rsidR="000027E7" w:rsidRPr="00C806D0" w:rsidRDefault="000027E7" w:rsidP="000027E7"/>
    <w:p w:rsidR="000027E7" w:rsidRPr="00C806D0" w:rsidRDefault="000027E7" w:rsidP="000027E7">
      <w:r w:rsidRPr="00C806D0">
        <w:rPr>
          <w:b/>
        </w:rPr>
        <w:t>Table G3. The structure of a typical life table.</w:t>
      </w:r>
    </w:p>
    <w:tbl>
      <w:tblPr>
        <w:tblStyle w:val="LightShading1"/>
        <w:tblW w:w="5000" w:type="pct"/>
        <w:tblLook w:val="0620" w:firstRow="1" w:lastRow="0" w:firstColumn="0" w:lastColumn="0" w:noHBand="1" w:noVBand="1"/>
      </w:tblPr>
      <w:tblGrid>
        <w:gridCol w:w="1769"/>
        <w:gridCol w:w="1407"/>
        <w:gridCol w:w="1257"/>
        <w:gridCol w:w="736"/>
        <w:gridCol w:w="1109"/>
        <w:gridCol w:w="1481"/>
        <w:gridCol w:w="961"/>
      </w:tblGrid>
      <w:tr w:rsidR="000027E7" w:rsidRPr="00C806D0" w:rsidTr="000027E7">
        <w:trPr>
          <w:cnfStyle w:val="100000000000" w:firstRow="1" w:lastRow="0" w:firstColumn="0" w:lastColumn="0" w:oddVBand="0" w:evenVBand="0" w:oddHBand="0" w:evenHBand="0" w:firstRowFirstColumn="0" w:firstRowLastColumn="0" w:lastRowFirstColumn="0" w:lastRowLastColumn="0"/>
        </w:trPr>
        <w:tc>
          <w:tcPr>
            <w:tcW w:w="1014" w:type="pct"/>
          </w:tcPr>
          <w:p w:rsidR="000027E7" w:rsidRPr="00C806D0" w:rsidRDefault="000027E7" w:rsidP="000027E7">
            <w:r w:rsidRPr="00C806D0">
              <w:t>Age (x)</w:t>
            </w:r>
          </w:p>
        </w:tc>
        <w:tc>
          <w:tcPr>
            <w:tcW w:w="807" w:type="pct"/>
          </w:tcPr>
          <w:p w:rsidR="000027E7" w:rsidRPr="00C806D0" w:rsidRDefault="000027E7" w:rsidP="000027E7">
            <w:r w:rsidRPr="00C806D0">
              <w:t>q</w:t>
            </w:r>
            <w:r w:rsidRPr="00C806D0">
              <w:rPr>
                <w:vertAlign w:val="subscript"/>
              </w:rPr>
              <w:t>x</w:t>
            </w:r>
          </w:p>
        </w:tc>
        <w:tc>
          <w:tcPr>
            <w:tcW w:w="721" w:type="pct"/>
          </w:tcPr>
          <w:p w:rsidR="000027E7" w:rsidRPr="00C806D0" w:rsidRDefault="000027E7" w:rsidP="000027E7">
            <w:r w:rsidRPr="00C806D0">
              <w:rPr>
                <w:i/>
              </w:rPr>
              <w:t>l</w:t>
            </w:r>
            <w:r w:rsidRPr="00C806D0">
              <w:rPr>
                <w:vertAlign w:val="subscript"/>
              </w:rPr>
              <w:t>x</w:t>
            </w:r>
          </w:p>
        </w:tc>
        <w:tc>
          <w:tcPr>
            <w:tcW w:w="422" w:type="pct"/>
          </w:tcPr>
          <w:p w:rsidR="000027E7" w:rsidRPr="00C806D0" w:rsidRDefault="000027E7" w:rsidP="000027E7">
            <w:r w:rsidRPr="00C806D0">
              <w:t>d</w:t>
            </w:r>
            <w:r w:rsidRPr="00C806D0">
              <w:rPr>
                <w:vertAlign w:val="subscript"/>
              </w:rPr>
              <w:t>x</w:t>
            </w:r>
          </w:p>
        </w:tc>
        <w:tc>
          <w:tcPr>
            <w:tcW w:w="636" w:type="pct"/>
          </w:tcPr>
          <w:p w:rsidR="000027E7" w:rsidRPr="00C806D0" w:rsidRDefault="000027E7" w:rsidP="000027E7">
            <w:r w:rsidRPr="00C806D0">
              <w:t>L</w:t>
            </w:r>
            <w:r w:rsidRPr="00C806D0">
              <w:rPr>
                <w:vertAlign w:val="subscript"/>
              </w:rPr>
              <w:t>x</w:t>
            </w:r>
          </w:p>
        </w:tc>
        <w:tc>
          <w:tcPr>
            <w:tcW w:w="849" w:type="pct"/>
          </w:tcPr>
          <w:p w:rsidR="000027E7" w:rsidRPr="00C806D0" w:rsidRDefault="000027E7" w:rsidP="000027E7">
            <w:r w:rsidRPr="00C806D0">
              <w:t>T</w:t>
            </w:r>
            <w:r w:rsidRPr="00C806D0">
              <w:rPr>
                <w:vertAlign w:val="subscript"/>
              </w:rPr>
              <w:t>x</w:t>
            </w:r>
          </w:p>
        </w:tc>
        <w:tc>
          <w:tcPr>
            <w:tcW w:w="551" w:type="pct"/>
          </w:tcPr>
          <w:p w:rsidR="000027E7" w:rsidRPr="00C806D0" w:rsidRDefault="000027E7" w:rsidP="000027E7">
            <w:r w:rsidRPr="00C806D0">
              <w:t>e</w:t>
            </w:r>
            <w:r w:rsidRPr="00C806D0">
              <w:rPr>
                <w:vertAlign w:val="subscript"/>
              </w:rPr>
              <w:t>x</w:t>
            </w:r>
          </w:p>
        </w:tc>
      </w:tr>
      <w:tr w:rsidR="000027E7" w:rsidRPr="00C806D0" w:rsidTr="000027E7">
        <w:tc>
          <w:tcPr>
            <w:tcW w:w="1014" w:type="pct"/>
          </w:tcPr>
          <w:p w:rsidR="000027E7" w:rsidRPr="00C806D0" w:rsidRDefault="000027E7" w:rsidP="000027E7">
            <w:r w:rsidRPr="00C806D0">
              <w:t>0</w:t>
            </w:r>
          </w:p>
        </w:tc>
        <w:tc>
          <w:tcPr>
            <w:tcW w:w="807" w:type="pct"/>
          </w:tcPr>
          <w:p w:rsidR="000027E7" w:rsidRPr="00C806D0" w:rsidRDefault="000027E7" w:rsidP="000027E7">
            <w:r w:rsidRPr="00C806D0">
              <w:t>0.005683</w:t>
            </w:r>
          </w:p>
        </w:tc>
        <w:tc>
          <w:tcPr>
            <w:tcW w:w="721" w:type="pct"/>
          </w:tcPr>
          <w:p w:rsidR="000027E7" w:rsidRPr="00C806D0" w:rsidRDefault="000027E7" w:rsidP="000027E7">
            <w:r w:rsidRPr="00C806D0">
              <w:t>100,000</w:t>
            </w:r>
          </w:p>
        </w:tc>
        <w:tc>
          <w:tcPr>
            <w:tcW w:w="422" w:type="pct"/>
          </w:tcPr>
          <w:p w:rsidR="000027E7" w:rsidRPr="00C806D0" w:rsidRDefault="000027E7" w:rsidP="000027E7">
            <w:r w:rsidRPr="00C806D0">
              <w:t>568</w:t>
            </w:r>
          </w:p>
        </w:tc>
        <w:tc>
          <w:tcPr>
            <w:tcW w:w="636" w:type="pct"/>
          </w:tcPr>
          <w:p w:rsidR="000027E7" w:rsidRPr="00C806D0" w:rsidRDefault="000027E7" w:rsidP="000027E7">
            <w:r w:rsidRPr="00C806D0">
              <w:t>99,602</w:t>
            </w:r>
          </w:p>
        </w:tc>
        <w:tc>
          <w:tcPr>
            <w:tcW w:w="849" w:type="pct"/>
          </w:tcPr>
          <w:p w:rsidR="000027E7" w:rsidRPr="00C806D0" w:rsidRDefault="000027E7" w:rsidP="000027E7">
            <w:r w:rsidRPr="00C806D0">
              <w:t>2,439,752</w:t>
            </w:r>
          </w:p>
        </w:tc>
        <w:tc>
          <w:tcPr>
            <w:tcW w:w="551" w:type="pct"/>
          </w:tcPr>
          <w:p w:rsidR="000027E7" w:rsidRPr="00C806D0" w:rsidRDefault="000027E7" w:rsidP="000027E7">
            <w:r w:rsidRPr="00C806D0">
              <w:t>76.52</w:t>
            </w:r>
          </w:p>
        </w:tc>
      </w:tr>
      <w:tr w:rsidR="000027E7" w:rsidRPr="00C806D0" w:rsidTr="000027E7">
        <w:tc>
          <w:tcPr>
            <w:tcW w:w="1014" w:type="pct"/>
          </w:tcPr>
          <w:p w:rsidR="000027E7" w:rsidRPr="00C806D0" w:rsidRDefault="000027E7" w:rsidP="000027E7">
            <w:r w:rsidRPr="00C806D0">
              <w:t>1</w:t>
            </w:r>
          </w:p>
        </w:tc>
        <w:tc>
          <w:tcPr>
            <w:tcW w:w="807" w:type="pct"/>
          </w:tcPr>
          <w:p w:rsidR="000027E7" w:rsidRPr="00C806D0" w:rsidRDefault="000027E7" w:rsidP="000027E7">
            <w:r w:rsidRPr="00C806D0">
              <w:t>0.000406</w:t>
            </w:r>
          </w:p>
        </w:tc>
        <w:tc>
          <w:tcPr>
            <w:tcW w:w="721" w:type="pct"/>
          </w:tcPr>
          <w:p w:rsidR="000027E7" w:rsidRPr="00C806D0" w:rsidRDefault="000027E7" w:rsidP="000027E7">
            <w:r w:rsidRPr="00C806D0">
              <w:t>99,432</w:t>
            </w:r>
          </w:p>
        </w:tc>
        <w:tc>
          <w:tcPr>
            <w:tcW w:w="422" w:type="pct"/>
          </w:tcPr>
          <w:p w:rsidR="000027E7" w:rsidRPr="00C806D0" w:rsidRDefault="000027E7" w:rsidP="000027E7">
            <w:r w:rsidRPr="00C806D0">
              <w:t>40</w:t>
            </w:r>
          </w:p>
        </w:tc>
        <w:tc>
          <w:tcPr>
            <w:tcW w:w="636" w:type="pct"/>
          </w:tcPr>
          <w:p w:rsidR="000027E7" w:rsidRPr="00C806D0" w:rsidRDefault="000027E7" w:rsidP="000027E7">
            <w:r w:rsidRPr="00C806D0">
              <w:t>99,412</w:t>
            </w:r>
          </w:p>
        </w:tc>
        <w:tc>
          <w:tcPr>
            <w:tcW w:w="849" w:type="pct"/>
          </w:tcPr>
          <w:p w:rsidR="000027E7" w:rsidRPr="00C806D0" w:rsidRDefault="000027E7" w:rsidP="000027E7">
            <w:r w:rsidRPr="00C806D0">
              <w:t>2,340,150</w:t>
            </w:r>
          </w:p>
        </w:tc>
        <w:tc>
          <w:tcPr>
            <w:tcW w:w="551" w:type="pct"/>
          </w:tcPr>
          <w:p w:rsidR="000027E7" w:rsidRPr="00C806D0" w:rsidRDefault="000027E7" w:rsidP="000027E7">
            <w:r w:rsidRPr="00C806D0">
              <w:t>75.95</w:t>
            </w:r>
          </w:p>
        </w:tc>
      </w:tr>
      <w:tr w:rsidR="000027E7" w:rsidRPr="00C806D0" w:rsidTr="000027E7">
        <w:tc>
          <w:tcPr>
            <w:tcW w:w="1014" w:type="pct"/>
          </w:tcPr>
          <w:p w:rsidR="000027E7" w:rsidRPr="00C806D0" w:rsidRDefault="000027E7" w:rsidP="000027E7">
            <w:r w:rsidRPr="00C806D0">
              <w:t>2</w:t>
            </w:r>
          </w:p>
        </w:tc>
        <w:tc>
          <w:tcPr>
            <w:tcW w:w="807" w:type="pct"/>
          </w:tcPr>
          <w:p w:rsidR="000027E7" w:rsidRPr="00C806D0" w:rsidRDefault="000027E7" w:rsidP="000027E7">
            <w:r w:rsidRPr="00C806D0">
              <w:t>0.000249</w:t>
            </w:r>
          </w:p>
        </w:tc>
        <w:tc>
          <w:tcPr>
            <w:tcW w:w="721" w:type="pct"/>
          </w:tcPr>
          <w:p w:rsidR="000027E7" w:rsidRPr="00C806D0" w:rsidRDefault="000027E7" w:rsidP="000027E7">
            <w:r w:rsidRPr="00C806D0">
              <w:t>99,391</w:t>
            </w:r>
          </w:p>
        </w:tc>
        <w:tc>
          <w:tcPr>
            <w:tcW w:w="422" w:type="pct"/>
          </w:tcPr>
          <w:p w:rsidR="000027E7" w:rsidRPr="00C806D0" w:rsidRDefault="000027E7" w:rsidP="000027E7">
            <w:r w:rsidRPr="00C806D0">
              <w:t>25</w:t>
            </w:r>
          </w:p>
        </w:tc>
        <w:tc>
          <w:tcPr>
            <w:tcW w:w="636" w:type="pct"/>
          </w:tcPr>
          <w:p w:rsidR="000027E7" w:rsidRPr="00C806D0" w:rsidRDefault="000027E7" w:rsidP="000027E7">
            <w:r w:rsidRPr="00C806D0">
              <w:t>99,379</w:t>
            </w:r>
          </w:p>
        </w:tc>
        <w:tc>
          <w:tcPr>
            <w:tcW w:w="849" w:type="pct"/>
          </w:tcPr>
          <w:p w:rsidR="000027E7" w:rsidRPr="00C806D0" w:rsidRDefault="000027E7" w:rsidP="000027E7">
            <w:r w:rsidRPr="00C806D0">
              <w:t>2,240,738</w:t>
            </w:r>
          </w:p>
        </w:tc>
        <w:tc>
          <w:tcPr>
            <w:tcW w:w="551" w:type="pct"/>
          </w:tcPr>
          <w:p w:rsidR="000027E7" w:rsidRPr="00C806D0" w:rsidRDefault="000027E7" w:rsidP="000027E7">
            <w:r w:rsidRPr="00C806D0">
              <w:t>74.98</w:t>
            </w:r>
          </w:p>
        </w:tc>
      </w:tr>
      <w:tr w:rsidR="000027E7" w:rsidRPr="00C806D0" w:rsidTr="000027E7">
        <w:tc>
          <w:tcPr>
            <w:tcW w:w="1014" w:type="pct"/>
          </w:tcPr>
          <w:p w:rsidR="000027E7" w:rsidRPr="00C806D0" w:rsidRDefault="000027E7" w:rsidP="000027E7">
            <w:r w:rsidRPr="00C806D0">
              <w:t>3</w:t>
            </w:r>
          </w:p>
        </w:tc>
        <w:tc>
          <w:tcPr>
            <w:tcW w:w="807" w:type="pct"/>
          </w:tcPr>
          <w:p w:rsidR="000027E7" w:rsidRPr="00C806D0" w:rsidRDefault="000027E7" w:rsidP="000027E7">
            <w:r w:rsidRPr="00C806D0">
              <w:t>0.000207</w:t>
            </w:r>
          </w:p>
        </w:tc>
        <w:tc>
          <w:tcPr>
            <w:tcW w:w="721" w:type="pct"/>
          </w:tcPr>
          <w:p w:rsidR="000027E7" w:rsidRPr="00C806D0" w:rsidRDefault="000027E7" w:rsidP="000027E7">
            <w:r w:rsidRPr="00C806D0">
              <w:t>99,367</w:t>
            </w:r>
          </w:p>
        </w:tc>
        <w:tc>
          <w:tcPr>
            <w:tcW w:w="422" w:type="pct"/>
          </w:tcPr>
          <w:p w:rsidR="000027E7" w:rsidRPr="00C806D0" w:rsidRDefault="000027E7" w:rsidP="000027E7">
            <w:r w:rsidRPr="00C806D0">
              <w:t>21</w:t>
            </w:r>
          </w:p>
        </w:tc>
        <w:tc>
          <w:tcPr>
            <w:tcW w:w="636" w:type="pct"/>
          </w:tcPr>
          <w:p w:rsidR="000027E7" w:rsidRPr="00C806D0" w:rsidRDefault="000027E7" w:rsidP="000027E7">
            <w:r w:rsidRPr="00C806D0">
              <w:t>99,356</w:t>
            </w:r>
          </w:p>
        </w:tc>
        <w:tc>
          <w:tcPr>
            <w:tcW w:w="849" w:type="pct"/>
          </w:tcPr>
          <w:p w:rsidR="000027E7" w:rsidRPr="00C806D0" w:rsidRDefault="000027E7" w:rsidP="000027E7">
            <w:r w:rsidRPr="00C806D0">
              <w:t>2,141,360</w:t>
            </w:r>
          </w:p>
        </w:tc>
        <w:tc>
          <w:tcPr>
            <w:tcW w:w="551" w:type="pct"/>
          </w:tcPr>
          <w:p w:rsidR="000027E7" w:rsidRPr="00C806D0" w:rsidRDefault="000027E7" w:rsidP="000027E7">
            <w:r w:rsidRPr="00C806D0">
              <w:t>74.00</w:t>
            </w:r>
          </w:p>
        </w:tc>
      </w:tr>
      <w:tr w:rsidR="000027E7" w:rsidRPr="00C806D0" w:rsidTr="000027E7">
        <w:tc>
          <w:tcPr>
            <w:tcW w:w="1014" w:type="pct"/>
          </w:tcPr>
          <w:p w:rsidR="000027E7" w:rsidRPr="00C806D0" w:rsidRDefault="000027E7" w:rsidP="000027E7">
            <w:r w:rsidRPr="00C806D0">
              <w:t>.</w:t>
            </w:r>
          </w:p>
        </w:tc>
        <w:tc>
          <w:tcPr>
            <w:tcW w:w="807" w:type="pct"/>
          </w:tcPr>
          <w:p w:rsidR="000027E7" w:rsidRPr="00C806D0" w:rsidRDefault="000027E7" w:rsidP="000027E7">
            <w:r w:rsidRPr="00C806D0">
              <w:t>.</w:t>
            </w:r>
          </w:p>
        </w:tc>
        <w:tc>
          <w:tcPr>
            <w:tcW w:w="721" w:type="pct"/>
          </w:tcPr>
          <w:p w:rsidR="000027E7" w:rsidRPr="00C806D0" w:rsidRDefault="000027E7" w:rsidP="000027E7">
            <w:r w:rsidRPr="00C806D0">
              <w:t>.</w:t>
            </w:r>
          </w:p>
        </w:tc>
        <w:tc>
          <w:tcPr>
            <w:tcW w:w="422" w:type="pct"/>
          </w:tcPr>
          <w:p w:rsidR="000027E7" w:rsidRPr="00C806D0" w:rsidRDefault="000027E7" w:rsidP="000027E7">
            <w:r w:rsidRPr="00C806D0">
              <w:t>.</w:t>
            </w:r>
          </w:p>
        </w:tc>
        <w:tc>
          <w:tcPr>
            <w:tcW w:w="636" w:type="pct"/>
          </w:tcPr>
          <w:p w:rsidR="000027E7" w:rsidRPr="00C806D0" w:rsidRDefault="000027E7" w:rsidP="000027E7">
            <w:r w:rsidRPr="00C806D0">
              <w:t>.</w:t>
            </w:r>
          </w:p>
        </w:tc>
        <w:tc>
          <w:tcPr>
            <w:tcW w:w="849" w:type="pct"/>
          </w:tcPr>
          <w:p w:rsidR="000027E7" w:rsidRPr="00C806D0" w:rsidRDefault="000027E7" w:rsidP="000027E7">
            <w:r w:rsidRPr="00C806D0">
              <w:t>.</w:t>
            </w:r>
          </w:p>
        </w:tc>
        <w:tc>
          <w:tcPr>
            <w:tcW w:w="551" w:type="pct"/>
          </w:tcPr>
          <w:p w:rsidR="000027E7" w:rsidRPr="00C806D0" w:rsidRDefault="000027E7" w:rsidP="000027E7">
            <w:r w:rsidRPr="00C806D0">
              <w:t>.</w:t>
            </w:r>
          </w:p>
        </w:tc>
      </w:tr>
      <w:tr w:rsidR="000027E7" w:rsidRPr="00C806D0" w:rsidTr="000027E7">
        <w:tc>
          <w:tcPr>
            <w:tcW w:w="1014" w:type="pct"/>
          </w:tcPr>
          <w:p w:rsidR="000027E7" w:rsidRPr="00C806D0" w:rsidRDefault="000027E7" w:rsidP="000027E7">
            <w:r w:rsidRPr="00C806D0">
              <w:t>.</w:t>
            </w:r>
          </w:p>
        </w:tc>
        <w:tc>
          <w:tcPr>
            <w:tcW w:w="807" w:type="pct"/>
          </w:tcPr>
          <w:p w:rsidR="000027E7" w:rsidRPr="00C806D0" w:rsidRDefault="000027E7" w:rsidP="000027E7">
            <w:r w:rsidRPr="00C806D0">
              <w:t>.</w:t>
            </w:r>
          </w:p>
        </w:tc>
        <w:tc>
          <w:tcPr>
            <w:tcW w:w="721" w:type="pct"/>
          </w:tcPr>
          <w:p w:rsidR="000027E7" w:rsidRPr="00C806D0" w:rsidRDefault="000027E7" w:rsidP="000027E7">
            <w:r w:rsidRPr="00C806D0">
              <w:t>.</w:t>
            </w:r>
          </w:p>
        </w:tc>
        <w:tc>
          <w:tcPr>
            <w:tcW w:w="422" w:type="pct"/>
          </w:tcPr>
          <w:p w:rsidR="000027E7" w:rsidRPr="00C806D0" w:rsidRDefault="000027E7" w:rsidP="000027E7">
            <w:r w:rsidRPr="00C806D0">
              <w:t>.</w:t>
            </w:r>
          </w:p>
        </w:tc>
        <w:tc>
          <w:tcPr>
            <w:tcW w:w="636" w:type="pct"/>
          </w:tcPr>
          <w:p w:rsidR="000027E7" w:rsidRPr="00C806D0" w:rsidRDefault="000027E7" w:rsidP="000027E7">
            <w:r w:rsidRPr="00C806D0">
              <w:t>.</w:t>
            </w:r>
          </w:p>
        </w:tc>
        <w:tc>
          <w:tcPr>
            <w:tcW w:w="849" w:type="pct"/>
          </w:tcPr>
          <w:p w:rsidR="000027E7" w:rsidRPr="00C806D0" w:rsidRDefault="000027E7" w:rsidP="000027E7">
            <w:r w:rsidRPr="00C806D0">
              <w:t>.</w:t>
            </w:r>
          </w:p>
        </w:tc>
        <w:tc>
          <w:tcPr>
            <w:tcW w:w="551" w:type="pct"/>
          </w:tcPr>
          <w:p w:rsidR="000027E7" w:rsidRPr="00C806D0" w:rsidRDefault="000027E7" w:rsidP="000027E7">
            <w:r w:rsidRPr="00C806D0">
              <w:t>.</w:t>
            </w:r>
          </w:p>
        </w:tc>
      </w:tr>
      <w:tr w:rsidR="000027E7" w:rsidRPr="00C806D0" w:rsidTr="000027E7">
        <w:tc>
          <w:tcPr>
            <w:tcW w:w="1014" w:type="pct"/>
          </w:tcPr>
          <w:p w:rsidR="000027E7" w:rsidRPr="00C806D0" w:rsidRDefault="000027E7" w:rsidP="000027E7">
            <w:r w:rsidRPr="00C806D0">
              <w:t>100</w:t>
            </w:r>
          </w:p>
        </w:tc>
        <w:tc>
          <w:tcPr>
            <w:tcW w:w="807" w:type="pct"/>
          </w:tcPr>
          <w:p w:rsidR="000027E7" w:rsidRPr="00C806D0" w:rsidRDefault="000027E7" w:rsidP="000027E7">
            <w:r w:rsidRPr="00C806D0">
              <w:t>0.389974</w:t>
            </w:r>
          </w:p>
        </w:tc>
        <w:tc>
          <w:tcPr>
            <w:tcW w:w="721" w:type="pct"/>
          </w:tcPr>
          <w:p w:rsidR="000027E7" w:rsidRPr="00C806D0" w:rsidRDefault="000027E7" w:rsidP="000027E7">
            <w:r w:rsidRPr="00C806D0">
              <w:t>613</w:t>
            </w:r>
          </w:p>
        </w:tc>
        <w:tc>
          <w:tcPr>
            <w:tcW w:w="422" w:type="pct"/>
          </w:tcPr>
          <w:p w:rsidR="000027E7" w:rsidRPr="00C806D0" w:rsidRDefault="000027E7" w:rsidP="000027E7">
            <w:r w:rsidRPr="00C806D0">
              <w:t>239</w:t>
            </w:r>
          </w:p>
        </w:tc>
        <w:tc>
          <w:tcPr>
            <w:tcW w:w="636" w:type="pct"/>
          </w:tcPr>
          <w:p w:rsidR="000027E7" w:rsidRPr="00C806D0" w:rsidRDefault="000027E7" w:rsidP="000027E7">
            <w:r w:rsidRPr="00C806D0">
              <w:t>493</w:t>
            </w:r>
          </w:p>
        </w:tc>
        <w:tc>
          <w:tcPr>
            <w:tcW w:w="849" w:type="pct"/>
          </w:tcPr>
          <w:p w:rsidR="000027E7" w:rsidRPr="00C806D0" w:rsidRDefault="000027E7" w:rsidP="000027E7">
            <w:r w:rsidRPr="00C806D0">
              <w:t>493</w:t>
            </w:r>
          </w:p>
        </w:tc>
        <w:tc>
          <w:tcPr>
            <w:tcW w:w="551" w:type="pct"/>
          </w:tcPr>
          <w:p w:rsidR="000027E7" w:rsidRPr="00C806D0" w:rsidRDefault="000027E7" w:rsidP="000027E7">
            <w:r w:rsidRPr="00C806D0">
              <w:t>0.80</w:t>
            </w:r>
          </w:p>
        </w:tc>
      </w:tr>
    </w:tbl>
    <w:p w:rsidR="000027E7" w:rsidRPr="00C806D0" w:rsidRDefault="000027E7" w:rsidP="000027E7">
      <w:pPr>
        <w:rPr>
          <w:rFonts w:ascii="Calibri" w:hAnsi="Calibri"/>
          <w:sz w:val="20"/>
          <w:szCs w:val="20"/>
        </w:rPr>
      </w:pPr>
      <w:r w:rsidRPr="00C806D0">
        <w:rPr>
          <w:rFonts w:ascii="Calibri" w:hAnsi="Calibri"/>
          <w:sz w:val="20"/>
          <w:szCs w:val="20"/>
        </w:rPr>
        <w:t>Data from published UK general population male life table 2003-2005.</w:t>
      </w:r>
      <w:r w:rsidR="00D368BB" w:rsidRPr="00C806D0">
        <w:rPr>
          <w:rFonts w:ascii="Calibri" w:hAnsi="Calibri"/>
          <w:noProof/>
          <w:sz w:val="20"/>
          <w:szCs w:val="20"/>
          <w:vertAlign w:val="superscript"/>
        </w:rPr>
        <w:t>[</w:t>
      </w:r>
      <w:r w:rsidR="006D4D62" w:rsidRPr="00C806D0">
        <w:rPr>
          <w:rFonts w:ascii="Calibri" w:hAnsi="Calibri"/>
          <w:noProof/>
          <w:sz w:val="20"/>
          <w:szCs w:val="20"/>
          <w:vertAlign w:val="superscript"/>
        </w:rPr>
        <w:t>12</w:t>
      </w:r>
      <w:r w:rsidR="00D368BB" w:rsidRPr="00C806D0">
        <w:rPr>
          <w:rFonts w:ascii="Calibri" w:hAnsi="Calibri"/>
          <w:noProof/>
          <w:sz w:val="20"/>
          <w:szCs w:val="20"/>
          <w:vertAlign w:val="superscript"/>
        </w:rPr>
        <w:t>]</w:t>
      </w:r>
    </w:p>
    <w:p w:rsidR="000027E7" w:rsidRPr="00C806D0" w:rsidRDefault="000027E7" w:rsidP="000027E7"/>
    <w:p w:rsidR="000027E7" w:rsidRPr="00C806D0" w:rsidRDefault="000027E7" w:rsidP="000027E7">
      <w:r w:rsidRPr="00C806D0">
        <w:lastRenderedPageBreak/>
        <w:t>Life tables can be constructed for the general public or for more narrowly defined study populations; and can be based on the average individual or calculated conditional on certain characteristics such as gender or ethnicity. Further generalisations include multiple-cause life tables which attribute death to specific causes, or examination of how other outcomes change with age, such as disability or marital status. Life tables are categorised according to the intervals over which changes in mortality are observed. Complete life tables display survival probabilities for each year of life, while abridged life tables examine larger time periods, commonly every 5 years. Further classification is based on the methodology used for constructing life tables, designated a cohort or period approach.</w:t>
      </w:r>
      <w:r w:rsidR="00D368BB" w:rsidRPr="00C806D0">
        <w:rPr>
          <w:noProof/>
          <w:vertAlign w:val="superscript"/>
        </w:rPr>
        <w:t>[</w:t>
      </w:r>
      <w:r w:rsidR="006D4D62" w:rsidRPr="00C806D0">
        <w:rPr>
          <w:noProof/>
          <w:vertAlign w:val="superscript"/>
        </w:rPr>
        <w:t>9</w:t>
      </w:r>
      <w:r w:rsidR="00D368BB" w:rsidRPr="00C806D0">
        <w:rPr>
          <w:noProof/>
          <w:vertAlign w:val="superscript"/>
        </w:rPr>
        <w:t xml:space="preserve">, </w:t>
      </w:r>
      <w:r w:rsidR="006D4D62" w:rsidRPr="00C806D0">
        <w:rPr>
          <w:noProof/>
          <w:vertAlign w:val="superscript"/>
        </w:rPr>
        <w:t>10</w:t>
      </w:r>
      <w:r w:rsidR="00D368BB" w:rsidRPr="00C806D0">
        <w:rPr>
          <w:noProof/>
          <w:vertAlign w:val="superscript"/>
        </w:rPr>
        <w:t>]</w:t>
      </w:r>
    </w:p>
    <w:p w:rsidR="000027E7" w:rsidRPr="00C806D0" w:rsidRDefault="000027E7" w:rsidP="000027E7"/>
    <w:p w:rsidR="000027E7" w:rsidRPr="00C806D0" w:rsidRDefault="000027E7" w:rsidP="000027E7">
      <w:r w:rsidRPr="00C806D0">
        <w:t>Cohort life tables examine the survivorship of a specific birth cohort followed longitudinally over time. Although they can be produced directly from population experience data, the difficulties of collecting data of consistently high quality over time mean that cohort tables are generally based on mortality rates derived from a consecutive series of age-specific mortality rates. To compile a complete cohort life table the observation period must be sufficiently long to include all deaths in the incipient population. In contemporary birth cohorts the full mortality experience will not have been observed and projection of mortality rates, based on past trends and distributional assumptions, must be made.  Recent cohort life tables therefore involve an element of subjectivity.</w:t>
      </w:r>
      <w:r w:rsidR="00D368BB" w:rsidRPr="00C806D0">
        <w:rPr>
          <w:noProof/>
          <w:vertAlign w:val="superscript"/>
        </w:rPr>
        <w:t>[</w:t>
      </w:r>
      <w:r w:rsidR="006D4D62" w:rsidRPr="00C806D0">
        <w:rPr>
          <w:noProof/>
          <w:vertAlign w:val="superscript"/>
        </w:rPr>
        <w:t>9</w:t>
      </w:r>
      <w:r w:rsidR="00D368BB" w:rsidRPr="00C806D0">
        <w:rPr>
          <w:noProof/>
          <w:vertAlign w:val="superscript"/>
        </w:rPr>
        <w:t xml:space="preserve">, </w:t>
      </w:r>
      <w:r w:rsidR="006D4D62" w:rsidRPr="00C806D0">
        <w:rPr>
          <w:noProof/>
          <w:vertAlign w:val="superscript"/>
        </w:rPr>
        <w:t>10</w:t>
      </w:r>
      <w:r w:rsidR="00D368BB" w:rsidRPr="00C806D0">
        <w:rPr>
          <w:noProof/>
          <w:vertAlign w:val="superscript"/>
        </w:rPr>
        <w:t>]</w:t>
      </w:r>
      <w:r w:rsidRPr="00C806D0">
        <w:t xml:space="preserve"> </w:t>
      </w:r>
    </w:p>
    <w:p w:rsidR="000027E7" w:rsidRPr="00C806D0" w:rsidRDefault="000027E7" w:rsidP="000027E7"/>
    <w:p w:rsidR="000027E7" w:rsidRPr="00C806D0" w:rsidRDefault="000027E7" w:rsidP="000027E7">
      <w:r w:rsidRPr="00C806D0">
        <w:t>In contrast period life tables (also known as current or static life tables) are formulated from the cross-sectional age-specific mortality rates of the entire population. The probability of death in the current year is consequently calculated for each age. This has the major advantage that short term data can used to immediately construct the life table. However, the derived period life table represents a hypothetical (or synthetic) population to which it is unrealistically assumed that age-specific mortality rates will continue into the future, throughout the life of the cohort.</w:t>
      </w:r>
      <w:r w:rsidR="00D368BB" w:rsidRPr="00C806D0">
        <w:rPr>
          <w:noProof/>
          <w:vertAlign w:val="superscript"/>
        </w:rPr>
        <w:t>[</w:t>
      </w:r>
      <w:r w:rsidR="006D4D62" w:rsidRPr="00C806D0">
        <w:rPr>
          <w:noProof/>
          <w:vertAlign w:val="superscript"/>
        </w:rPr>
        <w:t>9</w:t>
      </w:r>
      <w:r w:rsidR="00D368BB" w:rsidRPr="00C806D0">
        <w:rPr>
          <w:noProof/>
          <w:vertAlign w:val="superscript"/>
        </w:rPr>
        <w:t xml:space="preserve">, </w:t>
      </w:r>
      <w:r w:rsidR="006D4D62" w:rsidRPr="00C806D0">
        <w:rPr>
          <w:noProof/>
          <w:vertAlign w:val="superscript"/>
        </w:rPr>
        <w:t>10</w:t>
      </w:r>
      <w:r w:rsidR="00D368BB" w:rsidRPr="00C806D0">
        <w:rPr>
          <w:noProof/>
          <w:vertAlign w:val="superscript"/>
        </w:rPr>
        <w:t>]</w:t>
      </w:r>
      <w:r w:rsidRPr="00C806D0">
        <w:t xml:space="preserve"> </w:t>
      </w:r>
    </w:p>
    <w:p w:rsidR="000027E7" w:rsidRPr="00C806D0" w:rsidRDefault="000027E7" w:rsidP="000027E7"/>
    <w:p w:rsidR="000027E7" w:rsidRPr="00C806D0" w:rsidRDefault="000027E7" w:rsidP="000027E7">
      <w:r w:rsidRPr="00C806D0">
        <w:t xml:space="preserve">If the population is in equilibrium, and there are no secular trends or period effects affecting survival, then period and cohort life tables will be equivalent. In reality, cohort tables show a less rapid increase in death rate with advancing age </w:t>
      </w:r>
      <w:r w:rsidRPr="00C806D0">
        <w:rPr>
          <w:color w:val="000000"/>
          <w:shd w:val="clear" w:color="auto" w:fill="FFFFFF"/>
        </w:rPr>
        <w:t xml:space="preserve">because the general improvements in health conditions that occur over time are reflected in succeeding ages. Conversely, period tables will show a more rapid increase in death rates with age because calendar year experience for each higher age does not reflect the improved mortality of the succeeding years.  Furthermore, survivor functions from period life tables are more vulnerable to period effects which may affect the entire population for a brief period e.g. an influenza epidemic or </w:t>
      </w:r>
      <w:r w:rsidRPr="00C806D0">
        <w:rPr>
          <w:color w:val="000000"/>
          <w:shd w:val="clear" w:color="auto" w:fill="FFFFFF"/>
        </w:rPr>
        <w:lastRenderedPageBreak/>
        <w:t xml:space="preserve">world war, but will only effect the mortality experience of a birth cohort for a short time. Therefore </w:t>
      </w:r>
      <w:r w:rsidRPr="00C806D0">
        <w:t>although period life tables are useful for describing changes in mortality through time or measuring mortality experienced in a given period, cohort methodology is considered superior for investigating generational trends in mortality and extrapolating life expectancy.</w:t>
      </w:r>
      <w:r w:rsidR="00D368BB" w:rsidRPr="00C806D0">
        <w:rPr>
          <w:noProof/>
          <w:vertAlign w:val="superscript"/>
        </w:rPr>
        <w:t>[</w:t>
      </w:r>
      <w:r w:rsidR="006D4D62" w:rsidRPr="00C806D0">
        <w:rPr>
          <w:noProof/>
          <w:vertAlign w:val="superscript"/>
        </w:rPr>
        <w:t>9</w:t>
      </w:r>
      <w:r w:rsidR="00D368BB" w:rsidRPr="00C806D0">
        <w:rPr>
          <w:noProof/>
          <w:vertAlign w:val="superscript"/>
        </w:rPr>
        <w:t xml:space="preserve">, </w:t>
      </w:r>
      <w:r w:rsidR="006D4D62" w:rsidRPr="00C806D0">
        <w:rPr>
          <w:noProof/>
          <w:vertAlign w:val="superscript"/>
        </w:rPr>
        <w:t>10</w:t>
      </w:r>
      <w:r w:rsidR="00D368BB" w:rsidRPr="00C806D0">
        <w:rPr>
          <w:noProof/>
          <w:vertAlign w:val="superscript"/>
        </w:rPr>
        <w:t>]</w:t>
      </w:r>
      <w:r w:rsidRPr="00C806D0">
        <w:t xml:space="preserve"> </w:t>
      </w:r>
    </w:p>
    <w:p w:rsidR="000027E7" w:rsidRPr="00C806D0" w:rsidRDefault="000027E7" w:rsidP="002A360F">
      <w:pPr>
        <w:pStyle w:val="Heading3"/>
      </w:pPr>
      <w:r w:rsidRPr="00C806D0">
        <w:t>Sensitivity analyses for informative censoring</w:t>
      </w:r>
    </w:p>
    <w:p w:rsidR="000027E7" w:rsidRPr="00C806D0" w:rsidRDefault="000027E7" w:rsidP="000027E7">
      <w:r w:rsidRPr="00C806D0">
        <w:t>Parametric survival analysis assumes that censoring is non-informative.</w:t>
      </w:r>
      <w:r w:rsidR="00D368BB" w:rsidRPr="00C806D0">
        <w:rPr>
          <w:noProof/>
          <w:vertAlign w:val="superscript"/>
        </w:rPr>
        <w:t>[</w:t>
      </w:r>
      <w:r w:rsidR="006D4D62" w:rsidRPr="00C806D0">
        <w:rPr>
          <w:noProof/>
          <w:vertAlign w:val="superscript"/>
        </w:rPr>
        <w:t>1</w:t>
      </w:r>
      <w:r w:rsidR="00D368BB" w:rsidRPr="00C806D0">
        <w:rPr>
          <w:noProof/>
          <w:vertAlign w:val="superscript"/>
        </w:rPr>
        <w:t>]</w:t>
      </w:r>
      <w:r w:rsidRPr="00C806D0">
        <w:t xml:space="preserve"> This entails that the distribution of follow up times for censored cases with the event of interest unobserved, provides no information on the distribution of survival times observed in patients experiencing the event, and vice versa. In the REP TBI cohort patients are right censored as a result of moving away from Olmsted County prior to 2013 (‘lost to follow up’), or remaining alive at the end of the study period (‘administrative censoring’). </w:t>
      </w:r>
    </w:p>
    <w:p w:rsidR="000027E7" w:rsidRPr="00C806D0" w:rsidRDefault="000027E7" w:rsidP="000027E7"/>
    <w:p w:rsidR="000027E7" w:rsidRPr="00C806D0" w:rsidRDefault="000027E7" w:rsidP="000027E7">
      <w:r w:rsidRPr="00C806D0">
        <w:t xml:space="preserve">To explore the potential impact of informative censoring, patients who were non-administratively censored (i.e. prematurely lost to follow up before the end of the study period) were </w:t>
      </w:r>
      <w:r w:rsidR="00335B1F" w:rsidRPr="00C806D0">
        <w:t>compared with</w:t>
      </w:r>
      <w:r w:rsidRPr="00C806D0">
        <w:t xml:space="preserve"> remaining cases. Chi squared tests were used for categorical variables.  Mann-Whitney U tests were used for non-normally distributed continuous variables. Extreme case and scenario sensitivity analyses were then conducted, simulating a range of censoring mechanisms for patients lost to follow up. In worst and best case analyses survival times were alternatively set to immediate death, or survival until the study end and results recalculated. These results provide a stringent boundary for the possible effects of informative censoring. More credible assumptions were tested in two further scenarios:</w:t>
      </w:r>
    </w:p>
    <w:p w:rsidR="000027E7" w:rsidRPr="00C806D0" w:rsidRDefault="000027E7" w:rsidP="000027E7"/>
    <w:p w:rsidR="000027E7" w:rsidRPr="00C806D0" w:rsidRDefault="000027E7" w:rsidP="00550C9C">
      <w:pPr>
        <w:pStyle w:val="ListParagraph"/>
        <w:numPr>
          <w:ilvl w:val="0"/>
          <w:numId w:val="22"/>
        </w:numPr>
        <w:spacing w:after="0"/>
      </w:pPr>
      <w:r w:rsidRPr="00C806D0">
        <w:t xml:space="preserve">Twice as many patients who were prematurely lost to follow up died </w:t>
      </w:r>
      <w:r w:rsidR="00335B1F" w:rsidRPr="00C806D0">
        <w:t>compared with</w:t>
      </w:r>
      <w:r w:rsidRPr="00C806D0">
        <w:t xml:space="preserve"> those remaining under observation. Life expectancy for those lost to follow up and assumed to have died was 25% less than that of the general US population estimated from year 2000 cohort life tables.</w:t>
      </w:r>
    </w:p>
    <w:p w:rsidR="000027E7" w:rsidRPr="00C806D0" w:rsidRDefault="000027E7" w:rsidP="000027E7">
      <w:pPr>
        <w:pStyle w:val="ListParagraph"/>
      </w:pPr>
    </w:p>
    <w:p w:rsidR="000027E7" w:rsidRPr="00C806D0" w:rsidRDefault="000027E7" w:rsidP="00550C9C">
      <w:pPr>
        <w:pStyle w:val="ListParagraph"/>
        <w:numPr>
          <w:ilvl w:val="0"/>
          <w:numId w:val="22"/>
        </w:numPr>
        <w:spacing w:after="0"/>
      </w:pPr>
      <w:r w:rsidRPr="00C806D0">
        <w:t xml:space="preserve">Three times as many patients who were prematurely lost to follow up died </w:t>
      </w:r>
      <w:r w:rsidR="00335B1F" w:rsidRPr="00C806D0">
        <w:t>compared with</w:t>
      </w:r>
      <w:r w:rsidRPr="00C806D0">
        <w:t xml:space="preserve"> those remaining under observation. Life expectancy for those lost to follow up and assumed to have died was 50% less than that of the general US population estimated from year 2000 cohort life tables.</w:t>
      </w:r>
    </w:p>
    <w:p w:rsidR="000027E7" w:rsidRPr="00C806D0" w:rsidRDefault="000027E7" w:rsidP="000027E7">
      <w:pPr>
        <w:pStyle w:val="ListParagraph"/>
      </w:pPr>
    </w:p>
    <w:p w:rsidR="000027E7" w:rsidRPr="00C806D0" w:rsidRDefault="000027E7" w:rsidP="000027E7">
      <w:pPr>
        <w:pStyle w:val="ListParagraph"/>
        <w:ind w:left="0"/>
      </w:pPr>
      <w:r w:rsidRPr="00C806D0">
        <w:t>Model development, analysis and appraisal were identical to the primary models for each sensitivity analysis.</w:t>
      </w:r>
    </w:p>
    <w:p w:rsidR="000027E7" w:rsidRPr="00C806D0" w:rsidRDefault="000027E7" w:rsidP="000027E7">
      <w:pPr>
        <w:pStyle w:val="Heading2"/>
      </w:pPr>
      <w:r w:rsidRPr="00C806D0">
        <w:lastRenderedPageBreak/>
        <w:t>Supplementary results</w:t>
      </w:r>
    </w:p>
    <w:p w:rsidR="000027E7" w:rsidRPr="00C806D0" w:rsidRDefault="000027E7" w:rsidP="002A360F">
      <w:pPr>
        <w:pStyle w:val="Heading3"/>
      </w:pPr>
      <w:r w:rsidRPr="00C806D0">
        <w:t>Empirical survival curves</w:t>
      </w:r>
    </w:p>
    <w:p w:rsidR="000027E7" w:rsidRPr="00C806D0" w:rsidRDefault="000027E7" w:rsidP="000027E7">
      <w:r w:rsidRPr="00C806D0">
        <w:t xml:space="preserve">Survival curves categorised by gender, presence of </w:t>
      </w:r>
      <w:r w:rsidR="002A16B4" w:rsidRPr="00C806D0">
        <w:t>extracranial</w:t>
      </w:r>
      <w:r w:rsidRPr="00C806D0">
        <w:t xml:space="preserve"> injury, severity of TBI and ethnicity, are presented in Figures G1 to G4. Crude empirical survivor functions for gender, presence of </w:t>
      </w:r>
      <w:r w:rsidR="002A16B4" w:rsidRPr="00C806D0">
        <w:t>extracranial</w:t>
      </w:r>
      <w:r w:rsidRPr="00C806D0">
        <w:t xml:space="preserve"> injury and ethnicity were not significantly different (log rank tests, p=0.34-0.43); whereas a significant difference was apparent between patients with mild and moderate/severe TBI (log rank test p&lt;0.01). After adjustment for age at TBI there was some evidence of increased mortality rates associated with male gender (stratified log rank test, p=0.08), but the effect of TBI severity became non-significant (stratified log rank test, p=0.42). </w:t>
      </w:r>
    </w:p>
    <w:p w:rsidR="000027E7" w:rsidRPr="00C806D0" w:rsidRDefault="000027E7" w:rsidP="000027E7">
      <w:r w:rsidRPr="00C806D0">
        <w:rPr>
          <w:noProof/>
          <w:lang w:val="en-US"/>
        </w:rPr>
        <w:drawing>
          <wp:inline distT="0" distB="0" distL="0" distR="0">
            <wp:extent cx="5146040" cy="377444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146040" cy="3774440"/>
                    </a:xfrm>
                    <a:prstGeom prst="rect">
                      <a:avLst/>
                    </a:prstGeom>
                    <a:noFill/>
                    <a:ln w="9525">
                      <a:noFill/>
                      <a:miter lim="800000"/>
                      <a:headEnd/>
                      <a:tailEnd/>
                    </a:ln>
                  </pic:spPr>
                </pic:pic>
              </a:graphicData>
            </a:graphic>
          </wp:inline>
        </w:drawing>
      </w:r>
    </w:p>
    <w:p w:rsidR="000027E7" w:rsidRPr="00C806D0" w:rsidRDefault="000027E7" w:rsidP="000027E7">
      <w:pPr>
        <w:rPr>
          <w:b/>
        </w:rPr>
      </w:pPr>
      <w:r w:rsidRPr="00C806D0">
        <w:rPr>
          <w:b/>
        </w:rPr>
        <w:t xml:space="preserve">Figure G1. </w:t>
      </w:r>
      <w:r w:rsidR="00B23BC1" w:rsidRPr="00C806D0">
        <w:rPr>
          <w:b/>
        </w:rPr>
        <w:t xml:space="preserve">Survival curve for long term mortality following TBI stratified by </w:t>
      </w:r>
      <w:r w:rsidRPr="00C806D0">
        <w:rPr>
          <w:b/>
        </w:rPr>
        <w:t>gender</w:t>
      </w:r>
    </w:p>
    <w:p w:rsidR="000027E7" w:rsidRPr="00C806D0" w:rsidRDefault="000027E7" w:rsidP="000027E7">
      <w:r w:rsidRPr="00C806D0">
        <w:rPr>
          <w:noProof/>
          <w:lang w:val="en-US"/>
        </w:rPr>
        <w:lastRenderedPageBreak/>
        <w:drawing>
          <wp:inline distT="0" distB="0" distL="0" distR="0">
            <wp:extent cx="5146040" cy="377444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146040" cy="3774440"/>
                    </a:xfrm>
                    <a:prstGeom prst="rect">
                      <a:avLst/>
                    </a:prstGeom>
                    <a:noFill/>
                    <a:ln w="9525">
                      <a:noFill/>
                      <a:miter lim="800000"/>
                      <a:headEnd/>
                      <a:tailEnd/>
                    </a:ln>
                  </pic:spPr>
                </pic:pic>
              </a:graphicData>
            </a:graphic>
          </wp:inline>
        </w:drawing>
      </w:r>
    </w:p>
    <w:p w:rsidR="000027E7" w:rsidRPr="00C806D0" w:rsidRDefault="000027E7" w:rsidP="000027E7">
      <w:pPr>
        <w:rPr>
          <w:b/>
        </w:rPr>
      </w:pPr>
      <w:r w:rsidRPr="00C806D0">
        <w:rPr>
          <w:b/>
        </w:rPr>
        <w:t xml:space="preserve">Figure G2. </w:t>
      </w:r>
      <w:r w:rsidR="00B23BC1" w:rsidRPr="00C806D0">
        <w:rPr>
          <w:b/>
        </w:rPr>
        <w:t xml:space="preserve">Survival curve for long term mortality following TBI stratified by </w:t>
      </w:r>
      <w:r w:rsidRPr="00C806D0">
        <w:rPr>
          <w:b/>
        </w:rPr>
        <w:t xml:space="preserve">the presence of </w:t>
      </w:r>
      <w:r w:rsidR="002A16B4" w:rsidRPr="00C806D0">
        <w:rPr>
          <w:b/>
        </w:rPr>
        <w:t>extracranial</w:t>
      </w:r>
      <w:r w:rsidRPr="00C806D0">
        <w:rPr>
          <w:b/>
        </w:rPr>
        <w:t xml:space="preserve"> injury </w:t>
      </w:r>
    </w:p>
    <w:p w:rsidR="000027E7" w:rsidRPr="00C806D0" w:rsidRDefault="000027E7" w:rsidP="000027E7"/>
    <w:p w:rsidR="000027E7" w:rsidRPr="00C806D0" w:rsidRDefault="000027E7" w:rsidP="000027E7">
      <w:r w:rsidRPr="00C806D0">
        <w:rPr>
          <w:noProof/>
          <w:lang w:val="en-US"/>
        </w:rPr>
        <w:drawing>
          <wp:inline distT="0" distB="0" distL="0" distR="0">
            <wp:extent cx="5146040" cy="377444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146040" cy="3774440"/>
                    </a:xfrm>
                    <a:prstGeom prst="rect">
                      <a:avLst/>
                    </a:prstGeom>
                    <a:noFill/>
                    <a:ln w="9525">
                      <a:noFill/>
                      <a:miter lim="800000"/>
                      <a:headEnd/>
                      <a:tailEnd/>
                    </a:ln>
                  </pic:spPr>
                </pic:pic>
              </a:graphicData>
            </a:graphic>
          </wp:inline>
        </w:drawing>
      </w:r>
    </w:p>
    <w:p w:rsidR="000027E7" w:rsidRPr="00C806D0" w:rsidRDefault="000027E7" w:rsidP="000027E7">
      <w:pPr>
        <w:rPr>
          <w:b/>
        </w:rPr>
      </w:pPr>
      <w:r w:rsidRPr="00C806D0">
        <w:rPr>
          <w:b/>
        </w:rPr>
        <w:t xml:space="preserve">Figure G3. </w:t>
      </w:r>
      <w:r w:rsidR="00B23BC1" w:rsidRPr="00C806D0">
        <w:rPr>
          <w:b/>
        </w:rPr>
        <w:t xml:space="preserve">Survival curve for long term mortality following TBI stratified by </w:t>
      </w:r>
      <w:r w:rsidRPr="00C806D0">
        <w:rPr>
          <w:b/>
        </w:rPr>
        <w:t>ethnicity</w:t>
      </w:r>
    </w:p>
    <w:p w:rsidR="000027E7" w:rsidRPr="00C806D0" w:rsidRDefault="000027E7" w:rsidP="000027E7">
      <w:pPr>
        <w:jc w:val="center"/>
      </w:pPr>
      <w:r w:rsidRPr="00C806D0">
        <w:rPr>
          <w:noProof/>
          <w:lang w:val="en-US"/>
        </w:rPr>
        <w:lastRenderedPageBreak/>
        <w:drawing>
          <wp:inline distT="0" distB="0" distL="0" distR="0">
            <wp:extent cx="4404891" cy="3203380"/>
            <wp:effectExtent l="19050" t="0" r="0" b="0"/>
            <wp:docPr id="28" name="Picture 0" descr="KM TBI sever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 TBI severity.tif"/>
                    <pic:cNvPicPr/>
                  </pic:nvPicPr>
                  <pic:blipFill>
                    <a:blip r:embed="rId28" cstate="print"/>
                    <a:stretch>
                      <a:fillRect/>
                    </a:stretch>
                  </pic:blipFill>
                  <pic:spPr>
                    <a:xfrm>
                      <a:off x="0" y="0"/>
                      <a:ext cx="4410256" cy="3207281"/>
                    </a:xfrm>
                    <a:prstGeom prst="rect">
                      <a:avLst/>
                    </a:prstGeom>
                  </pic:spPr>
                </pic:pic>
              </a:graphicData>
            </a:graphic>
          </wp:inline>
        </w:drawing>
      </w:r>
    </w:p>
    <w:p w:rsidR="000027E7" w:rsidRPr="00C806D0" w:rsidRDefault="000027E7" w:rsidP="000027E7">
      <w:pPr>
        <w:rPr>
          <w:b/>
        </w:rPr>
      </w:pPr>
      <w:r w:rsidRPr="00C806D0">
        <w:rPr>
          <w:b/>
        </w:rPr>
        <w:t xml:space="preserve">Figure G4. </w:t>
      </w:r>
      <w:r w:rsidR="00B23BC1" w:rsidRPr="00C806D0">
        <w:rPr>
          <w:b/>
        </w:rPr>
        <w:t xml:space="preserve">Survival curve for six month survivors of TBI stratified by </w:t>
      </w:r>
      <w:r w:rsidRPr="00C806D0">
        <w:rPr>
          <w:b/>
        </w:rPr>
        <w:t>TBI severity</w:t>
      </w:r>
    </w:p>
    <w:p w:rsidR="000027E7" w:rsidRPr="00C806D0" w:rsidRDefault="000027E7" w:rsidP="002A360F">
      <w:pPr>
        <w:pStyle w:val="Heading3"/>
      </w:pPr>
      <w:r w:rsidRPr="00C806D0">
        <w:t>Primary Gompertz model diagnostics</w:t>
      </w:r>
    </w:p>
    <w:p w:rsidR="000027E7" w:rsidRPr="00C806D0" w:rsidRDefault="000027E7" w:rsidP="000027E7">
      <w:r w:rsidRPr="00C806D0">
        <w:t>The final Gompertz model was checked for misspecification, goodness of fit, outliers, influential points and proportionality of hazards:</w:t>
      </w:r>
      <w:r w:rsidR="00D368BB" w:rsidRPr="00C806D0">
        <w:rPr>
          <w:noProof/>
          <w:vertAlign w:val="superscript"/>
        </w:rPr>
        <w:t>[</w:t>
      </w:r>
      <w:r w:rsidR="006D4D62" w:rsidRPr="00C806D0">
        <w:rPr>
          <w:noProof/>
          <w:vertAlign w:val="superscript"/>
        </w:rPr>
        <w:t>1</w:t>
      </w:r>
      <w:r w:rsidR="00D368BB" w:rsidRPr="00C806D0">
        <w:rPr>
          <w:noProof/>
          <w:vertAlign w:val="superscript"/>
        </w:rPr>
        <w:t>]</w:t>
      </w:r>
    </w:p>
    <w:p w:rsidR="000027E7" w:rsidRPr="00C806D0" w:rsidRDefault="000027E7" w:rsidP="000027E7"/>
    <w:p w:rsidR="000027E7" w:rsidRPr="00C806D0" w:rsidRDefault="000027E7" w:rsidP="00550C9C">
      <w:pPr>
        <w:pStyle w:val="ListParagraph"/>
        <w:numPr>
          <w:ilvl w:val="0"/>
          <w:numId w:val="23"/>
        </w:numPr>
        <w:spacing w:after="0"/>
      </w:pPr>
      <w:r w:rsidRPr="00C806D0">
        <w:t>A link test indicated that the coefficient on the squared linear predictor was non-significant suggesting no misspecification of the dependent variable (p=0.442).</w:t>
      </w:r>
    </w:p>
    <w:p w:rsidR="000027E7" w:rsidRPr="00C806D0" w:rsidRDefault="000027E7" w:rsidP="00550C9C">
      <w:pPr>
        <w:pStyle w:val="ListParagraph"/>
        <w:numPr>
          <w:ilvl w:val="0"/>
          <w:numId w:val="23"/>
        </w:numPr>
        <w:spacing w:after="0"/>
      </w:pPr>
      <w:r w:rsidRPr="00C806D0">
        <w:t xml:space="preserve">Log-cumulative hazard plots for different age groups (young adult, middle aged and elderly) were broadly parallel indicating a proportional hazard assumption was tenable (Chapter 7). </w:t>
      </w:r>
    </w:p>
    <w:p w:rsidR="000027E7" w:rsidRPr="00C806D0" w:rsidRDefault="000027E7" w:rsidP="00550C9C">
      <w:pPr>
        <w:pStyle w:val="ListParagraph"/>
        <w:numPr>
          <w:ilvl w:val="0"/>
          <w:numId w:val="23"/>
        </w:numPr>
        <w:spacing w:after="0"/>
      </w:pPr>
      <w:r w:rsidRPr="00C806D0">
        <w:t>A smoothed plot (using running means) of age at TBI against Martingale residuals was approximately linear as shown in Figure G5. This suggests that the first degree fractional polynomial used for age at TBI in the model is of the correct functional form.</w:t>
      </w:r>
    </w:p>
    <w:p w:rsidR="000027E7" w:rsidRPr="00C806D0" w:rsidRDefault="000027E7" w:rsidP="00550C9C">
      <w:pPr>
        <w:pStyle w:val="ListParagraph"/>
        <w:numPr>
          <w:ilvl w:val="0"/>
          <w:numId w:val="23"/>
        </w:numPr>
        <w:spacing w:after="0"/>
      </w:pPr>
      <w:r w:rsidRPr="00C806D0">
        <w:t>Examination of Cox-Snell residuals revealed some evidence for lack of model fit, with cumulative hazard deviating from the expected 45 degree line when plotted against the residuals (Figure G6). However, cumulative hazard demonstrated a linear increase which departed from the reference line by less than 5º indicating model goodness of fit was acceptable overall. The divergence in the right hand tail is expected because of the reduced effective sample caused by prior failures and non-administrative censoring.</w:t>
      </w:r>
    </w:p>
    <w:p w:rsidR="000027E7" w:rsidRPr="00C806D0" w:rsidRDefault="000027E7" w:rsidP="00550C9C">
      <w:pPr>
        <w:pStyle w:val="ListParagraph"/>
        <w:numPr>
          <w:ilvl w:val="0"/>
          <w:numId w:val="23"/>
        </w:numPr>
        <w:spacing w:after="0"/>
      </w:pPr>
      <w:r w:rsidRPr="00C806D0">
        <w:t xml:space="preserve">Six observations were identified as potentially influential outliers based on a plot of Cox-Snell residuals against survival time (Figure G7). All of these cases were elderly </w:t>
      </w:r>
      <w:r w:rsidRPr="00C806D0">
        <w:lastRenderedPageBreak/>
        <w:t xml:space="preserve">patients (84 -92 years) who survived longer than expected. Excluding these observations improved model fit (AIC 510 v 529 and better fit of Cox-Snell residuals to cumulative hazard). Extrapolated survival results were not materially changed, with minimally increased mortality projected in the elderly TBI subgroup, and very similar mortality rates predicted for middle aged and younger cases. However as these influential cases were not obviously anomalous it was decided to retain them in estimation of the final model. </w:t>
      </w:r>
    </w:p>
    <w:p w:rsidR="000027E7" w:rsidRPr="00C806D0" w:rsidRDefault="000027E7" w:rsidP="000027E7"/>
    <w:p w:rsidR="000027E7" w:rsidRPr="00C806D0" w:rsidRDefault="000027E7" w:rsidP="000027E7">
      <w:r w:rsidRPr="00C806D0">
        <w:t>The model comparing survival between TBI cases and non-TBI REP controls was similarly checked with unremarkable diagnostics.</w:t>
      </w:r>
    </w:p>
    <w:p w:rsidR="000027E7" w:rsidRPr="00C806D0" w:rsidRDefault="000027E7" w:rsidP="000027E7">
      <w:pPr>
        <w:jc w:val="center"/>
        <w:rPr>
          <w:i/>
        </w:rPr>
      </w:pPr>
      <w:r w:rsidRPr="00C806D0">
        <w:rPr>
          <w:i/>
          <w:noProof/>
          <w:lang w:val="en-US"/>
        </w:rPr>
        <w:drawing>
          <wp:inline distT="0" distB="0" distL="0" distR="0">
            <wp:extent cx="3590618" cy="2636874"/>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590618" cy="2636874"/>
                    </a:xfrm>
                    <a:prstGeom prst="rect">
                      <a:avLst/>
                    </a:prstGeom>
                    <a:noFill/>
                    <a:ln w="9525">
                      <a:noFill/>
                      <a:miter lim="800000"/>
                      <a:headEnd/>
                      <a:tailEnd/>
                    </a:ln>
                  </pic:spPr>
                </pic:pic>
              </a:graphicData>
            </a:graphic>
          </wp:inline>
        </w:drawing>
      </w:r>
    </w:p>
    <w:p w:rsidR="000027E7" w:rsidRPr="00C806D0" w:rsidRDefault="000027E7" w:rsidP="000027E7">
      <w:pPr>
        <w:rPr>
          <w:b/>
        </w:rPr>
      </w:pPr>
      <w:r w:rsidRPr="00C806D0">
        <w:rPr>
          <w:b/>
        </w:rPr>
        <w:t>Figure G5. Functional form of age at TBI assessed plotting Martingale residuals against age at TBI.</w:t>
      </w:r>
    </w:p>
    <w:p w:rsidR="000027E7" w:rsidRPr="00C806D0" w:rsidRDefault="000027E7" w:rsidP="000027E7">
      <w:pPr>
        <w:jc w:val="center"/>
        <w:rPr>
          <w:b/>
        </w:rPr>
      </w:pPr>
      <w:r w:rsidRPr="00C806D0">
        <w:rPr>
          <w:b/>
          <w:noProof/>
          <w:lang w:val="en-US"/>
        </w:rPr>
        <w:drawing>
          <wp:inline distT="0" distB="0" distL="0" distR="0">
            <wp:extent cx="3846023" cy="2824438"/>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846023" cy="2824438"/>
                    </a:xfrm>
                    <a:prstGeom prst="rect">
                      <a:avLst/>
                    </a:prstGeom>
                    <a:noFill/>
                    <a:ln w="9525">
                      <a:noFill/>
                      <a:miter lim="800000"/>
                      <a:headEnd/>
                      <a:tailEnd/>
                    </a:ln>
                  </pic:spPr>
                </pic:pic>
              </a:graphicData>
            </a:graphic>
          </wp:inline>
        </w:drawing>
      </w:r>
    </w:p>
    <w:p w:rsidR="000027E7" w:rsidRPr="00C806D0" w:rsidRDefault="000027E7" w:rsidP="000027E7">
      <w:pPr>
        <w:rPr>
          <w:b/>
        </w:rPr>
      </w:pPr>
      <w:r w:rsidRPr="00C806D0">
        <w:rPr>
          <w:b/>
        </w:rPr>
        <w:t>Figure G6. Model goodness of fit assessed by plotting Cox-Snell residuals against Nelson-Aalen cumulative hazard.</w:t>
      </w:r>
    </w:p>
    <w:p w:rsidR="000027E7" w:rsidRPr="00C806D0" w:rsidRDefault="000027E7" w:rsidP="000027E7">
      <w:pPr>
        <w:rPr>
          <w:b/>
        </w:rPr>
      </w:pPr>
    </w:p>
    <w:p w:rsidR="000027E7" w:rsidRPr="00C806D0" w:rsidRDefault="000027E7" w:rsidP="000027E7">
      <w:pPr>
        <w:jc w:val="center"/>
        <w:rPr>
          <w:b/>
        </w:rPr>
      </w:pPr>
      <w:r w:rsidRPr="00C806D0">
        <w:rPr>
          <w:b/>
          <w:noProof/>
          <w:lang w:val="en-US"/>
        </w:rPr>
        <w:drawing>
          <wp:inline distT="0" distB="0" distL="0" distR="0">
            <wp:extent cx="4126316" cy="3030279"/>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128268" cy="3031713"/>
                    </a:xfrm>
                    <a:prstGeom prst="rect">
                      <a:avLst/>
                    </a:prstGeom>
                    <a:noFill/>
                    <a:ln w="9525">
                      <a:noFill/>
                      <a:miter lim="800000"/>
                      <a:headEnd/>
                      <a:tailEnd/>
                    </a:ln>
                  </pic:spPr>
                </pic:pic>
              </a:graphicData>
            </a:graphic>
          </wp:inline>
        </w:drawing>
      </w:r>
    </w:p>
    <w:p w:rsidR="000027E7" w:rsidRPr="00C806D0" w:rsidRDefault="000027E7" w:rsidP="000027E7">
      <w:pPr>
        <w:rPr>
          <w:b/>
        </w:rPr>
      </w:pPr>
      <w:r w:rsidRPr="00C806D0">
        <w:rPr>
          <w:b/>
        </w:rPr>
        <w:t>Figure G7. Cox-snell residuals for individual cases plotted against survival time</w:t>
      </w:r>
    </w:p>
    <w:p w:rsidR="000027E7" w:rsidRPr="00C806D0" w:rsidRDefault="000027E7" w:rsidP="000027E7"/>
    <w:p w:rsidR="000027E7" w:rsidRPr="00C806D0" w:rsidRDefault="000027E7" w:rsidP="002A360F">
      <w:pPr>
        <w:pStyle w:val="Heading3"/>
      </w:pPr>
      <w:r w:rsidRPr="00C806D0">
        <w:t>Primary model appraisal: Comparison of predicted life expectancy</w:t>
      </w:r>
    </w:p>
    <w:p w:rsidR="000027E7" w:rsidRPr="00C806D0" w:rsidRDefault="000027E7" w:rsidP="000027E7">
      <w:r w:rsidRPr="00C806D0">
        <w:t>Predicted median survival from the Gompertz model following a TBI at the ages of 25, 52 and 79 years were 45.8 years (95%CI 38.0-53.6), 30.6 years (95%CI 26.8-34.5) and 9.0 years (95%CI 7.8-10.3) respectively. These predictions were consistent with previously published estimates for TBI life expectancy as shown in Table G4.</w:t>
      </w:r>
    </w:p>
    <w:p w:rsidR="000027E7" w:rsidRPr="00C806D0" w:rsidRDefault="000027E7" w:rsidP="000027E7"/>
    <w:p w:rsidR="002A360F" w:rsidRPr="00C806D0" w:rsidRDefault="002A360F" w:rsidP="000027E7"/>
    <w:p w:rsidR="002A360F" w:rsidRPr="00C806D0" w:rsidRDefault="002A360F" w:rsidP="000027E7"/>
    <w:p w:rsidR="002A360F" w:rsidRPr="00C806D0" w:rsidRDefault="002A360F" w:rsidP="000027E7"/>
    <w:p w:rsidR="002A360F" w:rsidRPr="00C806D0" w:rsidRDefault="002A360F" w:rsidP="000027E7"/>
    <w:p w:rsidR="002A360F" w:rsidRPr="00C806D0" w:rsidRDefault="002A360F" w:rsidP="000027E7"/>
    <w:p w:rsidR="002A360F" w:rsidRPr="00C806D0" w:rsidRDefault="002A360F" w:rsidP="000027E7"/>
    <w:p w:rsidR="002A360F" w:rsidRPr="00C806D0" w:rsidRDefault="002A360F" w:rsidP="000027E7"/>
    <w:p w:rsidR="002A360F" w:rsidRPr="00C806D0" w:rsidRDefault="002A360F" w:rsidP="000027E7"/>
    <w:p w:rsidR="002A360F" w:rsidRPr="00C806D0" w:rsidRDefault="002A360F" w:rsidP="000027E7"/>
    <w:p w:rsidR="002A360F" w:rsidRPr="00C806D0" w:rsidRDefault="002A360F" w:rsidP="000027E7"/>
    <w:p w:rsidR="002A360F" w:rsidRPr="00C806D0" w:rsidRDefault="002A360F" w:rsidP="000027E7"/>
    <w:p w:rsidR="002A360F" w:rsidRPr="00C806D0" w:rsidRDefault="002A360F" w:rsidP="000027E7">
      <w:bookmarkStart w:id="182" w:name="_GoBack"/>
      <w:bookmarkEnd w:id="182"/>
    </w:p>
    <w:p w:rsidR="000027E7" w:rsidRPr="00C806D0" w:rsidRDefault="000027E7" w:rsidP="000027E7">
      <w:pPr>
        <w:rPr>
          <w:b/>
        </w:rPr>
      </w:pPr>
      <w:r w:rsidRPr="00C806D0">
        <w:rPr>
          <w:b/>
        </w:rPr>
        <w:lastRenderedPageBreak/>
        <w:t>Table G4. Comparison of predicted life expectancy results from REP Gompertz model with other published estimates.</w:t>
      </w:r>
    </w:p>
    <w:tbl>
      <w:tblPr>
        <w:tblStyle w:val="LightShading1"/>
        <w:tblW w:w="0" w:type="auto"/>
        <w:jc w:val="center"/>
        <w:tblLook w:val="0620" w:firstRow="1" w:lastRow="0" w:firstColumn="0" w:lastColumn="0" w:noHBand="1" w:noVBand="1"/>
      </w:tblPr>
      <w:tblGrid>
        <w:gridCol w:w="1359"/>
        <w:gridCol w:w="222"/>
        <w:gridCol w:w="2597"/>
        <w:gridCol w:w="1423"/>
        <w:gridCol w:w="1430"/>
        <w:gridCol w:w="563"/>
        <w:gridCol w:w="563"/>
        <w:gridCol w:w="563"/>
      </w:tblGrid>
      <w:tr w:rsidR="000027E7" w:rsidRPr="00C806D0" w:rsidTr="000027E7">
        <w:trPr>
          <w:cnfStyle w:val="100000000000" w:firstRow="1" w:lastRow="0" w:firstColumn="0" w:lastColumn="0" w:oddVBand="0" w:evenVBand="0" w:oddHBand="0" w:evenHBand="0" w:firstRowFirstColumn="0" w:firstRowLastColumn="0" w:lastRowFirstColumn="0" w:lastRowLastColumn="0"/>
          <w:jc w:val="center"/>
        </w:trPr>
        <w:tc>
          <w:tcPr>
            <w:tcW w:w="0" w:type="auto"/>
          </w:tcPr>
          <w:p w:rsidR="000027E7" w:rsidRPr="00C806D0" w:rsidRDefault="000027E7" w:rsidP="000027E7">
            <w:pPr>
              <w:pStyle w:val="NoSpacing"/>
              <w:rPr>
                <w:sz w:val="20"/>
                <w:szCs w:val="20"/>
              </w:rPr>
            </w:pPr>
            <w:r w:rsidRPr="00C806D0">
              <w:rPr>
                <w:sz w:val="20"/>
                <w:szCs w:val="20"/>
              </w:rPr>
              <w:t>Study</w:t>
            </w:r>
          </w:p>
        </w:tc>
        <w:tc>
          <w:tcPr>
            <w:tcW w:w="0" w:type="auto"/>
          </w:tcPr>
          <w:p w:rsidR="000027E7" w:rsidRPr="00C806D0" w:rsidRDefault="000027E7" w:rsidP="000027E7">
            <w:pPr>
              <w:pStyle w:val="NoSpacing"/>
              <w:jc w:val="center"/>
              <w:rPr>
                <w:sz w:val="20"/>
                <w:szCs w:val="20"/>
              </w:rPr>
            </w:pPr>
          </w:p>
        </w:tc>
        <w:tc>
          <w:tcPr>
            <w:tcW w:w="0" w:type="auto"/>
          </w:tcPr>
          <w:p w:rsidR="000027E7" w:rsidRPr="00C806D0" w:rsidRDefault="000027E7" w:rsidP="000027E7">
            <w:pPr>
              <w:pStyle w:val="NoSpacing"/>
              <w:rPr>
                <w:sz w:val="20"/>
                <w:szCs w:val="20"/>
              </w:rPr>
            </w:pPr>
            <w:r w:rsidRPr="00C806D0">
              <w:rPr>
                <w:sz w:val="20"/>
                <w:szCs w:val="20"/>
              </w:rPr>
              <w:t>Population</w:t>
            </w:r>
          </w:p>
        </w:tc>
        <w:tc>
          <w:tcPr>
            <w:tcW w:w="1423" w:type="dxa"/>
          </w:tcPr>
          <w:p w:rsidR="000027E7" w:rsidRPr="00C806D0" w:rsidRDefault="000027E7" w:rsidP="000027E7">
            <w:pPr>
              <w:pStyle w:val="NoSpacing"/>
              <w:jc w:val="center"/>
              <w:rPr>
                <w:sz w:val="20"/>
                <w:szCs w:val="20"/>
              </w:rPr>
            </w:pPr>
            <w:r w:rsidRPr="00C806D0">
              <w:rPr>
                <w:sz w:val="20"/>
                <w:szCs w:val="20"/>
              </w:rPr>
              <w:t>Recruitment period</w:t>
            </w:r>
          </w:p>
        </w:tc>
        <w:tc>
          <w:tcPr>
            <w:tcW w:w="1430" w:type="dxa"/>
          </w:tcPr>
          <w:p w:rsidR="000027E7" w:rsidRPr="00C806D0" w:rsidRDefault="000027E7" w:rsidP="000027E7">
            <w:pPr>
              <w:pStyle w:val="NoSpacing"/>
              <w:jc w:val="center"/>
              <w:rPr>
                <w:sz w:val="20"/>
                <w:szCs w:val="20"/>
              </w:rPr>
            </w:pPr>
          </w:p>
        </w:tc>
        <w:tc>
          <w:tcPr>
            <w:tcW w:w="0" w:type="auto"/>
            <w:gridSpan w:val="3"/>
          </w:tcPr>
          <w:p w:rsidR="000027E7" w:rsidRPr="00C806D0" w:rsidRDefault="000027E7" w:rsidP="000027E7">
            <w:pPr>
              <w:pStyle w:val="NoSpacing"/>
              <w:jc w:val="center"/>
              <w:rPr>
                <w:sz w:val="20"/>
                <w:szCs w:val="20"/>
              </w:rPr>
            </w:pPr>
            <w:r w:rsidRPr="00C806D0">
              <w:rPr>
                <w:sz w:val="20"/>
                <w:szCs w:val="20"/>
              </w:rPr>
              <w:t>Survival time (years)</w:t>
            </w:r>
          </w:p>
        </w:tc>
      </w:tr>
      <w:tr w:rsidR="000027E7" w:rsidRPr="00C806D0" w:rsidTr="000027E7">
        <w:trPr>
          <w:jc w:val="center"/>
        </w:trPr>
        <w:tc>
          <w:tcPr>
            <w:tcW w:w="0" w:type="auto"/>
          </w:tcPr>
          <w:p w:rsidR="000027E7" w:rsidRPr="00C806D0" w:rsidRDefault="00CE3E2C" w:rsidP="000027E7">
            <w:pPr>
              <w:pStyle w:val="NoSpacing"/>
              <w:rPr>
                <w:color w:val="000000" w:themeColor="text1"/>
                <w:sz w:val="20"/>
                <w:szCs w:val="20"/>
              </w:rPr>
            </w:pPr>
            <w:r w:rsidRPr="00C806D0">
              <w:rPr>
                <w:color w:val="000000" w:themeColor="text1"/>
                <w:sz w:val="20"/>
                <w:szCs w:val="20"/>
              </w:rPr>
              <w:t>Current study</w:t>
            </w:r>
          </w:p>
        </w:tc>
        <w:tc>
          <w:tcPr>
            <w:tcW w:w="0" w:type="auto"/>
          </w:tcPr>
          <w:p w:rsidR="000027E7" w:rsidRPr="00C806D0" w:rsidRDefault="000027E7" w:rsidP="000027E7">
            <w:pPr>
              <w:pStyle w:val="NoSpacing"/>
              <w:jc w:val="center"/>
              <w:rPr>
                <w:color w:val="000000" w:themeColor="text1"/>
                <w:sz w:val="20"/>
                <w:szCs w:val="20"/>
              </w:rPr>
            </w:pPr>
          </w:p>
        </w:tc>
        <w:tc>
          <w:tcPr>
            <w:tcW w:w="0" w:type="auto"/>
          </w:tcPr>
          <w:p w:rsidR="000027E7" w:rsidRPr="00C806D0" w:rsidRDefault="000027E7" w:rsidP="000027E7">
            <w:pPr>
              <w:pStyle w:val="NoSpacing"/>
              <w:rPr>
                <w:color w:val="000000" w:themeColor="text1"/>
                <w:sz w:val="20"/>
                <w:szCs w:val="20"/>
              </w:rPr>
            </w:pPr>
            <w:r w:rsidRPr="00C806D0">
              <w:rPr>
                <w:color w:val="000000" w:themeColor="text1"/>
                <w:sz w:val="20"/>
                <w:szCs w:val="20"/>
              </w:rPr>
              <w:sym w:font="Wingdings" w:char="F09F"/>
            </w:r>
            <w:r w:rsidRPr="00C806D0">
              <w:rPr>
                <w:color w:val="000000" w:themeColor="text1"/>
                <w:sz w:val="20"/>
                <w:szCs w:val="20"/>
              </w:rPr>
              <w:t>Adults</w:t>
            </w:r>
            <w:r w:rsidRPr="00C806D0">
              <w:rPr>
                <w:sz w:val="20"/>
                <w:szCs w:val="20"/>
              </w:rPr>
              <w:t>&gt;16years</w:t>
            </w:r>
          </w:p>
          <w:p w:rsidR="000027E7" w:rsidRPr="00C806D0" w:rsidRDefault="000027E7" w:rsidP="000027E7">
            <w:pPr>
              <w:pStyle w:val="NoSpacing"/>
              <w:rPr>
                <w:color w:val="000000" w:themeColor="text1"/>
                <w:sz w:val="20"/>
                <w:szCs w:val="20"/>
              </w:rPr>
            </w:pPr>
            <w:r w:rsidRPr="00C806D0">
              <w:rPr>
                <w:color w:val="000000" w:themeColor="text1"/>
                <w:sz w:val="20"/>
                <w:szCs w:val="20"/>
              </w:rPr>
              <w:sym w:font="Wingdings" w:char="F09F"/>
            </w:r>
            <w:r w:rsidRPr="00C806D0">
              <w:rPr>
                <w:color w:val="000000" w:themeColor="text1"/>
                <w:sz w:val="20"/>
                <w:szCs w:val="20"/>
              </w:rPr>
              <w:t>US</w:t>
            </w:r>
          </w:p>
          <w:p w:rsidR="000027E7" w:rsidRPr="00C806D0" w:rsidRDefault="000027E7" w:rsidP="000027E7">
            <w:pPr>
              <w:pStyle w:val="NoSpacing"/>
              <w:rPr>
                <w:color w:val="000000" w:themeColor="text1"/>
                <w:sz w:val="20"/>
                <w:szCs w:val="20"/>
              </w:rPr>
            </w:pPr>
            <w:r w:rsidRPr="00C806D0">
              <w:rPr>
                <w:color w:val="000000" w:themeColor="text1"/>
                <w:sz w:val="20"/>
                <w:szCs w:val="20"/>
              </w:rPr>
              <w:sym w:font="Wingdings" w:char="F09F"/>
            </w:r>
            <w:r w:rsidRPr="00C806D0">
              <w:rPr>
                <w:color w:val="000000" w:themeColor="text1"/>
                <w:sz w:val="20"/>
                <w:szCs w:val="20"/>
              </w:rPr>
              <w:t xml:space="preserve">Any TBI </w:t>
            </w:r>
          </w:p>
          <w:p w:rsidR="000027E7" w:rsidRPr="00C806D0" w:rsidRDefault="000027E7" w:rsidP="000027E7">
            <w:pPr>
              <w:pStyle w:val="NoSpacing"/>
              <w:rPr>
                <w:color w:val="000000" w:themeColor="text1"/>
                <w:sz w:val="20"/>
                <w:szCs w:val="20"/>
              </w:rPr>
            </w:pPr>
            <w:r w:rsidRPr="00C806D0">
              <w:rPr>
                <w:color w:val="000000" w:themeColor="text1"/>
                <w:sz w:val="20"/>
                <w:szCs w:val="20"/>
              </w:rPr>
              <w:sym w:font="Wingdings" w:char="F09F"/>
            </w:r>
            <w:r w:rsidRPr="00C806D0">
              <w:rPr>
                <w:color w:val="000000" w:themeColor="text1"/>
                <w:sz w:val="20"/>
                <w:szCs w:val="20"/>
              </w:rPr>
              <w:t>Surviving ≥6 months</w:t>
            </w:r>
          </w:p>
          <w:p w:rsidR="000027E7" w:rsidRPr="00C806D0" w:rsidRDefault="000027E7" w:rsidP="000027E7">
            <w:pPr>
              <w:pStyle w:val="NoSpacing"/>
              <w:rPr>
                <w:color w:val="000000" w:themeColor="text1"/>
                <w:sz w:val="20"/>
                <w:szCs w:val="20"/>
              </w:rPr>
            </w:pPr>
          </w:p>
        </w:tc>
        <w:tc>
          <w:tcPr>
            <w:tcW w:w="1423" w:type="dxa"/>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1987-1999</w:t>
            </w:r>
          </w:p>
        </w:tc>
        <w:tc>
          <w:tcPr>
            <w:tcW w:w="1430" w:type="dxa"/>
          </w:tcPr>
          <w:p w:rsidR="000027E7" w:rsidRPr="00C806D0" w:rsidRDefault="000027E7" w:rsidP="000027E7">
            <w:pPr>
              <w:pStyle w:val="NoSpacing"/>
              <w:rPr>
                <w:color w:val="000000" w:themeColor="text1"/>
                <w:sz w:val="20"/>
                <w:szCs w:val="20"/>
              </w:rPr>
            </w:pPr>
            <w:r w:rsidRPr="00C806D0">
              <w:rPr>
                <w:color w:val="000000" w:themeColor="text1"/>
                <w:sz w:val="20"/>
                <w:szCs w:val="20"/>
              </w:rPr>
              <w:t>TBI aged:</w:t>
            </w:r>
          </w:p>
          <w:p w:rsidR="000027E7" w:rsidRPr="00C806D0" w:rsidRDefault="000027E7" w:rsidP="000027E7">
            <w:pPr>
              <w:pStyle w:val="NoSpacing"/>
              <w:rPr>
                <w:color w:val="000000" w:themeColor="text1"/>
                <w:sz w:val="20"/>
                <w:szCs w:val="20"/>
              </w:rPr>
            </w:pPr>
            <w:r w:rsidRPr="00C806D0">
              <w:rPr>
                <w:color w:val="000000" w:themeColor="text1"/>
                <w:sz w:val="20"/>
                <w:szCs w:val="20"/>
              </w:rPr>
              <w:t>Median survival:</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 xml:space="preserve">25y </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46</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52y</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31</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79y</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9</w:t>
            </w:r>
          </w:p>
          <w:p w:rsidR="000027E7" w:rsidRPr="00C806D0" w:rsidRDefault="000027E7" w:rsidP="000027E7">
            <w:pPr>
              <w:pStyle w:val="NoSpacing"/>
              <w:jc w:val="center"/>
              <w:rPr>
                <w:color w:val="000000" w:themeColor="text1"/>
                <w:sz w:val="20"/>
                <w:szCs w:val="20"/>
              </w:rPr>
            </w:pPr>
          </w:p>
        </w:tc>
      </w:tr>
      <w:tr w:rsidR="000027E7" w:rsidRPr="00C806D0" w:rsidTr="000027E7">
        <w:trPr>
          <w:jc w:val="center"/>
        </w:trPr>
        <w:tc>
          <w:tcPr>
            <w:tcW w:w="0" w:type="auto"/>
          </w:tcPr>
          <w:p w:rsidR="000027E7" w:rsidRPr="00C806D0" w:rsidRDefault="000027E7" w:rsidP="006D4D62">
            <w:pPr>
              <w:pStyle w:val="NoSpacing"/>
              <w:rPr>
                <w:sz w:val="20"/>
                <w:szCs w:val="20"/>
              </w:rPr>
            </w:pPr>
            <w:r w:rsidRPr="00C806D0">
              <w:rPr>
                <w:sz w:val="20"/>
                <w:szCs w:val="20"/>
              </w:rPr>
              <w:t>Ventura 2010</w:t>
            </w:r>
            <w:r w:rsidR="00D37128" w:rsidRPr="00C806D0">
              <w:rPr>
                <w:noProof/>
                <w:sz w:val="20"/>
                <w:szCs w:val="20"/>
                <w:vertAlign w:val="superscript"/>
              </w:rPr>
              <w:t>[</w:t>
            </w:r>
            <w:r w:rsidR="006D4D62" w:rsidRPr="00C806D0">
              <w:rPr>
                <w:noProof/>
                <w:sz w:val="20"/>
                <w:szCs w:val="20"/>
                <w:vertAlign w:val="superscript"/>
              </w:rPr>
              <w:t>13</w:t>
            </w:r>
            <w:r w:rsidR="00D37128" w:rsidRPr="00C806D0">
              <w:rPr>
                <w:noProof/>
                <w:sz w:val="20"/>
                <w:szCs w:val="20"/>
                <w:vertAlign w:val="superscript"/>
              </w:rPr>
              <w:t>]</w:t>
            </w:r>
          </w:p>
        </w:tc>
        <w:tc>
          <w:tcPr>
            <w:tcW w:w="0" w:type="auto"/>
          </w:tcPr>
          <w:p w:rsidR="000027E7" w:rsidRPr="00C806D0" w:rsidRDefault="000027E7" w:rsidP="000027E7">
            <w:pPr>
              <w:jc w:val="center"/>
              <w:rPr>
                <w:sz w:val="20"/>
                <w:szCs w:val="20"/>
              </w:rPr>
            </w:pPr>
          </w:p>
        </w:tc>
        <w:tc>
          <w:tcPr>
            <w:tcW w:w="0" w:type="auto"/>
          </w:tcPr>
          <w:p w:rsidR="000027E7" w:rsidRPr="00C806D0" w:rsidRDefault="000027E7" w:rsidP="000027E7">
            <w:pPr>
              <w:pStyle w:val="NoSpacing"/>
              <w:rPr>
                <w:sz w:val="20"/>
                <w:szCs w:val="20"/>
              </w:rPr>
            </w:pPr>
            <w:r w:rsidRPr="00C806D0">
              <w:rPr>
                <w:sz w:val="20"/>
                <w:szCs w:val="20"/>
              </w:rPr>
              <w:sym w:font="Wingdings" w:char="F09F"/>
            </w:r>
            <w:r w:rsidRPr="00C806D0">
              <w:rPr>
                <w:sz w:val="20"/>
                <w:szCs w:val="20"/>
              </w:rPr>
              <w:t>Any age</w:t>
            </w:r>
          </w:p>
          <w:p w:rsidR="000027E7" w:rsidRPr="00C806D0" w:rsidRDefault="000027E7" w:rsidP="000027E7">
            <w:pPr>
              <w:pStyle w:val="NoSpacing"/>
              <w:rPr>
                <w:sz w:val="20"/>
                <w:szCs w:val="20"/>
              </w:rPr>
            </w:pPr>
            <w:r w:rsidRPr="00C806D0">
              <w:rPr>
                <w:sz w:val="20"/>
                <w:szCs w:val="20"/>
              </w:rPr>
              <w:sym w:font="Wingdings" w:char="F09F"/>
            </w:r>
            <w:r w:rsidRPr="00C806D0">
              <w:rPr>
                <w:sz w:val="20"/>
                <w:szCs w:val="20"/>
              </w:rPr>
              <w:t>US</w:t>
            </w:r>
          </w:p>
          <w:p w:rsidR="000027E7" w:rsidRPr="00C806D0" w:rsidRDefault="000027E7" w:rsidP="000027E7">
            <w:pPr>
              <w:pStyle w:val="NoSpacing"/>
              <w:rPr>
                <w:sz w:val="20"/>
                <w:szCs w:val="20"/>
              </w:rPr>
            </w:pPr>
            <w:r w:rsidRPr="00C806D0">
              <w:rPr>
                <w:sz w:val="20"/>
                <w:szCs w:val="20"/>
              </w:rPr>
              <w:sym w:font="Wingdings" w:char="F09F"/>
            </w:r>
            <w:r w:rsidRPr="00C806D0">
              <w:rPr>
                <w:sz w:val="20"/>
                <w:szCs w:val="20"/>
              </w:rPr>
              <w:t>TBI discharged alive after acute hospitalisation</w:t>
            </w:r>
          </w:p>
          <w:p w:rsidR="000027E7" w:rsidRPr="00C806D0" w:rsidRDefault="000027E7" w:rsidP="000027E7">
            <w:pPr>
              <w:pStyle w:val="NoSpacing"/>
              <w:rPr>
                <w:color w:val="000000" w:themeColor="text1"/>
                <w:sz w:val="20"/>
                <w:szCs w:val="20"/>
              </w:rPr>
            </w:pPr>
          </w:p>
        </w:tc>
        <w:tc>
          <w:tcPr>
            <w:tcW w:w="1423" w:type="dxa"/>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1998-2003</w:t>
            </w:r>
          </w:p>
        </w:tc>
        <w:tc>
          <w:tcPr>
            <w:tcW w:w="1430" w:type="dxa"/>
          </w:tcPr>
          <w:p w:rsidR="000027E7" w:rsidRPr="00C806D0" w:rsidRDefault="000027E7" w:rsidP="000027E7">
            <w:pPr>
              <w:pStyle w:val="NoSpacing"/>
              <w:rPr>
                <w:color w:val="000000" w:themeColor="text1"/>
                <w:sz w:val="20"/>
                <w:szCs w:val="20"/>
              </w:rPr>
            </w:pPr>
            <w:r w:rsidRPr="00C806D0">
              <w:rPr>
                <w:color w:val="000000" w:themeColor="text1"/>
                <w:sz w:val="20"/>
                <w:szCs w:val="20"/>
              </w:rPr>
              <w:t>TBI aged:</w:t>
            </w:r>
          </w:p>
          <w:p w:rsidR="000027E7" w:rsidRPr="00C806D0" w:rsidRDefault="000027E7" w:rsidP="000027E7">
            <w:pPr>
              <w:pStyle w:val="NoSpacing"/>
              <w:rPr>
                <w:color w:val="000000" w:themeColor="text1"/>
                <w:sz w:val="20"/>
                <w:szCs w:val="20"/>
              </w:rPr>
            </w:pPr>
            <w:r w:rsidRPr="00C806D0">
              <w:rPr>
                <w:color w:val="000000" w:themeColor="text1"/>
                <w:sz w:val="20"/>
                <w:szCs w:val="20"/>
              </w:rPr>
              <w:t>Mean survival:</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 xml:space="preserve">20y </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47</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50y</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22</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80y</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5</w:t>
            </w:r>
          </w:p>
          <w:p w:rsidR="000027E7" w:rsidRPr="00C806D0" w:rsidRDefault="000027E7" w:rsidP="000027E7">
            <w:pPr>
              <w:pStyle w:val="NoSpacing"/>
              <w:jc w:val="center"/>
              <w:rPr>
                <w:color w:val="000000" w:themeColor="text1"/>
                <w:sz w:val="20"/>
                <w:szCs w:val="20"/>
              </w:rPr>
            </w:pPr>
          </w:p>
        </w:tc>
      </w:tr>
      <w:tr w:rsidR="000027E7" w:rsidRPr="00C806D0" w:rsidTr="000027E7">
        <w:trPr>
          <w:jc w:val="center"/>
        </w:trPr>
        <w:tc>
          <w:tcPr>
            <w:tcW w:w="0" w:type="auto"/>
          </w:tcPr>
          <w:p w:rsidR="000027E7" w:rsidRPr="00C806D0" w:rsidRDefault="000027E7" w:rsidP="006D4D62">
            <w:pPr>
              <w:pStyle w:val="NoSpacing"/>
              <w:rPr>
                <w:sz w:val="20"/>
                <w:szCs w:val="20"/>
              </w:rPr>
            </w:pPr>
            <w:r w:rsidRPr="00C806D0">
              <w:rPr>
                <w:sz w:val="20"/>
                <w:szCs w:val="20"/>
              </w:rPr>
              <w:t>Felix-Harrison 2009</w:t>
            </w:r>
            <w:r w:rsidR="00D37128" w:rsidRPr="00C806D0">
              <w:rPr>
                <w:noProof/>
                <w:sz w:val="20"/>
                <w:szCs w:val="20"/>
                <w:vertAlign w:val="superscript"/>
              </w:rPr>
              <w:t>[</w:t>
            </w:r>
            <w:r w:rsidR="006D4D62" w:rsidRPr="00C806D0">
              <w:rPr>
                <w:noProof/>
                <w:sz w:val="20"/>
                <w:szCs w:val="20"/>
                <w:vertAlign w:val="superscript"/>
              </w:rPr>
              <w:t>14</w:t>
            </w:r>
            <w:r w:rsidR="00D37128" w:rsidRPr="00C806D0">
              <w:rPr>
                <w:noProof/>
                <w:sz w:val="20"/>
                <w:szCs w:val="20"/>
                <w:vertAlign w:val="superscript"/>
              </w:rPr>
              <w:t>]</w:t>
            </w:r>
          </w:p>
        </w:tc>
        <w:tc>
          <w:tcPr>
            <w:tcW w:w="0" w:type="auto"/>
          </w:tcPr>
          <w:p w:rsidR="000027E7" w:rsidRPr="00C806D0" w:rsidRDefault="000027E7" w:rsidP="000027E7">
            <w:pPr>
              <w:jc w:val="center"/>
              <w:rPr>
                <w:sz w:val="20"/>
                <w:szCs w:val="20"/>
              </w:rPr>
            </w:pPr>
          </w:p>
        </w:tc>
        <w:tc>
          <w:tcPr>
            <w:tcW w:w="0" w:type="auto"/>
          </w:tcPr>
          <w:p w:rsidR="000027E7" w:rsidRPr="00C806D0" w:rsidRDefault="000027E7" w:rsidP="000027E7">
            <w:pPr>
              <w:pStyle w:val="NoSpacing"/>
              <w:rPr>
                <w:sz w:val="20"/>
                <w:szCs w:val="20"/>
              </w:rPr>
            </w:pPr>
            <w:r w:rsidRPr="00C806D0">
              <w:rPr>
                <w:sz w:val="20"/>
                <w:szCs w:val="20"/>
              </w:rPr>
              <w:sym w:font="Wingdings" w:char="F09F"/>
            </w:r>
            <w:r w:rsidRPr="00C806D0">
              <w:rPr>
                <w:sz w:val="20"/>
                <w:szCs w:val="20"/>
              </w:rPr>
              <w:t>Adults &gt;16years</w:t>
            </w:r>
          </w:p>
          <w:p w:rsidR="000027E7" w:rsidRPr="00C806D0" w:rsidRDefault="000027E7" w:rsidP="000027E7">
            <w:pPr>
              <w:pStyle w:val="NoSpacing"/>
              <w:rPr>
                <w:color w:val="000000" w:themeColor="text1"/>
                <w:sz w:val="20"/>
                <w:szCs w:val="20"/>
              </w:rPr>
            </w:pPr>
            <w:r w:rsidRPr="00C806D0">
              <w:rPr>
                <w:color w:val="000000" w:themeColor="text1"/>
                <w:sz w:val="20"/>
                <w:szCs w:val="20"/>
              </w:rPr>
              <w:sym w:font="Wingdings" w:char="F09F"/>
            </w:r>
            <w:r w:rsidRPr="00C806D0">
              <w:rPr>
                <w:color w:val="000000" w:themeColor="text1"/>
                <w:sz w:val="20"/>
                <w:szCs w:val="20"/>
              </w:rPr>
              <w:t>US</w:t>
            </w:r>
          </w:p>
          <w:p w:rsidR="000027E7" w:rsidRPr="00C806D0" w:rsidRDefault="000027E7" w:rsidP="000027E7">
            <w:pPr>
              <w:pStyle w:val="NoSpacing"/>
              <w:rPr>
                <w:sz w:val="20"/>
                <w:szCs w:val="20"/>
              </w:rPr>
            </w:pPr>
            <w:r w:rsidRPr="00C806D0">
              <w:rPr>
                <w:sz w:val="20"/>
                <w:szCs w:val="20"/>
              </w:rPr>
              <w:sym w:font="Wingdings" w:char="F09F"/>
            </w:r>
            <w:r w:rsidRPr="00C806D0">
              <w:rPr>
                <w:sz w:val="20"/>
                <w:szCs w:val="20"/>
              </w:rPr>
              <w:t>TBI admitted for rehabilitation</w:t>
            </w:r>
          </w:p>
          <w:p w:rsidR="000027E7" w:rsidRPr="00C806D0" w:rsidRDefault="000027E7" w:rsidP="000027E7">
            <w:pPr>
              <w:pStyle w:val="NoSpacing"/>
              <w:rPr>
                <w:sz w:val="20"/>
                <w:szCs w:val="20"/>
              </w:rPr>
            </w:pPr>
            <w:r w:rsidRPr="00C806D0">
              <w:rPr>
                <w:sz w:val="20"/>
                <w:szCs w:val="20"/>
              </w:rPr>
              <w:sym w:font="Wingdings" w:char="F09F"/>
            </w:r>
            <w:r w:rsidRPr="00C806D0">
              <w:rPr>
                <w:sz w:val="20"/>
                <w:szCs w:val="20"/>
              </w:rPr>
              <w:t>Surviving 1 year</w:t>
            </w:r>
          </w:p>
          <w:p w:rsidR="000027E7" w:rsidRPr="00C806D0" w:rsidRDefault="000027E7" w:rsidP="000027E7">
            <w:pPr>
              <w:pStyle w:val="NoSpacing"/>
              <w:rPr>
                <w:color w:val="000000" w:themeColor="text1"/>
                <w:sz w:val="20"/>
                <w:szCs w:val="20"/>
              </w:rPr>
            </w:pPr>
          </w:p>
        </w:tc>
        <w:tc>
          <w:tcPr>
            <w:tcW w:w="1423" w:type="dxa"/>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1961-2002</w:t>
            </w:r>
          </w:p>
        </w:tc>
        <w:tc>
          <w:tcPr>
            <w:tcW w:w="1430" w:type="dxa"/>
          </w:tcPr>
          <w:p w:rsidR="000027E7" w:rsidRPr="00C806D0" w:rsidRDefault="000027E7" w:rsidP="000027E7">
            <w:pPr>
              <w:pStyle w:val="NoSpacing"/>
              <w:rPr>
                <w:color w:val="000000" w:themeColor="text1"/>
                <w:sz w:val="20"/>
                <w:szCs w:val="20"/>
              </w:rPr>
            </w:pPr>
            <w:r w:rsidRPr="00C806D0">
              <w:rPr>
                <w:color w:val="000000" w:themeColor="text1"/>
                <w:sz w:val="20"/>
                <w:szCs w:val="20"/>
              </w:rPr>
              <w:t>TBI aged:</w:t>
            </w:r>
          </w:p>
          <w:p w:rsidR="000027E7" w:rsidRPr="00C806D0" w:rsidRDefault="000027E7" w:rsidP="000027E7">
            <w:pPr>
              <w:pStyle w:val="NoSpacing"/>
              <w:rPr>
                <w:color w:val="000000" w:themeColor="text1"/>
                <w:sz w:val="20"/>
                <w:szCs w:val="20"/>
              </w:rPr>
            </w:pPr>
            <w:r w:rsidRPr="00C806D0">
              <w:rPr>
                <w:color w:val="000000" w:themeColor="text1"/>
                <w:sz w:val="20"/>
                <w:szCs w:val="20"/>
              </w:rPr>
              <w:t>Mean survival:</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 xml:space="preserve">20y </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50</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50y</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23</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70y</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9</w:t>
            </w:r>
          </w:p>
          <w:p w:rsidR="000027E7" w:rsidRPr="00C806D0" w:rsidRDefault="000027E7" w:rsidP="000027E7">
            <w:pPr>
              <w:pStyle w:val="NoSpacing"/>
              <w:jc w:val="center"/>
              <w:rPr>
                <w:color w:val="000000" w:themeColor="text1"/>
                <w:sz w:val="20"/>
                <w:szCs w:val="20"/>
              </w:rPr>
            </w:pPr>
          </w:p>
        </w:tc>
      </w:tr>
      <w:tr w:rsidR="000027E7" w:rsidRPr="00C806D0" w:rsidTr="000027E7">
        <w:trPr>
          <w:jc w:val="center"/>
        </w:trPr>
        <w:tc>
          <w:tcPr>
            <w:tcW w:w="0" w:type="auto"/>
          </w:tcPr>
          <w:p w:rsidR="000027E7" w:rsidRPr="00C806D0" w:rsidRDefault="000027E7" w:rsidP="006D4D62">
            <w:pPr>
              <w:pStyle w:val="NoSpacing"/>
              <w:rPr>
                <w:sz w:val="20"/>
                <w:szCs w:val="20"/>
              </w:rPr>
            </w:pPr>
            <w:r w:rsidRPr="00C806D0">
              <w:rPr>
                <w:sz w:val="20"/>
                <w:szCs w:val="20"/>
              </w:rPr>
              <w:t>Felix-Harrison 2004</w:t>
            </w:r>
            <w:r w:rsidR="00D37128" w:rsidRPr="00C806D0">
              <w:rPr>
                <w:noProof/>
                <w:sz w:val="20"/>
                <w:szCs w:val="20"/>
                <w:vertAlign w:val="superscript"/>
              </w:rPr>
              <w:t>[</w:t>
            </w:r>
            <w:r w:rsidR="006D4D62" w:rsidRPr="00C806D0">
              <w:rPr>
                <w:noProof/>
                <w:sz w:val="20"/>
                <w:szCs w:val="20"/>
                <w:vertAlign w:val="superscript"/>
              </w:rPr>
              <w:t>15</w:t>
            </w:r>
            <w:r w:rsidR="00D37128" w:rsidRPr="00C806D0">
              <w:rPr>
                <w:noProof/>
                <w:sz w:val="20"/>
                <w:szCs w:val="20"/>
                <w:vertAlign w:val="superscript"/>
              </w:rPr>
              <w:t>]</w:t>
            </w:r>
          </w:p>
        </w:tc>
        <w:tc>
          <w:tcPr>
            <w:tcW w:w="0" w:type="auto"/>
          </w:tcPr>
          <w:p w:rsidR="000027E7" w:rsidRPr="00C806D0" w:rsidRDefault="000027E7" w:rsidP="000027E7">
            <w:pPr>
              <w:jc w:val="center"/>
              <w:rPr>
                <w:sz w:val="20"/>
                <w:szCs w:val="20"/>
              </w:rPr>
            </w:pPr>
          </w:p>
        </w:tc>
        <w:tc>
          <w:tcPr>
            <w:tcW w:w="0" w:type="auto"/>
          </w:tcPr>
          <w:p w:rsidR="000027E7" w:rsidRPr="00C806D0" w:rsidRDefault="000027E7" w:rsidP="000027E7">
            <w:pPr>
              <w:pStyle w:val="NoSpacing"/>
              <w:rPr>
                <w:sz w:val="20"/>
                <w:szCs w:val="20"/>
              </w:rPr>
            </w:pPr>
            <w:r w:rsidRPr="00C806D0">
              <w:rPr>
                <w:sz w:val="20"/>
                <w:szCs w:val="20"/>
              </w:rPr>
              <w:sym w:font="Wingdings" w:char="F09F"/>
            </w:r>
            <w:r w:rsidRPr="00C806D0">
              <w:rPr>
                <w:sz w:val="20"/>
                <w:szCs w:val="20"/>
              </w:rPr>
              <w:t>Adults &gt;16years</w:t>
            </w:r>
          </w:p>
          <w:p w:rsidR="000027E7" w:rsidRPr="00C806D0" w:rsidRDefault="000027E7" w:rsidP="000027E7">
            <w:pPr>
              <w:pStyle w:val="NoSpacing"/>
              <w:rPr>
                <w:color w:val="000000" w:themeColor="text1"/>
                <w:sz w:val="20"/>
                <w:szCs w:val="20"/>
              </w:rPr>
            </w:pPr>
            <w:r w:rsidRPr="00C806D0">
              <w:rPr>
                <w:color w:val="000000" w:themeColor="text1"/>
                <w:sz w:val="20"/>
                <w:szCs w:val="20"/>
              </w:rPr>
              <w:sym w:font="Wingdings" w:char="F09F"/>
            </w:r>
            <w:r w:rsidRPr="00C806D0">
              <w:rPr>
                <w:color w:val="000000" w:themeColor="text1"/>
                <w:sz w:val="20"/>
                <w:szCs w:val="20"/>
              </w:rPr>
              <w:t>US</w:t>
            </w:r>
          </w:p>
          <w:p w:rsidR="000027E7" w:rsidRPr="00C806D0" w:rsidRDefault="000027E7" w:rsidP="000027E7">
            <w:pPr>
              <w:pStyle w:val="NoSpacing"/>
              <w:rPr>
                <w:sz w:val="20"/>
                <w:szCs w:val="20"/>
              </w:rPr>
            </w:pPr>
            <w:r w:rsidRPr="00C806D0">
              <w:rPr>
                <w:sz w:val="20"/>
                <w:szCs w:val="20"/>
              </w:rPr>
              <w:sym w:font="Wingdings" w:char="F09F"/>
            </w:r>
            <w:r w:rsidRPr="00C806D0">
              <w:rPr>
                <w:sz w:val="20"/>
                <w:szCs w:val="20"/>
              </w:rPr>
              <w:t>TBI admitted for rehabilitation</w:t>
            </w:r>
          </w:p>
          <w:p w:rsidR="000027E7" w:rsidRPr="00C806D0" w:rsidRDefault="000027E7" w:rsidP="000027E7">
            <w:pPr>
              <w:pStyle w:val="NoSpacing"/>
              <w:rPr>
                <w:color w:val="000000" w:themeColor="text1"/>
                <w:sz w:val="20"/>
                <w:szCs w:val="20"/>
              </w:rPr>
            </w:pPr>
          </w:p>
        </w:tc>
        <w:tc>
          <w:tcPr>
            <w:tcW w:w="1423" w:type="dxa"/>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1988-2000</w:t>
            </w:r>
          </w:p>
        </w:tc>
        <w:tc>
          <w:tcPr>
            <w:tcW w:w="1430" w:type="dxa"/>
          </w:tcPr>
          <w:p w:rsidR="000027E7" w:rsidRPr="00C806D0" w:rsidRDefault="000027E7" w:rsidP="000027E7">
            <w:pPr>
              <w:pStyle w:val="NoSpacing"/>
              <w:rPr>
                <w:color w:val="000000" w:themeColor="text1"/>
                <w:sz w:val="20"/>
                <w:szCs w:val="20"/>
              </w:rPr>
            </w:pPr>
            <w:r w:rsidRPr="00C806D0">
              <w:rPr>
                <w:color w:val="000000" w:themeColor="text1"/>
                <w:sz w:val="20"/>
                <w:szCs w:val="20"/>
              </w:rPr>
              <w:t>TBI aged:</w:t>
            </w:r>
          </w:p>
          <w:p w:rsidR="000027E7" w:rsidRPr="00C806D0" w:rsidRDefault="000027E7" w:rsidP="000027E7">
            <w:pPr>
              <w:pStyle w:val="NoSpacing"/>
              <w:rPr>
                <w:color w:val="000000" w:themeColor="text1"/>
                <w:sz w:val="20"/>
                <w:szCs w:val="20"/>
              </w:rPr>
            </w:pPr>
            <w:r w:rsidRPr="00C806D0">
              <w:rPr>
                <w:color w:val="000000" w:themeColor="text1"/>
                <w:sz w:val="20"/>
                <w:szCs w:val="20"/>
              </w:rPr>
              <w:t>Mean survival:</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 xml:space="preserve">20y </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54</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50y</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20</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70y</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7</w:t>
            </w:r>
          </w:p>
          <w:p w:rsidR="000027E7" w:rsidRPr="00C806D0" w:rsidRDefault="000027E7" w:rsidP="000027E7">
            <w:pPr>
              <w:pStyle w:val="NoSpacing"/>
              <w:jc w:val="center"/>
              <w:rPr>
                <w:color w:val="000000" w:themeColor="text1"/>
                <w:sz w:val="20"/>
                <w:szCs w:val="20"/>
              </w:rPr>
            </w:pPr>
          </w:p>
        </w:tc>
      </w:tr>
      <w:tr w:rsidR="000027E7" w:rsidRPr="00C806D0" w:rsidTr="000027E7">
        <w:trPr>
          <w:jc w:val="center"/>
        </w:trPr>
        <w:tc>
          <w:tcPr>
            <w:tcW w:w="0" w:type="auto"/>
          </w:tcPr>
          <w:p w:rsidR="000027E7" w:rsidRPr="00C806D0" w:rsidRDefault="000027E7" w:rsidP="006D4D62">
            <w:pPr>
              <w:pStyle w:val="NoSpacing"/>
              <w:rPr>
                <w:sz w:val="20"/>
                <w:szCs w:val="20"/>
              </w:rPr>
            </w:pPr>
            <w:r w:rsidRPr="00C806D0">
              <w:rPr>
                <w:sz w:val="20"/>
                <w:szCs w:val="20"/>
              </w:rPr>
              <w:t>Strauss 1998</w:t>
            </w:r>
            <w:r w:rsidR="00D37128" w:rsidRPr="00C806D0">
              <w:rPr>
                <w:noProof/>
                <w:sz w:val="20"/>
                <w:szCs w:val="20"/>
                <w:vertAlign w:val="superscript"/>
              </w:rPr>
              <w:t>[</w:t>
            </w:r>
            <w:r w:rsidR="006D4D62" w:rsidRPr="00C806D0">
              <w:rPr>
                <w:noProof/>
                <w:sz w:val="20"/>
                <w:szCs w:val="20"/>
                <w:vertAlign w:val="superscript"/>
              </w:rPr>
              <w:t>16</w:t>
            </w:r>
            <w:r w:rsidR="00D37128" w:rsidRPr="00C806D0">
              <w:rPr>
                <w:noProof/>
                <w:sz w:val="20"/>
                <w:szCs w:val="20"/>
                <w:vertAlign w:val="superscript"/>
              </w:rPr>
              <w:t>]</w:t>
            </w:r>
          </w:p>
        </w:tc>
        <w:tc>
          <w:tcPr>
            <w:tcW w:w="0" w:type="auto"/>
          </w:tcPr>
          <w:p w:rsidR="000027E7" w:rsidRPr="00C806D0" w:rsidRDefault="000027E7" w:rsidP="000027E7">
            <w:pPr>
              <w:jc w:val="center"/>
              <w:rPr>
                <w:sz w:val="20"/>
                <w:szCs w:val="20"/>
              </w:rPr>
            </w:pPr>
          </w:p>
        </w:tc>
        <w:tc>
          <w:tcPr>
            <w:tcW w:w="0" w:type="auto"/>
          </w:tcPr>
          <w:p w:rsidR="000027E7" w:rsidRPr="00C806D0" w:rsidRDefault="000027E7" w:rsidP="000027E7">
            <w:pPr>
              <w:pStyle w:val="NoSpacing"/>
              <w:rPr>
                <w:sz w:val="20"/>
                <w:szCs w:val="20"/>
              </w:rPr>
            </w:pPr>
            <w:r w:rsidRPr="00C806D0">
              <w:rPr>
                <w:sz w:val="20"/>
                <w:szCs w:val="20"/>
              </w:rPr>
              <w:sym w:font="Wingdings" w:char="F09F"/>
            </w:r>
            <w:r w:rsidRPr="00C806D0">
              <w:rPr>
                <w:sz w:val="20"/>
                <w:szCs w:val="20"/>
              </w:rPr>
              <w:t>Aged 5-21 years</w:t>
            </w:r>
          </w:p>
          <w:p w:rsidR="000027E7" w:rsidRPr="00C806D0" w:rsidRDefault="000027E7" w:rsidP="000027E7">
            <w:pPr>
              <w:pStyle w:val="NoSpacing"/>
              <w:rPr>
                <w:color w:val="000000" w:themeColor="text1"/>
                <w:sz w:val="20"/>
                <w:szCs w:val="20"/>
              </w:rPr>
            </w:pPr>
            <w:r w:rsidRPr="00C806D0">
              <w:rPr>
                <w:color w:val="000000" w:themeColor="text1"/>
                <w:sz w:val="20"/>
                <w:szCs w:val="20"/>
              </w:rPr>
              <w:sym w:font="Wingdings" w:char="F09F"/>
            </w:r>
            <w:r w:rsidRPr="00C806D0">
              <w:rPr>
                <w:color w:val="000000" w:themeColor="text1"/>
                <w:sz w:val="20"/>
                <w:szCs w:val="20"/>
              </w:rPr>
              <w:t>US</w:t>
            </w:r>
          </w:p>
          <w:p w:rsidR="000027E7" w:rsidRPr="00C806D0" w:rsidRDefault="000027E7" w:rsidP="000027E7">
            <w:pPr>
              <w:pStyle w:val="NoSpacing"/>
              <w:rPr>
                <w:sz w:val="20"/>
                <w:szCs w:val="20"/>
              </w:rPr>
            </w:pPr>
            <w:r w:rsidRPr="00C806D0">
              <w:rPr>
                <w:sz w:val="20"/>
                <w:szCs w:val="20"/>
              </w:rPr>
              <w:sym w:font="Wingdings" w:char="F09F"/>
            </w:r>
            <w:r w:rsidRPr="00C806D0">
              <w:rPr>
                <w:sz w:val="20"/>
                <w:szCs w:val="20"/>
              </w:rPr>
              <w:t>TBI receiving disability services</w:t>
            </w:r>
          </w:p>
          <w:p w:rsidR="000027E7" w:rsidRPr="00C806D0" w:rsidRDefault="000027E7" w:rsidP="000027E7">
            <w:pPr>
              <w:pStyle w:val="NoSpacing"/>
              <w:rPr>
                <w:color w:val="000000" w:themeColor="text1"/>
                <w:sz w:val="20"/>
                <w:szCs w:val="20"/>
              </w:rPr>
            </w:pPr>
          </w:p>
        </w:tc>
        <w:tc>
          <w:tcPr>
            <w:tcW w:w="1423" w:type="dxa"/>
          </w:tcPr>
          <w:p w:rsidR="000027E7" w:rsidRPr="00C806D0" w:rsidRDefault="000027E7" w:rsidP="000027E7">
            <w:pPr>
              <w:pStyle w:val="NoSpacing"/>
              <w:rPr>
                <w:color w:val="000000" w:themeColor="text1"/>
                <w:sz w:val="20"/>
                <w:szCs w:val="20"/>
              </w:rPr>
            </w:pPr>
            <w:r w:rsidRPr="00C806D0">
              <w:rPr>
                <w:color w:val="000000" w:themeColor="text1"/>
                <w:sz w:val="20"/>
                <w:szCs w:val="20"/>
              </w:rPr>
              <w:t>1987-1995</w:t>
            </w:r>
          </w:p>
        </w:tc>
        <w:tc>
          <w:tcPr>
            <w:tcW w:w="1430" w:type="dxa"/>
          </w:tcPr>
          <w:p w:rsidR="000027E7" w:rsidRPr="00C806D0" w:rsidRDefault="000027E7" w:rsidP="000027E7">
            <w:pPr>
              <w:pStyle w:val="NoSpacing"/>
              <w:rPr>
                <w:color w:val="000000" w:themeColor="text1"/>
                <w:sz w:val="20"/>
                <w:szCs w:val="20"/>
              </w:rPr>
            </w:pPr>
            <w:r w:rsidRPr="00C806D0">
              <w:rPr>
                <w:color w:val="000000" w:themeColor="text1"/>
                <w:sz w:val="20"/>
                <w:szCs w:val="20"/>
              </w:rPr>
              <w:t>TBI aged:</w:t>
            </w:r>
          </w:p>
          <w:p w:rsidR="000027E7" w:rsidRPr="00C806D0" w:rsidRDefault="000027E7" w:rsidP="000027E7">
            <w:pPr>
              <w:pStyle w:val="NoSpacing"/>
              <w:rPr>
                <w:color w:val="000000" w:themeColor="text1"/>
                <w:sz w:val="20"/>
                <w:szCs w:val="20"/>
              </w:rPr>
            </w:pPr>
            <w:r w:rsidRPr="00C806D0">
              <w:rPr>
                <w:color w:val="000000" w:themeColor="text1"/>
                <w:sz w:val="20"/>
                <w:szCs w:val="20"/>
              </w:rPr>
              <w:t>Mean survival:</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 xml:space="preserve">20y </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51</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50y</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27</w:t>
            </w:r>
          </w:p>
        </w:tc>
        <w:tc>
          <w:tcPr>
            <w:tcW w:w="0" w:type="auto"/>
          </w:tcPr>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w:t>
            </w:r>
          </w:p>
          <w:p w:rsidR="000027E7" w:rsidRPr="00C806D0" w:rsidRDefault="000027E7" w:rsidP="000027E7">
            <w:pPr>
              <w:pStyle w:val="NoSpacing"/>
              <w:jc w:val="center"/>
              <w:rPr>
                <w:color w:val="000000" w:themeColor="text1"/>
                <w:sz w:val="20"/>
                <w:szCs w:val="20"/>
              </w:rPr>
            </w:pPr>
            <w:r w:rsidRPr="00C806D0">
              <w:rPr>
                <w:color w:val="000000" w:themeColor="text1"/>
                <w:sz w:val="20"/>
                <w:szCs w:val="20"/>
              </w:rPr>
              <w:t>-</w:t>
            </w:r>
          </w:p>
        </w:tc>
      </w:tr>
    </w:tbl>
    <w:p w:rsidR="000027E7" w:rsidRPr="00C806D0" w:rsidRDefault="000027E7" w:rsidP="000027E7"/>
    <w:p w:rsidR="000027E7" w:rsidRPr="00C806D0" w:rsidRDefault="000027E7" w:rsidP="002A360F">
      <w:pPr>
        <w:pStyle w:val="Heading3"/>
      </w:pPr>
      <w:r w:rsidRPr="00C806D0">
        <w:t>Primary model appraisal: External validity of Weibull model</w:t>
      </w:r>
    </w:p>
    <w:p w:rsidR="000027E7" w:rsidRPr="00C806D0" w:rsidRDefault="000027E7" w:rsidP="000027E7">
      <w:pPr>
        <w:rPr>
          <w:b/>
        </w:rPr>
      </w:pPr>
      <w:r w:rsidRPr="00C806D0">
        <w:rPr>
          <w:b/>
        </w:rPr>
        <w:t>Table G5. Comparison of metrics for assessing the goodness of fit to REP data for Gompertz and Weibull parametric survival models.</w:t>
      </w:r>
    </w:p>
    <w:tbl>
      <w:tblPr>
        <w:tblStyle w:val="LightShading1"/>
        <w:tblW w:w="0" w:type="auto"/>
        <w:tblLook w:val="0620" w:firstRow="1" w:lastRow="0" w:firstColumn="0" w:lastColumn="0" w:noHBand="1" w:noVBand="1"/>
      </w:tblPr>
      <w:tblGrid>
        <w:gridCol w:w="1308"/>
        <w:gridCol w:w="3763"/>
        <w:gridCol w:w="1227"/>
        <w:gridCol w:w="1211"/>
        <w:gridCol w:w="1211"/>
      </w:tblGrid>
      <w:tr w:rsidR="000027E7" w:rsidRPr="00C806D0" w:rsidTr="000027E7">
        <w:trPr>
          <w:cnfStyle w:val="100000000000" w:firstRow="1" w:lastRow="0" w:firstColumn="0" w:lastColumn="0" w:oddVBand="0" w:evenVBand="0" w:oddHBand="0" w:evenHBand="0" w:firstRowFirstColumn="0" w:firstRowLastColumn="0" w:lastRowFirstColumn="0" w:lastRowLastColumn="0"/>
        </w:trPr>
        <w:tc>
          <w:tcPr>
            <w:tcW w:w="0" w:type="auto"/>
          </w:tcPr>
          <w:p w:rsidR="000027E7" w:rsidRPr="00C806D0" w:rsidRDefault="000027E7" w:rsidP="000027E7">
            <w:pPr>
              <w:pStyle w:val="NoSpacing"/>
              <w:jc w:val="center"/>
            </w:pPr>
            <w:r w:rsidRPr="00C806D0">
              <w:t>Distribution</w:t>
            </w:r>
          </w:p>
        </w:tc>
        <w:tc>
          <w:tcPr>
            <w:tcW w:w="0" w:type="auto"/>
          </w:tcPr>
          <w:p w:rsidR="000027E7" w:rsidRPr="00C806D0" w:rsidRDefault="000027E7" w:rsidP="000027E7">
            <w:pPr>
              <w:pStyle w:val="NoSpacing"/>
              <w:jc w:val="center"/>
            </w:pPr>
            <w:r w:rsidRPr="00C806D0">
              <w:t>Predicted survival function v period general population life tables</w:t>
            </w:r>
          </w:p>
        </w:tc>
        <w:tc>
          <w:tcPr>
            <w:tcW w:w="0" w:type="auto"/>
            <w:gridSpan w:val="3"/>
          </w:tcPr>
          <w:p w:rsidR="000027E7" w:rsidRPr="00C806D0" w:rsidRDefault="000027E7" w:rsidP="000027E7">
            <w:pPr>
              <w:pStyle w:val="NoSpacing"/>
              <w:jc w:val="center"/>
            </w:pPr>
            <w:r w:rsidRPr="00C806D0">
              <w:t>Median predicted survival time (years) with age at TBI of*:</w:t>
            </w:r>
          </w:p>
        </w:tc>
      </w:tr>
      <w:tr w:rsidR="000027E7" w:rsidRPr="00C806D0" w:rsidTr="000027E7">
        <w:tc>
          <w:tcPr>
            <w:tcW w:w="0" w:type="auto"/>
          </w:tcPr>
          <w:p w:rsidR="000027E7" w:rsidRPr="00C806D0" w:rsidRDefault="000027E7" w:rsidP="000027E7">
            <w:pPr>
              <w:pStyle w:val="NoSpacing"/>
              <w:jc w:val="center"/>
              <w:rPr>
                <w:b/>
                <w:color w:val="000000" w:themeColor="text1"/>
              </w:rPr>
            </w:pPr>
          </w:p>
        </w:tc>
        <w:tc>
          <w:tcPr>
            <w:tcW w:w="0" w:type="auto"/>
          </w:tcPr>
          <w:p w:rsidR="000027E7" w:rsidRPr="00C806D0" w:rsidRDefault="000027E7" w:rsidP="000027E7">
            <w:pPr>
              <w:pStyle w:val="NoSpacing"/>
              <w:jc w:val="center"/>
              <w:rPr>
                <w:b/>
                <w:color w:val="000000" w:themeColor="text1"/>
              </w:rPr>
            </w:pPr>
          </w:p>
        </w:tc>
        <w:tc>
          <w:tcPr>
            <w:tcW w:w="0" w:type="auto"/>
          </w:tcPr>
          <w:p w:rsidR="000027E7" w:rsidRPr="00C806D0" w:rsidRDefault="000027E7" w:rsidP="000027E7">
            <w:pPr>
              <w:pStyle w:val="NoSpacing"/>
              <w:jc w:val="center"/>
              <w:rPr>
                <w:b/>
                <w:color w:val="000000" w:themeColor="text1"/>
              </w:rPr>
            </w:pPr>
            <w:r w:rsidRPr="00C806D0">
              <w:rPr>
                <w:b/>
                <w:color w:val="000000" w:themeColor="text1"/>
              </w:rPr>
              <w:t>25y</w:t>
            </w:r>
          </w:p>
        </w:tc>
        <w:tc>
          <w:tcPr>
            <w:tcW w:w="0" w:type="auto"/>
          </w:tcPr>
          <w:p w:rsidR="000027E7" w:rsidRPr="00C806D0" w:rsidRDefault="000027E7" w:rsidP="000027E7">
            <w:pPr>
              <w:pStyle w:val="NoSpacing"/>
              <w:jc w:val="center"/>
              <w:rPr>
                <w:b/>
                <w:color w:val="000000" w:themeColor="text1"/>
              </w:rPr>
            </w:pPr>
            <w:r w:rsidRPr="00C806D0">
              <w:rPr>
                <w:b/>
                <w:color w:val="000000" w:themeColor="text1"/>
              </w:rPr>
              <w:t>52y</w:t>
            </w:r>
          </w:p>
        </w:tc>
        <w:tc>
          <w:tcPr>
            <w:tcW w:w="0" w:type="auto"/>
          </w:tcPr>
          <w:p w:rsidR="000027E7" w:rsidRPr="00C806D0" w:rsidRDefault="000027E7" w:rsidP="000027E7">
            <w:pPr>
              <w:pStyle w:val="NoSpacing"/>
              <w:jc w:val="center"/>
              <w:rPr>
                <w:b/>
                <w:color w:val="000000" w:themeColor="text1"/>
              </w:rPr>
            </w:pPr>
            <w:r w:rsidRPr="00C806D0">
              <w:rPr>
                <w:b/>
                <w:color w:val="000000" w:themeColor="text1"/>
              </w:rPr>
              <w:t>79y</w:t>
            </w:r>
          </w:p>
        </w:tc>
      </w:tr>
      <w:tr w:rsidR="000027E7" w:rsidRPr="00C806D0" w:rsidTr="000027E7">
        <w:tc>
          <w:tcPr>
            <w:tcW w:w="0" w:type="auto"/>
          </w:tcPr>
          <w:p w:rsidR="000027E7" w:rsidRPr="00C806D0" w:rsidRDefault="000027E7" w:rsidP="000027E7">
            <w:pPr>
              <w:pStyle w:val="NoSpacing"/>
              <w:jc w:val="center"/>
            </w:pPr>
            <w:r w:rsidRPr="00C806D0">
              <w:t>Gompertz</w:t>
            </w:r>
          </w:p>
        </w:tc>
        <w:tc>
          <w:tcPr>
            <w:tcW w:w="0" w:type="auto"/>
          </w:tcPr>
          <w:p w:rsidR="000027E7" w:rsidRPr="00C806D0" w:rsidRDefault="000027E7" w:rsidP="000027E7">
            <w:pPr>
              <w:pStyle w:val="NoSpacing"/>
              <w:jc w:val="center"/>
            </w:pPr>
            <w:r w:rsidRPr="00C806D0">
              <w:t>Very similar pattern for all age groups</w:t>
            </w:r>
          </w:p>
          <w:p w:rsidR="000027E7" w:rsidRPr="00C806D0" w:rsidRDefault="000027E7" w:rsidP="000027E7">
            <w:pPr>
              <w:pStyle w:val="NoSpacing"/>
              <w:jc w:val="center"/>
            </w:pPr>
          </w:p>
        </w:tc>
        <w:tc>
          <w:tcPr>
            <w:tcW w:w="0" w:type="auto"/>
          </w:tcPr>
          <w:p w:rsidR="000027E7" w:rsidRPr="00C806D0" w:rsidRDefault="000027E7" w:rsidP="000027E7">
            <w:pPr>
              <w:jc w:val="center"/>
            </w:pPr>
            <w:r w:rsidRPr="00C806D0">
              <w:t>46</w:t>
            </w:r>
          </w:p>
        </w:tc>
        <w:tc>
          <w:tcPr>
            <w:tcW w:w="0" w:type="auto"/>
          </w:tcPr>
          <w:p w:rsidR="000027E7" w:rsidRPr="00C806D0" w:rsidRDefault="000027E7" w:rsidP="000027E7">
            <w:pPr>
              <w:jc w:val="center"/>
            </w:pPr>
            <w:r w:rsidRPr="00C806D0">
              <w:t>31</w:t>
            </w:r>
          </w:p>
        </w:tc>
        <w:tc>
          <w:tcPr>
            <w:tcW w:w="0" w:type="auto"/>
          </w:tcPr>
          <w:p w:rsidR="000027E7" w:rsidRPr="00C806D0" w:rsidRDefault="000027E7" w:rsidP="000027E7">
            <w:pPr>
              <w:jc w:val="center"/>
            </w:pPr>
            <w:r w:rsidRPr="00C806D0">
              <w:t>9</w:t>
            </w:r>
          </w:p>
        </w:tc>
      </w:tr>
      <w:tr w:rsidR="000027E7" w:rsidRPr="00C806D0" w:rsidTr="000027E7">
        <w:tc>
          <w:tcPr>
            <w:tcW w:w="0" w:type="auto"/>
          </w:tcPr>
          <w:p w:rsidR="000027E7" w:rsidRPr="00C806D0" w:rsidRDefault="000027E7" w:rsidP="000027E7">
            <w:pPr>
              <w:pStyle w:val="NoSpacing"/>
              <w:jc w:val="center"/>
            </w:pPr>
            <w:r w:rsidRPr="00C806D0">
              <w:t>Weibull</w:t>
            </w:r>
          </w:p>
        </w:tc>
        <w:tc>
          <w:tcPr>
            <w:tcW w:w="0" w:type="auto"/>
          </w:tcPr>
          <w:p w:rsidR="000027E7" w:rsidRPr="00C806D0" w:rsidRDefault="000027E7" w:rsidP="000027E7">
            <w:pPr>
              <w:pStyle w:val="NoSpacing"/>
              <w:jc w:val="center"/>
            </w:pPr>
            <w:r w:rsidRPr="00C806D0">
              <w:sym w:font="Wingdings" w:char="F09F"/>
            </w:r>
            <w:r w:rsidRPr="00C806D0">
              <w:t>Similar pattern for elderly</w:t>
            </w:r>
          </w:p>
          <w:p w:rsidR="000027E7" w:rsidRPr="00C806D0" w:rsidRDefault="000027E7" w:rsidP="000027E7">
            <w:pPr>
              <w:pStyle w:val="NoSpacing"/>
              <w:jc w:val="center"/>
            </w:pPr>
            <w:r w:rsidRPr="00C806D0">
              <w:sym w:font="Wingdings" w:char="F09F"/>
            </w:r>
            <w:r w:rsidRPr="00C806D0">
              <w:t>Very dissimilar pattern for other age groups</w:t>
            </w:r>
          </w:p>
          <w:p w:rsidR="000027E7" w:rsidRPr="00C806D0" w:rsidRDefault="000027E7" w:rsidP="000027E7">
            <w:pPr>
              <w:pStyle w:val="NoSpacing"/>
              <w:jc w:val="center"/>
            </w:pPr>
          </w:p>
        </w:tc>
        <w:tc>
          <w:tcPr>
            <w:tcW w:w="0" w:type="auto"/>
          </w:tcPr>
          <w:p w:rsidR="000027E7" w:rsidRPr="00C806D0" w:rsidRDefault="000027E7" w:rsidP="000027E7">
            <w:pPr>
              <w:jc w:val="center"/>
            </w:pPr>
            <w:r w:rsidRPr="00C806D0">
              <w:t>116</w:t>
            </w:r>
          </w:p>
        </w:tc>
        <w:tc>
          <w:tcPr>
            <w:tcW w:w="0" w:type="auto"/>
          </w:tcPr>
          <w:p w:rsidR="000027E7" w:rsidRPr="00C806D0" w:rsidRDefault="000027E7" w:rsidP="000027E7">
            <w:pPr>
              <w:jc w:val="center"/>
            </w:pPr>
            <w:r w:rsidRPr="00C806D0">
              <w:t>45</w:t>
            </w:r>
          </w:p>
        </w:tc>
        <w:tc>
          <w:tcPr>
            <w:tcW w:w="0" w:type="auto"/>
          </w:tcPr>
          <w:p w:rsidR="000027E7" w:rsidRPr="00C806D0" w:rsidRDefault="000027E7" w:rsidP="000027E7">
            <w:pPr>
              <w:jc w:val="center"/>
            </w:pPr>
            <w:r w:rsidRPr="00C806D0">
              <w:t>9</w:t>
            </w:r>
          </w:p>
        </w:tc>
      </w:tr>
    </w:tbl>
    <w:p w:rsidR="000027E7" w:rsidRPr="00C806D0" w:rsidRDefault="000027E7" w:rsidP="000027E7">
      <w:pPr>
        <w:rPr>
          <w:sz w:val="20"/>
          <w:szCs w:val="20"/>
        </w:rPr>
      </w:pPr>
      <w:r w:rsidRPr="00C806D0">
        <w:rPr>
          <w:sz w:val="20"/>
          <w:szCs w:val="20"/>
        </w:rPr>
        <w:t>*estimates unadjusted for cohort effects.</w:t>
      </w:r>
    </w:p>
    <w:p w:rsidR="000027E7" w:rsidRPr="00C806D0" w:rsidRDefault="000027E7" w:rsidP="000027E7">
      <w:pPr>
        <w:rPr>
          <w:sz w:val="20"/>
          <w:szCs w:val="20"/>
        </w:rPr>
      </w:pPr>
    </w:p>
    <w:p w:rsidR="000027E7" w:rsidRPr="00C806D0" w:rsidRDefault="000027E7" w:rsidP="000027E7">
      <w:r w:rsidRPr="00C806D0">
        <w:rPr>
          <w:noProof/>
          <w:lang w:val="en-US"/>
        </w:rPr>
        <w:lastRenderedPageBreak/>
        <w:drawing>
          <wp:inline distT="0" distB="0" distL="0" distR="0">
            <wp:extent cx="4349884" cy="3194463"/>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351634" cy="3195748"/>
                    </a:xfrm>
                    <a:prstGeom prst="rect">
                      <a:avLst/>
                    </a:prstGeom>
                    <a:noFill/>
                    <a:ln w="9525">
                      <a:noFill/>
                      <a:miter lim="800000"/>
                      <a:headEnd/>
                      <a:tailEnd/>
                    </a:ln>
                  </pic:spPr>
                </pic:pic>
              </a:graphicData>
            </a:graphic>
          </wp:inline>
        </w:drawing>
      </w:r>
    </w:p>
    <w:p w:rsidR="000027E7" w:rsidRPr="00C806D0" w:rsidRDefault="000027E7" w:rsidP="000027E7">
      <w:pPr>
        <w:rPr>
          <w:sz w:val="20"/>
          <w:szCs w:val="20"/>
        </w:rPr>
      </w:pPr>
      <w:r w:rsidRPr="00C806D0">
        <w:rPr>
          <w:b/>
          <w:sz w:val="20"/>
          <w:szCs w:val="20"/>
        </w:rPr>
        <w:t xml:space="preserve">Figure G8. Comparison of predicted extrapolative estimates of survival following TBI sustained at certain ages using a Weibull distribution </w:t>
      </w:r>
      <w:r w:rsidR="00335B1F" w:rsidRPr="00C806D0">
        <w:rPr>
          <w:b/>
          <w:sz w:val="20"/>
          <w:szCs w:val="20"/>
        </w:rPr>
        <w:t>compared with</w:t>
      </w:r>
      <w:r w:rsidRPr="00C806D0">
        <w:rPr>
          <w:b/>
          <w:sz w:val="20"/>
          <w:szCs w:val="20"/>
        </w:rPr>
        <w:t xml:space="preserve"> the year 2000 US general population cohort</w:t>
      </w:r>
      <w:r w:rsidR="00CE3E2C" w:rsidRPr="00C806D0">
        <w:rPr>
          <w:b/>
          <w:sz w:val="20"/>
          <w:szCs w:val="20"/>
        </w:rPr>
        <w:t xml:space="preserve"> life tables</w:t>
      </w:r>
      <w:r w:rsidRPr="00C806D0">
        <w:rPr>
          <w:b/>
          <w:sz w:val="20"/>
          <w:szCs w:val="20"/>
        </w:rPr>
        <w:t xml:space="preserve">. </w:t>
      </w:r>
      <w:r w:rsidRPr="00C806D0">
        <w:rPr>
          <w:sz w:val="20"/>
          <w:szCs w:val="20"/>
        </w:rPr>
        <w:t>Black lines present the survival curves estimated from the Weibull model following TBI sustained at illustrative ages. Grey lines</w:t>
      </w:r>
      <w:r w:rsidRPr="00C806D0">
        <w:t xml:space="preserve"> </w:t>
      </w:r>
      <w:r w:rsidRPr="00C806D0">
        <w:rPr>
          <w:sz w:val="20"/>
          <w:szCs w:val="20"/>
        </w:rPr>
        <w:t>indicate the corresponding US general population survival curves for patients of the same age based on cohort life table data.</w:t>
      </w:r>
    </w:p>
    <w:p w:rsidR="000027E7" w:rsidRPr="00C806D0" w:rsidRDefault="000027E7" w:rsidP="002A360F">
      <w:pPr>
        <w:pStyle w:val="Heading3"/>
      </w:pPr>
      <w:r w:rsidRPr="00C806D0">
        <w:t xml:space="preserve">Secondary models: Effect of age at TBI and gender on survival </w:t>
      </w:r>
    </w:p>
    <w:p w:rsidR="000027E7" w:rsidRPr="00C806D0" w:rsidRDefault="000027E7" w:rsidP="000027E7">
      <w:pPr>
        <w:rPr>
          <w:i/>
        </w:rPr>
      </w:pPr>
      <w:r w:rsidRPr="00C806D0">
        <w:rPr>
          <w:i/>
        </w:rPr>
        <w:t>Model development</w:t>
      </w:r>
    </w:p>
    <w:p w:rsidR="000027E7" w:rsidRPr="00C806D0" w:rsidRDefault="000027E7" w:rsidP="000027E7">
      <w:r w:rsidRPr="00C806D0">
        <w:t>Based on theoretical considerations,</w:t>
      </w:r>
      <w:r w:rsidR="00D37128" w:rsidRPr="00C806D0">
        <w:rPr>
          <w:noProof/>
          <w:vertAlign w:val="superscript"/>
        </w:rPr>
        <w:t>[</w:t>
      </w:r>
      <w:r w:rsidR="006D4D62" w:rsidRPr="00C806D0">
        <w:rPr>
          <w:noProof/>
          <w:vertAlign w:val="superscript"/>
        </w:rPr>
        <w:t>17</w:t>
      </w:r>
      <w:r w:rsidR="00D37128" w:rsidRPr="00C806D0">
        <w:rPr>
          <w:noProof/>
          <w:vertAlign w:val="superscript"/>
        </w:rPr>
        <w:t>]</w:t>
      </w:r>
      <w:r w:rsidRPr="00C806D0">
        <w:t xml:space="preserve"> and the suggestion of a sex effect on mortality rates from exploratory analyses of the empirical survivor function, a secondary model was developed including gender. Exploratory analyses and previous studies suggested no influence of TBI severity on post-acute survival. Presence of </w:t>
      </w:r>
      <w:r w:rsidR="002A16B4" w:rsidRPr="00C806D0">
        <w:t>extracranial</w:t>
      </w:r>
      <w:r w:rsidRPr="00C806D0">
        <w:t xml:space="preserve"> injury was not significantly associated with survival time in univariate analysis and did not add predictive power. Given that economic models tend to focus on average populations, and these initial analyses did not suggest an effect on survival from ethnicity or the presence of </w:t>
      </w:r>
      <w:r w:rsidR="002A16B4" w:rsidRPr="00C806D0">
        <w:t>extracranial</w:t>
      </w:r>
      <w:r w:rsidRPr="00C806D0">
        <w:t xml:space="preserve"> injury, more detailed models were not developed. </w:t>
      </w:r>
    </w:p>
    <w:p w:rsidR="000027E7" w:rsidRPr="00C806D0" w:rsidRDefault="000027E7" w:rsidP="000027E7"/>
    <w:p w:rsidR="000027E7" w:rsidRPr="00C806D0" w:rsidRDefault="000027E7" w:rsidP="000027E7">
      <w:r w:rsidRPr="00C806D0">
        <w:t>Weibull and Gompertz proportional hazard models were again identified as potentially suitable based on graphical plots: linear log cumulative hazard (log-log survival) plots stratified by gender and adjusted for age at TBI using the Cox model for the Weibull distribution (Figure G9</w:t>
      </w:r>
      <w:r w:rsidR="00CE3E2C" w:rsidRPr="00C806D0">
        <w:t>);</w:t>
      </w:r>
      <w:r w:rsidRPr="00C806D0">
        <w:t xml:space="preserve"> and smoothed log-hazard plots for age-groups categorised by gender for the Gompertz distribution (Figure G10). </w:t>
      </w:r>
    </w:p>
    <w:p w:rsidR="000027E7" w:rsidRPr="00C806D0" w:rsidRDefault="000027E7" w:rsidP="000027E7">
      <w:r w:rsidRPr="00C806D0">
        <w:rPr>
          <w:noProof/>
          <w:lang w:val="en-US"/>
        </w:rPr>
        <w:lastRenderedPageBreak/>
        <w:drawing>
          <wp:inline distT="0" distB="0" distL="0" distR="0">
            <wp:extent cx="5142230" cy="3776345"/>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142230" cy="3776345"/>
                    </a:xfrm>
                    <a:prstGeom prst="rect">
                      <a:avLst/>
                    </a:prstGeom>
                    <a:noFill/>
                    <a:ln w="9525">
                      <a:noFill/>
                      <a:miter lim="800000"/>
                      <a:headEnd/>
                      <a:tailEnd/>
                    </a:ln>
                  </pic:spPr>
                </pic:pic>
              </a:graphicData>
            </a:graphic>
          </wp:inline>
        </w:drawing>
      </w:r>
    </w:p>
    <w:p w:rsidR="000027E7" w:rsidRPr="00C806D0" w:rsidRDefault="000027E7" w:rsidP="000027E7">
      <w:pPr>
        <w:rPr>
          <w:b/>
        </w:rPr>
      </w:pPr>
      <w:r w:rsidRPr="00C806D0">
        <w:rPr>
          <w:b/>
        </w:rPr>
        <w:t xml:space="preserve">Figure G9. Log cumulative hazard plotted against time for a Cox model stratified by gender and adjusted for age at first TBI, </w:t>
      </w:r>
    </w:p>
    <w:p w:rsidR="000027E7" w:rsidRPr="00C806D0" w:rsidRDefault="000027E7" w:rsidP="000027E7">
      <w:r w:rsidRPr="00C806D0">
        <w:rPr>
          <w:noProof/>
          <w:lang w:val="en-US"/>
        </w:rPr>
        <w:drawing>
          <wp:inline distT="0" distB="0" distL="0" distR="0">
            <wp:extent cx="5142230" cy="3776345"/>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142230" cy="3776345"/>
                    </a:xfrm>
                    <a:prstGeom prst="rect">
                      <a:avLst/>
                    </a:prstGeom>
                    <a:noFill/>
                    <a:ln w="9525">
                      <a:noFill/>
                      <a:miter lim="800000"/>
                      <a:headEnd/>
                      <a:tailEnd/>
                    </a:ln>
                  </pic:spPr>
                </pic:pic>
              </a:graphicData>
            </a:graphic>
          </wp:inline>
        </w:drawing>
      </w:r>
    </w:p>
    <w:p w:rsidR="000027E7" w:rsidRPr="00C806D0" w:rsidRDefault="000027E7" w:rsidP="000027E7">
      <w:pPr>
        <w:rPr>
          <w:b/>
        </w:rPr>
      </w:pPr>
      <w:r w:rsidRPr="00C806D0">
        <w:rPr>
          <w:b/>
        </w:rPr>
        <w:t>Figure G10. Log hazard plotted against survival time after TBI stratified by gender and age group.</w:t>
      </w:r>
    </w:p>
    <w:p w:rsidR="000027E7" w:rsidRPr="00C806D0" w:rsidRDefault="000027E7" w:rsidP="000027E7">
      <w:pPr>
        <w:rPr>
          <w:i/>
        </w:rPr>
      </w:pPr>
    </w:p>
    <w:p w:rsidR="000027E7" w:rsidRPr="00C806D0" w:rsidRDefault="000027E7" w:rsidP="000027E7">
      <w:r w:rsidRPr="00C806D0">
        <w:t xml:space="preserve">Non-linearity of the effect of age at TBI was accounted for by evaluating the best fitting fractional polynomial. Gender was included as a binary variable. There was no evidence of change in distribution shape with increasing age or change in gender, and no unexplained heterogeneity or time-varying age coefficients.  </w:t>
      </w:r>
    </w:p>
    <w:p w:rsidR="000027E7" w:rsidRPr="00C806D0" w:rsidRDefault="000027E7" w:rsidP="000027E7"/>
    <w:p w:rsidR="000027E7" w:rsidRPr="00C806D0" w:rsidRDefault="00CE3E2C" w:rsidP="000027E7">
      <w:pPr>
        <w:rPr>
          <w:color w:val="000000" w:themeColor="text1"/>
        </w:rPr>
      </w:pPr>
      <w:r w:rsidRPr="00C806D0">
        <w:rPr>
          <w:color w:val="000000" w:themeColor="text1"/>
        </w:rPr>
        <w:t>The</w:t>
      </w:r>
      <w:r w:rsidR="000027E7" w:rsidRPr="00C806D0">
        <w:rPr>
          <w:color w:val="000000" w:themeColor="text1"/>
        </w:rPr>
        <w:t xml:space="preserve"> Gompertz model demonstrated a better fit to the REP data </w:t>
      </w:r>
      <w:r w:rsidR="00335B1F" w:rsidRPr="00C806D0">
        <w:rPr>
          <w:color w:val="000000" w:themeColor="text1"/>
        </w:rPr>
        <w:t>compared with</w:t>
      </w:r>
      <w:r w:rsidR="000027E7" w:rsidRPr="00C806D0">
        <w:rPr>
          <w:color w:val="000000" w:themeColor="text1"/>
        </w:rPr>
        <w:t xml:space="preserve"> a Weibull distribution with lower information criterion statistics (AIC 526.0 v 528.7, BIC 544.6 v 547.3). Survival curves from this model demonstrated satisfactory fit to the observed Kaplan-Meier curves for each age group and gender, with virtually all predicted survival probabilities (calculated for the median age of each age category) remaining within the 95% confidence interval bounds as demonstrated in Figure G11. All model diagnostics were unremarkable, with no evidence for any model misspecification.  </w:t>
      </w:r>
    </w:p>
    <w:p w:rsidR="000027E7" w:rsidRPr="00C806D0" w:rsidRDefault="000027E7" w:rsidP="000027E7">
      <w:pPr>
        <w:rPr>
          <w:color w:val="000000" w:themeColor="text1"/>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rPr>
          <w:i/>
        </w:rPr>
      </w:pPr>
    </w:p>
    <w:p w:rsidR="000027E7" w:rsidRPr="00C806D0" w:rsidRDefault="000027E7" w:rsidP="000027E7">
      <w:pPr>
        <w:jc w:val="center"/>
        <w:rPr>
          <w:i/>
        </w:rPr>
      </w:pPr>
      <w:r w:rsidRPr="00C806D0">
        <w:rPr>
          <w:i/>
          <w:noProof/>
          <w:lang w:val="en-US"/>
        </w:rPr>
        <w:drawing>
          <wp:inline distT="0" distB="0" distL="0" distR="0">
            <wp:extent cx="4053385" cy="2973016"/>
            <wp:effectExtent l="0" t="0" r="426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4054042" cy="2973498"/>
                    </a:xfrm>
                    <a:prstGeom prst="rect">
                      <a:avLst/>
                    </a:prstGeom>
                    <a:noFill/>
                    <a:ln w="9525">
                      <a:noFill/>
                      <a:miter lim="800000"/>
                      <a:headEnd/>
                      <a:tailEnd/>
                    </a:ln>
                  </pic:spPr>
                </pic:pic>
              </a:graphicData>
            </a:graphic>
          </wp:inline>
        </w:drawing>
      </w:r>
    </w:p>
    <w:p w:rsidR="000027E7" w:rsidRPr="00C806D0" w:rsidRDefault="000027E7" w:rsidP="000027E7">
      <w:pPr>
        <w:jc w:val="center"/>
        <w:rPr>
          <w:i/>
        </w:rPr>
      </w:pPr>
    </w:p>
    <w:p w:rsidR="000027E7" w:rsidRPr="00C806D0" w:rsidRDefault="000027E7" w:rsidP="000027E7">
      <w:pPr>
        <w:jc w:val="center"/>
        <w:rPr>
          <w:i/>
        </w:rPr>
      </w:pPr>
      <w:r w:rsidRPr="00C806D0">
        <w:rPr>
          <w:i/>
          <w:noProof/>
          <w:lang w:val="en-US"/>
        </w:rPr>
        <w:drawing>
          <wp:inline distT="0" distB="0" distL="0" distR="0">
            <wp:extent cx="4012442" cy="2946653"/>
            <wp:effectExtent l="0" t="0" r="7108"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4010121" cy="2944949"/>
                    </a:xfrm>
                    <a:prstGeom prst="rect">
                      <a:avLst/>
                    </a:prstGeom>
                    <a:noFill/>
                    <a:ln w="9525">
                      <a:noFill/>
                      <a:miter lim="800000"/>
                      <a:headEnd/>
                      <a:tailEnd/>
                    </a:ln>
                  </pic:spPr>
                </pic:pic>
              </a:graphicData>
            </a:graphic>
          </wp:inline>
        </w:drawing>
      </w:r>
    </w:p>
    <w:p w:rsidR="000027E7" w:rsidRPr="00C806D0" w:rsidRDefault="000027E7" w:rsidP="000027E7">
      <w:pPr>
        <w:jc w:val="center"/>
        <w:rPr>
          <w:i/>
        </w:rPr>
      </w:pPr>
    </w:p>
    <w:p w:rsidR="000027E7" w:rsidRPr="00C806D0" w:rsidRDefault="000027E7" w:rsidP="000027E7">
      <w:pPr>
        <w:rPr>
          <w:sz w:val="20"/>
          <w:szCs w:val="20"/>
        </w:rPr>
      </w:pPr>
      <w:r w:rsidRPr="00C806D0">
        <w:rPr>
          <w:b/>
          <w:sz w:val="20"/>
          <w:szCs w:val="20"/>
        </w:rPr>
        <w:t xml:space="preserve">Figure G11. Gompertz model predicted survival probabilities for males and females </w:t>
      </w:r>
      <w:r w:rsidR="00335B1F" w:rsidRPr="00C806D0">
        <w:rPr>
          <w:b/>
          <w:sz w:val="20"/>
          <w:szCs w:val="20"/>
        </w:rPr>
        <w:t>compared with</w:t>
      </w:r>
      <w:r w:rsidRPr="00C806D0">
        <w:rPr>
          <w:b/>
          <w:sz w:val="20"/>
          <w:szCs w:val="20"/>
        </w:rPr>
        <w:t xml:space="preserve"> the observed Kaplan-Meier curves over the study period for secondary model including age at TBI and gender. </w:t>
      </w:r>
      <w:r w:rsidRPr="00C806D0">
        <w:rPr>
          <w:sz w:val="20"/>
          <w:szCs w:val="20"/>
        </w:rPr>
        <w:t>Lines represent the Kaplan-Meier derived survival function for young, middle aged and elderly age groups. 95% confidence intervals for this empirical survivor function are shaded in grey. Symbols present the predicted survivor function from the Gompertz model for the median age of patients within each age group (25, 52 and 79 years respectively). Top panel= males. Bottom panel=females.</w:t>
      </w:r>
    </w:p>
    <w:p w:rsidR="000027E7" w:rsidRPr="00C806D0" w:rsidRDefault="000027E7" w:rsidP="000027E7">
      <w:pPr>
        <w:rPr>
          <w:sz w:val="20"/>
          <w:szCs w:val="20"/>
        </w:rPr>
      </w:pPr>
    </w:p>
    <w:p w:rsidR="006F2FC6" w:rsidRPr="00C806D0" w:rsidRDefault="006F2FC6" w:rsidP="000027E7">
      <w:pPr>
        <w:rPr>
          <w:sz w:val="20"/>
          <w:szCs w:val="20"/>
        </w:rPr>
      </w:pPr>
    </w:p>
    <w:p w:rsidR="006F2FC6" w:rsidRPr="00C806D0" w:rsidRDefault="006F2FC6" w:rsidP="000027E7">
      <w:pPr>
        <w:rPr>
          <w:sz w:val="20"/>
          <w:szCs w:val="20"/>
        </w:rPr>
      </w:pPr>
    </w:p>
    <w:p w:rsidR="006F2FC6" w:rsidRPr="00C806D0" w:rsidRDefault="006F2FC6" w:rsidP="000027E7">
      <w:pPr>
        <w:rPr>
          <w:sz w:val="20"/>
          <w:szCs w:val="20"/>
        </w:rPr>
      </w:pPr>
    </w:p>
    <w:p w:rsidR="000027E7" w:rsidRPr="00C806D0" w:rsidRDefault="000027E7" w:rsidP="000027E7">
      <w:pPr>
        <w:rPr>
          <w:color w:val="000000" w:themeColor="text1"/>
        </w:rPr>
      </w:pPr>
      <w:r w:rsidRPr="00C806D0">
        <w:rPr>
          <w:color w:val="000000" w:themeColor="text1"/>
        </w:rPr>
        <w:t xml:space="preserve">The Gompertz model appeared to provide plausible long term survival estimates when </w:t>
      </w:r>
      <w:r w:rsidR="00335B1F" w:rsidRPr="00C806D0">
        <w:rPr>
          <w:color w:val="000000" w:themeColor="text1"/>
        </w:rPr>
        <w:t>compared with</w:t>
      </w:r>
      <w:r w:rsidRPr="00C806D0">
        <w:rPr>
          <w:color w:val="000000" w:themeColor="text1"/>
        </w:rPr>
        <w:t xml:space="preserve"> gender specific Minnesota general population decennial period life tables from the same era as the study cohort. Illustrative extrapolated survival functions for TBI patients at 25, 52 and 79 years of age were indistinguishable in pattern from the corresponding year 2000 general population survival curves, as shown in Figure G12. Predicted median survival following a TBI at the ages of 25, 52 and 79 years for males were 44.2 years (95%CI 36.8-51.6), 29.9 years (95%CI 25.2-32.7) and 7.7 years (95%CI 6.0-9.4) respectively. The corresponding median survival times for females sustaining TBI at the same ages were: 48.5 (95%CI 39.6-57.4), 33.2 (95%CI 28.3-38.1) and 10.4 (95% CI 8.8-12.0) years. </w:t>
      </w:r>
      <w:r w:rsidRPr="00C806D0">
        <w:t xml:space="preserve">An identical pattern, but demonstrating the expected lower relative survival for patients following TBI, was also observed when comparing extrapolated TBI survival curves with those from gender-specific US general population cohort life tables from the year 2000 (Figure G13). </w:t>
      </w:r>
      <w:r w:rsidRPr="00C806D0">
        <w:rPr>
          <w:color w:val="000000" w:themeColor="text1"/>
        </w:rPr>
        <w:t>T</w:t>
      </w:r>
      <w:r w:rsidRPr="00C806D0">
        <w:t>he final model coefficients and covariance matrix are summarised in Table G6.</w:t>
      </w:r>
    </w:p>
    <w:p w:rsidR="000027E7" w:rsidRPr="00C806D0" w:rsidRDefault="000027E7" w:rsidP="000027E7">
      <w:pPr>
        <w:rPr>
          <w:b/>
        </w:rPr>
      </w:pPr>
    </w:p>
    <w:p w:rsidR="000027E7" w:rsidRPr="00C806D0" w:rsidRDefault="000027E7" w:rsidP="000027E7">
      <w:pPr>
        <w:rPr>
          <w:b/>
        </w:rPr>
      </w:pPr>
      <w:r w:rsidRPr="00C806D0">
        <w:rPr>
          <w:b/>
        </w:rPr>
        <w:t>Table G6. Coefficients and covariance matrix for final Gompertz model for extrapolation of survival following TBI, accounting for age at first TBI.</w:t>
      </w:r>
    </w:p>
    <w:tbl>
      <w:tblPr>
        <w:tblStyle w:val="LightShading1"/>
        <w:tblW w:w="5000" w:type="pct"/>
        <w:jc w:val="center"/>
        <w:tblLook w:val="0620" w:firstRow="1" w:lastRow="0" w:firstColumn="0" w:lastColumn="0" w:noHBand="1" w:noVBand="1"/>
      </w:tblPr>
      <w:tblGrid>
        <w:gridCol w:w="3996"/>
        <w:gridCol w:w="1039"/>
        <w:gridCol w:w="535"/>
        <w:gridCol w:w="680"/>
        <w:gridCol w:w="1092"/>
        <w:gridCol w:w="1378"/>
      </w:tblGrid>
      <w:tr w:rsidR="000027E7" w:rsidRPr="00C806D0" w:rsidTr="000027E7">
        <w:trPr>
          <w:cnfStyle w:val="100000000000" w:firstRow="1" w:lastRow="0" w:firstColumn="0" w:lastColumn="0" w:oddVBand="0" w:evenVBand="0" w:oddHBand="0" w:evenHBand="0" w:firstRowFirstColumn="0" w:firstRowLastColumn="0" w:lastRowFirstColumn="0" w:lastRowLastColumn="0"/>
          <w:trHeight w:val="300"/>
          <w:jc w:val="center"/>
        </w:trPr>
        <w:tc>
          <w:tcPr>
            <w:tcW w:w="2291" w:type="pct"/>
            <w:noWrap/>
            <w:hideMark/>
          </w:tcPr>
          <w:p w:rsidR="000027E7" w:rsidRPr="00C806D0" w:rsidRDefault="000027E7" w:rsidP="000027E7">
            <w:pPr>
              <w:jc w:val="center"/>
              <w:rPr>
                <w:lang w:eastAsia="en-GB"/>
              </w:rPr>
            </w:pPr>
            <w:r w:rsidRPr="00C806D0">
              <w:rPr>
                <w:lang w:eastAsia="en-GB"/>
              </w:rPr>
              <w:t>Model</w:t>
            </w:r>
          </w:p>
        </w:tc>
        <w:tc>
          <w:tcPr>
            <w:tcW w:w="903" w:type="pct"/>
            <w:gridSpan w:val="2"/>
          </w:tcPr>
          <w:p w:rsidR="000027E7" w:rsidRPr="00C806D0" w:rsidRDefault="000027E7" w:rsidP="000027E7">
            <w:pPr>
              <w:jc w:val="center"/>
              <w:rPr>
                <w:lang w:eastAsia="en-GB"/>
              </w:rPr>
            </w:pPr>
          </w:p>
        </w:tc>
        <w:tc>
          <w:tcPr>
            <w:tcW w:w="1806" w:type="pct"/>
            <w:gridSpan w:val="3"/>
            <w:noWrap/>
            <w:hideMark/>
          </w:tcPr>
          <w:p w:rsidR="000027E7" w:rsidRPr="00C806D0" w:rsidRDefault="000027E7" w:rsidP="000027E7">
            <w:pPr>
              <w:jc w:val="center"/>
              <w:rPr>
                <w:lang w:eastAsia="en-GB"/>
              </w:rPr>
            </w:pPr>
            <w:r w:rsidRPr="00C806D0">
              <w:rPr>
                <w:lang w:eastAsia="en-GB"/>
              </w:rPr>
              <w:t>Coefficients (se)</w:t>
            </w:r>
          </w:p>
        </w:tc>
      </w:tr>
      <w:tr w:rsidR="000027E7" w:rsidRPr="00C806D0" w:rsidTr="000027E7">
        <w:trPr>
          <w:trHeight w:val="300"/>
          <w:jc w:val="center"/>
        </w:trPr>
        <w:tc>
          <w:tcPr>
            <w:tcW w:w="2291" w:type="pct"/>
            <w:tcBorders>
              <w:top w:val="single" w:sz="8" w:space="0" w:color="000000" w:themeColor="text1"/>
              <w:bottom w:val="single" w:sz="4" w:space="0" w:color="auto"/>
            </w:tcBorders>
            <w:noWrap/>
            <w:hideMark/>
          </w:tcPr>
          <w:p w:rsidR="000027E7" w:rsidRPr="00C806D0" w:rsidRDefault="000027E7" w:rsidP="000027E7">
            <w:pPr>
              <w:jc w:val="center"/>
              <w:rPr>
                <w:lang w:eastAsia="en-GB"/>
              </w:rPr>
            </w:pPr>
          </w:p>
        </w:tc>
        <w:tc>
          <w:tcPr>
            <w:tcW w:w="596" w:type="pct"/>
            <w:tcBorders>
              <w:top w:val="single" w:sz="8" w:space="0" w:color="000000" w:themeColor="text1"/>
              <w:bottom w:val="single" w:sz="4" w:space="0" w:color="auto"/>
            </w:tcBorders>
            <w:noWrap/>
            <w:hideMark/>
          </w:tcPr>
          <w:p w:rsidR="000027E7" w:rsidRPr="00C806D0" w:rsidRDefault="000027E7" w:rsidP="000027E7">
            <w:pPr>
              <w:jc w:val="center"/>
              <w:rPr>
                <w:b/>
                <w:lang w:eastAsia="en-GB"/>
              </w:rPr>
            </w:pPr>
            <w:r w:rsidRPr="00C806D0">
              <w:rPr>
                <w:b/>
                <w:lang w:eastAsia="en-GB"/>
              </w:rPr>
              <w:t>β</w:t>
            </w:r>
            <w:r w:rsidRPr="00C806D0">
              <w:rPr>
                <w:b/>
                <w:vertAlign w:val="subscript"/>
                <w:lang w:eastAsia="en-GB"/>
              </w:rPr>
              <w:t>0</w:t>
            </w:r>
          </w:p>
        </w:tc>
        <w:tc>
          <w:tcPr>
            <w:tcW w:w="697" w:type="pct"/>
            <w:gridSpan w:val="2"/>
            <w:tcBorders>
              <w:top w:val="single" w:sz="8" w:space="0" w:color="000000" w:themeColor="text1"/>
              <w:bottom w:val="single" w:sz="4" w:space="0" w:color="auto"/>
            </w:tcBorders>
            <w:noWrap/>
            <w:hideMark/>
          </w:tcPr>
          <w:p w:rsidR="000027E7" w:rsidRPr="00C806D0" w:rsidRDefault="000027E7" w:rsidP="000027E7">
            <w:pPr>
              <w:jc w:val="center"/>
              <w:rPr>
                <w:b/>
                <w:i/>
                <w:vertAlign w:val="subscript"/>
                <w:lang w:eastAsia="en-GB"/>
              </w:rPr>
            </w:pPr>
            <w:r w:rsidRPr="00C806D0">
              <w:rPr>
                <w:b/>
                <w:lang w:eastAsia="en-GB"/>
              </w:rPr>
              <w:t>β</w:t>
            </w:r>
            <w:r w:rsidRPr="00C806D0">
              <w:rPr>
                <w:b/>
                <w:vertAlign w:val="subscript"/>
                <w:lang w:eastAsia="en-GB"/>
              </w:rPr>
              <w:t>1</w:t>
            </w:r>
          </w:p>
        </w:tc>
        <w:tc>
          <w:tcPr>
            <w:tcW w:w="626" w:type="pct"/>
            <w:tcBorders>
              <w:top w:val="single" w:sz="8" w:space="0" w:color="000000" w:themeColor="text1"/>
              <w:bottom w:val="single" w:sz="4" w:space="0" w:color="auto"/>
            </w:tcBorders>
          </w:tcPr>
          <w:p w:rsidR="000027E7" w:rsidRPr="00C806D0" w:rsidRDefault="000027E7" w:rsidP="000027E7">
            <w:pPr>
              <w:jc w:val="center"/>
              <w:rPr>
                <w:b/>
                <w:vertAlign w:val="subscript"/>
                <w:lang w:eastAsia="en-GB"/>
              </w:rPr>
            </w:pPr>
            <w:r w:rsidRPr="00C806D0">
              <w:rPr>
                <w:b/>
                <w:lang w:eastAsia="en-GB"/>
              </w:rPr>
              <w:t>β</w:t>
            </w:r>
            <w:r w:rsidRPr="00C806D0">
              <w:rPr>
                <w:b/>
                <w:vertAlign w:val="subscript"/>
                <w:lang w:eastAsia="en-GB"/>
              </w:rPr>
              <w:t>2</w:t>
            </w:r>
          </w:p>
        </w:tc>
        <w:tc>
          <w:tcPr>
            <w:tcW w:w="790" w:type="pct"/>
            <w:tcBorders>
              <w:top w:val="single" w:sz="8" w:space="0" w:color="000000" w:themeColor="text1"/>
              <w:bottom w:val="single" w:sz="4" w:space="0" w:color="auto"/>
            </w:tcBorders>
          </w:tcPr>
          <w:p w:rsidR="000027E7" w:rsidRPr="00C806D0" w:rsidRDefault="000027E7" w:rsidP="000027E7">
            <w:pPr>
              <w:jc w:val="center"/>
              <w:rPr>
                <w:b/>
                <w:i/>
                <w:lang w:eastAsia="en-GB"/>
              </w:rPr>
            </w:pPr>
            <w:r w:rsidRPr="00C806D0">
              <w:rPr>
                <w:b/>
                <w:lang w:eastAsia="en-GB"/>
              </w:rPr>
              <w:t>γ</w:t>
            </w:r>
          </w:p>
        </w:tc>
      </w:tr>
      <w:tr w:rsidR="000027E7" w:rsidRPr="00C806D0" w:rsidTr="000027E7">
        <w:trPr>
          <w:trHeight w:val="300"/>
          <w:jc w:val="center"/>
        </w:trPr>
        <w:tc>
          <w:tcPr>
            <w:tcW w:w="2291" w:type="pct"/>
            <w:tcBorders>
              <w:top w:val="single" w:sz="4" w:space="0" w:color="auto"/>
              <w:bottom w:val="nil"/>
            </w:tcBorders>
            <w:noWrap/>
            <w:hideMark/>
          </w:tcPr>
          <w:p w:rsidR="000027E7" w:rsidRPr="00C806D0" w:rsidRDefault="0033196C" w:rsidP="0033196C">
            <w:pPr>
              <w:jc w:val="center"/>
              <w:rPr>
                <w:lang w:eastAsia="en-GB"/>
              </w:rPr>
            </w:pPr>
            <w:r w:rsidRPr="00C806D0">
              <w:rPr>
                <w:rFonts w:ascii="Cambria Math" w:hAnsi="Cambria Math"/>
              </w:rPr>
              <w:t>h(t|age)=e(</w:t>
            </w:r>
            <w:r w:rsidRPr="00C806D0">
              <w:rPr>
                <w:rFonts w:ascii="Calibri" w:hAnsi="Calibri"/>
                <w:sz w:val="24"/>
                <w:szCs w:val="24"/>
              </w:rPr>
              <w:t>β</w:t>
            </w:r>
            <w:r w:rsidRPr="00C806D0">
              <w:rPr>
                <w:rFonts w:ascii="Cambria Math" w:hAnsi="Cambria Math"/>
                <w:sz w:val="24"/>
                <w:szCs w:val="24"/>
                <w:vertAlign w:val="subscript"/>
              </w:rPr>
              <w:t>0</w:t>
            </w:r>
            <w:r w:rsidRPr="00C806D0">
              <w:rPr>
                <w:rFonts w:ascii="Cambria Math" w:hAnsi="Cambria Math"/>
              </w:rPr>
              <w:t>+</w:t>
            </w:r>
            <w:r w:rsidRPr="00C806D0">
              <w:rPr>
                <w:rFonts w:ascii="Calibri" w:hAnsi="Calibri"/>
                <w:sz w:val="24"/>
                <w:szCs w:val="24"/>
              </w:rPr>
              <w:t>β</w:t>
            </w:r>
            <w:r w:rsidRPr="00C806D0">
              <w:rPr>
                <w:rFonts w:ascii="Cambria Math" w:hAnsi="Cambria Math"/>
                <w:sz w:val="24"/>
                <w:szCs w:val="24"/>
                <w:vertAlign w:val="subscript"/>
              </w:rPr>
              <w:t>1</w:t>
            </w:r>
            <w:r w:rsidRPr="00C806D0">
              <w:rPr>
                <w:rFonts w:ascii="Cambria Math" w:hAnsi="Cambria Math"/>
                <w:sz w:val="24"/>
                <w:szCs w:val="24"/>
              </w:rPr>
              <w:t>x</w:t>
            </w:r>
            <w:r w:rsidRPr="00C806D0">
              <w:rPr>
                <w:rFonts w:ascii="Cambria Math" w:hAnsi="Cambria Math"/>
                <w:sz w:val="24"/>
                <w:szCs w:val="24"/>
                <w:vertAlign w:val="subscript"/>
              </w:rPr>
              <w:t>1</w:t>
            </w:r>
            <w:r w:rsidRPr="00C806D0">
              <w:rPr>
                <w:rFonts w:ascii="Cambria Math" w:hAnsi="Cambria Math"/>
              </w:rPr>
              <w:t>+</w:t>
            </w:r>
            <w:r w:rsidRPr="00C806D0">
              <w:rPr>
                <w:rFonts w:ascii="Calibri" w:hAnsi="Calibri"/>
                <w:sz w:val="24"/>
                <w:szCs w:val="24"/>
              </w:rPr>
              <w:t>β</w:t>
            </w:r>
            <w:r w:rsidRPr="00C806D0">
              <w:rPr>
                <w:rFonts w:ascii="Calibri" w:hAnsi="Calibri"/>
                <w:sz w:val="24"/>
                <w:szCs w:val="24"/>
                <w:vertAlign w:val="subscript"/>
              </w:rPr>
              <w:t>2</w:t>
            </w:r>
            <w:r w:rsidRPr="00C806D0">
              <w:rPr>
                <w:rFonts w:ascii="Cambria Math" w:hAnsi="Cambria Math"/>
                <w:sz w:val="24"/>
                <w:szCs w:val="24"/>
              </w:rPr>
              <w:t>x</w:t>
            </w:r>
            <w:r w:rsidRPr="00C806D0">
              <w:rPr>
                <w:rFonts w:ascii="Cambria Math" w:hAnsi="Cambria Math"/>
                <w:sz w:val="24"/>
                <w:szCs w:val="24"/>
                <w:vertAlign w:val="subscript"/>
              </w:rPr>
              <w:t>2</w:t>
            </w:r>
            <w:r w:rsidRPr="00C806D0">
              <w:rPr>
                <w:rFonts w:ascii="Cambria Math" w:hAnsi="Cambria Math"/>
              </w:rPr>
              <w:t>).e</w:t>
            </w:r>
            <w:r w:rsidRPr="00C806D0">
              <w:rPr>
                <w:rFonts w:ascii="Cambria Math" w:hAnsi="Cambria Math"/>
                <w:sz w:val="24"/>
                <w:szCs w:val="24"/>
                <w:vertAlign w:val="superscript"/>
              </w:rPr>
              <w:t>γt</w:t>
            </w:r>
          </w:p>
        </w:tc>
        <w:tc>
          <w:tcPr>
            <w:tcW w:w="596" w:type="pct"/>
            <w:tcBorders>
              <w:top w:val="single" w:sz="4" w:space="0" w:color="auto"/>
              <w:bottom w:val="nil"/>
            </w:tcBorders>
            <w:noWrap/>
            <w:hideMark/>
          </w:tcPr>
          <w:p w:rsidR="000027E7" w:rsidRPr="00C806D0" w:rsidRDefault="000027E7" w:rsidP="000027E7">
            <w:pPr>
              <w:pStyle w:val="NoSpacing"/>
              <w:jc w:val="center"/>
              <w:rPr>
                <w:lang w:eastAsia="en-GB"/>
              </w:rPr>
            </w:pPr>
            <w:r w:rsidRPr="00C806D0">
              <w:rPr>
                <w:lang w:eastAsia="en-GB"/>
              </w:rPr>
              <w:t>-7.07</w:t>
            </w:r>
          </w:p>
          <w:p w:rsidR="000027E7" w:rsidRPr="00C806D0" w:rsidRDefault="000027E7" w:rsidP="000027E7">
            <w:pPr>
              <w:pStyle w:val="NoSpacing"/>
              <w:jc w:val="center"/>
              <w:rPr>
                <w:lang w:eastAsia="en-GB"/>
              </w:rPr>
            </w:pPr>
            <w:r w:rsidRPr="00C806D0">
              <w:rPr>
                <w:lang w:eastAsia="en-GB"/>
              </w:rPr>
              <w:t>(0.33)</w:t>
            </w:r>
          </w:p>
        </w:tc>
        <w:tc>
          <w:tcPr>
            <w:tcW w:w="697" w:type="pct"/>
            <w:gridSpan w:val="2"/>
            <w:tcBorders>
              <w:top w:val="single" w:sz="4" w:space="0" w:color="auto"/>
              <w:bottom w:val="nil"/>
            </w:tcBorders>
            <w:noWrap/>
            <w:hideMark/>
          </w:tcPr>
          <w:p w:rsidR="000027E7" w:rsidRPr="00C806D0" w:rsidRDefault="000027E7" w:rsidP="000027E7">
            <w:pPr>
              <w:pStyle w:val="NoSpacing"/>
              <w:jc w:val="center"/>
              <w:rPr>
                <w:lang w:eastAsia="en-GB"/>
              </w:rPr>
            </w:pPr>
            <w:r w:rsidRPr="00C806D0">
              <w:rPr>
                <w:lang w:eastAsia="en-GB"/>
              </w:rPr>
              <w:t>0.077</w:t>
            </w:r>
          </w:p>
          <w:p w:rsidR="000027E7" w:rsidRPr="00C806D0" w:rsidRDefault="000027E7" w:rsidP="000027E7">
            <w:pPr>
              <w:pStyle w:val="NoSpacing"/>
              <w:jc w:val="center"/>
              <w:rPr>
                <w:lang w:eastAsia="en-GB"/>
              </w:rPr>
            </w:pPr>
            <w:r w:rsidRPr="00C806D0">
              <w:rPr>
                <w:lang w:eastAsia="en-GB"/>
              </w:rPr>
              <w:t>(0.004)</w:t>
            </w:r>
          </w:p>
        </w:tc>
        <w:tc>
          <w:tcPr>
            <w:tcW w:w="626" w:type="pct"/>
            <w:tcBorders>
              <w:top w:val="single" w:sz="4" w:space="0" w:color="auto"/>
              <w:bottom w:val="nil"/>
            </w:tcBorders>
          </w:tcPr>
          <w:p w:rsidR="000027E7" w:rsidRPr="00C806D0" w:rsidRDefault="000027E7" w:rsidP="000027E7">
            <w:pPr>
              <w:pStyle w:val="NoSpacing"/>
              <w:jc w:val="center"/>
              <w:rPr>
                <w:lang w:eastAsia="en-GB"/>
              </w:rPr>
            </w:pPr>
            <w:r w:rsidRPr="00C806D0">
              <w:rPr>
                <w:lang w:eastAsia="en-GB"/>
              </w:rPr>
              <w:t>0.455</w:t>
            </w:r>
          </w:p>
          <w:p w:rsidR="000027E7" w:rsidRPr="00C806D0" w:rsidRDefault="000027E7" w:rsidP="000027E7">
            <w:pPr>
              <w:pStyle w:val="NoSpacing"/>
              <w:jc w:val="center"/>
              <w:rPr>
                <w:lang w:eastAsia="en-GB"/>
              </w:rPr>
            </w:pPr>
            <w:r w:rsidRPr="00C806D0">
              <w:rPr>
                <w:lang w:eastAsia="en-GB"/>
              </w:rPr>
              <w:t>(0.19)</w:t>
            </w:r>
          </w:p>
        </w:tc>
        <w:tc>
          <w:tcPr>
            <w:tcW w:w="790" w:type="pct"/>
            <w:tcBorders>
              <w:top w:val="single" w:sz="4" w:space="0" w:color="auto"/>
              <w:bottom w:val="nil"/>
            </w:tcBorders>
          </w:tcPr>
          <w:p w:rsidR="000027E7" w:rsidRPr="00C806D0" w:rsidRDefault="000027E7" w:rsidP="000027E7">
            <w:pPr>
              <w:pStyle w:val="NoSpacing"/>
              <w:jc w:val="center"/>
              <w:rPr>
                <w:lang w:eastAsia="en-GB"/>
              </w:rPr>
            </w:pPr>
            <w:r w:rsidRPr="00C806D0">
              <w:rPr>
                <w:lang w:eastAsia="en-GB"/>
              </w:rPr>
              <w:t>0.103</w:t>
            </w:r>
          </w:p>
          <w:p w:rsidR="000027E7" w:rsidRPr="00C806D0" w:rsidRDefault="000027E7" w:rsidP="000027E7">
            <w:pPr>
              <w:pStyle w:val="NoSpacing"/>
              <w:jc w:val="center"/>
              <w:rPr>
                <w:lang w:eastAsia="en-GB"/>
              </w:rPr>
            </w:pPr>
            <w:r w:rsidRPr="00C806D0">
              <w:rPr>
                <w:lang w:eastAsia="en-GB"/>
              </w:rPr>
              <w:t>(0.18)</w:t>
            </w:r>
          </w:p>
        </w:tc>
      </w:tr>
      <w:tr w:rsidR="000027E7" w:rsidRPr="00C806D0" w:rsidTr="000027E7">
        <w:trPr>
          <w:trHeight w:val="300"/>
          <w:jc w:val="center"/>
        </w:trPr>
        <w:tc>
          <w:tcPr>
            <w:tcW w:w="2291" w:type="pct"/>
            <w:tcBorders>
              <w:top w:val="nil"/>
              <w:bottom w:val="single" w:sz="4" w:space="0" w:color="auto"/>
            </w:tcBorders>
            <w:noWrap/>
            <w:hideMark/>
          </w:tcPr>
          <w:p w:rsidR="000027E7" w:rsidRPr="00C806D0" w:rsidRDefault="000027E7" w:rsidP="000027E7">
            <w:pPr>
              <w:rPr>
                <w:lang w:eastAsia="en-GB"/>
              </w:rPr>
            </w:pPr>
            <w:r w:rsidRPr="00C806D0">
              <w:rPr>
                <w:lang w:eastAsia="en-GB"/>
              </w:rPr>
              <w:t>Where:</w:t>
            </w:r>
          </w:p>
          <w:p w:rsidR="000027E7" w:rsidRPr="00C806D0" w:rsidRDefault="000027E7" w:rsidP="000027E7">
            <w:pPr>
              <w:rPr>
                <w:lang w:eastAsia="en-GB"/>
              </w:rPr>
            </w:pPr>
            <w:r w:rsidRPr="00C806D0">
              <w:rPr>
                <w:lang w:eastAsia="en-GB"/>
              </w:rPr>
              <w:t xml:space="preserve"> </w:t>
            </w:r>
            <w:r w:rsidRPr="00C806D0">
              <w:rPr>
                <w:i/>
                <w:lang w:eastAsia="en-GB"/>
              </w:rPr>
              <w:t>x</w:t>
            </w:r>
            <w:r w:rsidRPr="00C806D0">
              <w:rPr>
                <w:i/>
                <w:vertAlign w:val="subscript"/>
                <w:lang w:eastAsia="en-GB"/>
              </w:rPr>
              <w:t>1</w:t>
            </w:r>
            <w:r w:rsidRPr="00C806D0">
              <w:rPr>
                <w:lang w:eastAsia="en-GB"/>
              </w:rPr>
              <w:t>=(age at TBI/10)</w:t>
            </w:r>
            <w:r w:rsidRPr="00C806D0">
              <w:rPr>
                <w:vertAlign w:val="superscript"/>
                <w:lang w:eastAsia="en-GB"/>
              </w:rPr>
              <w:t xml:space="preserve">2 </w:t>
            </w:r>
            <w:r w:rsidRPr="00C806D0">
              <w:rPr>
                <w:lang w:eastAsia="en-GB"/>
              </w:rPr>
              <w:t>-13.54</w:t>
            </w:r>
          </w:p>
          <w:p w:rsidR="000027E7" w:rsidRPr="00C806D0" w:rsidRDefault="000027E7" w:rsidP="000027E7">
            <w:pPr>
              <w:rPr>
                <w:lang w:eastAsia="en-GB"/>
              </w:rPr>
            </w:pPr>
            <w:r w:rsidRPr="00C806D0">
              <w:rPr>
                <w:i/>
                <w:lang w:eastAsia="en-GB"/>
              </w:rPr>
              <w:t>x</w:t>
            </w:r>
            <w:r w:rsidRPr="00C806D0">
              <w:rPr>
                <w:i/>
                <w:vertAlign w:val="subscript"/>
                <w:lang w:eastAsia="en-GB"/>
              </w:rPr>
              <w:t>2</w:t>
            </w:r>
            <w:r w:rsidRPr="00C806D0">
              <w:rPr>
                <w:lang w:eastAsia="en-GB"/>
              </w:rPr>
              <w:t xml:space="preserve">=0 if female, </w:t>
            </w:r>
            <w:r w:rsidRPr="00C806D0">
              <w:rPr>
                <w:i/>
                <w:lang w:eastAsia="en-GB"/>
              </w:rPr>
              <w:t>x</w:t>
            </w:r>
            <w:r w:rsidRPr="00C806D0">
              <w:rPr>
                <w:i/>
                <w:vertAlign w:val="subscript"/>
                <w:lang w:eastAsia="en-GB"/>
              </w:rPr>
              <w:t>2</w:t>
            </w:r>
            <w:r w:rsidRPr="00C806D0">
              <w:rPr>
                <w:lang w:eastAsia="en-GB"/>
              </w:rPr>
              <w:t>=1 if male</w:t>
            </w:r>
          </w:p>
          <w:p w:rsidR="000027E7" w:rsidRPr="00C806D0" w:rsidRDefault="000027E7" w:rsidP="000027E7">
            <w:pPr>
              <w:pStyle w:val="NoSpacing"/>
              <w:rPr>
                <w:lang w:eastAsia="en-GB"/>
              </w:rPr>
            </w:pPr>
            <w:r w:rsidRPr="00C806D0">
              <w:rPr>
                <w:i/>
                <w:lang w:eastAsia="en-GB"/>
              </w:rPr>
              <w:t>t</w:t>
            </w:r>
            <w:r w:rsidRPr="00C806D0">
              <w:rPr>
                <w:lang w:eastAsia="en-GB"/>
              </w:rPr>
              <w:t>=years after TBI</w:t>
            </w:r>
          </w:p>
          <w:p w:rsidR="000027E7" w:rsidRPr="00C806D0" w:rsidRDefault="000027E7" w:rsidP="000027E7">
            <w:pPr>
              <w:pStyle w:val="NoSpacing"/>
            </w:pPr>
          </w:p>
        </w:tc>
        <w:tc>
          <w:tcPr>
            <w:tcW w:w="596" w:type="pct"/>
            <w:tcBorders>
              <w:top w:val="nil"/>
              <w:bottom w:val="single" w:sz="4" w:space="0" w:color="auto"/>
            </w:tcBorders>
            <w:noWrap/>
            <w:hideMark/>
          </w:tcPr>
          <w:p w:rsidR="000027E7" w:rsidRPr="00C806D0" w:rsidRDefault="000027E7" w:rsidP="000027E7">
            <w:pPr>
              <w:pStyle w:val="NoSpacing"/>
              <w:jc w:val="center"/>
              <w:rPr>
                <w:lang w:eastAsia="en-GB"/>
              </w:rPr>
            </w:pPr>
          </w:p>
        </w:tc>
        <w:tc>
          <w:tcPr>
            <w:tcW w:w="697" w:type="pct"/>
            <w:gridSpan w:val="2"/>
            <w:tcBorders>
              <w:top w:val="nil"/>
              <w:bottom w:val="single" w:sz="4" w:space="0" w:color="auto"/>
            </w:tcBorders>
            <w:noWrap/>
            <w:hideMark/>
          </w:tcPr>
          <w:p w:rsidR="000027E7" w:rsidRPr="00C806D0" w:rsidRDefault="000027E7" w:rsidP="000027E7">
            <w:pPr>
              <w:pStyle w:val="NoSpacing"/>
              <w:jc w:val="center"/>
              <w:rPr>
                <w:lang w:eastAsia="en-GB"/>
              </w:rPr>
            </w:pPr>
          </w:p>
        </w:tc>
        <w:tc>
          <w:tcPr>
            <w:tcW w:w="626" w:type="pct"/>
            <w:tcBorders>
              <w:top w:val="nil"/>
              <w:bottom w:val="single" w:sz="4" w:space="0" w:color="auto"/>
            </w:tcBorders>
          </w:tcPr>
          <w:p w:rsidR="000027E7" w:rsidRPr="00C806D0" w:rsidRDefault="000027E7" w:rsidP="000027E7">
            <w:pPr>
              <w:pStyle w:val="NoSpacing"/>
              <w:jc w:val="center"/>
              <w:rPr>
                <w:lang w:eastAsia="en-GB"/>
              </w:rPr>
            </w:pPr>
          </w:p>
        </w:tc>
        <w:tc>
          <w:tcPr>
            <w:tcW w:w="790" w:type="pct"/>
            <w:tcBorders>
              <w:top w:val="nil"/>
              <w:bottom w:val="single" w:sz="4" w:space="0" w:color="auto"/>
            </w:tcBorders>
          </w:tcPr>
          <w:p w:rsidR="000027E7" w:rsidRPr="00C806D0" w:rsidRDefault="000027E7" w:rsidP="000027E7">
            <w:pPr>
              <w:pStyle w:val="NoSpacing"/>
              <w:jc w:val="center"/>
              <w:rPr>
                <w:lang w:eastAsia="en-GB"/>
              </w:rPr>
            </w:pPr>
          </w:p>
        </w:tc>
      </w:tr>
      <w:tr w:rsidR="000027E7" w:rsidRPr="00C806D0" w:rsidTr="000027E7">
        <w:trPr>
          <w:trHeight w:val="300"/>
          <w:jc w:val="center"/>
        </w:trPr>
        <w:tc>
          <w:tcPr>
            <w:tcW w:w="2291" w:type="pct"/>
            <w:tcBorders>
              <w:top w:val="single" w:sz="4" w:space="0" w:color="auto"/>
              <w:bottom w:val="nil"/>
            </w:tcBorders>
            <w:noWrap/>
            <w:hideMark/>
          </w:tcPr>
          <w:p w:rsidR="000027E7" w:rsidRPr="00C806D0" w:rsidRDefault="000027E7" w:rsidP="000027E7">
            <w:pPr>
              <w:rPr>
                <w:b/>
                <w:lang w:eastAsia="en-GB"/>
              </w:rPr>
            </w:pPr>
          </w:p>
        </w:tc>
        <w:tc>
          <w:tcPr>
            <w:tcW w:w="2709" w:type="pct"/>
            <w:gridSpan w:val="5"/>
            <w:tcBorders>
              <w:top w:val="single" w:sz="4" w:space="0" w:color="auto"/>
              <w:bottom w:val="nil"/>
            </w:tcBorders>
          </w:tcPr>
          <w:p w:rsidR="000027E7" w:rsidRPr="00C806D0" w:rsidRDefault="000027E7" w:rsidP="000027E7">
            <w:pPr>
              <w:pStyle w:val="NoSpacing"/>
              <w:jc w:val="center"/>
              <w:rPr>
                <w:b/>
                <w:lang w:eastAsia="en-GB"/>
              </w:rPr>
            </w:pPr>
            <w:r w:rsidRPr="00C806D0">
              <w:rPr>
                <w:b/>
                <w:lang w:eastAsia="en-GB"/>
              </w:rPr>
              <w:t>Variance-covariance matrix</w:t>
            </w:r>
          </w:p>
        </w:tc>
      </w:tr>
      <w:tr w:rsidR="000027E7" w:rsidRPr="00C806D0" w:rsidTr="000027E7">
        <w:trPr>
          <w:trHeight w:val="300"/>
          <w:jc w:val="center"/>
        </w:trPr>
        <w:tc>
          <w:tcPr>
            <w:tcW w:w="2291" w:type="pct"/>
            <w:tcBorders>
              <w:top w:val="single" w:sz="4" w:space="0" w:color="auto"/>
              <w:bottom w:val="nil"/>
            </w:tcBorders>
            <w:noWrap/>
            <w:hideMark/>
          </w:tcPr>
          <w:p w:rsidR="000027E7" w:rsidRPr="00C806D0" w:rsidRDefault="000027E7" w:rsidP="000027E7">
            <w:pPr>
              <w:rPr>
                <w:b/>
                <w:lang w:eastAsia="en-GB"/>
              </w:rPr>
            </w:pPr>
          </w:p>
        </w:tc>
        <w:tc>
          <w:tcPr>
            <w:tcW w:w="596" w:type="pct"/>
            <w:tcBorders>
              <w:top w:val="single" w:sz="4" w:space="0" w:color="auto"/>
              <w:bottom w:val="nil"/>
            </w:tcBorders>
            <w:noWrap/>
            <w:hideMark/>
          </w:tcPr>
          <w:p w:rsidR="000027E7" w:rsidRPr="00C806D0" w:rsidRDefault="000027E7" w:rsidP="000027E7">
            <w:pPr>
              <w:jc w:val="center"/>
              <w:rPr>
                <w:b/>
                <w:lang w:eastAsia="en-GB"/>
              </w:rPr>
            </w:pPr>
            <w:r w:rsidRPr="00C806D0">
              <w:rPr>
                <w:b/>
                <w:lang w:eastAsia="en-GB"/>
              </w:rPr>
              <w:t>β</w:t>
            </w:r>
            <w:r w:rsidRPr="00C806D0">
              <w:rPr>
                <w:b/>
                <w:vertAlign w:val="subscript"/>
                <w:lang w:eastAsia="en-GB"/>
              </w:rPr>
              <w:t>0</w:t>
            </w:r>
          </w:p>
        </w:tc>
        <w:tc>
          <w:tcPr>
            <w:tcW w:w="697" w:type="pct"/>
            <w:gridSpan w:val="2"/>
            <w:tcBorders>
              <w:top w:val="single" w:sz="4" w:space="0" w:color="auto"/>
              <w:bottom w:val="nil"/>
            </w:tcBorders>
            <w:noWrap/>
            <w:hideMark/>
          </w:tcPr>
          <w:p w:rsidR="000027E7" w:rsidRPr="00C806D0" w:rsidRDefault="000027E7" w:rsidP="000027E7">
            <w:pPr>
              <w:jc w:val="center"/>
              <w:rPr>
                <w:b/>
                <w:i/>
                <w:lang w:eastAsia="en-GB"/>
              </w:rPr>
            </w:pPr>
            <w:r w:rsidRPr="00C806D0">
              <w:rPr>
                <w:b/>
                <w:lang w:eastAsia="en-GB"/>
              </w:rPr>
              <w:t>β</w:t>
            </w:r>
            <w:r w:rsidRPr="00C806D0">
              <w:rPr>
                <w:b/>
                <w:vertAlign w:val="subscript"/>
                <w:lang w:eastAsia="en-GB"/>
              </w:rPr>
              <w:t>1</w:t>
            </w:r>
          </w:p>
        </w:tc>
        <w:tc>
          <w:tcPr>
            <w:tcW w:w="626" w:type="pct"/>
            <w:tcBorders>
              <w:top w:val="single" w:sz="4" w:space="0" w:color="auto"/>
              <w:bottom w:val="nil"/>
            </w:tcBorders>
          </w:tcPr>
          <w:p w:rsidR="000027E7" w:rsidRPr="00C806D0" w:rsidRDefault="000027E7" w:rsidP="000027E7">
            <w:pPr>
              <w:jc w:val="center"/>
              <w:rPr>
                <w:b/>
                <w:lang w:eastAsia="en-GB"/>
              </w:rPr>
            </w:pPr>
            <w:r w:rsidRPr="00C806D0">
              <w:rPr>
                <w:b/>
                <w:lang w:eastAsia="en-GB"/>
              </w:rPr>
              <w:t>β</w:t>
            </w:r>
            <w:r w:rsidRPr="00C806D0">
              <w:rPr>
                <w:b/>
                <w:vertAlign w:val="subscript"/>
                <w:lang w:eastAsia="en-GB"/>
              </w:rPr>
              <w:t>2</w:t>
            </w:r>
          </w:p>
        </w:tc>
        <w:tc>
          <w:tcPr>
            <w:tcW w:w="790" w:type="pct"/>
            <w:tcBorders>
              <w:top w:val="single" w:sz="4" w:space="0" w:color="auto"/>
              <w:bottom w:val="nil"/>
            </w:tcBorders>
          </w:tcPr>
          <w:p w:rsidR="000027E7" w:rsidRPr="00C806D0" w:rsidRDefault="000027E7" w:rsidP="000027E7">
            <w:pPr>
              <w:jc w:val="center"/>
              <w:rPr>
                <w:b/>
                <w:i/>
                <w:lang w:eastAsia="en-GB"/>
              </w:rPr>
            </w:pPr>
            <w:r w:rsidRPr="00C806D0">
              <w:rPr>
                <w:b/>
                <w:lang w:eastAsia="en-GB"/>
              </w:rPr>
              <w:t>γ</w:t>
            </w:r>
          </w:p>
        </w:tc>
      </w:tr>
      <w:tr w:rsidR="000027E7" w:rsidRPr="00C806D0" w:rsidTr="000027E7">
        <w:trPr>
          <w:trHeight w:val="300"/>
          <w:jc w:val="center"/>
        </w:trPr>
        <w:tc>
          <w:tcPr>
            <w:tcW w:w="2291" w:type="pct"/>
            <w:tcBorders>
              <w:top w:val="single" w:sz="4" w:space="0" w:color="auto"/>
              <w:bottom w:val="nil"/>
            </w:tcBorders>
            <w:noWrap/>
            <w:hideMark/>
          </w:tcPr>
          <w:p w:rsidR="000027E7" w:rsidRPr="00C806D0" w:rsidRDefault="000027E7" w:rsidP="000027E7">
            <w:r w:rsidRPr="00C806D0">
              <w:rPr>
                <w:b/>
                <w:lang w:eastAsia="en-GB"/>
              </w:rPr>
              <w:t>β</w:t>
            </w:r>
            <w:r w:rsidRPr="00C806D0">
              <w:rPr>
                <w:b/>
                <w:vertAlign w:val="subscript"/>
                <w:lang w:eastAsia="en-GB"/>
              </w:rPr>
              <w:t>0</w:t>
            </w:r>
          </w:p>
        </w:tc>
        <w:tc>
          <w:tcPr>
            <w:tcW w:w="596" w:type="pct"/>
            <w:tcBorders>
              <w:top w:val="single" w:sz="4" w:space="0" w:color="auto"/>
              <w:bottom w:val="nil"/>
            </w:tcBorders>
            <w:noWrap/>
            <w:hideMark/>
          </w:tcPr>
          <w:p w:rsidR="000027E7" w:rsidRPr="00C806D0" w:rsidRDefault="000027E7" w:rsidP="000027E7">
            <w:pPr>
              <w:pStyle w:val="NoSpacing"/>
              <w:jc w:val="center"/>
              <w:rPr>
                <w:lang w:eastAsia="en-GB"/>
              </w:rPr>
            </w:pPr>
            <w:r w:rsidRPr="00C806D0">
              <w:rPr>
                <w:lang w:eastAsia="en-GB"/>
              </w:rPr>
              <w:t>0.11</w:t>
            </w:r>
          </w:p>
        </w:tc>
        <w:tc>
          <w:tcPr>
            <w:tcW w:w="697" w:type="pct"/>
            <w:gridSpan w:val="2"/>
            <w:tcBorders>
              <w:top w:val="single" w:sz="4" w:space="0" w:color="auto"/>
              <w:bottom w:val="nil"/>
            </w:tcBorders>
            <w:noWrap/>
            <w:hideMark/>
          </w:tcPr>
          <w:p w:rsidR="000027E7" w:rsidRPr="00C806D0" w:rsidRDefault="000027E7" w:rsidP="000027E7">
            <w:pPr>
              <w:pStyle w:val="NoSpacing"/>
              <w:jc w:val="center"/>
              <w:rPr>
                <w:lang w:eastAsia="en-GB"/>
              </w:rPr>
            </w:pPr>
          </w:p>
        </w:tc>
        <w:tc>
          <w:tcPr>
            <w:tcW w:w="626" w:type="pct"/>
            <w:tcBorders>
              <w:top w:val="single" w:sz="4" w:space="0" w:color="auto"/>
              <w:bottom w:val="nil"/>
            </w:tcBorders>
          </w:tcPr>
          <w:p w:rsidR="000027E7" w:rsidRPr="00C806D0" w:rsidRDefault="000027E7" w:rsidP="000027E7">
            <w:pPr>
              <w:pStyle w:val="NoSpacing"/>
              <w:jc w:val="center"/>
              <w:rPr>
                <w:lang w:eastAsia="en-GB"/>
              </w:rPr>
            </w:pPr>
          </w:p>
        </w:tc>
        <w:tc>
          <w:tcPr>
            <w:tcW w:w="790" w:type="pct"/>
            <w:tcBorders>
              <w:top w:val="single" w:sz="4" w:space="0" w:color="auto"/>
              <w:bottom w:val="nil"/>
            </w:tcBorders>
          </w:tcPr>
          <w:p w:rsidR="000027E7" w:rsidRPr="00C806D0" w:rsidRDefault="000027E7" w:rsidP="000027E7">
            <w:pPr>
              <w:pStyle w:val="NoSpacing"/>
              <w:jc w:val="center"/>
              <w:rPr>
                <w:lang w:eastAsia="en-GB"/>
              </w:rPr>
            </w:pPr>
          </w:p>
        </w:tc>
      </w:tr>
      <w:tr w:rsidR="000027E7" w:rsidRPr="00C806D0" w:rsidTr="000027E7">
        <w:trPr>
          <w:trHeight w:val="300"/>
          <w:jc w:val="center"/>
        </w:trPr>
        <w:tc>
          <w:tcPr>
            <w:tcW w:w="2291" w:type="pct"/>
            <w:tcBorders>
              <w:top w:val="nil"/>
              <w:bottom w:val="nil"/>
            </w:tcBorders>
            <w:noWrap/>
            <w:hideMark/>
          </w:tcPr>
          <w:p w:rsidR="000027E7" w:rsidRPr="00C806D0" w:rsidRDefault="000027E7" w:rsidP="000027E7">
            <w:r w:rsidRPr="00C806D0">
              <w:rPr>
                <w:b/>
                <w:lang w:eastAsia="en-GB"/>
              </w:rPr>
              <w:t>β</w:t>
            </w:r>
            <w:r w:rsidRPr="00C806D0">
              <w:rPr>
                <w:b/>
                <w:vertAlign w:val="subscript"/>
                <w:lang w:eastAsia="en-GB"/>
              </w:rPr>
              <w:t>1</w:t>
            </w:r>
          </w:p>
        </w:tc>
        <w:tc>
          <w:tcPr>
            <w:tcW w:w="596" w:type="pct"/>
            <w:tcBorders>
              <w:top w:val="nil"/>
              <w:bottom w:val="nil"/>
            </w:tcBorders>
            <w:noWrap/>
            <w:hideMark/>
          </w:tcPr>
          <w:p w:rsidR="000027E7" w:rsidRPr="00C806D0" w:rsidRDefault="000027E7" w:rsidP="000027E7">
            <w:pPr>
              <w:pStyle w:val="NoSpacing"/>
              <w:jc w:val="center"/>
              <w:rPr>
                <w:lang w:eastAsia="en-GB"/>
              </w:rPr>
            </w:pPr>
            <w:r w:rsidRPr="00C806D0">
              <w:rPr>
                <w:lang w:eastAsia="en-GB"/>
              </w:rPr>
              <w:t>-0.0012</w:t>
            </w:r>
          </w:p>
        </w:tc>
        <w:tc>
          <w:tcPr>
            <w:tcW w:w="697" w:type="pct"/>
            <w:gridSpan w:val="2"/>
            <w:tcBorders>
              <w:top w:val="nil"/>
              <w:bottom w:val="nil"/>
            </w:tcBorders>
            <w:noWrap/>
            <w:hideMark/>
          </w:tcPr>
          <w:p w:rsidR="000027E7" w:rsidRPr="00C806D0" w:rsidRDefault="000027E7" w:rsidP="000027E7">
            <w:pPr>
              <w:pStyle w:val="NoSpacing"/>
              <w:jc w:val="center"/>
              <w:rPr>
                <w:lang w:eastAsia="en-GB"/>
              </w:rPr>
            </w:pPr>
            <w:r w:rsidRPr="00C806D0">
              <w:rPr>
                <w:lang w:eastAsia="en-GB"/>
              </w:rPr>
              <w:t>0.00002</w:t>
            </w:r>
          </w:p>
        </w:tc>
        <w:tc>
          <w:tcPr>
            <w:tcW w:w="626" w:type="pct"/>
            <w:tcBorders>
              <w:top w:val="nil"/>
              <w:bottom w:val="nil"/>
            </w:tcBorders>
          </w:tcPr>
          <w:p w:rsidR="000027E7" w:rsidRPr="00C806D0" w:rsidRDefault="000027E7" w:rsidP="000027E7">
            <w:pPr>
              <w:pStyle w:val="NoSpacing"/>
              <w:jc w:val="center"/>
              <w:rPr>
                <w:lang w:eastAsia="en-GB"/>
              </w:rPr>
            </w:pPr>
          </w:p>
        </w:tc>
        <w:tc>
          <w:tcPr>
            <w:tcW w:w="790" w:type="pct"/>
            <w:tcBorders>
              <w:top w:val="nil"/>
              <w:bottom w:val="nil"/>
            </w:tcBorders>
          </w:tcPr>
          <w:p w:rsidR="000027E7" w:rsidRPr="00C806D0" w:rsidRDefault="000027E7" w:rsidP="000027E7">
            <w:pPr>
              <w:pStyle w:val="NoSpacing"/>
              <w:jc w:val="center"/>
              <w:rPr>
                <w:lang w:eastAsia="en-GB"/>
              </w:rPr>
            </w:pPr>
          </w:p>
        </w:tc>
      </w:tr>
      <w:tr w:rsidR="000027E7" w:rsidRPr="00C806D0" w:rsidTr="000027E7">
        <w:trPr>
          <w:trHeight w:val="300"/>
          <w:jc w:val="center"/>
        </w:trPr>
        <w:tc>
          <w:tcPr>
            <w:tcW w:w="2291" w:type="pct"/>
            <w:tcBorders>
              <w:top w:val="nil"/>
              <w:bottom w:val="nil"/>
            </w:tcBorders>
            <w:noWrap/>
            <w:hideMark/>
          </w:tcPr>
          <w:p w:rsidR="000027E7" w:rsidRPr="00C806D0" w:rsidRDefault="000027E7" w:rsidP="000027E7">
            <w:r w:rsidRPr="00C806D0">
              <w:rPr>
                <w:b/>
                <w:lang w:eastAsia="en-GB"/>
              </w:rPr>
              <w:t>β</w:t>
            </w:r>
            <w:r w:rsidRPr="00C806D0">
              <w:rPr>
                <w:b/>
                <w:vertAlign w:val="subscript"/>
                <w:lang w:eastAsia="en-GB"/>
              </w:rPr>
              <w:t>2</w:t>
            </w:r>
          </w:p>
        </w:tc>
        <w:tc>
          <w:tcPr>
            <w:tcW w:w="596" w:type="pct"/>
            <w:tcBorders>
              <w:top w:val="nil"/>
              <w:bottom w:val="nil"/>
            </w:tcBorders>
            <w:noWrap/>
            <w:hideMark/>
          </w:tcPr>
          <w:p w:rsidR="000027E7" w:rsidRPr="00C806D0" w:rsidRDefault="000027E7" w:rsidP="000027E7">
            <w:pPr>
              <w:jc w:val="center"/>
            </w:pPr>
            <w:r w:rsidRPr="00C806D0">
              <w:t>-0.025</w:t>
            </w:r>
          </w:p>
        </w:tc>
        <w:tc>
          <w:tcPr>
            <w:tcW w:w="697" w:type="pct"/>
            <w:gridSpan w:val="2"/>
            <w:tcBorders>
              <w:top w:val="nil"/>
              <w:bottom w:val="nil"/>
            </w:tcBorders>
            <w:noWrap/>
            <w:hideMark/>
          </w:tcPr>
          <w:p w:rsidR="000027E7" w:rsidRPr="00C806D0" w:rsidRDefault="000027E7" w:rsidP="000027E7">
            <w:pPr>
              <w:jc w:val="center"/>
            </w:pPr>
            <w:r w:rsidRPr="00C806D0">
              <w:t>0.0002</w:t>
            </w:r>
          </w:p>
        </w:tc>
        <w:tc>
          <w:tcPr>
            <w:tcW w:w="626" w:type="pct"/>
            <w:tcBorders>
              <w:top w:val="nil"/>
              <w:bottom w:val="nil"/>
            </w:tcBorders>
          </w:tcPr>
          <w:p w:rsidR="000027E7" w:rsidRPr="00C806D0" w:rsidRDefault="000027E7" w:rsidP="000027E7">
            <w:pPr>
              <w:jc w:val="center"/>
            </w:pPr>
            <w:r w:rsidRPr="00C806D0">
              <w:t>0.036</w:t>
            </w:r>
          </w:p>
        </w:tc>
        <w:tc>
          <w:tcPr>
            <w:tcW w:w="790" w:type="pct"/>
            <w:tcBorders>
              <w:top w:val="nil"/>
              <w:bottom w:val="nil"/>
            </w:tcBorders>
          </w:tcPr>
          <w:p w:rsidR="000027E7" w:rsidRPr="00C806D0" w:rsidRDefault="000027E7" w:rsidP="000027E7"/>
        </w:tc>
      </w:tr>
      <w:tr w:rsidR="000027E7" w:rsidRPr="00C806D0" w:rsidTr="000027E7">
        <w:trPr>
          <w:trHeight w:val="300"/>
          <w:jc w:val="center"/>
        </w:trPr>
        <w:tc>
          <w:tcPr>
            <w:tcW w:w="2291" w:type="pct"/>
            <w:tcBorders>
              <w:top w:val="nil"/>
            </w:tcBorders>
            <w:noWrap/>
            <w:hideMark/>
          </w:tcPr>
          <w:p w:rsidR="000027E7" w:rsidRPr="00C806D0" w:rsidRDefault="000027E7" w:rsidP="000027E7">
            <w:r w:rsidRPr="00C806D0">
              <w:rPr>
                <w:b/>
                <w:lang w:eastAsia="en-GB"/>
              </w:rPr>
              <w:t>γ</w:t>
            </w:r>
          </w:p>
        </w:tc>
        <w:tc>
          <w:tcPr>
            <w:tcW w:w="596" w:type="pct"/>
            <w:tcBorders>
              <w:top w:val="nil"/>
            </w:tcBorders>
            <w:noWrap/>
            <w:hideMark/>
          </w:tcPr>
          <w:p w:rsidR="000027E7" w:rsidRPr="00C806D0" w:rsidRDefault="000027E7" w:rsidP="000027E7">
            <w:pPr>
              <w:pStyle w:val="NoSpacing"/>
              <w:jc w:val="center"/>
              <w:rPr>
                <w:lang w:eastAsia="en-GB"/>
              </w:rPr>
            </w:pPr>
            <w:r w:rsidRPr="00C806D0">
              <w:rPr>
                <w:lang w:eastAsia="en-GB"/>
              </w:rPr>
              <w:t>-0.0046</w:t>
            </w:r>
          </w:p>
        </w:tc>
        <w:tc>
          <w:tcPr>
            <w:tcW w:w="697" w:type="pct"/>
            <w:gridSpan w:val="2"/>
            <w:tcBorders>
              <w:top w:val="nil"/>
            </w:tcBorders>
            <w:noWrap/>
            <w:hideMark/>
          </w:tcPr>
          <w:p w:rsidR="000027E7" w:rsidRPr="00C806D0" w:rsidRDefault="000027E7" w:rsidP="000027E7">
            <w:pPr>
              <w:pStyle w:val="NoSpacing"/>
              <w:jc w:val="center"/>
              <w:rPr>
                <w:lang w:eastAsia="en-GB"/>
              </w:rPr>
            </w:pPr>
            <w:r w:rsidRPr="00C806D0">
              <w:rPr>
                <w:lang w:eastAsia="en-GB"/>
              </w:rPr>
              <w:t>0.000045</w:t>
            </w:r>
          </w:p>
        </w:tc>
        <w:tc>
          <w:tcPr>
            <w:tcW w:w="626" w:type="pct"/>
            <w:tcBorders>
              <w:top w:val="nil"/>
            </w:tcBorders>
          </w:tcPr>
          <w:p w:rsidR="000027E7" w:rsidRPr="00C806D0" w:rsidRDefault="000027E7" w:rsidP="000027E7">
            <w:pPr>
              <w:pStyle w:val="NoSpacing"/>
              <w:jc w:val="center"/>
              <w:rPr>
                <w:lang w:eastAsia="en-GB"/>
              </w:rPr>
            </w:pPr>
            <w:r w:rsidRPr="00C806D0">
              <w:rPr>
                <w:lang w:eastAsia="en-GB"/>
              </w:rPr>
              <w:t>0.000065</w:t>
            </w:r>
          </w:p>
        </w:tc>
        <w:tc>
          <w:tcPr>
            <w:tcW w:w="790" w:type="pct"/>
            <w:tcBorders>
              <w:top w:val="nil"/>
            </w:tcBorders>
          </w:tcPr>
          <w:p w:rsidR="000027E7" w:rsidRPr="00C806D0" w:rsidRDefault="000027E7" w:rsidP="000027E7">
            <w:pPr>
              <w:pStyle w:val="NoSpacing"/>
              <w:jc w:val="center"/>
              <w:rPr>
                <w:lang w:eastAsia="en-GB"/>
              </w:rPr>
            </w:pPr>
            <w:r w:rsidRPr="00C806D0">
              <w:rPr>
                <w:lang w:eastAsia="en-GB"/>
              </w:rPr>
              <w:t>0.0003</w:t>
            </w:r>
          </w:p>
        </w:tc>
      </w:tr>
    </w:tbl>
    <w:p w:rsidR="000027E7" w:rsidRPr="00C806D0" w:rsidRDefault="000027E7" w:rsidP="000027E7"/>
    <w:p w:rsidR="000027E7" w:rsidRPr="00C806D0" w:rsidRDefault="000027E7" w:rsidP="000027E7"/>
    <w:p w:rsidR="000027E7" w:rsidRPr="00C806D0" w:rsidRDefault="000027E7" w:rsidP="000027E7">
      <w:pPr>
        <w:jc w:val="center"/>
        <w:rPr>
          <w:i/>
        </w:rPr>
      </w:pPr>
      <w:r w:rsidRPr="00C806D0">
        <w:rPr>
          <w:i/>
          <w:noProof/>
          <w:lang w:val="en-US"/>
        </w:rPr>
        <w:drawing>
          <wp:inline distT="0" distB="0" distL="0" distR="0">
            <wp:extent cx="4322619" cy="3174441"/>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4334509" cy="3183173"/>
                    </a:xfrm>
                    <a:prstGeom prst="rect">
                      <a:avLst/>
                    </a:prstGeom>
                    <a:noFill/>
                    <a:ln w="9525">
                      <a:noFill/>
                      <a:miter lim="800000"/>
                      <a:headEnd/>
                      <a:tailEnd/>
                    </a:ln>
                  </pic:spPr>
                </pic:pic>
              </a:graphicData>
            </a:graphic>
          </wp:inline>
        </w:drawing>
      </w:r>
    </w:p>
    <w:p w:rsidR="000027E7" w:rsidRPr="00C806D0" w:rsidRDefault="000027E7" w:rsidP="000027E7">
      <w:pPr>
        <w:jc w:val="center"/>
        <w:rPr>
          <w:b/>
        </w:rPr>
      </w:pPr>
      <w:r w:rsidRPr="00C806D0">
        <w:rPr>
          <w:b/>
          <w:noProof/>
          <w:lang w:val="en-US"/>
        </w:rPr>
        <w:drawing>
          <wp:inline distT="0" distB="0" distL="0" distR="0">
            <wp:extent cx="4269030" cy="3135086"/>
            <wp:effectExtent l="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4269208" cy="3135217"/>
                    </a:xfrm>
                    <a:prstGeom prst="rect">
                      <a:avLst/>
                    </a:prstGeom>
                    <a:noFill/>
                    <a:ln w="9525">
                      <a:noFill/>
                      <a:miter lim="800000"/>
                      <a:headEnd/>
                      <a:tailEnd/>
                    </a:ln>
                  </pic:spPr>
                </pic:pic>
              </a:graphicData>
            </a:graphic>
          </wp:inline>
        </w:drawing>
      </w:r>
    </w:p>
    <w:p w:rsidR="000027E7" w:rsidRPr="00C806D0" w:rsidRDefault="000027E7" w:rsidP="000027E7">
      <w:pPr>
        <w:rPr>
          <w:sz w:val="20"/>
          <w:szCs w:val="20"/>
        </w:rPr>
      </w:pPr>
      <w:r w:rsidRPr="00C806D0">
        <w:rPr>
          <w:b/>
          <w:sz w:val="20"/>
          <w:szCs w:val="20"/>
        </w:rPr>
        <w:t xml:space="preserve">Figure G12. Comparison of predicted extrapolative estimates of survival for males and females following TBI sustained at certain ages </w:t>
      </w:r>
      <w:r w:rsidR="00335B1F" w:rsidRPr="00C806D0">
        <w:rPr>
          <w:b/>
          <w:sz w:val="20"/>
          <w:szCs w:val="20"/>
        </w:rPr>
        <w:t>compared with</w:t>
      </w:r>
      <w:r w:rsidRPr="00C806D0">
        <w:rPr>
          <w:b/>
          <w:sz w:val="20"/>
          <w:szCs w:val="20"/>
        </w:rPr>
        <w:t xml:space="preserve"> the year 2000 Minnesota general population</w:t>
      </w:r>
      <w:r w:rsidR="00CE3E2C" w:rsidRPr="00C806D0">
        <w:rPr>
          <w:b/>
          <w:sz w:val="20"/>
          <w:szCs w:val="20"/>
        </w:rPr>
        <w:t xml:space="preserve"> period life tables</w:t>
      </w:r>
      <w:r w:rsidRPr="00C806D0">
        <w:rPr>
          <w:b/>
          <w:sz w:val="20"/>
          <w:szCs w:val="20"/>
        </w:rPr>
        <w:t>.</w:t>
      </w:r>
      <w:r w:rsidRPr="00C806D0">
        <w:rPr>
          <w:rStyle w:val="FootnoteReference"/>
          <w:b/>
          <w:sz w:val="20"/>
          <w:szCs w:val="20"/>
        </w:rPr>
        <w:footnoteReference w:id="1"/>
      </w:r>
      <w:r w:rsidRPr="00C806D0">
        <w:rPr>
          <w:b/>
          <w:sz w:val="20"/>
          <w:szCs w:val="20"/>
        </w:rPr>
        <w:t xml:space="preserve"> </w:t>
      </w:r>
      <w:r w:rsidRPr="00C806D0">
        <w:rPr>
          <w:sz w:val="20"/>
          <w:szCs w:val="20"/>
        </w:rPr>
        <w:t xml:space="preserve">Black lines present the survival curves estimated from the Gompertz model following TBI sustained at illustrative ages. Grey lines indicate the corresponding Minnesota population survival curves </w:t>
      </w:r>
      <w:r w:rsidR="00CE3E2C" w:rsidRPr="00C806D0">
        <w:rPr>
          <w:sz w:val="20"/>
          <w:szCs w:val="20"/>
        </w:rPr>
        <w:t xml:space="preserve">(based on cross sectional mortality rates) </w:t>
      </w:r>
      <w:r w:rsidRPr="00C806D0">
        <w:rPr>
          <w:sz w:val="20"/>
          <w:szCs w:val="20"/>
        </w:rPr>
        <w:t>for patients of the same age. Top panel= males. Bottom panel=females.</w:t>
      </w:r>
    </w:p>
    <w:p w:rsidR="000027E7" w:rsidRPr="00C806D0" w:rsidRDefault="000027E7" w:rsidP="000027E7">
      <w:pPr>
        <w:rPr>
          <w:sz w:val="20"/>
          <w:szCs w:val="20"/>
        </w:rPr>
      </w:pPr>
    </w:p>
    <w:p w:rsidR="000027E7" w:rsidRPr="00C806D0" w:rsidRDefault="000027E7" w:rsidP="000027E7"/>
    <w:p w:rsidR="000027E7" w:rsidRPr="00C806D0" w:rsidRDefault="000027E7" w:rsidP="000027E7"/>
    <w:p w:rsidR="000027E7" w:rsidRPr="00C806D0" w:rsidRDefault="000027E7" w:rsidP="000027E7">
      <w:pPr>
        <w:jc w:val="center"/>
      </w:pPr>
      <w:r w:rsidRPr="00C806D0">
        <w:rPr>
          <w:noProof/>
          <w:lang w:val="en-US"/>
        </w:rPr>
        <w:drawing>
          <wp:inline distT="0" distB="0" distL="0" distR="0">
            <wp:extent cx="4257754" cy="3096377"/>
            <wp:effectExtent l="19050" t="0" r="9446" b="0"/>
            <wp:docPr id="39" name="Picture 3" descr="Gender_model_male_predicted_v_us_cohort_life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model_male_predicted_v_us_cohort_life_table.jpg"/>
                    <pic:cNvPicPr/>
                  </pic:nvPicPr>
                  <pic:blipFill>
                    <a:blip r:embed="rId39" cstate="print"/>
                    <a:stretch>
                      <a:fillRect/>
                    </a:stretch>
                  </pic:blipFill>
                  <pic:spPr>
                    <a:xfrm>
                      <a:off x="0" y="0"/>
                      <a:ext cx="4258177" cy="3096684"/>
                    </a:xfrm>
                    <a:prstGeom prst="rect">
                      <a:avLst/>
                    </a:prstGeom>
                  </pic:spPr>
                </pic:pic>
              </a:graphicData>
            </a:graphic>
          </wp:inline>
        </w:drawing>
      </w:r>
    </w:p>
    <w:p w:rsidR="000027E7" w:rsidRPr="00C806D0" w:rsidRDefault="000027E7" w:rsidP="000027E7"/>
    <w:p w:rsidR="000027E7" w:rsidRPr="00C806D0" w:rsidRDefault="000027E7" w:rsidP="000027E7">
      <w:pPr>
        <w:jc w:val="center"/>
      </w:pPr>
      <w:r w:rsidRPr="00C806D0">
        <w:rPr>
          <w:noProof/>
          <w:lang w:val="en-US"/>
        </w:rPr>
        <w:drawing>
          <wp:inline distT="0" distB="0" distL="0" distR="0">
            <wp:extent cx="4414345" cy="3210256"/>
            <wp:effectExtent l="19050" t="0" r="5255" b="0"/>
            <wp:docPr id="40" name="Picture 6" descr="Gender_model_female_predicted_v_us_cohort_life_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model_female_predicted_v_us_cohort_life_tab.JPG"/>
                    <pic:cNvPicPr/>
                  </pic:nvPicPr>
                  <pic:blipFill>
                    <a:blip r:embed="rId40" cstate="print"/>
                    <a:stretch>
                      <a:fillRect/>
                    </a:stretch>
                  </pic:blipFill>
                  <pic:spPr>
                    <a:xfrm>
                      <a:off x="0" y="0"/>
                      <a:ext cx="4422211" cy="3215976"/>
                    </a:xfrm>
                    <a:prstGeom prst="rect">
                      <a:avLst/>
                    </a:prstGeom>
                  </pic:spPr>
                </pic:pic>
              </a:graphicData>
            </a:graphic>
          </wp:inline>
        </w:drawing>
      </w:r>
    </w:p>
    <w:p w:rsidR="000027E7" w:rsidRPr="00C806D0" w:rsidRDefault="000027E7" w:rsidP="000027E7"/>
    <w:p w:rsidR="000027E7" w:rsidRPr="00C806D0" w:rsidRDefault="000027E7" w:rsidP="000027E7">
      <w:pPr>
        <w:rPr>
          <w:sz w:val="20"/>
          <w:szCs w:val="20"/>
        </w:rPr>
      </w:pPr>
      <w:r w:rsidRPr="00C806D0">
        <w:rPr>
          <w:b/>
          <w:sz w:val="20"/>
          <w:szCs w:val="20"/>
        </w:rPr>
        <w:t xml:space="preserve">Figure G13. Comparison of predicted extrapolative estimates of survival for males and females following TBI sustained at certain ages using a Gompertz distribution </w:t>
      </w:r>
      <w:r w:rsidR="00335B1F" w:rsidRPr="00C806D0">
        <w:rPr>
          <w:b/>
          <w:sz w:val="20"/>
          <w:szCs w:val="20"/>
        </w:rPr>
        <w:t>compared with</w:t>
      </w:r>
      <w:r w:rsidRPr="00C806D0">
        <w:rPr>
          <w:b/>
          <w:sz w:val="20"/>
          <w:szCs w:val="20"/>
        </w:rPr>
        <w:t xml:space="preserve"> gender specific year 2000 US general population cohort life table. </w:t>
      </w:r>
      <w:r w:rsidRPr="00C806D0">
        <w:rPr>
          <w:sz w:val="20"/>
          <w:szCs w:val="20"/>
        </w:rPr>
        <w:t>Black lines present the survival curves estimated from the Gompertz model following TBI sustained at illustrative ages. Grey lines indicate the corresponding US general population survival curves for patients of the same age based on gender specific cohort life table data.</w:t>
      </w:r>
    </w:p>
    <w:p w:rsidR="000027E7" w:rsidRPr="00C806D0" w:rsidRDefault="000027E7" w:rsidP="000027E7"/>
    <w:p w:rsidR="000027E7" w:rsidRPr="00C806D0" w:rsidRDefault="000027E7" w:rsidP="000027E7"/>
    <w:p w:rsidR="000027E7" w:rsidRPr="00C806D0" w:rsidRDefault="000027E7" w:rsidP="002A360F">
      <w:pPr>
        <w:pStyle w:val="Heading3"/>
      </w:pPr>
      <w:r w:rsidRPr="00C806D0">
        <w:t>Secular trends in US Cohort life tables</w:t>
      </w:r>
    </w:p>
    <w:p w:rsidR="000027E7" w:rsidRPr="00C806D0" w:rsidRDefault="000027E7" w:rsidP="000027E7">
      <w:pPr>
        <w:rPr>
          <w:b/>
        </w:rPr>
      </w:pPr>
      <w:r w:rsidRPr="00C806D0">
        <w:rPr>
          <w:b/>
        </w:rPr>
        <w:t>Table G7. Change in shape and scale parameter of Gompertz hazard functions optimally fitting US cohort life table data between 1900 and 2010.</w:t>
      </w:r>
    </w:p>
    <w:tbl>
      <w:tblPr>
        <w:tblStyle w:val="LightShading1"/>
        <w:tblW w:w="5000" w:type="pct"/>
        <w:tblLook w:val="0620" w:firstRow="1" w:lastRow="0" w:firstColumn="0" w:lastColumn="0" w:noHBand="1" w:noVBand="1"/>
      </w:tblPr>
      <w:tblGrid>
        <w:gridCol w:w="826"/>
        <w:gridCol w:w="1053"/>
        <w:gridCol w:w="1276"/>
        <w:gridCol w:w="1712"/>
        <w:gridCol w:w="1797"/>
        <w:gridCol w:w="2056"/>
      </w:tblGrid>
      <w:tr w:rsidR="000027E7" w:rsidRPr="00C806D0" w:rsidTr="000027E7">
        <w:trPr>
          <w:cnfStyle w:val="100000000000" w:firstRow="1" w:lastRow="0" w:firstColumn="0" w:lastColumn="0" w:oddVBand="0" w:evenVBand="0" w:oddHBand="0" w:evenHBand="0" w:firstRowFirstColumn="0" w:firstRowLastColumn="0" w:lastRowFirstColumn="0" w:lastRowLastColumn="0"/>
          <w:trHeight w:val="300"/>
        </w:trPr>
        <w:tc>
          <w:tcPr>
            <w:tcW w:w="524" w:type="pct"/>
            <w:noWrap/>
            <w:hideMark/>
          </w:tcPr>
          <w:p w:rsidR="000027E7" w:rsidRPr="00C806D0" w:rsidRDefault="000027E7" w:rsidP="000027E7">
            <w:pPr>
              <w:rPr>
                <w:lang w:eastAsia="en-GB"/>
              </w:rPr>
            </w:pPr>
          </w:p>
        </w:tc>
        <w:tc>
          <w:tcPr>
            <w:tcW w:w="578" w:type="pct"/>
            <w:noWrap/>
            <w:hideMark/>
          </w:tcPr>
          <w:p w:rsidR="000027E7" w:rsidRPr="00C806D0" w:rsidRDefault="000027E7" w:rsidP="000027E7">
            <w:pPr>
              <w:rPr>
                <w:lang w:eastAsia="en-GB"/>
              </w:rPr>
            </w:pPr>
            <w:r w:rsidRPr="00C806D0">
              <w:rPr>
                <w:lang w:eastAsia="en-GB"/>
              </w:rPr>
              <w:t>Shape</w:t>
            </w:r>
          </w:p>
        </w:tc>
        <w:tc>
          <w:tcPr>
            <w:tcW w:w="733" w:type="pct"/>
            <w:noWrap/>
            <w:hideMark/>
          </w:tcPr>
          <w:p w:rsidR="000027E7" w:rsidRPr="00C806D0" w:rsidRDefault="000027E7" w:rsidP="000027E7">
            <w:pPr>
              <w:rPr>
                <w:lang w:eastAsia="en-GB"/>
              </w:rPr>
            </w:pPr>
            <w:r w:rsidRPr="00C806D0">
              <w:rPr>
                <w:lang w:eastAsia="en-GB"/>
              </w:rPr>
              <w:t>Scale</w:t>
            </w:r>
          </w:p>
        </w:tc>
        <w:tc>
          <w:tcPr>
            <w:tcW w:w="1081" w:type="pct"/>
            <w:noWrap/>
            <w:hideMark/>
          </w:tcPr>
          <w:p w:rsidR="000027E7" w:rsidRPr="00C806D0" w:rsidRDefault="000027E7" w:rsidP="000027E7">
            <w:pPr>
              <w:rPr>
                <w:lang w:eastAsia="en-GB"/>
              </w:rPr>
            </w:pPr>
            <w:r w:rsidRPr="00C806D0">
              <w:rPr>
                <w:lang w:eastAsia="en-GB"/>
              </w:rPr>
              <w:t>Log-scale</w:t>
            </w:r>
          </w:p>
        </w:tc>
        <w:tc>
          <w:tcPr>
            <w:tcW w:w="972" w:type="pct"/>
            <w:noWrap/>
            <w:hideMark/>
          </w:tcPr>
          <w:p w:rsidR="000027E7" w:rsidRPr="00C806D0" w:rsidRDefault="000027E7" w:rsidP="000027E7">
            <w:pPr>
              <w:rPr>
                <w:lang w:eastAsia="en-GB"/>
              </w:rPr>
            </w:pPr>
            <w:r w:rsidRPr="00C806D0">
              <w:rPr>
                <w:lang w:eastAsia="en-GB"/>
              </w:rPr>
              <w:t>Shape % change*</w:t>
            </w:r>
          </w:p>
        </w:tc>
        <w:tc>
          <w:tcPr>
            <w:tcW w:w="1112" w:type="pct"/>
            <w:noWrap/>
            <w:hideMark/>
          </w:tcPr>
          <w:p w:rsidR="000027E7" w:rsidRPr="00C806D0" w:rsidRDefault="000027E7" w:rsidP="000027E7">
            <w:pPr>
              <w:rPr>
                <w:lang w:eastAsia="en-GB"/>
              </w:rPr>
            </w:pPr>
            <w:r w:rsidRPr="00C806D0">
              <w:rPr>
                <w:lang w:eastAsia="en-GB"/>
              </w:rPr>
              <w:t>Log scale % change*</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2010</w:t>
            </w:r>
          </w:p>
        </w:tc>
        <w:tc>
          <w:tcPr>
            <w:tcW w:w="578" w:type="pct"/>
            <w:noWrap/>
            <w:hideMark/>
          </w:tcPr>
          <w:p w:rsidR="000027E7" w:rsidRPr="00C806D0" w:rsidRDefault="000027E7" w:rsidP="000027E7">
            <w:pPr>
              <w:rPr>
                <w:lang w:eastAsia="en-GB"/>
              </w:rPr>
            </w:pPr>
            <w:r w:rsidRPr="00C806D0">
              <w:rPr>
                <w:lang w:eastAsia="en-GB"/>
              </w:rPr>
              <w:t>0.095256</w:t>
            </w:r>
          </w:p>
        </w:tc>
        <w:tc>
          <w:tcPr>
            <w:tcW w:w="733" w:type="pct"/>
            <w:noWrap/>
            <w:hideMark/>
          </w:tcPr>
          <w:p w:rsidR="000027E7" w:rsidRPr="00C806D0" w:rsidRDefault="000027E7" w:rsidP="000027E7">
            <w:pPr>
              <w:rPr>
                <w:lang w:eastAsia="en-GB"/>
              </w:rPr>
            </w:pPr>
            <w:r w:rsidRPr="00C806D0">
              <w:rPr>
                <w:lang w:eastAsia="en-GB"/>
              </w:rPr>
              <w:t>0.00001921</w:t>
            </w:r>
          </w:p>
        </w:tc>
        <w:tc>
          <w:tcPr>
            <w:tcW w:w="1081" w:type="pct"/>
            <w:noWrap/>
            <w:hideMark/>
          </w:tcPr>
          <w:p w:rsidR="000027E7" w:rsidRPr="00C806D0" w:rsidRDefault="000027E7" w:rsidP="000027E7">
            <w:pPr>
              <w:rPr>
                <w:lang w:eastAsia="en-GB"/>
              </w:rPr>
            </w:pPr>
            <w:r w:rsidRPr="00C806D0">
              <w:rPr>
                <w:lang w:eastAsia="en-GB"/>
              </w:rPr>
              <w:t>-10.86007958</w:t>
            </w:r>
          </w:p>
        </w:tc>
        <w:tc>
          <w:tcPr>
            <w:tcW w:w="972" w:type="pct"/>
            <w:noWrap/>
            <w:hideMark/>
          </w:tcPr>
          <w:p w:rsidR="000027E7" w:rsidRPr="00C806D0" w:rsidRDefault="000027E7" w:rsidP="000027E7">
            <w:pPr>
              <w:rPr>
                <w:lang w:eastAsia="en-GB"/>
              </w:rPr>
            </w:pPr>
            <w:r w:rsidRPr="00C806D0">
              <w:rPr>
                <w:lang w:eastAsia="en-GB"/>
              </w:rPr>
              <w:t>1.003375</w:t>
            </w:r>
          </w:p>
        </w:tc>
        <w:tc>
          <w:tcPr>
            <w:tcW w:w="1112" w:type="pct"/>
            <w:noWrap/>
            <w:hideMark/>
          </w:tcPr>
          <w:p w:rsidR="000027E7" w:rsidRPr="00C806D0" w:rsidRDefault="000027E7" w:rsidP="000027E7">
            <w:pPr>
              <w:rPr>
                <w:lang w:eastAsia="en-GB"/>
              </w:rPr>
            </w:pPr>
            <w:r w:rsidRPr="00C806D0">
              <w:rPr>
                <w:lang w:eastAsia="en-GB"/>
              </w:rPr>
              <w:t>1.007421</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2000</w:t>
            </w:r>
          </w:p>
        </w:tc>
        <w:tc>
          <w:tcPr>
            <w:tcW w:w="578" w:type="pct"/>
            <w:noWrap/>
            <w:hideMark/>
          </w:tcPr>
          <w:p w:rsidR="000027E7" w:rsidRPr="00C806D0" w:rsidRDefault="000027E7" w:rsidP="000027E7">
            <w:pPr>
              <w:rPr>
                <w:lang w:eastAsia="en-GB"/>
              </w:rPr>
            </w:pPr>
            <w:r w:rsidRPr="00C806D0">
              <w:rPr>
                <w:lang w:eastAsia="en-GB"/>
              </w:rPr>
              <w:t>0.094936</w:t>
            </w:r>
          </w:p>
        </w:tc>
        <w:tc>
          <w:tcPr>
            <w:tcW w:w="733" w:type="pct"/>
            <w:noWrap/>
            <w:hideMark/>
          </w:tcPr>
          <w:p w:rsidR="000027E7" w:rsidRPr="00C806D0" w:rsidRDefault="000027E7" w:rsidP="000027E7">
            <w:pPr>
              <w:rPr>
                <w:lang w:eastAsia="en-GB"/>
              </w:rPr>
            </w:pPr>
            <w:r w:rsidRPr="00C806D0">
              <w:rPr>
                <w:lang w:eastAsia="en-GB"/>
              </w:rPr>
              <w:t>0.00002081</w:t>
            </w:r>
          </w:p>
        </w:tc>
        <w:tc>
          <w:tcPr>
            <w:tcW w:w="1081" w:type="pct"/>
            <w:noWrap/>
            <w:hideMark/>
          </w:tcPr>
          <w:p w:rsidR="000027E7" w:rsidRPr="00C806D0" w:rsidRDefault="000027E7" w:rsidP="000027E7">
            <w:pPr>
              <w:rPr>
                <w:lang w:eastAsia="en-GB"/>
              </w:rPr>
            </w:pPr>
            <w:r w:rsidRPr="00C806D0">
              <w:rPr>
                <w:lang w:eastAsia="en-GB"/>
              </w:rPr>
              <w:t>-10.78007692</w:t>
            </w:r>
          </w:p>
        </w:tc>
        <w:tc>
          <w:tcPr>
            <w:tcW w:w="972" w:type="pct"/>
            <w:noWrap/>
            <w:hideMark/>
          </w:tcPr>
          <w:p w:rsidR="000027E7" w:rsidRPr="00C806D0" w:rsidRDefault="000027E7" w:rsidP="000027E7">
            <w:pPr>
              <w:rPr>
                <w:lang w:eastAsia="en-GB"/>
              </w:rPr>
            </w:pPr>
            <w:r w:rsidRPr="00C806D0">
              <w:rPr>
                <w:lang w:eastAsia="en-GB"/>
              </w:rPr>
              <w:t>1</w:t>
            </w:r>
          </w:p>
        </w:tc>
        <w:tc>
          <w:tcPr>
            <w:tcW w:w="1112" w:type="pct"/>
            <w:noWrap/>
            <w:hideMark/>
          </w:tcPr>
          <w:p w:rsidR="000027E7" w:rsidRPr="00C806D0" w:rsidRDefault="000027E7" w:rsidP="000027E7">
            <w:pPr>
              <w:rPr>
                <w:lang w:eastAsia="en-GB"/>
              </w:rPr>
            </w:pPr>
            <w:r w:rsidRPr="00C806D0">
              <w:rPr>
                <w:lang w:eastAsia="en-GB"/>
              </w:rPr>
              <w:t>1</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1990</w:t>
            </w:r>
          </w:p>
        </w:tc>
        <w:tc>
          <w:tcPr>
            <w:tcW w:w="578" w:type="pct"/>
            <w:noWrap/>
            <w:hideMark/>
          </w:tcPr>
          <w:p w:rsidR="000027E7" w:rsidRPr="00C806D0" w:rsidRDefault="000027E7" w:rsidP="000027E7">
            <w:pPr>
              <w:rPr>
                <w:lang w:eastAsia="en-GB"/>
              </w:rPr>
            </w:pPr>
            <w:r w:rsidRPr="00C806D0">
              <w:rPr>
                <w:lang w:eastAsia="en-GB"/>
              </w:rPr>
              <w:t>0.094597</w:t>
            </w:r>
          </w:p>
        </w:tc>
        <w:tc>
          <w:tcPr>
            <w:tcW w:w="733" w:type="pct"/>
            <w:noWrap/>
            <w:hideMark/>
          </w:tcPr>
          <w:p w:rsidR="000027E7" w:rsidRPr="00C806D0" w:rsidRDefault="000027E7" w:rsidP="000027E7">
            <w:pPr>
              <w:rPr>
                <w:lang w:eastAsia="en-GB"/>
              </w:rPr>
            </w:pPr>
            <w:r w:rsidRPr="00C806D0">
              <w:rPr>
                <w:lang w:eastAsia="en-GB"/>
              </w:rPr>
              <w:t>0.00002263</w:t>
            </w:r>
          </w:p>
        </w:tc>
        <w:tc>
          <w:tcPr>
            <w:tcW w:w="1081" w:type="pct"/>
            <w:noWrap/>
            <w:hideMark/>
          </w:tcPr>
          <w:p w:rsidR="000027E7" w:rsidRPr="00C806D0" w:rsidRDefault="000027E7" w:rsidP="000027E7">
            <w:pPr>
              <w:rPr>
                <w:lang w:eastAsia="en-GB"/>
              </w:rPr>
            </w:pPr>
            <w:r w:rsidRPr="00C806D0">
              <w:rPr>
                <w:lang w:eastAsia="en-GB"/>
              </w:rPr>
              <w:t>-10.6962341</w:t>
            </w:r>
          </w:p>
        </w:tc>
        <w:tc>
          <w:tcPr>
            <w:tcW w:w="972" w:type="pct"/>
            <w:noWrap/>
            <w:hideMark/>
          </w:tcPr>
          <w:p w:rsidR="000027E7" w:rsidRPr="00C806D0" w:rsidRDefault="000027E7" w:rsidP="000027E7">
            <w:pPr>
              <w:rPr>
                <w:lang w:eastAsia="en-GB"/>
              </w:rPr>
            </w:pPr>
            <w:r w:rsidRPr="00C806D0">
              <w:rPr>
                <w:lang w:eastAsia="en-GB"/>
              </w:rPr>
              <w:t>0.996426</w:t>
            </w:r>
          </w:p>
        </w:tc>
        <w:tc>
          <w:tcPr>
            <w:tcW w:w="1112" w:type="pct"/>
            <w:noWrap/>
            <w:hideMark/>
          </w:tcPr>
          <w:p w:rsidR="000027E7" w:rsidRPr="00C806D0" w:rsidRDefault="000027E7" w:rsidP="000027E7">
            <w:pPr>
              <w:rPr>
                <w:lang w:eastAsia="en-GB"/>
              </w:rPr>
            </w:pPr>
            <w:r w:rsidRPr="00C806D0">
              <w:rPr>
                <w:lang w:eastAsia="en-GB"/>
              </w:rPr>
              <w:t>0.992222</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1980</w:t>
            </w:r>
          </w:p>
        </w:tc>
        <w:tc>
          <w:tcPr>
            <w:tcW w:w="578" w:type="pct"/>
            <w:noWrap/>
            <w:hideMark/>
          </w:tcPr>
          <w:p w:rsidR="000027E7" w:rsidRPr="00C806D0" w:rsidRDefault="000027E7" w:rsidP="000027E7">
            <w:pPr>
              <w:rPr>
                <w:lang w:eastAsia="en-GB"/>
              </w:rPr>
            </w:pPr>
            <w:r w:rsidRPr="00C806D0">
              <w:rPr>
                <w:lang w:eastAsia="en-GB"/>
              </w:rPr>
              <w:t>0.094232</w:t>
            </w:r>
          </w:p>
        </w:tc>
        <w:tc>
          <w:tcPr>
            <w:tcW w:w="733" w:type="pct"/>
            <w:noWrap/>
            <w:hideMark/>
          </w:tcPr>
          <w:p w:rsidR="000027E7" w:rsidRPr="00C806D0" w:rsidRDefault="000027E7" w:rsidP="000027E7">
            <w:pPr>
              <w:rPr>
                <w:lang w:eastAsia="en-GB"/>
              </w:rPr>
            </w:pPr>
            <w:r w:rsidRPr="00C806D0">
              <w:rPr>
                <w:lang w:eastAsia="en-GB"/>
              </w:rPr>
              <w:t>0.00002473</w:t>
            </w:r>
          </w:p>
        </w:tc>
        <w:tc>
          <w:tcPr>
            <w:tcW w:w="1081" w:type="pct"/>
            <w:noWrap/>
            <w:hideMark/>
          </w:tcPr>
          <w:p w:rsidR="000027E7" w:rsidRPr="00C806D0" w:rsidRDefault="000027E7" w:rsidP="000027E7">
            <w:pPr>
              <w:rPr>
                <w:lang w:eastAsia="en-GB"/>
              </w:rPr>
            </w:pPr>
            <w:r w:rsidRPr="00C806D0">
              <w:rPr>
                <w:lang w:eastAsia="en-GB"/>
              </w:rPr>
              <w:t>-10.60749348</w:t>
            </w:r>
          </w:p>
        </w:tc>
        <w:tc>
          <w:tcPr>
            <w:tcW w:w="972" w:type="pct"/>
            <w:noWrap/>
            <w:hideMark/>
          </w:tcPr>
          <w:p w:rsidR="000027E7" w:rsidRPr="00C806D0" w:rsidRDefault="000027E7" w:rsidP="000027E7">
            <w:pPr>
              <w:rPr>
                <w:lang w:eastAsia="en-GB"/>
              </w:rPr>
            </w:pPr>
            <w:r w:rsidRPr="00C806D0">
              <w:rPr>
                <w:lang w:eastAsia="en-GB"/>
              </w:rPr>
              <w:t>0.992584</w:t>
            </w:r>
          </w:p>
        </w:tc>
        <w:tc>
          <w:tcPr>
            <w:tcW w:w="1112" w:type="pct"/>
            <w:noWrap/>
            <w:hideMark/>
          </w:tcPr>
          <w:p w:rsidR="000027E7" w:rsidRPr="00C806D0" w:rsidRDefault="000027E7" w:rsidP="000027E7">
            <w:pPr>
              <w:rPr>
                <w:lang w:eastAsia="en-GB"/>
              </w:rPr>
            </w:pPr>
            <w:r w:rsidRPr="00C806D0">
              <w:rPr>
                <w:lang w:eastAsia="en-GB"/>
              </w:rPr>
              <w:t>0.983991</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1970</w:t>
            </w:r>
          </w:p>
        </w:tc>
        <w:tc>
          <w:tcPr>
            <w:tcW w:w="578" w:type="pct"/>
            <w:noWrap/>
            <w:hideMark/>
          </w:tcPr>
          <w:p w:rsidR="000027E7" w:rsidRPr="00C806D0" w:rsidRDefault="000027E7" w:rsidP="000027E7">
            <w:pPr>
              <w:rPr>
                <w:lang w:eastAsia="en-GB"/>
              </w:rPr>
            </w:pPr>
            <w:r w:rsidRPr="00C806D0">
              <w:rPr>
                <w:lang w:eastAsia="en-GB"/>
              </w:rPr>
              <w:t>0.093842</w:t>
            </w:r>
          </w:p>
        </w:tc>
        <w:tc>
          <w:tcPr>
            <w:tcW w:w="733" w:type="pct"/>
            <w:noWrap/>
            <w:hideMark/>
          </w:tcPr>
          <w:p w:rsidR="000027E7" w:rsidRPr="00C806D0" w:rsidRDefault="000027E7" w:rsidP="000027E7">
            <w:pPr>
              <w:rPr>
                <w:lang w:eastAsia="en-GB"/>
              </w:rPr>
            </w:pPr>
            <w:r w:rsidRPr="00C806D0">
              <w:rPr>
                <w:lang w:eastAsia="en-GB"/>
              </w:rPr>
              <w:t>0.00002716</w:t>
            </w:r>
          </w:p>
        </w:tc>
        <w:tc>
          <w:tcPr>
            <w:tcW w:w="1081" w:type="pct"/>
            <w:noWrap/>
            <w:hideMark/>
          </w:tcPr>
          <w:p w:rsidR="000027E7" w:rsidRPr="00C806D0" w:rsidRDefault="000027E7" w:rsidP="000027E7">
            <w:pPr>
              <w:rPr>
                <w:lang w:eastAsia="en-GB"/>
              </w:rPr>
            </w:pPr>
            <w:r w:rsidRPr="00C806D0">
              <w:rPr>
                <w:lang w:eastAsia="en-GB"/>
              </w:rPr>
              <w:t>-10.51376526</w:t>
            </w:r>
          </w:p>
        </w:tc>
        <w:tc>
          <w:tcPr>
            <w:tcW w:w="972" w:type="pct"/>
            <w:noWrap/>
            <w:hideMark/>
          </w:tcPr>
          <w:p w:rsidR="000027E7" w:rsidRPr="00C806D0" w:rsidRDefault="000027E7" w:rsidP="000027E7">
            <w:pPr>
              <w:rPr>
                <w:lang w:eastAsia="en-GB"/>
              </w:rPr>
            </w:pPr>
            <w:r w:rsidRPr="00C806D0">
              <w:rPr>
                <w:lang w:eastAsia="en-GB"/>
              </w:rPr>
              <w:t>0.98848</w:t>
            </w:r>
          </w:p>
        </w:tc>
        <w:tc>
          <w:tcPr>
            <w:tcW w:w="1112" w:type="pct"/>
            <w:noWrap/>
            <w:hideMark/>
          </w:tcPr>
          <w:p w:rsidR="000027E7" w:rsidRPr="00C806D0" w:rsidRDefault="000027E7" w:rsidP="000027E7">
            <w:pPr>
              <w:rPr>
                <w:lang w:eastAsia="en-GB"/>
              </w:rPr>
            </w:pPr>
            <w:r w:rsidRPr="00C806D0">
              <w:rPr>
                <w:lang w:eastAsia="en-GB"/>
              </w:rPr>
              <w:t>0.975296</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1960</w:t>
            </w:r>
          </w:p>
        </w:tc>
        <w:tc>
          <w:tcPr>
            <w:tcW w:w="578" w:type="pct"/>
            <w:noWrap/>
            <w:hideMark/>
          </w:tcPr>
          <w:p w:rsidR="000027E7" w:rsidRPr="00C806D0" w:rsidRDefault="000027E7" w:rsidP="000027E7">
            <w:pPr>
              <w:rPr>
                <w:lang w:eastAsia="en-GB"/>
              </w:rPr>
            </w:pPr>
            <w:r w:rsidRPr="00C806D0">
              <w:rPr>
                <w:lang w:eastAsia="en-GB"/>
              </w:rPr>
              <w:t>0.093416</w:t>
            </w:r>
          </w:p>
        </w:tc>
        <w:tc>
          <w:tcPr>
            <w:tcW w:w="733" w:type="pct"/>
            <w:noWrap/>
            <w:hideMark/>
          </w:tcPr>
          <w:p w:rsidR="000027E7" w:rsidRPr="00C806D0" w:rsidRDefault="000027E7" w:rsidP="000027E7">
            <w:pPr>
              <w:rPr>
                <w:lang w:eastAsia="en-GB"/>
              </w:rPr>
            </w:pPr>
            <w:r w:rsidRPr="00C806D0">
              <w:rPr>
                <w:lang w:eastAsia="en-GB"/>
              </w:rPr>
              <w:t>0.00003001</w:t>
            </w:r>
          </w:p>
        </w:tc>
        <w:tc>
          <w:tcPr>
            <w:tcW w:w="1081" w:type="pct"/>
            <w:noWrap/>
            <w:hideMark/>
          </w:tcPr>
          <w:p w:rsidR="000027E7" w:rsidRPr="00C806D0" w:rsidRDefault="000027E7" w:rsidP="000027E7">
            <w:pPr>
              <w:rPr>
                <w:lang w:eastAsia="en-GB"/>
              </w:rPr>
            </w:pPr>
            <w:r w:rsidRPr="00C806D0">
              <w:rPr>
                <w:lang w:eastAsia="en-GB"/>
              </w:rPr>
              <w:t>-10.4139799</w:t>
            </w:r>
          </w:p>
        </w:tc>
        <w:tc>
          <w:tcPr>
            <w:tcW w:w="972" w:type="pct"/>
            <w:noWrap/>
            <w:hideMark/>
          </w:tcPr>
          <w:p w:rsidR="000027E7" w:rsidRPr="00C806D0" w:rsidRDefault="000027E7" w:rsidP="000027E7">
            <w:pPr>
              <w:rPr>
                <w:lang w:eastAsia="en-GB"/>
              </w:rPr>
            </w:pPr>
            <w:r w:rsidRPr="00C806D0">
              <w:rPr>
                <w:lang w:eastAsia="en-GB"/>
              </w:rPr>
              <w:t>0.98399</w:t>
            </w:r>
          </w:p>
        </w:tc>
        <w:tc>
          <w:tcPr>
            <w:tcW w:w="1112" w:type="pct"/>
            <w:noWrap/>
            <w:hideMark/>
          </w:tcPr>
          <w:p w:rsidR="000027E7" w:rsidRPr="00C806D0" w:rsidRDefault="000027E7" w:rsidP="000027E7">
            <w:pPr>
              <w:rPr>
                <w:lang w:eastAsia="en-GB"/>
              </w:rPr>
            </w:pPr>
            <w:r w:rsidRPr="00C806D0">
              <w:rPr>
                <w:lang w:eastAsia="en-GB"/>
              </w:rPr>
              <w:t>0.966039</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1950</w:t>
            </w:r>
          </w:p>
        </w:tc>
        <w:tc>
          <w:tcPr>
            <w:tcW w:w="578" w:type="pct"/>
            <w:noWrap/>
            <w:hideMark/>
          </w:tcPr>
          <w:p w:rsidR="000027E7" w:rsidRPr="00C806D0" w:rsidRDefault="000027E7" w:rsidP="000027E7">
            <w:pPr>
              <w:rPr>
                <w:lang w:eastAsia="en-GB"/>
              </w:rPr>
            </w:pPr>
            <w:r w:rsidRPr="00C806D0">
              <w:rPr>
                <w:lang w:eastAsia="en-GB"/>
              </w:rPr>
              <w:t>0.092943</w:t>
            </w:r>
          </w:p>
        </w:tc>
        <w:tc>
          <w:tcPr>
            <w:tcW w:w="733" w:type="pct"/>
            <w:noWrap/>
            <w:hideMark/>
          </w:tcPr>
          <w:p w:rsidR="000027E7" w:rsidRPr="00C806D0" w:rsidRDefault="000027E7" w:rsidP="000027E7">
            <w:pPr>
              <w:rPr>
                <w:lang w:eastAsia="en-GB"/>
              </w:rPr>
            </w:pPr>
            <w:r w:rsidRPr="00C806D0">
              <w:rPr>
                <w:lang w:eastAsia="en-GB"/>
              </w:rPr>
              <w:t>0.00003342</w:t>
            </w:r>
          </w:p>
        </w:tc>
        <w:tc>
          <w:tcPr>
            <w:tcW w:w="1081" w:type="pct"/>
            <w:noWrap/>
            <w:hideMark/>
          </w:tcPr>
          <w:p w:rsidR="000027E7" w:rsidRPr="00C806D0" w:rsidRDefault="000027E7" w:rsidP="000027E7">
            <w:pPr>
              <w:rPr>
                <w:lang w:eastAsia="en-GB"/>
              </w:rPr>
            </w:pPr>
            <w:r w:rsidRPr="00C806D0">
              <w:rPr>
                <w:lang w:eastAsia="en-GB"/>
              </w:rPr>
              <w:t>-10.30635603</w:t>
            </w:r>
          </w:p>
        </w:tc>
        <w:tc>
          <w:tcPr>
            <w:tcW w:w="972" w:type="pct"/>
            <w:noWrap/>
            <w:hideMark/>
          </w:tcPr>
          <w:p w:rsidR="000027E7" w:rsidRPr="00C806D0" w:rsidRDefault="000027E7" w:rsidP="000027E7">
            <w:pPr>
              <w:rPr>
                <w:lang w:eastAsia="en-GB"/>
              </w:rPr>
            </w:pPr>
            <w:r w:rsidRPr="00C806D0">
              <w:rPr>
                <w:lang w:eastAsia="en-GB"/>
              </w:rPr>
              <w:t>0.979008</w:t>
            </w:r>
          </w:p>
        </w:tc>
        <w:tc>
          <w:tcPr>
            <w:tcW w:w="1112" w:type="pct"/>
            <w:noWrap/>
            <w:hideMark/>
          </w:tcPr>
          <w:p w:rsidR="000027E7" w:rsidRPr="00C806D0" w:rsidRDefault="000027E7" w:rsidP="000027E7">
            <w:pPr>
              <w:rPr>
                <w:lang w:eastAsia="en-GB"/>
              </w:rPr>
            </w:pPr>
            <w:r w:rsidRPr="00C806D0">
              <w:rPr>
                <w:lang w:eastAsia="en-GB"/>
              </w:rPr>
              <w:t>0.956056</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1940</w:t>
            </w:r>
          </w:p>
        </w:tc>
        <w:tc>
          <w:tcPr>
            <w:tcW w:w="578" w:type="pct"/>
            <w:noWrap/>
            <w:hideMark/>
          </w:tcPr>
          <w:p w:rsidR="000027E7" w:rsidRPr="00C806D0" w:rsidRDefault="000027E7" w:rsidP="000027E7">
            <w:pPr>
              <w:rPr>
                <w:lang w:eastAsia="en-GB"/>
              </w:rPr>
            </w:pPr>
            <w:r w:rsidRPr="00C806D0">
              <w:rPr>
                <w:lang w:eastAsia="en-GB"/>
              </w:rPr>
              <w:t>0.092418</w:t>
            </w:r>
          </w:p>
        </w:tc>
        <w:tc>
          <w:tcPr>
            <w:tcW w:w="733" w:type="pct"/>
            <w:noWrap/>
            <w:hideMark/>
          </w:tcPr>
          <w:p w:rsidR="000027E7" w:rsidRPr="00C806D0" w:rsidRDefault="000027E7" w:rsidP="000027E7">
            <w:pPr>
              <w:rPr>
                <w:lang w:eastAsia="en-GB"/>
              </w:rPr>
            </w:pPr>
            <w:r w:rsidRPr="00C806D0">
              <w:rPr>
                <w:lang w:eastAsia="en-GB"/>
              </w:rPr>
              <w:t>0.0000375</w:t>
            </w:r>
          </w:p>
        </w:tc>
        <w:tc>
          <w:tcPr>
            <w:tcW w:w="1081" w:type="pct"/>
            <w:noWrap/>
            <w:hideMark/>
          </w:tcPr>
          <w:p w:rsidR="000027E7" w:rsidRPr="00C806D0" w:rsidRDefault="000027E7" w:rsidP="000027E7">
            <w:pPr>
              <w:rPr>
                <w:lang w:eastAsia="en-GB"/>
              </w:rPr>
            </w:pPr>
            <w:r w:rsidRPr="00C806D0">
              <w:rPr>
                <w:lang w:eastAsia="en-GB"/>
              </w:rPr>
              <w:t>-10.19116962</w:t>
            </w:r>
          </w:p>
        </w:tc>
        <w:tc>
          <w:tcPr>
            <w:tcW w:w="972" w:type="pct"/>
            <w:noWrap/>
            <w:hideMark/>
          </w:tcPr>
          <w:p w:rsidR="000027E7" w:rsidRPr="00C806D0" w:rsidRDefault="000027E7" w:rsidP="000027E7">
            <w:pPr>
              <w:rPr>
                <w:lang w:eastAsia="en-GB"/>
              </w:rPr>
            </w:pPr>
            <w:r w:rsidRPr="00C806D0">
              <w:rPr>
                <w:lang w:eastAsia="en-GB"/>
              </w:rPr>
              <w:t>0.973473</w:t>
            </w:r>
          </w:p>
        </w:tc>
        <w:tc>
          <w:tcPr>
            <w:tcW w:w="1112" w:type="pct"/>
            <w:noWrap/>
            <w:hideMark/>
          </w:tcPr>
          <w:p w:rsidR="000027E7" w:rsidRPr="00C806D0" w:rsidRDefault="000027E7" w:rsidP="000027E7">
            <w:pPr>
              <w:rPr>
                <w:lang w:eastAsia="en-GB"/>
              </w:rPr>
            </w:pPr>
            <w:r w:rsidRPr="00C806D0">
              <w:rPr>
                <w:lang w:eastAsia="en-GB"/>
              </w:rPr>
              <w:t>0.945371</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1930</w:t>
            </w:r>
          </w:p>
        </w:tc>
        <w:tc>
          <w:tcPr>
            <w:tcW w:w="578" w:type="pct"/>
            <w:noWrap/>
            <w:hideMark/>
          </w:tcPr>
          <w:p w:rsidR="000027E7" w:rsidRPr="00C806D0" w:rsidRDefault="000027E7" w:rsidP="000027E7">
            <w:pPr>
              <w:rPr>
                <w:lang w:eastAsia="en-GB"/>
              </w:rPr>
            </w:pPr>
            <w:r w:rsidRPr="00C806D0">
              <w:rPr>
                <w:lang w:eastAsia="en-GB"/>
              </w:rPr>
              <w:t>0.092034</w:t>
            </w:r>
          </w:p>
        </w:tc>
        <w:tc>
          <w:tcPr>
            <w:tcW w:w="733" w:type="pct"/>
            <w:noWrap/>
            <w:hideMark/>
          </w:tcPr>
          <w:p w:rsidR="000027E7" w:rsidRPr="00C806D0" w:rsidRDefault="000027E7" w:rsidP="000027E7">
            <w:pPr>
              <w:rPr>
                <w:lang w:eastAsia="en-GB"/>
              </w:rPr>
            </w:pPr>
            <w:r w:rsidRPr="00C806D0">
              <w:rPr>
                <w:lang w:eastAsia="en-GB"/>
              </w:rPr>
              <w:t>0.00004156</w:t>
            </w:r>
          </w:p>
        </w:tc>
        <w:tc>
          <w:tcPr>
            <w:tcW w:w="1081" w:type="pct"/>
            <w:noWrap/>
            <w:hideMark/>
          </w:tcPr>
          <w:p w:rsidR="000027E7" w:rsidRPr="00C806D0" w:rsidRDefault="000027E7" w:rsidP="000027E7">
            <w:pPr>
              <w:rPr>
                <w:lang w:eastAsia="en-GB"/>
              </w:rPr>
            </w:pPr>
            <w:r w:rsidRPr="00C806D0">
              <w:rPr>
                <w:lang w:eastAsia="en-GB"/>
              </w:rPr>
              <w:t>-10.08837239</w:t>
            </w:r>
          </w:p>
        </w:tc>
        <w:tc>
          <w:tcPr>
            <w:tcW w:w="972" w:type="pct"/>
            <w:noWrap/>
            <w:hideMark/>
          </w:tcPr>
          <w:p w:rsidR="000027E7" w:rsidRPr="00C806D0" w:rsidRDefault="000027E7" w:rsidP="000027E7">
            <w:pPr>
              <w:rPr>
                <w:lang w:eastAsia="en-GB"/>
              </w:rPr>
            </w:pPr>
            <w:r w:rsidRPr="00C806D0">
              <w:rPr>
                <w:lang w:eastAsia="en-GB"/>
              </w:rPr>
              <w:t>0.969431</w:t>
            </w:r>
          </w:p>
        </w:tc>
        <w:tc>
          <w:tcPr>
            <w:tcW w:w="1112" w:type="pct"/>
            <w:noWrap/>
            <w:hideMark/>
          </w:tcPr>
          <w:p w:rsidR="000027E7" w:rsidRPr="00C806D0" w:rsidRDefault="000027E7" w:rsidP="000027E7">
            <w:pPr>
              <w:rPr>
                <w:lang w:eastAsia="en-GB"/>
              </w:rPr>
            </w:pPr>
            <w:r w:rsidRPr="00C806D0">
              <w:rPr>
                <w:lang w:eastAsia="en-GB"/>
              </w:rPr>
              <w:t>0.935835</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1920</w:t>
            </w:r>
          </w:p>
        </w:tc>
        <w:tc>
          <w:tcPr>
            <w:tcW w:w="578" w:type="pct"/>
            <w:noWrap/>
            <w:hideMark/>
          </w:tcPr>
          <w:p w:rsidR="000027E7" w:rsidRPr="00C806D0" w:rsidRDefault="000027E7" w:rsidP="000027E7">
            <w:pPr>
              <w:rPr>
                <w:lang w:eastAsia="en-GB"/>
              </w:rPr>
            </w:pPr>
            <w:r w:rsidRPr="00C806D0">
              <w:rPr>
                <w:lang w:eastAsia="en-GB"/>
              </w:rPr>
              <w:t>0.092668</w:t>
            </w:r>
          </w:p>
        </w:tc>
        <w:tc>
          <w:tcPr>
            <w:tcW w:w="733" w:type="pct"/>
            <w:noWrap/>
            <w:hideMark/>
          </w:tcPr>
          <w:p w:rsidR="000027E7" w:rsidRPr="00C806D0" w:rsidRDefault="000027E7" w:rsidP="000027E7">
            <w:pPr>
              <w:rPr>
                <w:lang w:eastAsia="en-GB"/>
              </w:rPr>
            </w:pPr>
            <w:r w:rsidRPr="00C806D0">
              <w:rPr>
                <w:lang w:eastAsia="en-GB"/>
              </w:rPr>
              <w:t>0.0000416</w:t>
            </w:r>
          </w:p>
        </w:tc>
        <w:tc>
          <w:tcPr>
            <w:tcW w:w="1081" w:type="pct"/>
            <w:noWrap/>
            <w:hideMark/>
          </w:tcPr>
          <w:p w:rsidR="000027E7" w:rsidRPr="00C806D0" w:rsidRDefault="000027E7" w:rsidP="000027E7">
            <w:pPr>
              <w:rPr>
                <w:lang w:eastAsia="en-GB"/>
              </w:rPr>
            </w:pPr>
            <w:r w:rsidRPr="00C806D0">
              <w:rPr>
                <w:lang w:eastAsia="en-GB"/>
              </w:rPr>
              <w:t>-10.08741039</w:t>
            </w:r>
          </w:p>
        </w:tc>
        <w:tc>
          <w:tcPr>
            <w:tcW w:w="972" w:type="pct"/>
            <w:noWrap/>
            <w:hideMark/>
          </w:tcPr>
          <w:p w:rsidR="000027E7" w:rsidRPr="00C806D0" w:rsidRDefault="000027E7" w:rsidP="000027E7">
            <w:pPr>
              <w:rPr>
                <w:lang w:eastAsia="en-GB"/>
              </w:rPr>
            </w:pPr>
            <w:r w:rsidRPr="00C806D0">
              <w:rPr>
                <w:lang w:eastAsia="en-GB"/>
              </w:rPr>
              <w:t>0.976109</w:t>
            </w:r>
          </w:p>
        </w:tc>
        <w:tc>
          <w:tcPr>
            <w:tcW w:w="1112" w:type="pct"/>
            <w:noWrap/>
            <w:hideMark/>
          </w:tcPr>
          <w:p w:rsidR="000027E7" w:rsidRPr="00C806D0" w:rsidRDefault="000027E7" w:rsidP="000027E7">
            <w:pPr>
              <w:rPr>
                <w:lang w:eastAsia="en-GB"/>
              </w:rPr>
            </w:pPr>
            <w:r w:rsidRPr="00C806D0">
              <w:rPr>
                <w:lang w:eastAsia="en-GB"/>
              </w:rPr>
              <w:t>0.935746</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1910</w:t>
            </w:r>
          </w:p>
        </w:tc>
        <w:tc>
          <w:tcPr>
            <w:tcW w:w="578" w:type="pct"/>
            <w:noWrap/>
            <w:hideMark/>
          </w:tcPr>
          <w:p w:rsidR="000027E7" w:rsidRPr="00C806D0" w:rsidRDefault="000027E7" w:rsidP="000027E7">
            <w:pPr>
              <w:rPr>
                <w:lang w:eastAsia="en-GB"/>
              </w:rPr>
            </w:pPr>
            <w:r w:rsidRPr="00C806D0">
              <w:rPr>
                <w:lang w:eastAsia="en-GB"/>
              </w:rPr>
              <w:t>0.09421</w:t>
            </w:r>
          </w:p>
        </w:tc>
        <w:tc>
          <w:tcPr>
            <w:tcW w:w="733" w:type="pct"/>
            <w:noWrap/>
            <w:hideMark/>
          </w:tcPr>
          <w:p w:rsidR="000027E7" w:rsidRPr="00C806D0" w:rsidRDefault="000027E7" w:rsidP="000027E7">
            <w:pPr>
              <w:rPr>
                <w:lang w:eastAsia="en-GB"/>
              </w:rPr>
            </w:pPr>
            <w:r w:rsidRPr="00C806D0">
              <w:rPr>
                <w:lang w:eastAsia="en-GB"/>
              </w:rPr>
              <w:t>0.00003663</w:t>
            </w:r>
          </w:p>
        </w:tc>
        <w:tc>
          <w:tcPr>
            <w:tcW w:w="1081" w:type="pct"/>
            <w:noWrap/>
            <w:hideMark/>
          </w:tcPr>
          <w:p w:rsidR="000027E7" w:rsidRPr="00C806D0" w:rsidRDefault="000027E7" w:rsidP="000027E7">
            <w:pPr>
              <w:rPr>
                <w:lang w:eastAsia="en-GB"/>
              </w:rPr>
            </w:pPr>
            <w:r w:rsidRPr="00C806D0">
              <w:rPr>
                <w:lang w:eastAsia="en-GB"/>
              </w:rPr>
              <w:t>-10.21464298</w:t>
            </w:r>
          </w:p>
        </w:tc>
        <w:tc>
          <w:tcPr>
            <w:tcW w:w="972" w:type="pct"/>
            <w:noWrap/>
            <w:hideMark/>
          </w:tcPr>
          <w:p w:rsidR="000027E7" w:rsidRPr="00C806D0" w:rsidRDefault="000027E7" w:rsidP="000027E7">
            <w:pPr>
              <w:rPr>
                <w:lang w:eastAsia="en-GB"/>
              </w:rPr>
            </w:pPr>
            <w:r w:rsidRPr="00C806D0">
              <w:rPr>
                <w:lang w:eastAsia="en-GB"/>
              </w:rPr>
              <w:t>0.99235</w:t>
            </w:r>
          </w:p>
        </w:tc>
        <w:tc>
          <w:tcPr>
            <w:tcW w:w="1112" w:type="pct"/>
            <w:noWrap/>
            <w:hideMark/>
          </w:tcPr>
          <w:p w:rsidR="000027E7" w:rsidRPr="00C806D0" w:rsidRDefault="000027E7" w:rsidP="000027E7">
            <w:pPr>
              <w:rPr>
                <w:lang w:eastAsia="en-GB"/>
              </w:rPr>
            </w:pPr>
            <w:r w:rsidRPr="00C806D0">
              <w:rPr>
                <w:lang w:eastAsia="en-GB"/>
              </w:rPr>
              <w:t>0.947548</w:t>
            </w:r>
          </w:p>
        </w:tc>
      </w:tr>
      <w:tr w:rsidR="000027E7" w:rsidRPr="00C806D0" w:rsidTr="000027E7">
        <w:trPr>
          <w:trHeight w:val="300"/>
        </w:trPr>
        <w:tc>
          <w:tcPr>
            <w:tcW w:w="524" w:type="pct"/>
            <w:noWrap/>
            <w:hideMark/>
          </w:tcPr>
          <w:p w:rsidR="000027E7" w:rsidRPr="00C806D0" w:rsidRDefault="000027E7" w:rsidP="000027E7">
            <w:pPr>
              <w:rPr>
                <w:lang w:eastAsia="en-GB"/>
              </w:rPr>
            </w:pPr>
            <w:r w:rsidRPr="00C806D0">
              <w:rPr>
                <w:lang w:eastAsia="en-GB"/>
              </w:rPr>
              <w:t>1900</w:t>
            </w:r>
          </w:p>
        </w:tc>
        <w:tc>
          <w:tcPr>
            <w:tcW w:w="578" w:type="pct"/>
            <w:noWrap/>
            <w:hideMark/>
          </w:tcPr>
          <w:p w:rsidR="000027E7" w:rsidRPr="00C806D0" w:rsidRDefault="000027E7" w:rsidP="000027E7">
            <w:pPr>
              <w:rPr>
                <w:lang w:eastAsia="en-GB"/>
              </w:rPr>
            </w:pPr>
            <w:r w:rsidRPr="00C806D0">
              <w:rPr>
                <w:lang w:eastAsia="en-GB"/>
              </w:rPr>
              <w:t>0.085711</w:t>
            </w:r>
          </w:p>
        </w:tc>
        <w:tc>
          <w:tcPr>
            <w:tcW w:w="733" w:type="pct"/>
            <w:noWrap/>
            <w:hideMark/>
          </w:tcPr>
          <w:p w:rsidR="000027E7" w:rsidRPr="00C806D0" w:rsidRDefault="000027E7" w:rsidP="000027E7">
            <w:pPr>
              <w:rPr>
                <w:lang w:eastAsia="en-GB"/>
              </w:rPr>
            </w:pPr>
            <w:r w:rsidRPr="00C806D0">
              <w:rPr>
                <w:lang w:eastAsia="en-GB"/>
              </w:rPr>
              <w:t>0.00007562</w:t>
            </w:r>
          </w:p>
        </w:tc>
        <w:tc>
          <w:tcPr>
            <w:tcW w:w="1081" w:type="pct"/>
            <w:noWrap/>
            <w:hideMark/>
          </w:tcPr>
          <w:p w:rsidR="000027E7" w:rsidRPr="00C806D0" w:rsidRDefault="000027E7" w:rsidP="000027E7">
            <w:pPr>
              <w:rPr>
                <w:lang w:eastAsia="en-GB"/>
              </w:rPr>
            </w:pPr>
            <w:r w:rsidRPr="00C806D0">
              <w:rPr>
                <w:lang w:eastAsia="en-GB"/>
              </w:rPr>
              <w:t>-9.48978976</w:t>
            </w:r>
          </w:p>
        </w:tc>
        <w:tc>
          <w:tcPr>
            <w:tcW w:w="972" w:type="pct"/>
            <w:noWrap/>
            <w:hideMark/>
          </w:tcPr>
          <w:p w:rsidR="000027E7" w:rsidRPr="00C806D0" w:rsidRDefault="000027E7" w:rsidP="000027E7">
            <w:pPr>
              <w:rPr>
                <w:lang w:eastAsia="en-GB"/>
              </w:rPr>
            </w:pPr>
            <w:r w:rsidRPr="00C806D0">
              <w:rPr>
                <w:lang w:eastAsia="en-GB"/>
              </w:rPr>
              <w:t>0.902827</w:t>
            </w:r>
          </w:p>
        </w:tc>
        <w:tc>
          <w:tcPr>
            <w:tcW w:w="1112" w:type="pct"/>
            <w:noWrap/>
            <w:hideMark/>
          </w:tcPr>
          <w:p w:rsidR="000027E7" w:rsidRPr="00C806D0" w:rsidRDefault="000027E7" w:rsidP="000027E7">
            <w:pPr>
              <w:rPr>
                <w:lang w:eastAsia="en-GB"/>
              </w:rPr>
            </w:pPr>
            <w:r w:rsidRPr="00C806D0">
              <w:rPr>
                <w:lang w:eastAsia="en-GB"/>
              </w:rPr>
              <w:t>0.880308</w:t>
            </w:r>
          </w:p>
        </w:tc>
      </w:tr>
    </w:tbl>
    <w:p w:rsidR="000027E7" w:rsidRPr="00C806D0" w:rsidRDefault="000027E7" w:rsidP="000027E7">
      <w:r w:rsidRPr="00C806D0">
        <w:t>*year 2000 used as baseline year for calculation of proportional change</w:t>
      </w:r>
    </w:p>
    <w:p w:rsidR="00CA694F" w:rsidRPr="00C806D0" w:rsidRDefault="00CA694F" w:rsidP="000027E7">
      <w:pPr>
        <w:rPr>
          <w:b/>
        </w:rPr>
      </w:pPr>
    </w:p>
    <w:p w:rsidR="000027E7" w:rsidRPr="00C806D0" w:rsidRDefault="000027E7" w:rsidP="000027E7">
      <w:pPr>
        <w:jc w:val="center"/>
      </w:pPr>
      <w:r w:rsidRPr="00C806D0">
        <w:rPr>
          <w:noProof/>
          <w:lang w:val="en-US"/>
        </w:rPr>
        <w:drawing>
          <wp:inline distT="0" distB="0" distL="0" distR="0">
            <wp:extent cx="4116726" cy="3019474"/>
            <wp:effectExtent l="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4122468" cy="3023686"/>
                    </a:xfrm>
                    <a:prstGeom prst="rect">
                      <a:avLst/>
                    </a:prstGeom>
                    <a:noFill/>
                    <a:ln w="9525">
                      <a:noFill/>
                      <a:miter lim="800000"/>
                      <a:headEnd/>
                      <a:tailEnd/>
                    </a:ln>
                  </pic:spPr>
                </pic:pic>
              </a:graphicData>
            </a:graphic>
          </wp:inline>
        </w:drawing>
      </w:r>
    </w:p>
    <w:p w:rsidR="007F7392" w:rsidRPr="00C806D0" w:rsidRDefault="007F7392" w:rsidP="007F7392">
      <w:pPr>
        <w:rPr>
          <w:b/>
        </w:rPr>
      </w:pPr>
      <w:r w:rsidRPr="00C806D0">
        <w:rPr>
          <w:b/>
        </w:rPr>
        <w:t>Figure G14. Observed changes in Gompertz distribution shape parameter fitted to US life table data over time, compared with fitted values from non-linear regression model.</w:t>
      </w:r>
    </w:p>
    <w:p w:rsidR="000027E7" w:rsidRPr="00C806D0" w:rsidRDefault="000027E7" w:rsidP="000027E7">
      <w:pPr>
        <w:rPr>
          <w:sz w:val="20"/>
          <w:szCs w:val="20"/>
        </w:rPr>
      </w:pPr>
      <w:r w:rsidRPr="00C806D0">
        <w:rPr>
          <w:sz w:val="20"/>
          <w:szCs w:val="20"/>
        </w:rPr>
        <w:t xml:space="preserve">Circles represent observed changes in shape parameter </w:t>
      </w:r>
      <w:r w:rsidR="00335B1F" w:rsidRPr="00C806D0">
        <w:rPr>
          <w:sz w:val="20"/>
          <w:szCs w:val="20"/>
        </w:rPr>
        <w:t>compared with</w:t>
      </w:r>
      <w:r w:rsidRPr="00C806D0">
        <w:rPr>
          <w:sz w:val="20"/>
          <w:szCs w:val="20"/>
        </w:rPr>
        <w:t xml:space="preserve"> year 2000 baseline. Line represents predicted values from fitted quadratic function.</w:t>
      </w:r>
    </w:p>
    <w:p w:rsidR="000027E7" w:rsidRPr="00C806D0" w:rsidRDefault="000027E7" w:rsidP="000027E7">
      <w:pPr>
        <w:rPr>
          <w:sz w:val="20"/>
          <w:szCs w:val="20"/>
        </w:rPr>
      </w:pPr>
    </w:p>
    <w:p w:rsidR="000027E7" w:rsidRPr="00C806D0" w:rsidRDefault="000027E7" w:rsidP="000027E7">
      <w:pPr>
        <w:rPr>
          <w:sz w:val="20"/>
          <w:szCs w:val="20"/>
        </w:rPr>
      </w:pPr>
    </w:p>
    <w:p w:rsidR="000027E7" w:rsidRPr="00C806D0" w:rsidRDefault="000027E7" w:rsidP="000027E7">
      <w:pPr>
        <w:jc w:val="center"/>
      </w:pPr>
      <w:r w:rsidRPr="00C806D0">
        <w:rPr>
          <w:noProof/>
          <w:lang w:val="en-US"/>
        </w:rPr>
        <w:drawing>
          <wp:inline distT="0" distB="0" distL="0" distR="0">
            <wp:extent cx="3934343" cy="2885704"/>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944264" cy="2892980"/>
                    </a:xfrm>
                    <a:prstGeom prst="rect">
                      <a:avLst/>
                    </a:prstGeom>
                    <a:noFill/>
                    <a:ln w="9525">
                      <a:noFill/>
                      <a:miter lim="800000"/>
                      <a:headEnd/>
                      <a:tailEnd/>
                    </a:ln>
                  </pic:spPr>
                </pic:pic>
              </a:graphicData>
            </a:graphic>
          </wp:inline>
        </w:drawing>
      </w:r>
    </w:p>
    <w:p w:rsidR="007F7392" w:rsidRPr="00C806D0" w:rsidRDefault="007F7392" w:rsidP="007F7392">
      <w:pPr>
        <w:rPr>
          <w:b/>
        </w:rPr>
      </w:pPr>
      <w:r w:rsidRPr="00C806D0">
        <w:rPr>
          <w:b/>
        </w:rPr>
        <w:t>Figure G15. Observed changes in Gompertz distribution log-scale parameter fitted to US life table data over time, compared with fitted values from non-linear regression model.</w:t>
      </w:r>
    </w:p>
    <w:p w:rsidR="000027E7" w:rsidRPr="00C806D0" w:rsidRDefault="000027E7" w:rsidP="000027E7">
      <w:pPr>
        <w:rPr>
          <w:sz w:val="20"/>
          <w:szCs w:val="20"/>
        </w:rPr>
      </w:pPr>
      <w:r w:rsidRPr="00C806D0">
        <w:rPr>
          <w:sz w:val="20"/>
          <w:szCs w:val="20"/>
        </w:rPr>
        <w:t xml:space="preserve">Circles represent observed changes in shape parameter </w:t>
      </w:r>
      <w:r w:rsidR="00335B1F" w:rsidRPr="00C806D0">
        <w:rPr>
          <w:sz w:val="20"/>
          <w:szCs w:val="20"/>
        </w:rPr>
        <w:t>compared with</w:t>
      </w:r>
      <w:r w:rsidRPr="00C806D0">
        <w:rPr>
          <w:sz w:val="20"/>
          <w:szCs w:val="20"/>
        </w:rPr>
        <w:t xml:space="preserve"> year 2000 baseline. Line represents predicted values from fitted quadratic function.</w:t>
      </w:r>
    </w:p>
    <w:p w:rsidR="000027E7" w:rsidRPr="00C806D0" w:rsidRDefault="000027E7" w:rsidP="000027E7">
      <w:pPr>
        <w:rPr>
          <w:b/>
        </w:rPr>
      </w:pPr>
    </w:p>
    <w:p w:rsidR="00CA694F" w:rsidRPr="00C806D0" w:rsidRDefault="00CA694F" w:rsidP="000027E7">
      <w:pPr>
        <w:rPr>
          <w:b/>
        </w:rPr>
      </w:pPr>
    </w:p>
    <w:p w:rsidR="000027E7" w:rsidRPr="00C806D0" w:rsidRDefault="000027E7" w:rsidP="000027E7">
      <w:pPr>
        <w:rPr>
          <w:b/>
        </w:rPr>
      </w:pPr>
      <w:r w:rsidRPr="00C806D0">
        <w:rPr>
          <w:b/>
        </w:rPr>
        <w:t>Table G8. Quadratic models fitted to proportional change in shape and scale of Gompertz distributions over consecutive generational hazard functions</w:t>
      </w:r>
    </w:p>
    <w:tbl>
      <w:tblPr>
        <w:tblStyle w:val="LightShading1"/>
        <w:tblW w:w="5000" w:type="pct"/>
        <w:tblLook w:val="0620" w:firstRow="1" w:lastRow="0" w:firstColumn="0" w:lastColumn="0" w:noHBand="1" w:noVBand="1"/>
      </w:tblPr>
      <w:tblGrid>
        <w:gridCol w:w="1169"/>
        <w:gridCol w:w="2361"/>
        <w:gridCol w:w="1353"/>
        <w:gridCol w:w="1177"/>
        <w:gridCol w:w="979"/>
        <w:gridCol w:w="774"/>
        <w:gridCol w:w="907"/>
      </w:tblGrid>
      <w:tr w:rsidR="000027E7" w:rsidRPr="00C806D0" w:rsidTr="000027E7">
        <w:trPr>
          <w:cnfStyle w:val="100000000000" w:firstRow="1" w:lastRow="0" w:firstColumn="0" w:lastColumn="0" w:oddVBand="0" w:evenVBand="0" w:oddHBand="0" w:evenHBand="0" w:firstRowFirstColumn="0" w:firstRowLastColumn="0" w:lastRowFirstColumn="0" w:lastRowLastColumn="0"/>
          <w:trHeight w:val="300"/>
        </w:trPr>
        <w:tc>
          <w:tcPr>
            <w:tcW w:w="801" w:type="pct"/>
            <w:noWrap/>
            <w:hideMark/>
          </w:tcPr>
          <w:p w:rsidR="000027E7" w:rsidRPr="00C806D0" w:rsidRDefault="000027E7" w:rsidP="000027E7">
            <w:pPr>
              <w:jc w:val="center"/>
              <w:rPr>
                <w:sz w:val="20"/>
                <w:szCs w:val="20"/>
                <w:lang w:eastAsia="en-GB"/>
              </w:rPr>
            </w:pPr>
          </w:p>
        </w:tc>
        <w:tc>
          <w:tcPr>
            <w:tcW w:w="570" w:type="pct"/>
            <w:noWrap/>
            <w:hideMark/>
          </w:tcPr>
          <w:p w:rsidR="000027E7" w:rsidRPr="00C806D0" w:rsidRDefault="000027E7" w:rsidP="000027E7">
            <w:pPr>
              <w:jc w:val="center"/>
              <w:rPr>
                <w:sz w:val="20"/>
                <w:szCs w:val="20"/>
                <w:lang w:eastAsia="en-GB"/>
              </w:rPr>
            </w:pPr>
            <w:r w:rsidRPr="00C806D0">
              <w:rPr>
                <w:sz w:val="20"/>
                <w:szCs w:val="20"/>
                <w:lang w:eastAsia="en-GB"/>
              </w:rPr>
              <w:t>Model*</w:t>
            </w:r>
          </w:p>
        </w:tc>
        <w:tc>
          <w:tcPr>
            <w:tcW w:w="2264" w:type="pct"/>
            <w:gridSpan w:val="3"/>
            <w:noWrap/>
            <w:hideMark/>
          </w:tcPr>
          <w:p w:rsidR="000027E7" w:rsidRPr="00C806D0" w:rsidRDefault="000027E7" w:rsidP="000027E7">
            <w:pPr>
              <w:jc w:val="center"/>
              <w:rPr>
                <w:sz w:val="20"/>
                <w:szCs w:val="20"/>
                <w:lang w:eastAsia="en-GB"/>
              </w:rPr>
            </w:pPr>
            <w:r w:rsidRPr="00C806D0">
              <w:rPr>
                <w:sz w:val="20"/>
                <w:szCs w:val="20"/>
                <w:lang w:eastAsia="en-GB"/>
              </w:rPr>
              <w:t>Coefficients (se)</w:t>
            </w:r>
          </w:p>
        </w:tc>
        <w:tc>
          <w:tcPr>
            <w:tcW w:w="683" w:type="pct"/>
          </w:tcPr>
          <w:p w:rsidR="000027E7" w:rsidRPr="00C806D0" w:rsidRDefault="000027E7" w:rsidP="000027E7">
            <w:pPr>
              <w:jc w:val="center"/>
              <w:rPr>
                <w:sz w:val="20"/>
                <w:szCs w:val="20"/>
                <w:lang w:eastAsia="en-GB"/>
              </w:rPr>
            </w:pPr>
            <w:r w:rsidRPr="00C806D0">
              <w:rPr>
                <w:sz w:val="20"/>
                <w:szCs w:val="20"/>
                <w:lang w:eastAsia="en-GB"/>
              </w:rPr>
              <w:t>RMSE</w:t>
            </w:r>
          </w:p>
        </w:tc>
        <w:tc>
          <w:tcPr>
            <w:tcW w:w="683" w:type="pct"/>
          </w:tcPr>
          <w:p w:rsidR="000027E7" w:rsidRPr="00C806D0" w:rsidRDefault="000027E7" w:rsidP="000027E7">
            <w:pPr>
              <w:jc w:val="center"/>
              <w:rPr>
                <w:sz w:val="20"/>
                <w:szCs w:val="20"/>
                <w:vertAlign w:val="superscript"/>
                <w:lang w:eastAsia="en-GB"/>
              </w:rPr>
            </w:pPr>
            <w:r w:rsidRPr="00C806D0">
              <w:rPr>
                <w:sz w:val="20"/>
                <w:szCs w:val="20"/>
                <w:lang w:eastAsia="en-GB"/>
              </w:rPr>
              <w:t>Adj R</w:t>
            </w:r>
            <w:r w:rsidRPr="00C806D0">
              <w:rPr>
                <w:sz w:val="20"/>
                <w:szCs w:val="20"/>
                <w:vertAlign w:val="superscript"/>
                <w:lang w:eastAsia="en-GB"/>
              </w:rPr>
              <w:t>2</w:t>
            </w:r>
          </w:p>
        </w:tc>
      </w:tr>
      <w:tr w:rsidR="000027E7" w:rsidRPr="00C806D0" w:rsidTr="000027E7">
        <w:trPr>
          <w:trHeight w:val="300"/>
        </w:trPr>
        <w:tc>
          <w:tcPr>
            <w:tcW w:w="801" w:type="pct"/>
            <w:tcBorders>
              <w:top w:val="single" w:sz="8" w:space="0" w:color="000000" w:themeColor="text1"/>
              <w:bottom w:val="single" w:sz="4" w:space="0" w:color="auto"/>
            </w:tcBorders>
            <w:noWrap/>
            <w:hideMark/>
          </w:tcPr>
          <w:p w:rsidR="000027E7" w:rsidRPr="00C806D0" w:rsidRDefault="000027E7" w:rsidP="000027E7">
            <w:pPr>
              <w:jc w:val="center"/>
              <w:rPr>
                <w:sz w:val="20"/>
                <w:szCs w:val="20"/>
                <w:lang w:eastAsia="en-GB"/>
              </w:rPr>
            </w:pPr>
          </w:p>
        </w:tc>
        <w:tc>
          <w:tcPr>
            <w:tcW w:w="570" w:type="pct"/>
            <w:tcBorders>
              <w:top w:val="single" w:sz="8" w:space="0" w:color="000000" w:themeColor="text1"/>
              <w:bottom w:val="single" w:sz="4" w:space="0" w:color="auto"/>
            </w:tcBorders>
            <w:noWrap/>
            <w:hideMark/>
          </w:tcPr>
          <w:p w:rsidR="000027E7" w:rsidRPr="00C806D0" w:rsidRDefault="000027E7" w:rsidP="000027E7">
            <w:pPr>
              <w:jc w:val="center"/>
              <w:rPr>
                <w:sz w:val="20"/>
                <w:szCs w:val="20"/>
                <w:lang w:eastAsia="en-GB"/>
              </w:rPr>
            </w:pPr>
          </w:p>
        </w:tc>
        <w:tc>
          <w:tcPr>
            <w:tcW w:w="793" w:type="pct"/>
            <w:tcBorders>
              <w:top w:val="single" w:sz="8" w:space="0" w:color="000000" w:themeColor="text1"/>
              <w:bottom w:val="single" w:sz="4" w:space="0" w:color="auto"/>
            </w:tcBorders>
            <w:noWrap/>
            <w:hideMark/>
          </w:tcPr>
          <w:p w:rsidR="000027E7" w:rsidRPr="00C806D0" w:rsidRDefault="000027E7" w:rsidP="000027E7">
            <w:pPr>
              <w:jc w:val="center"/>
              <w:rPr>
                <w:b/>
                <w:sz w:val="20"/>
                <w:szCs w:val="20"/>
                <w:lang w:eastAsia="en-GB"/>
              </w:rPr>
            </w:pPr>
            <w:r w:rsidRPr="00C806D0">
              <w:rPr>
                <w:b/>
                <w:sz w:val="20"/>
                <w:szCs w:val="20"/>
                <w:lang w:eastAsia="en-GB"/>
              </w:rPr>
              <w:t>Squared term</w:t>
            </w:r>
          </w:p>
        </w:tc>
        <w:tc>
          <w:tcPr>
            <w:tcW w:w="787" w:type="pct"/>
            <w:tcBorders>
              <w:top w:val="single" w:sz="8" w:space="0" w:color="000000" w:themeColor="text1"/>
              <w:bottom w:val="single" w:sz="4" w:space="0" w:color="auto"/>
            </w:tcBorders>
            <w:noWrap/>
            <w:hideMark/>
          </w:tcPr>
          <w:p w:rsidR="000027E7" w:rsidRPr="00C806D0" w:rsidRDefault="000027E7" w:rsidP="000027E7">
            <w:pPr>
              <w:jc w:val="center"/>
              <w:rPr>
                <w:b/>
                <w:sz w:val="20"/>
                <w:szCs w:val="20"/>
                <w:lang w:eastAsia="en-GB"/>
              </w:rPr>
            </w:pPr>
            <w:r w:rsidRPr="00C806D0">
              <w:rPr>
                <w:b/>
                <w:sz w:val="20"/>
                <w:szCs w:val="20"/>
                <w:lang w:eastAsia="en-GB"/>
              </w:rPr>
              <w:t>Linear term</w:t>
            </w:r>
          </w:p>
        </w:tc>
        <w:tc>
          <w:tcPr>
            <w:tcW w:w="684" w:type="pct"/>
            <w:tcBorders>
              <w:top w:val="single" w:sz="8" w:space="0" w:color="000000" w:themeColor="text1"/>
              <w:bottom w:val="single" w:sz="4" w:space="0" w:color="auto"/>
            </w:tcBorders>
          </w:tcPr>
          <w:p w:rsidR="000027E7" w:rsidRPr="00C806D0" w:rsidRDefault="000027E7" w:rsidP="000027E7">
            <w:pPr>
              <w:jc w:val="center"/>
              <w:rPr>
                <w:b/>
                <w:sz w:val="20"/>
                <w:szCs w:val="20"/>
                <w:lang w:eastAsia="en-GB"/>
              </w:rPr>
            </w:pPr>
            <w:r w:rsidRPr="00C806D0">
              <w:rPr>
                <w:b/>
                <w:sz w:val="20"/>
                <w:szCs w:val="20"/>
                <w:lang w:eastAsia="en-GB"/>
              </w:rPr>
              <w:t>Intercept</w:t>
            </w:r>
          </w:p>
        </w:tc>
        <w:tc>
          <w:tcPr>
            <w:tcW w:w="683" w:type="pct"/>
            <w:tcBorders>
              <w:top w:val="single" w:sz="8" w:space="0" w:color="000000" w:themeColor="text1"/>
              <w:bottom w:val="single" w:sz="4" w:space="0" w:color="auto"/>
            </w:tcBorders>
          </w:tcPr>
          <w:p w:rsidR="000027E7" w:rsidRPr="00C806D0" w:rsidRDefault="000027E7" w:rsidP="000027E7">
            <w:pPr>
              <w:jc w:val="center"/>
              <w:rPr>
                <w:sz w:val="20"/>
                <w:szCs w:val="20"/>
                <w:lang w:eastAsia="en-GB"/>
              </w:rPr>
            </w:pPr>
          </w:p>
        </w:tc>
        <w:tc>
          <w:tcPr>
            <w:tcW w:w="683" w:type="pct"/>
            <w:tcBorders>
              <w:top w:val="single" w:sz="8" w:space="0" w:color="000000" w:themeColor="text1"/>
              <w:bottom w:val="single" w:sz="4" w:space="0" w:color="auto"/>
            </w:tcBorders>
          </w:tcPr>
          <w:p w:rsidR="000027E7" w:rsidRPr="00C806D0" w:rsidRDefault="000027E7" w:rsidP="000027E7">
            <w:pPr>
              <w:jc w:val="center"/>
              <w:rPr>
                <w:sz w:val="20"/>
                <w:szCs w:val="20"/>
                <w:lang w:eastAsia="en-GB"/>
              </w:rPr>
            </w:pPr>
          </w:p>
        </w:tc>
      </w:tr>
      <w:tr w:rsidR="000027E7" w:rsidRPr="00C806D0" w:rsidTr="000027E7">
        <w:trPr>
          <w:trHeight w:val="300"/>
        </w:trPr>
        <w:tc>
          <w:tcPr>
            <w:tcW w:w="801" w:type="pct"/>
            <w:tcBorders>
              <w:top w:val="single" w:sz="4" w:space="0" w:color="auto"/>
            </w:tcBorders>
            <w:noWrap/>
            <w:hideMark/>
          </w:tcPr>
          <w:p w:rsidR="000027E7" w:rsidRPr="00C806D0" w:rsidRDefault="000027E7" w:rsidP="000027E7">
            <w:pPr>
              <w:pStyle w:val="NoSpacing"/>
              <w:jc w:val="center"/>
              <w:rPr>
                <w:sz w:val="20"/>
                <w:szCs w:val="20"/>
                <w:lang w:eastAsia="en-GB"/>
              </w:rPr>
            </w:pPr>
            <w:r w:rsidRPr="00C806D0">
              <w:rPr>
                <w:sz w:val="20"/>
                <w:szCs w:val="20"/>
                <w:lang w:eastAsia="en-GB"/>
              </w:rPr>
              <w:t>Shape</w:t>
            </w:r>
          </w:p>
        </w:tc>
        <w:tc>
          <w:tcPr>
            <w:tcW w:w="570" w:type="pct"/>
            <w:tcBorders>
              <w:top w:val="single" w:sz="4" w:space="0" w:color="auto"/>
            </w:tcBorders>
            <w:noWrap/>
            <w:hideMark/>
          </w:tcPr>
          <w:p w:rsidR="000027E7" w:rsidRPr="00C806D0" w:rsidRDefault="000027E7" w:rsidP="000027E7">
            <w:pPr>
              <w:pStyle w:val="NoSpacing"/>
              <w:jc w:val="center"/>
              <w:rPr>
                <w:sz w:val="20"/>
                <w:szCs w:val="20"/>
                <w:lang w:eastAsia="en-GB"/>
              </w:rPr>
            </w:pPr>
            <w:r w:rsidRPr="00C806D0">
              <w:rPr>
                <w:rFonts w:ascii="Calibri" w:eastAsia="Calibri" w:hAnsi="Calibri"/>
                <w:sz w:val="20"/>
                <w:szCs w:val="20"/>
              </w:rPr>
              <w:t>y=-1E-06x</w:t>
            </w:r>
            <w:r w:rsidRPr="00C806D0">
              <w:rPr>
                <w:rFonts w:ascii="Calibri" w:eastAsia="Calibri" w:hAnsi="Calibri"/>
                <w:sz w:val="20"/>
                <w:szCs w:val="20"/>
                <w:vertAlign w:val="superscript"/>
              </w:rPr>
              <w:t>2</w:t>
            </w:r>
            <w:r w:rsidRPr="00C806D0">
              <w:rPr>
                <w:rFonts w:ascii="Calibri" w:eastAsia="Calibri" w:hAnsi="Calibri"/>
                <w:sz w:val="20"/>
                <w:szCs w:val="20"/>
              </w:rPr>
              <w:t xml:space="preserve"> + 0.0004x + 1.0</w:t>
            </w:r>
          </w:p>
        </w:tc>
        <w:tc>
          <w:tcPr>
            <w:tcW w:w="793" w:type="pct"/>
            <w:tcBorders>
              <w:top w:val="single" w:sz="4" w:space="0" w:color="auto"/>
            </w:tcBorders>
            <w:noWrap/>
            <w:hideMark/>
          </w:tcPr>
          <w:p w:rsidR="000027E7" w:rsidRPr="00C806D0" w:rsidRDefault="000027E7" w:rsidP="000027E7">
            <w:pPr>
              <w:pStyle w:val="NoSpacing"/>
              <w:jc w:val="center"/>
              <w:rPr>
                <w:sz w:val="20"/>
                <w:szCs w:val="20"/>
                <w:lang w:eastAsia="en-GB"/>
              </w:rPr>
            </w:pPr>
            <w:r w:rsidRPr="00C806D0">
              <w:rPr>
                <w:sz w:val="20"/>
                <w:szCs w:val="20"/>
                <w:lang w:eastAsia="en-GB"/>
              </w:rPr>
              <w:t>-1.32e-06</w:t>
            </w:r>
          </w:p>
          <w:p w:rsidR="000027E7" w:rsidRPr="00C806D0" w:rsidRDefault="000027E7" w:rsidP="000027E7">
            <w:pPr>
              <w:pStyle w:val="NoSpacing"/>
              <w:jc w:val="center"/>
              <w:rPr>
                <w:sz w:val="20"/>
                <w:szCs w:val="20"/>
                <w:lang w:eastAsia="en-GB"/>
              </w:rPr>
            </w:pPr>
            <w:r w:rsidRPr="00C806D0">
              <w:rPr>
                <w:sz w:val="20"/>
                <w:szCs w:val="20"/>
                <w:lang w:eastAsia="en-GB"/>
              </w:rPr>
              <w:t>(2.1e-7)</w:t>
            </w:r>
          </w:p>
        </w:tc>
        <w:tc>
          <w:tcPr>
            <w:tcW w:w="787" w:type="pct"/>
            <w:tcBorders>
              <w:top w:val="single" w:sz="4" w:space="0" w:color="auto"/>
            </w:tcBorders>
            <w:noWrap/>
            <w:hideMark/>
          </w:tcPr>
          <w:p w:rsidR="000027E7" w:rsidRPr="00C806D0" w:rsidRDefault="000027E7" w:rsidP="000027E7">
            <w:pPr>
              <w:pStyle w:val="NoSpacing"/>
              <w:jc w:val="center"/>
              <w:rPr>
                <w:sz w:val="20"/>
                <w:szCs w:val="20"/>
                <w:lang w:eastAsia="en-GB"/>
              </w:rPr>
            </w:pPr>
            <w:r w:rsidRPr="00C806D0">
              <w:rPr>
                <w:sz w:val="20"/>
                <w:szCs w:val="20"/>
                <w:lang w:eastAsia="en-GB"/>
              </w:rPr>
              <w:t>0.0004</w:t>
            </w:r>
          </w:p>
          <w:p w:rsidR="000027E7" w:rsidRPr="00C806D0" w:rsidRDefault="000027E7" w:rsidP="000027E7">
            <w:pPr>
              <w:pStyle w:val="NoSpacing"/>
              <w:jc w:val="center"/>
              <w:rPr>
                <w:sz w:val="20"/>
                <w:szCs w:val="20"/>
                <w:lang w:eastAsia="en-GB"/>
              </w:rPr>
            </w:pPr>
            <w:r w:rsidRPr="00C806D0">
              <w:rPr>
                <w:sz w:val="20"/>
                <w:szCs w:val="20"/>
                <w:lang w:eastAsia="en-GB"/>
              </w:rPr>
              <w:t>(0.00001)</w:t>
            </w:r>
          </w:p>
        </w:tc>
        <w:tc>
          <w:tcPr>
            <w:tcW w:w="684" w:type="pct"/>
            <w:tcBorders>
              <w:top w:val="single" w:sz="4" w:space="0" w:color="auto"/>
            </w:tcBorders>
          </w:tcPr>
          <w:p w:rsidR="000027E7" w:rsidRPr="00C806D0" w:rsidRDefault="000027E7" w:rsidP="000027E7">
            <w:pPr>
              <w:pStyle w:val="NoSpacing"/>
              <w:jc w:val="center"/>
              <w:rPr>
                <w:sz w:val="20"/>
                <w:szCs w:val="20"/>
                <w:lang w:eastAsia="en-GB"/>
              </w:rPr>
            </w:pPr>
            <w:r w:rsidRPr="00C806D0">
              <w:rPr>
                <w:sz w:val="20"/>
                <w:szCs w:val="20"/>
                <w:lang w:eastAsia="en-GB"/>
              </w:rPr>
              <w:t>1.00 (0.0002)</w:t>
            </w:r>
          </w:p>
          <w:p w:rsidR="000027E7" w:rsidRPr="00C806D0" w:rsidRDefault="000027E7" w:rsidP="000027E7">
            <w:pPr>
              <w:pStyle w:val="NoSpacing"/>
              <w:jc w:val="center"/>
              <w:rPr>
                <w:sz w:val="20"/>
                <w:szCs w:val="20"/>
                <w:lang w:eastAsia="en-GB"/>
              </w:rPr>
            </w:pPr>
          </w:p>
        </w:tc>
        <w:tc>
          <w:tcPr>
            <w:tcW w:w="683" w:type="pct"/>
            <w:tcBorders>
              <w:top w:val="single" w:sz="4" w:space="0" w:color="auto"/>
            </w:tcBorders>
          </w:tcPr>
          <w:p w:rsidR="000027E7" w:rsidRPr="00C806D0" w:rsidRDefault="000027E7" w:rsidP="000027E7">
            <w:pPr>
              <w:pStyle w:val="NoSpacing"/>
              <w:jc w:val="center"/>
              <w:rPr>
                <w:sz w:val="20"/>
                <w:szCs w:val="20"/>
                <w:lang w:eastAsia="en-GB"/>
              </w:rPr>
            </w:pPr>
            <w:r w:rsidRPr="00C806D0">
              <w:rPr>
                <w:sz w:val="20"/>
                <w:szCs w:val="20"/>
                <w:lang w:eastAsia="en-GB"/>
              </w:rPr>
              <w:t>0.0004</w:t>
            </w:r>
          </w:p>
        </w:tc>
        <w:tc>
          <w:tcPr>
            <w:tcW w:w="683" w:type="pct"/>
            <w:tcBorders>
              <w:top w:val="single" w:sz="4" w:space="0" w:color="auto"/>
            </w:tcBorders>
          </w:tcPr>
          <w:p w:rsidR="000027E7" w:rsidRPr="00C806D0" w:rsidRDefault="000027E7" w:rsidP="000027E7">
            <w:pPr>
              <w:pStyle w:val="NoSpacing"/>
              <w:jc w:val="center"/>
              <w:rPr>
                <w:sz w:val="20"/>
                <w:szCs w:val="20"/>
                <w:lang w:eastAsia="en-GB"/>
              </w:rPr>
            </w:pPr>
            <w:r w:rsidRPr="00C806D0">
              <w:rPr>
                <w:sz w:val="20"/>
                <w:szCs w:val="20"/>
                <w:lang w:eastAsia="en-GB"/>
              </w:rPr>
              <w:t>0.999</w:t>
            </w:r>
          </w:p>
        </w:tc>
      </w:tr>
      <w:tr w:rsidR="000027E7" w:rsidRPr="00C806D0" w:rsidTr="000027E7">
        <w:trPr>
          <w:trHeight w:val="300"/>
        </w:trPr>
        <w:tc>
          <w:tcPr>
            <w:tcW w:w="801" w:type="pct"/>
            <w:noWrap/>
            <w:hideMark/>
          </w:tcPr>
          <w:p w:rsidR="000027E7" w:rsidRPr="00C806D0" w:rsidRDefault="000027E7" w:rsidP="000027E7">
            <w:pPr>
              <w:jc w:val="center"/>
              <w:rPr>
                <w:sz w:val="20"/>
                <w:szCs w:val="20"/>
                <w:lang w:eastAsia="en-GB"/>
              </w:rPr>
            </w:pPr>
            <w:r w:rsidRPr="00C806D0">
              <w:rPr>
                <w:sz w:val="20"/>
                <w:szCs w:val="20"/>
                <w:lang w:eastAsia="en-GB"/>
              </w:rPr>
              <w:t>Log-scale</w:t>
            </w:r>
          </w:p>
        </w:tc>
        <w:tc>
          <w:tcPr>
            <w:tcW w:w="570" w:type="pct"/>
            <w:noWrap/>
            <w:hideMark/>
          </w:tcPr>
          <w:p w:rsidR="000027E7" w:rsidRPr="00C806D0" w:rsidRDefault="000027E7" w:rsidP="000027E7">
            <w:pPr>
              <w:jc w:val="center"/>
              <w:rPr>
                <w:sz w:val="20"/>
                <w:szCs w:val="20"/>
                <w:lang w:eastAsia="en-GB"/>
              </w:rPr>
            </w:pPr>
            <w:r w:rsidRPr="00C806D0">
              <w:rPr>
                <w:sz w:val="20"/>
                <w:szCs w:val="20"/>
              </w:rPr>
              <w:t>y=-2E-06x</w:t>
            </w:r>
            <w:r w:rsidRPr="00C806D0">
              <w:rPr>
                <w:sz w:val="20"/>
                <w:szCs w:val="20"/>
                <w:vertAlign w:val="superscript"/>
              </w:rPr>
              <w:t>2</w:t>
            </w:r>
            <w:r w:rsidRPr="00C806D0">
              <w:rPr>
                <w:sz w:val="20"/>
                <w:szCs w:val="20"/>
              </w:rPr>
              <w:t xml:space="preserve"> + 0.0008x + 1.0</w:t>
            </w:r>
          </w:p>
        </w:tc>
        <w:tc>
          <w:tcPr>
            <w:tcW w:w="793" w:type="pct"/>
            <w:noWrap/>
            <w:hideMark/>
          </w:tcPr>
          <w:p w:rsidR="000027E7" w:rsidRPr="00C806D0" w:rsidRDefault="000027E7" w:rsidP="000027E7">
            <w:pPr>
              <w:pStyle w:val="NoSpacing"/>
              <w:jc w:val="center"/>
              <w:rPr>
                <w:sz w:val="20"/>
                <w:szCs w:val="20"/>
                <w:lang w:eastAsia="en-GB"/>
              </w:rPr>
            </w:pPr>
            <w:r w:rsidRPr="00C806D0">
              <w:rPr>
                <w:sz w:val="20"/>
                <w:szCs w:val="20"/>
                <w:lang w:eastAsia="en-GB"/>
              </w:rPr>
              <w:t>-2.31e-06</w:t>
            </w:r>
          </w:p>
          <w:p w:rsidR="000027E7" w:rsidRPr="00C806D0" w:rsidRDefault="000027E7" w:rsidP="000027E7">
            <w:pPr>
              <w:pStyle w:val="NoSpacing"/>
              <w:jc w:val="center"/>
              <w:rPr>
                <w:sz w:val="20"/>
                <w:szCs w:val="20"/>
                <w:lang w:eastAsia="en-GB"/>
              </w:rPr>
            </w:pPr>
            <w:r w:rsidRPr="00C806D0">
              <w:rPr>
                <w:sz w:val="20"/>
                <w:szCs w:val="20"/>
                <w:lang w:eastAsia="en-GB"/>
              </w:rPr>
              <w:t>(1.95e-07)</w:t>
            </w:r>
          </w:p>
        </w:tc>
        <w:tc>
          <w:tcPr>
            <w:tcW w:w="787" w:type="pct"/>
            <w:noWrap/>
            <w:hideMark/>
          </w:tcPr>
          <w:p w:rsidR="000027E7" w:rsidRPr="00C806D0" w:rsidRDefault="000027E7" w:rsidP="000027E7">
            <w:pPr>
              <w:pStyle w:val="NoSpacing"/>
              <w:jc w:val="center"/>
              <w:rPr>
                <w:sz w:val="20"/>
                <w:szCs w:val="20"/>
                <w:lang w:eastAsia="en-GB"/>
              </w:rPr>
            </w:pPr>
            <w:r w:rsidRPr="00C806D0">
              <w:rPr>
                <w:sz w:val="20"/>
                <w:szCs w:val="20"/>
                <w:lang w:eastAsia="en-GB"/>
              </w:rPr>
              <w:t>0.0008</w:t>
            </w:r>
          </w:p>
          <w:p w:rsidR="000027E7" w:rsidRPr="00C806D0" w:rsidRDefault="000027E7" w:rsidP="000027E7">
            <w:pPr>
              <w:pStyle w:val="NoSpacing"/>
              <w:jc w:val="center"/>
              <w:rPr>
                <w:sz w:val="20"/>
                <w:szCs w:val="20"/>
                <w:lang w:eastAsia="en-GB"/>
              </w:rPr>
            </w:pPr>
            <w:r w:rsidRPr="00C806D0">
              <w:rPr>
                <w:sz w:val="20"/>
                <w:szCs w:val="20"/>
                <w:lang w:eastAsia="en-GB"/>
              </w:rPr>
              <w:t>(0.00001)</w:t>
            </w:r>
          </w:p>
        </w:tc>
        <w:tc>
          <w:tcPr>
            <w:tcW w:w="684" w:type="pct"/>
          </w:tcPr>
          <w:p w:rsidR="000027E7" w:rsidRPr="00C806D0" w:rsidRDefault="000027E7" w:rsidP="000027E7">
            <w:pPr>
              <w:pStyle w:val="NoSpacing"/>
              <w:jc w:val="center"/>
              <w:rPr>
                <w:sz w:val="20"/>
                <w:szCs w:val="20"/>
                <w:lang w:eastAsia="en-GB"/>
              </w:rPr>
            </w:pPr>
            <w:r w:rsidRPr="00C806D0">
              <w:rPr>
                <w:sz w:val="20"/>
                <w:szCs w:val="20"/>
                <w:lang w:eastAsia="en-GB"/>
              </w:rPr>
              <w:t>1.00</w:t>
            </w:r>
          </w:p>
          <w:p w:rsidR="000027E7" w:rsidRPr="00C806D0" w:rsidRDefault="000027E7" w:rsidP="000027E7">
            <w:pPr>
              <w:pStyle w:val="NoSpacing"/>
              <w:jc w:val="center"/>
              <w:rPr>
                <w:sz w:val="20"/>
                <w:szCs w:val="20"/>
                <w:lang w:eastAsia="en-GB"/>
              </w:rPr>
            </w:pPr>
            <w:r w:rsidRPr="00C806D0">
              <w:rPr>
                <w:sz w:val="20"/>
                <w:szCs w:val="20"/>
                <w:lang w:eastAsia="en-GB"/>
              </w:rPr>
              <w:t>(0.0002)</w:t>
            </w:r>
          </w:p>
        </w:tc>
        <w:tc>
          <w:tcPr>
            <w:tcW w:w="683" w:type="pct"/>
          </w:tcPr>
          <w:p w:rsidR="000027E7" w:rsidRPr="00C806D0" w:rsidRDefault="000027E7" w:rsidP="000027E7">
            <w:pPr>
              <w:pStyle w:val="NoSpacing"/>
              <w:jc w:val="center"/>
              <w:rPr>
                <w:sz w:val="20"/>
                <w:szCs w:val="20"/>
                <w:lang w:eastAsia="en-GB"/>
              </w:rPr>
            </w:pPr>
            <w:r w:rsidRPr="00C806D0">
              <w:rPr>
                <w:sz w:val="20"/>
                <w:szCs w:val="20"/>
                <w:lang w:eastAsia="en-GB"/>
              </w:rPr>
              <w:t>0.0003</w:t>
            </w:r>
          </w:p>
        </w:tc>
        <w:tc>
          <w:tcPr>
            <w:tcW w:w="683" w:type="pct"/>
          </w:tcPr>
          <w:p w:rsidR="000027E7" w:rsidRPr="00C806D0" w:rsidRDefault="000027E7" w:rsidP="000027E7">
            <w:pPr>
              <w:pStyle w:val="NoSpacing"/>
              <w:jc w:val="center"/>
              <w:rPr>
                <w:sz w:val="20"/>
                <w:szCs w:val="20"/>
                <w:lang w:eastAsia="en-GB"/>
              </w:rPr>
            </w:pPr>
            <w:r w:rsidRPr="00C806D0">
              <w:rPr>
                <w:sz w:val="20"/>
                <w:szCs w:val="20"/>
                <w:lang w:eastAsia="en-GB"/>
              </w:rPr>
              <w:t>0.9998</w:t>
            </w:r>
          </w:p>
        </w:tc>
      </w:tr>
    </w:tbl>
    <w:p w:rsidR="000027E7" w:rsidRPr="00C806D0" w:rsidRDefault="000027E7" w:rsidP="000027E7">
      <w:pPr>
        <w:rPr>
          <w:sz w:val="20"/>
          <w:szCs w:val="20"/>
        </w:rPr>
      </w:pPr>
      <w:r w:rsidRPr="00C806D0">
        <w:rPr>
          <w:sz w:val="20"/>
          <w:szCs w:val="20"/>
        </w:rPr>
        <w:t>*Where y is proportional change in Gompertz distribution shape/log-scale parameter; and x is each year after the year 2000.</w:t>
      </w:r>
    </w:p>
    <w:p w:rsidR="006F2FC6" w:rsidRPr="00C806D0" w:rsidRDefault="006F2FC6" w:rsidP="000027E7">
      <w:pPr>
        <w:rPr>
          <w:sz w:val="20"/>
          <w:szCs w:val="20"/>
        </w:rPr>
      </w:pPr>
    </w:p>
    <w:p w:rsidR="00CA694F" w:rsidRPr="00C806D0" w:rsidRDefault="00CA694F" w:rsidP="000027E7">
      <w:pPr>
        <w:rPr>
          <w:sz w:val="20"/>
          <w:szCs w:val="20"/>
        </w:rPr>
      </w:pPr>
    </w:p>
    <w:p w:rsidR="00CA694F" w:rsidRPr="00C806D0" w:rsidRDefault="00CA694F" w:rsidP="000027E7">
      <w:pPr>
        <w:rPr>
          <w:sz w:val="20"/>
          <w:szCs w:val="20"/>
        </w:rPr>
      </w:pPr>
    </w:p>
    <w:p w:rsidR="00CA694F" w:rsidRPr="00C806D0" w:rsidRDefault="00CA694F" w:rsidP="000027E7">
      <w:pPr>
        <w:rPr>
          <w:sz w:val="20"/>
          <w:szCs w:val="20"/>
        </w:rPr>
      </w:pPr>
    </w:p>
    <w:p w:rsidR="00CA694F" w:rsidRPr="00C806D0" w:rsidRDefault="00CA694F" w:rsidP="000027E7">
      <w:pPr>
        <w:rPr>
          <w:sz w:val="20"/>
          <w:szCs w:val="20"/>
        </w:rPr>
      </w:pPr>
    </w:p>
    <w:p w:rsidR="00800937" w:rsidRPr="00C806D0" w:rsidRDefault="00800937" w:rsidP="000027E7">
      <w:pPr>
        <w:rPr>
          <w:sz w:val="20"/>
          <w:szCs w:val="20"/>
        </w:rPr>
      </w:pPr>
    </w:p>
    <w:p w:rsidR="00800937" w:rsidRPr="00C806D0" w:rsidRDefault="00800937" w:rsidP="000027E7">
      <w:pPr>
        <w:rPr>
          <w:sz w:val="20"/>
          <w:szCs w:val="20"/>
        </w:rPr>
      </w:pPr>
    </w:p>
    <w:p w:rsidR="00800937" w:rsidRPr="00C806D0" w:rsidRDefault="00800937" w:rsidP="000027E7">
      <w:pPr>
        <w:rPr>
          <w:sz w:val="20"/>
          <w:szCs w:val="20"/>
        </w:rPr>
      </w:pPr>
    </w:p>
    <w:p w:rsidR="00800937" w:rsidRPr="00C806D0" w:rsidRDefault="00800937" w:rsidP="000027E7">
      <w:pPr>
        <w:rPr>
          <w:sz w:val="20"/>
          <w:szCs w:val="20"/>
        </w:rPr>
      </w:pPr>
    </w:p>
    <w:p w:rsidR="00800937" w:rsidRPr="00C806D0" w:rsidRDefault="00800937" w:rsidP="002A360F">
      <w:pPr>
        <w:pStyle w:val="Heading3"/>
      </w:pPr>
      <w:r w:rsidRPr="00C806D0">
        <w:t>Formulas for Gompertz survival, cumulative hazard and probability density functions</w:t>
      </w:r>
    </w:p>
    <w:p w:rsidR="00800937" w:rsidRPr="00C806D0" w:rsidRDefault="00800937" w:rsidP="00800937">
      <w:pPr>
        <w:rPr>
          <w:i/>
        </w:rPr>
      </w:pPr>
      <w:r w:rsidRPr="00C806D0">
        <w:rPr>
          <w:b/>
        </w:rPr>
        <w:t>Table G9. Functions of Gompertz distribution</w:t>
      </w:r>
      <w:r w:rsidRPr="00C806D0">
        <w:rPr>
          <w:i/>
        </w:rPr>
        <w:tab/>
      </w:r>
    </w:p>
    <w:tbl>
      <w:tblPr>
        <w:tblStyle w:val="LightShading5"/>
        <w:tblW w:w="0" w:type="auto"/>
        <w:tblLook w:val="0620" w:firstRow="1" w:lastRow="0" w:firstColumn="0" w:lastColumn="0" w:noHBand="1" w:noVBand="1"/>
      </w:tblPr>
      <w:tblGrid>
        <w:gridCol w:w="1587"/>
        <w:gridCol w:w="4095"/>
        <w:gridCol w:w="3038"/>
      </w:tblGrid>
      <w:tr w:rsidR="00800937" w:rsidRPr="00C806D0" w:rsidTr="00847363">
        <w:trPr>
          <w:cnfStyle w:val="100000000000" w:firstRow="1" w:lastRow="0" w:firstColumn="0" w:lastColumn="0" w:oddVBand="0" w:evenVBand="0" w:oddHBand="0" w:evenHBand="0" w:firstRowFirstColumn="0" w:firstRowLastColumn="0" w:lastRowFirstColumn="0" w:lastRowLastColumn="0"/>
        </w:trPr>
        <w:tc>
          <w:tcPr>
            <w:tcW w:w="0" w:type="auto"/>
          </w:tcPr>
          <w:p w:rsidR="00800937" w:rsidRPr="00C806D0" w:rsidRDefault="00800937" w:rsidP="00847363">
            <w:pPr>
              <w:rPr>
                <w:sz w:val="20"/>
                <w:szCs w:val="20"/>
              </w:rPr>
            </w:pPr>
            <w:r w:rsidRPr="00C806D0">
              <w:rPr>
                <w:sz w:val="20"/>
                <w:szCs w:val="20"/>
              </w:rPr>
              <w:t>Function</w:t>
            </w:r>
          </w:p>
        </w:tc>
        <w:tc>
          <w:tcPr>
            <w:tcW w:w="4095" w:type="dxa"/>
          </w:tcPr>
          <w:p w:rsidR="00800937" w:rsidRPr="00C806D0" w:rsidRDefault="00800937" w:rsidP="00847363">
            <w:pPr>
              <w:rPr>
                <w:sz w:val="20"/>
                <w:szCs w:val="20"/>
              </w:rPr>
            </w:pPr>
            <w:r w:rsidRPr="00C806D0">
              <w:rPr>
                <w:sz w:val="20"/>
                <w:szCs w:val="20"/>
              </w:rPr>
              <w:t>Explanation</w:t>
            </w:r>
          </w:p>
        </w:tc>
        <w:tc>
          <w:tcPr>
            <w:tcW w:w="3038" w:type="dxa"/>
          </w:tcPr>
          <w:p w:rsidR="00800937" w:rsidRPr="00C806D0" w:rsidRDefault="00800937" w:rsidP="00847363">
            <w:pPr>
              <w:rPr>
                <w:sz w:val="20"/>
                <w:szCs w:val="20"/>
              </w:rPr>
            </w:pPr>
            <w:r w:rsidRPr="00C806D0">
              <w:rPr>
                <w:sz w:val="20"/>
                <w:szCs w:val="20"/>
              </w:rPr>
              <w:t>Formula</w:t>
            </w:r>
          </w:p>
        </w:tc>
      </w:tr>
      <w:tr w:rsidR="00800937" w:rsidRPr="00C806D0" w:rsidTr="00847363">
        <w:tc>
          <w:tcPr>
            <w:tcW w:w="0" w:type="auto"/>
          </w:tcPr>
          <w:p w:rsidR="00800937" w:rsidRPr="00C806D0" w:rsidRDefault="00800937" w:rsidP="00847363">
            <w:pPr>
              <w:rPr>
                <w:sz w:val="20"/>
                <w:szCs w:val="20"/>
              </w:rPr>
            </w:pPr>
            <w:r w:rsidRPr="00C806D0">
              <w:rPr>
                <w:sz w:val="20"/>
                <w:szCs w:val="20"/>
              </w:rPr>
              <w:t>Probability density function</w:t>
            </w:r>
          </w:p>
          <w:p w:rsidR="00800937" w:rsidRPr="00C806D0" w:rsidRDefault="00800937" w:rsidP="00847363">
            <w:pPr>
              <w:rPr>
                <w:i/>
                <w:sz w:val="20"/>
                <w:szCs w:val="20"/>
              </w:rPr>
            </w:pPr>
          </w:p>
        </w:tc>
        <w:tc>
          <w:tcPr>
            <w:tcW w:w="4095" w:type="dxa"/>
          </w:tcPr>
          <w:p w:rsidR="00800937" w:rsidRPr="00C806D0" w:rsidRDefault="00800937" w:rsidP="00847363">
            <w:pPr>
              <w:rPr>
                <w:rFonts w:ascii="Cambria Math" w:hAnsi="Cambria Math"/>
                <w:sz w:val="20"/>
                <w:szCs w:val="20"/>
              </w:rPr>
            </w:pPr>
            <w:r w:rsidRPr="00C806D0">
              <w:rPr>
                <w:sz w:val="20"/>
                <w:szCs w:val="20"/>
              </w:rPr>
              <w:t>Probability of death at a given age</w:t>
            </w:r>
          </w:p>
        </w:tc>
        <w:tc>
          <w:tcPr>
            <w:tcW w:w="3038" w:type="dxa"/>
          </w:tcPr>
          <w:p w:rsidR="00800937" w:rsidRPr="00C806D0" w:rsidRDefault="00800937" w:rsidP="00847363">
            <w:pPr>
              <w:rPr>
                <w:i/>
                <w:sz w:val="20"/>
                <w:szCs w:val="20"/>
              </w:rPr>
            </w:pPr>
            <w:r w:rsidRPr="00C806D0">
              <w:rPr>
                <w:rFonts w:ascii="Cambria Math" w:hAnsi="Cambria Math"/>
                <w:sz w:val="20"/>
                <w:szCs w:val="20"/>
              </w:rPr>
              <w:t>f(t|age)=</w:t>
            </w:r>
            <w:r w:rsidRPr="00C806D0">
              <w:rPr>
                <w:rFonts w:ascii="Cambria Math" w:eastAsiaTheme="minorEastAsia" w:hAnsi="Cambria Math"/>
                <w:sz w:val="20"/>
                <w:szCs w:val="20"/>
              </w:rPr>
              <w:t xml:space="preserve"> 𝜆e</w:t>
            </w:r>
            <w:r w:rsidRPr="00C806D0">
              <w:rPr>
                <w:rFonts w:ascii="Cambria Math" w:eastAsiaTheme="minorEastAsia" w:hAnsi="Cambria Math"/>
                <w:sz w:val="20"/>
                <w:szCs w:val="20"/>
                <w:vertAlign w:val="superscript"/>
              </w:rPr>
              <w:t>γt</w:t>
            </w:r>
            <w:r w:rsidRPr="00C806D0">
              <w:rPr>
                <w:rFonts w:ascii="Cambria Math" w:eastAsiaTheme="minorEastAsia" w:hAnsi="Cambria Math"/>
                <w:sz w:val="20"/>
                <w:szCs w:val="20"/>
              </w:rPr>
              <w:t>.</w:t>
            </w:r>
            <w:r w:rsidRPr="00C806D0">
              <w:rPr>
                <w:rFonts w:ascii="Cambria Math" w:hAnsi="Cambria Math"/>
                <w:sz w:val="20"/>
                <w:szCs w:val="20"/>
              </w:rPr>
              <w:t xml:space="preserve"> exp{λ/γ(1-e</w:t>
            </w:r>
            <w:r w:rsidRPr="00C806D0">
              <w:rPr>
                <w:rFonts w:ascii="Cambria Math" w:hAnsi="Cambria Math"/>
                <w:sz w:val="20"/>
                <w:szCs w:val="20"/>
                <w:vertAlign w:val="superscript"/>
              </w:rPr>
              <w:t>γt</w:t>
            </w:r>
            <w:r w:rsidRPr="00C806D0">
              <w:rPr>
                <w:rFonts w:ascii="Cambria Math" w:hAnsi="Cambria Math"/>
                <w:sz w:val="20"/>
                <w:szCs w:val="20"/>
              </w:rPr>
              <w:t>)}</w:t>
            </w:r>
          </w:p>
        </w:tc>
      </w:tr>
      <w:tr w:rsidR="00800937" w:rsidRPr="00C806D0" w:rsidTr="00847363">
        <w:tc>
          <w:tcPr>
            <w:tcW w:w="0" w:type="auto"/>
          </w:tcPr>
          <w:p w:rsidR="00800937" w:rsidRPr="00C806D0" w:rsidRDefault="00800937" w:rsidP="00847363">
            <w:pPr>
              <w:rPr>
                <w:i/>
                <w:sz w:val="20"/>
                <w:szCs w:val="20"/>
              </w:rPr>
            </w:pPr>
            <w:r w:rsidRPr="00C806D0">
              <w:rPr>
                <w:sz w:val="20"/>
                <w:szCs w:val="20"/>
              </w:rPr>
              <w:t>Survivor function</w:t>
            </w:r>
          </w:p>
        </w:tc>
        <w:tc>
          <w:tcPr>
            <w:tcW w:w="4095" w:type="dxa"/>
          </w:tcPr>
          <w:p w:rsidR="00800937" w:rsidRPr="00C806D0" w:rsidRDefault="00800937" w:rsidP="00847363">
            <w:pPr>
              <w:rPr>
                <w:sz w:val="20"/>
                <w:szCs w:val="20"/>
              </w:rPr>
            </w:pPr>
            <w:r w:rsidRPr="00C806D0">
              <w:rPr>
                <w:sz w:val="20"/>
                <w:szCs w:val="20"/>
              </w:rPr>
              <w:t>Proportion surviving at time t, conditional on age at first TBI</w:t>
            </w:r>
          </w:p>
          <w:p w:rsidR="00800937" w:rsidRPr="00C806D0" w:rsidRDefault="00800937" w:rsidP="00847363">
            <w:pPr>
              <w:rPr>
                <w:rFonts w:ascii="Cambria Math" w:hAnsi="Cambria Math"/>
                <w:sz w:val="20"/>
                <w:szCs w:val="20"/>
              </w:rPr>
            </w:pPr>
          </w:p>
        </w:tc>
        <w:tc>
          <w:tcPr>
            <w:tcW w:w="3038" w:type="dxa"/>
          </w:tcPr>
          <w:p w:rsidR="00800937" w:rsidRPr="00C806D0" w:rsidRDefault="00800937" w:rsidP="00847363">
            <w:pPr>
              <w:rPr>
                <w:i/>
                <w:sz w:val="20"/>
                <w:szCs w:val="20"/>
              </w:rPr>
            </w:pPr>
            <w:r w:rsidRPr="00C806D0">
              <w:rPr>
                <w:rFonts w:ascii="Cambria Math" w:hAnsi="Cambria Math"/>
                <w:sz w:val="20"/>
                <w:szCs w:val="20"/>
              </w:rPr>
              <w:t>S(t|age)=exp{λ/γ(1-e</w:t>
            </w:r>
            <w:r w:rsidRPr="00C806D0">
              <w:rPr>
                <w:rFonts w:ascii="Cambria Math" w:hAnsi="Cambria Math"/>
                <w:sz w:val="20"/>
                <w:szCs w:val="20"/>
                <w:vertAlign w:val="superscript"/>
              </w:rPr>
              <w:t>γt</w:t>
            </w:r>
            <w:r w:rsidRPr="00C806D0">
              <w:rPr>
                <w:rFonts w:ascii="Cambria Math" w:hAnsi="Cambria Math"/>
                <w:sz w:val="20"/>
                <w:szCs w:val="20"/>
              </w:rPr>
              <w:t>)}</w:t>
            </w:r>
          </w:p>
        </w:tc>
      </w:tr>
      <w:tr w:rsidR="00800937" w:rsidRPr="00C806D0" w:rsidTr="00847363">
        <w:tc>
          <w:tcPr>
            <w:tcW w:w="0" w:type="auto"/>
          </w:tcPr>
          <w:p w:rsidR="00800937" w:rsidRPr="00C806D0" w:rsidRDefault="00800937" w:rsidP="00847363">
            <w:pPr>
              <w:rPr>
                <w:sz w:val="20"/>
                <w:szCs w:val="20"/>
              </w:rPr>
            </w:pPr>
            <w:r w:rsidRPr="00C806D0">
              <w:rPr>
                <w:sz w:val="20"/>
                <w:szCs w:val="20"/>
              </w:rPr>
              <w:t>Hazard function</w:t>
            </w:r>
            <w:r w:rsidRPr="00C806D0">
              <w:rPr>
                <w:sz w:val="20"/>
                <w:szCs w:val="20"/>
              </w:rPr>
              <w:tab/>
            </w:r>
          </w:p>
        </w:tc>
        <w:tc>
          <w:tcPr>
            <w:tcW w:w="4095" w:type="dxa"/>
          </w:tcPr>
          <w:p w:rsidR="00800937" w:rsidRPr="00C806D0" w:rsidRDefault="00800937" w:rsidP="00847363">
            <w:pPr>
              <w:rPr>
                <w:sz w:val="20"/>
                <w:szCs w:val="20"/>
              </w:rPr>
            </w:pPr>
            <w:r w:rsidRPr="00C806D0">
              <w:rPr>
                <w:sz w:val="20"/>
                <w:szCs w:val="20"/>
              </w:rPr>
              <w:t>Hazard of death at time t, conditional on age at first TBI</w:t>
            </w:r>
          </w:p>
          <w:p w:rsidR="00800937" w:rsidRPr="00C806D0" w:rsidRDefault="00800937" w:rsidP="00847363">
            <w:pPr>
              <w:rPr>
                <w:rFonts w:ascii="Cambria Math" w:eastAsiaTheme="minorEastAsia" w:hAnsi="Cambria Math"/>
                <w:sz w:val="20"/>
                <w:szCs w:val="20"/>
              </w:rPr>
            </w:pPr>
          </w:p>
        </w:tc>
        <w:tc>
          <w:tcPr>
            <w:tcW w:w="3038" w:type="dxa"/>
          </w:tcPr>
          <w:p w:rsidR="00800937" w:rsidRPr="00C806D0" w:rsidRDefault="00800937" w:rsidP="00847363">
            <w:pPr>
              <w:rPr>
                <w:rFonts w:ascii="Cambria Math" w:hAnsi="Cambria Math"/>
                <w:sz w:val="20"/>
                <w:szCs w:val="20"/>
              </w:rPr>
            </w:pPr>
            <w:r w:rsidRPr="00C806D0">
              <w:rPr>
                <w:rFonts w:ascii="Cambria Math" w:eastAsiaTheme="minorEastAsia" w:hAnsi="Cambria Math"/>
                <w:sz w:val="20"/>
                <w:szCs w:val="20"/>
              </w:rPr>
              <w:t>h(t|age)=𝜆e</w:t>
            </w:r>
            <w:r w:rsidRPr="00C806D0">
              <w:rPr>
                <w:rFonts w:ascii="Cambria Math" w:eastAsiaTheme="minorEastAsia" w:hAnsi="Cambria Math"/>
                <w:sz w:val="20"/>
                <w:szCs w:val="20"/>
                <w:vertAlign w:val="superscript"/>
              </w:rPr>
              <w:t>γt</w:t>
            </w:r>
            <w:r w:rsidRPr="00C806D0">
              <w:rPr>
                <w:rFonts w:ascii="Cambria Math" w:eastAsiaTheme="minorEastAsia" w:hAnsi="Cambria Math"/>
                <w:sz w:val="20"/>
                <w:szCs w:val="20"/>
              </w:rPr>
              <w:t xml:space="preserve"> </w:t>
            </w:r>
          </w:p>
        </w:tc>
      </w:tr>
      <w:tr w:rsidR="00800937" w:rsidRPr="00C806D0" w:rsidTr="00847363">
        <w:tc>
          <w:tcPr>
            <w:tcW w:w="0" w:type="auto"/>
          </w:tcPr>
          <w:p w:rsidR="00800937" w:rsidRPr="00C806D0" w:rsidRDefault="00800937" w:rsidP="00847363">
            <w:pPr>
              <w:rPr>
                <w:sz w:val="20"/>
                <w:szCs w:val="20"/>
              </w:rPr>
            </w:pPr>
            <w:r w:rsidRPr="00C806D0">
              <w:rPr>
                <w:sz w:val="20"/>
                <w:szCs w:val="20"/>
              </w:rPr>
              <w:t>Cumulative hazard function</w:t>
            </w:r>
          </w:p>
        </w:tc>
        <w:tc>
          <w:tcPr>
            <w:tcW w:w="4095" w:type="dxa"/>
          </w:tcPr>
          <w:p w:rsidR="00800937" w:rsidRPr="00C806D0" w:rsidRDefault="00800937" w:rsidP="00847363">
            <w:pPr>
              <w:rPr>
                <w:rFonts w:ascii="Cambria Math" w:hAnsi="Cambria Math"/>
                <w:sz w:val="20"/>
                <w:szCs w:val="20"/>
              </w:rPr>
            </w:pPr>
            <w:r w:rsidRPr="00C806D0">
              <w:rPr>
                <w:sz w:val="20"/>
                <w:szCs w:val="20"/>
              </w:rPr>
              <w:t>Cumulative hazard of death at time t, conditional on age at first TBI</w:t>
            </w:r>
          </w:p>
        </w:tc>
        <w:tc>
          <w:tcPr>
            <w:tcW w:w="3038" w:type="dxa"/>
          </w:tcPr>
          <w:p w:rsidR="00800937" w:rsidRPr="00C806D0" w:rsidRDefault="00800937" w:rsidP="00847363">
            <w:pPr>
              <w:rPr>
                <w:rFonts w:ascii="Cambria Math" w:eastAsiaTheme="minorEastAsia" w:hAnsi="Cambria Math"/>
                <w:sz w:val="20"/>
                <w:szCs w:val="20"/>
              </w:rPr>
            </w:pPr>
            <w:r w:rsidRPr="00C806D0">
              <w:rPr>
                <w:rFonts w:ascii="Cambria Math" w:hAnsi="Cambria Math"/>
                <w:sz w:val="20"/>
                <w:szCs w:val="20"/>
              </w:rPr>
              <w:t>H(t|age)=γ</w:t>
            </w:r>
            <w:r w:rsidRPr="00C806D0">
              <w:rPr>
                <w:rFonts w:ascii="Cambria Math" w:hAnsi="Cambria Math"/>
                <w:sz w:val="20"/>
                <w:szCs w:val="20"/>
                <w:vertAlign w:val="superscript"/>
              </w:rPr>
              <w:t>-1</w:t>
            </w:r>
            <w:r w:rsidRPr="00C806D0">
              <w:rPr>
                <w:rFonts w:ascii="Cambria Math" w:hAnsi="Cambria Math"/>
                <w:sz w:val="20"/>
                <w:szCs w:val="20"/>
              </w:rPr>
              <w:t xml:space="preserve"> exp(λ){exp(γt)-1}</w:t>
            </w:r>
          </w:p>
        </w:tc>
      </w:tr>
    </w:tbl>
    <w:p w:rsidR="00800937" w:rsidRPr="00C806D0" w:rsidRDefault="00800937" w:rsidP="00800937">
      <w:r w:rsidRPr="00C806D0">
        <w:rPr>
          <w:rFonts w:ascii="Cambria Math" w:hAnsi="Cambria Math"/>
        </w:rPr>
        <w:t>γ</w:t>
      </w:r>
      <w:r w:rsidRPr="00C806D0">
        <w:t xml:space="preserve"> = Gompertz distribution shape parameter, </w:t>
      </w:r>
      <w:r w:rsidRPr="00C806D0">
        <w:rPr>
          <w:rFonts w:ascii="Cambria Math" w:hAnsi="Cambria Math"/>
        </w:rPr>
        <w:t>λ</w:t>
      </w:r>
      <w:r w:rsidRPr="00C806D0">
        <w:t xml:space="preserve">= Gompertz distribution scale parameter, </w:t>
      </w:r>
      <w:r w:rsidRPr="00C806D0">
        <w:rPr>
          <w:rFonts w:ascii="Cambria Math" w:hAnsi="Cambria Math"/>
        </w:rPr>
        <w:t>e</w:t>
      </w:r>
      <w:r w:rsidRPr="00C806D0">
        <w:t xml:space="preserve">=Euler’s number, </w:t>
      </w:r>
      <w:r w:rsidRPr="00C806D0">
        <w:rPr>
          <w:rFonts w:ascii="Cambria Math" w:hAnsi="Cambria Math"/>
        </w:rPr>
        <w:t>t</w:t>
      </w:r>
      <w:r w:rsidRPr="00C806D0">
        <w:t>=number of years since sustaining TBI.</w:t>
      </w:r>
    </w:p>
    <w:p w:rsidR="000027E7" w:rsidRPr="00C806D0" w:rsidRDefault="000027E7" w:rsidP="002A360F">
      <w:pPr>
        <w:pStyle w:val="Heading3"/>
      </w:pPr>
      <w:r w:rsidRPr="00C806D0">
        <w:t>Sensitivity analyses for non-informative censoring.</w:t>
      </w:r>
    </w:p>
    <w:p w:rsidR="000027E7" w:rsidRPr="00C806D0" w:rsidRDefault="000027E7" w:rsidP="000027E7">
      <w:pPr>
        <w:pStyle w:val="Heading4"/>
      </w:pPr>
      <w:r w:rsidRPr="00C806D0">
        <w:t>Characteristics of censored patients</w:t>
      </w:r>
    </w:p>
    <w:p w:rsidR="000027E7" w:rsidRPr="00C806D0" w:rsidRDefault="000027E7" w:rsidP="000027E7">
      <w:r w:rsidRPr="00C806D0">
        <w:t>Non-administratively censored patients were predominantly younger (median age 25.8 v 33.8, p&lt;0.01), non-white (40.9% v 22.4%, p&lt;0.01), sustained more mild TBI (97.0% v 91.9%, p=0.01) and were victims of relatively more sporting accidents (14.8% v 7.2%, p=0.001). However, after controlling for age, drops outs were broadly representative of remaining patients with no notable differences except for a higher proportion of non-white ethnicity in the young adult subgroup (11% v 4%, p&lt;0.01). The overall characteristics of patients prematurely lost to follow up are contrasted to administratively censored or dead patients in Table G9. Features of cases lost to follow up are further compared, stratified by age group, in Table G10.</w:t>
      </w:r>
    </w:p>
    <w:p w:rsidR="000027E7" w:rsidRPr="00C806D0" w:rsidRDefault="000027E7" w:rsidP="000027E7">
      <w:pPr>
        <w:rPr>
          <w:b/>
        </w:rPr>
      </w:pPr>
    </w:p>
    <w:p w:rsidR="00800937" w:rsidRPr="00C806D0" w:rsidRDefault="00800937" w:rsidP="000027E7">
      <w:pPr>
        <w:rPr>
          <w:b/>
        </w:rPr>
      </w:pPr>
    </w:p>
    <w:p w:rsidR="00800937" w:rsidRPr="00C806D0" w:rsidRDefault="00800937" w:rsidP="000027E7">
      <w:pPr>
        <w:rPr>
          <w:b/>
        </w:rPr>
      </w:pPr>
    </w:p>
    <w:p w:rsidR="00800937" w:rsidRPr="00C806D0" w:rsidRDefault="00800937" w:rsidP="000027E7">
      <w:pPr>
        <w:rPr>
          <w:b/>
        </w:rPr>
      </w:pPr>
    </w:p>
    <w:p w:rsidR="00800937" w:rsidRPr="00C806D0" w:rsidRDefault="00800937" w:rsidP="000027E7">
      <w:pPr>
        <w:rPr>
          <w:b/>
        </w:rPr>
      </w:pPr>
    </w:p>
    <w:p w:rsidR="00800937" w:rsidRPr="00C806D0" w:rsidRDefault="00800937" w:rsidP="000027E7">
      <w:pPr>
        <w:rPr>
          <w:b/>
        </w:rPr>
      </w:pPr>
    </w:p>
    <w:p w:rsidR="00800937" w:rsidRPr="00C806D0" w:rsidRDefault="00800937" w:rsidP="000027E7">
      <w:pPr>
        <w:rPr>
          <w:b/>
        </w:rPr>
      </w:pPr>
    </w:p>
    <w:p w:rsidR="00800937" w:rsidRPr="00C806D0" w:rsidRDefault="00800937" w:rsidP="000027E7">
      <w:pPr>
        <w:rPr>
          <w:b/>
        </w:rPr>
      </w:pPr>
    </w:p>
    <w:p w:rsidR="000027E7" w:rsidRPr="00C806D0" w:rsidRDefault="000027E7" w:rsidP="000027E7">
      <w:pPr>
        <w:rPr>
          <w:b/>
        </w:rPr>
      </w:pPr>
      <w:r w:rsidRPr="00C806D0">
        <w:rPr>
          <w:b/>
        </w:rPr>
        <w:t xml:space="preserve">Table </w:t>
      </w:r>
      <w:r w:rsidR="00800937" w:rsidRPr="00C806D0">
        <w:rPr>
          <w:b/>
        </w:rPr>
        <w:t>G10</w:t>
      </w:r>
      <w:r w:rsidRPr="00C806D0">
        <w:rPr>
          <w:b/>
        </w:rPr>
        <w:t xml:space="preserve">. Overall characteristics of patients lost to follow up </w:t>
      </w:r>
      <w:r w:rsidR="00335B1F" w:rsidRPr="00C806D0">
        <w:rPr>
          <w:b/>
        </w:rPr>
        <w:t>compared with</w:t>
      </w:r>
      <w:r w:rsidRPr="00C806D0">
        <w:rPr>
          <w:b/>
        </w:rPr>
        <w:t xml:space="preserve"> administratively censored or dying patients</w:t>
      </w:r>
    </w:p>
    <w:tbl>
      <w:tblPr>
        <w:tblStyle w:val="LightShading1"/>
        <w:tblW w:w="0" w:type="auto"/>
        <w:jc w:val="center"/>
        <w:tblLook w:val="0620" w:firstRow="1" w:lastRow="0" w:firstColumn="0" w:lastColumn="0" w:noHBand="1" w:noVBand="1"/>
      </w:tblPr>
      <w:tblGrid>
        <w:gridCol w:w="2242"/>
        <w:gridCol w:w="2393"/>
        <w:gridCol w:w="2375"/>
        <w:gridCol w:w="1710"/>
      </w:tblGrid>
      <w:tr w:rsidR="000027E7" w:rsidRPr="00C806D0" w:rsidTr="000027E7">
        <w:trPr>
          <w:cnfStyle w:val="100000000000" w:firstRow="1" w:lastRow="0" w:firstColumn="0" w:lastColumn="0" w:oddVBand="0" w:evenVBand="0" w:oddHBand="0" w:evenHBand="0" w:firstRowFirstColumn="0" w:firstRowLastColumn="0" w:lastRowFirstColumn="0" w:lastRowLastColumn="0"/>
          <w:jc w:val="center"/>
        </w:trPr>
        <w:tc>
          <w:tcPr>
            <w:tcW w:w="2376" w:type="dxa"/>
          </w:tcPr>
          <w:p w:rsidR="000027E7" w:rsidRPr="00C806D0" w:rsidRDefault="000027E7" w:rsidP="000027E7">
            <w:pPr>
              <w:pStyle w:val="NoSpacing"/>
              <w:jc w:val="center"/>
              <w:rPr>
                <w:sz w:val="20"/>
                <w:szCs w:val="20"/>
              </w:rPr>
            </w:pPr>
            <w:r w:rsidRPr="00C806D0">
              <w:rPr>
                <w:sz w:val="20"/>
                <w:szCs w:val="20"/>
              </w:rPr>
              <w:t>Patient characteristic</w:t>
            </w:r>
          </w:p>
          <w:p w:rsidR="000027E7" w:rsidRPr="00C806D0" w:rsidRDefault="000027E7" w:rsidP="000027E7">
            <w:pPr>
              <w:pStyle w:val="NoSpacing"/>
              <w:jc w:val="center"/>
              <w:rPr>
                <w:sz w:val="20"/>
                <w:szCs w:val="20"/>
              </w:rPr>
            </w:pPr>
            <w:r w:rsidRPr="00C806D0">
              <w:rPr>
                <w:sz w:val="20"/>
                <w:szCs w:val="20"/>
              </w:rPr>
              <w:t>(n=769)</w:t>
            </w:r>
          </w:p>
        </w:tc>
        <w:tc>
          <w:tcPr>
            <w:tcW w:w="2511" w:type="dxa"/>
          </w:tcPr>
          <w:p w:rsidR="000027E7" w:rsidRPr="00C806D0" w:rsidRDefault="000027E7" w:rsidP="000027E7">
            <w:pPr>
              <w:pStyle w:val="NoSpacing"/>
              <w:jc w:val="center"/>
              <w:rPr>
                <w:sz w:val="20"/>
                <w:szCs w:val="20"/>
              </w:rPr>
            </w:pPr>
            <w:r w:rsidRPr="00C806D0">
              <w:rPr>
                <w:sz w:val="20"/>
                <w:szCs w:val="20"/>
              </w:rPr>
              <w:t>Administratively censored or died</w:t>
            </w:r>
          </w:p>
          <w:p w:rsidR="000027E7" w:rsidRPr="00C806D0" w:rsidRDefault="000027E7" w:rsidP="000027E7">
            <w:pPr>
              <w:pStyle w:val="NoSpacing"/>
              <w:jc w:val="center"/>
              <w:rPr>
                <w:sz w:val="20"/>
                <w:szCs w:val="20"/>
              </w:rPr>
            </w:pPr>
            <w:r w:rsidRPr="00C806D0">
              <w:rPr>
                <w:sz w:val="20"/>
                <w:szCs w:val="20"/>
              </w:rPr>
              <w:t>(%, 95%CI)</w:t>
            </w:r>
          </w:p>
        </w:tc>
        <w:tc>
          <w:tcPr>
            <w:tcW w:w="2493" w:type="dxa"/>
          </w:tcPr>
          <w:p w:rsidR="000027E7" w:rsidRPr="00C806D0" w:rsidRDefault="000027E7" w:rsidP="000027E7">
            <w:pPr>
              <w:pStyle w:val="NoSpacing"/>
              <w:jc w:val="center"/>
              <w:rPr>
                <w:sz w:val="20"/>
                <w:szCs w:val="20"/>
              </w:rPr>
            </w:pPr>
            <w:r w:rsidRPr="00C806D0">
              <w:rPr>
                <w:sz w:val="20"/>
                <w:szCs w:val="20"/>
              </w:rPr>
              <w:t>Non-administratively censored</w:t>
            </w:r>
          </w:p>
          <w:p w:rsidR="000027E7" w:rsidRPr="00C806D0" w:rsidRDefault="000027E7" w:rsidP="000027E7">
            <w:pPr>
              <w:pStyle w:val="NoSpacing"/>
              <w:jc w:val="center"/>
              <w:rPr>
                <w:sz w:val="20"/>
                <w:szCs w:val="20"/>
              </w:rPr>
            </w:pPr>
            <w:r w:rsidRPr="00C806D0">
              <w:rPr>
                <w:sz w:val="20"/>
                <w:szCs w:val="20"/>
              </w:rPr>
              <w:t>(%, 95%CI)</w:t>
            </w:r>
          </w:p>
        </w:tc>
        <w:tc>
          <w:tcPr>
            <w:tcW w:w="1862" w:type="dxa"/>
          </w:tcPr>
          <w:p w:rsidR="000027E7" w:rsidRPr="00C806D0" w:rsidRDefault="000027E7" w:rsidP="000027E7">
            <w:pPr>
              <w:pStyle w:val="NoSpacing"/>
              <w:jc w:val="center"/>
              <w:rPr>
                <w:sz w:val="20"/>
                <w:szCs w:val="20"/>
              </w:rPr>
            </w:pPr>
            <w:r w:rsidRPr="00C806D0">
              <w:rPr>
                <w:sz w:val="20"/>
                <w:szCs w:val="20"/>
              </w:rPr>
              <w:t>p-value</w:t>
            </w:r>
          </w:p>
        </w:tc>
      </w:tr>
      <w:tr w:rsidR="000027E7" w:rsidRPr="00C806D0" w:rsidTr="000027E7">
        <w:trPr>
          <w:jc w:val="center"/>
        </w:trPr>
        <w:tc>
          <w:tcPr>
            <w:tcW w:w="2376" w:type="dxa"/>
          </w:tcPr>
          <w:p w:rsidR="000027E7" w:rsidRPr="00C806D0" w:rsidRDefault="000027E7" w:rsidP="000027E7">
            <w:pPr>
              <w:pStyle w:val="NoSpacing"/>
              <w:jc w:val="center"/>
              <w:rPr>
                <w:sz w:val="20"/>
                <w:szCs w:val="20"/>
              </w:rPr>
            </w:pPr>
          </w:p>
        </w:tc>
        <w:tc>
          <w:tcPr>
            <w:tcW w:w="2511" w:type="dxa"/>
          </w:tcPr>
          <w:p w:rsidR="000027E7" w:rsidRPr="00C806D0" w:rsidRDefault="000027E7" w:rsidP="000027E7">
            <w:pPr>
              <w:jc w:val="center"/>
              <w:rPr>
                <w:sz w:val="20"/>
                <w:szCs w:val="20"/>
              </w:rPr>
            </w:pPr>
            <w:r w:rsidRPr="00C806D0">
              <w:rPr>
                <w:sz w:val="20"/>
                <w:szCs w:val="20"/>
              </w:rPr>
              <w:t>n=566</w:t>
            </w:r>
          </w:p>
        </w:tc>
        <w:tc>
          <w:tcPr>
            <w:tcW w:w="2493" w:type="dxa"/>
          </w:tcPr>
          <w:p w:rsidR="000027E7" w:rsidRPr="00C806D0" w:rsidRDefault="000027E7" w:rsidP="000027E7">
            <w:pPr>
              <w:jc w:val="center"/>
              <w:rPr>
                <w:sz w:val="20"/>
                <w:szCs w:val="20"/>
              </w:rPr>
            </w:pPr>
            <w:r w:rsidRPr="00C806D0">
              <w:rPr>
                <w:sz w:val="20"/>
                <w:szCs w:val="20"/>
              </w:rPr>
              <w:t>n=203</w:t>
            </w:r>
          </w:p>
        </w:tc>
        <w:tc>
          <w:tcPr>
            <w:tcW w:w="1862" w:type="dxa"/>
          </w:tcPr>
          <w:p w:rsidR="000027E7" w:rsidRPr="00C806D0" w:rsidRDefault="000027E7" w:rsidP="000027E7">
            <w:pPr>
              <w:jc w:val="center"/>
              <w:rPr>
                <w:sz w:val="20"/>
                <w:szCs w:val="20"/>
              </w:rPr>
            </w:pPr>
          </w:p>
        </w:tc>
      </w:tr>
      <w:tr w:rsidR="000027E7" w:rsidRPr="00C806D0" w:rsidTr="000027E7">
        <w:trPr>
          <w:jc w:val="center"/>
        </w:trPr>
        <w:tc>
          <w:tcPr>
            <w:tcW w:w="2376" w:type="dxa"/>
          </w:tcPr>
          <w:p w:rsidR="000027E7" w:rsidRPr="00C806D0" w:rsidRDefault="000027E7" w:rsidP="000027E7">
            <w:pPr>
              <w:rPr>
                <w:sz w:val="20"/>
                <w:szCs w:val="20"/>
              </w:rPr>
            </w:pPr>
            <w:r w:rsidRPr="00C806D0">
              <w:rPr>
                <w:sz w:val="20"/>
                <w:szCs w:val="20"/>
              </w:rPr>
              <w:t>Age (Years, median, IQR)</w:t>
            </w:r>
          </w:p>
        </w:tc>
        <w:tc>
          <w:tcPr>
            <w:tcW w:w="2511" w:type="dxa"/>
          </w:tcPr>
          <w:p w:rsidR="000027E7" w:rsidRPr="00C806D0" w:rsidRDefault="000027E7" w:rsidP="000027E7">
            <w:pPr>
              <w:jc w:val="center"/>
              <w:rPr>
                <w:sz w:val="20"/>
                <w:szCs w:val="20"/>
              </w:rPr>
            </w:pPr>
            <w:r w:rsidRPr="00C806D0">
              <w:rPr>
                <w:sz w:val="20"/>
                <w:szCs w:val="20"/>
              </w:rPr>
              <w:t>33.8 years (22.5-55.0)</w:t>
            </w:r>
          </w:p>
        </w:tc>
        <w:tc>
          <w:tcPr>
            <w:tcW w:w="2493" w:type="dxa"/>
          </w:tcPr>
          <w:p w:rsidR="000027E7" w:rsidRPr="00C806D0" w:rsidRDefault="000027E7" w:rsidP="000027E7">
            <w:pPr>
              <w:jc w:val="center"/>
              <w:rPr>
                <w:sz w:val="20"/>
                <w:szCs w:val="20"/>
              </w:rPr>
            </w:pPr>
            <w:r w:rsidRPr="00C806D0">
              <w:rPr>
                <w:sz w:val="20"/>
                <w:szCs w:val="20"/>
              </w:rPr>
              <w:t>25.8 (19.8-31.6)</w:t>
            </w:r>
          </w:p>
        </w:tc>
        <w:tc>
          <w:tcPr>
            <w:tcW w:w="1862" w:type="dxa"/>
          </w:tcPr>
          <w:p w:rsidR="000027E7" w:rsidRPr="00C806D0" w:rsidRDefault="000027E7" w:rsidP="000027E7">
            <w:pPr>
              <w:jc w:val="center"/>
              <w:rPr>
                <w:sz w:val="20"/>
                <w:szCs w:val="20"/>
              </w:rPr>
            </w:pPr>
            <w:r w:rsidRPr="00C806D0">
              <w:rPr>
                <w:sz w:val="20"/>
                <w:szCs w:val="20"/>
              </w:rPr>
              <w:t>&lt;0.01</w:t>
            </w:r>
          </w:p>
        </w:tc>
      </w:tr>
      <w:tr w:rsidR="000027E7" w:rsidRPr="00C806D0" w:rsidTr="000027E7">
        <w:trPr>
          <w:jc w:val="center"/>
        </w:trPr>
        <w:tc>
          <w:tcPr>
            <w:tcW w:w="2376" w:type="dxa"/>
          </w:tcPr>
          <w:p w:rsidR="000027E7" w:rsidRPr="00C806D0" w:rsidRDefault="000027E7" w:rsidP="000027E7">
            <w:pPr>
              <w:rPr>
                <w:sz w:val="20"/>
                <w:szCs w:val="20"/>
              </w:rPr>
            </w:pPr>
            <w:r w:rsidRPr="00C806D0">
              <w:rPr>
                <w:sz w:val="20"/>
                <w:szCs w:val="20"/>
              </w:rPr>
              <w:t xml:space="preserve">Male Gender </w:t>
            </w:r>
          </w:p>
        </w:tc>
        <w:tc>
          <w:tcPr>
            <w:tcW w:w="2511" w:type="dxa"/>
          </w:tcPr>
          <w:p w:rsidR="000027E7" w:rsidRPr="00C806D0" w:rsidRDefault="000027E7" w:rsidP="000027E7">
            <w:pPr>
              <w:jc w:val="center"/>
              <w:rPr>
                <w:sz w:val="20"/>
                <w:szCs w:val="20"/>
              </w:rPr>
            </w:pPr>
            <w:r w:rsidRPr="00C806D0">
              <w:rPr>
                <w:sz w:val="20"/>
                <w:szCs w:val="20"/>
              </w:rPr>
              <w:t>49.1% (45.0-53.2)</w:t>
            </w:r>
          </w:p>
        </w:tc>
        <w:tc>
          <w:tcPr>
            <w:tcW w:w="2493" w:type="dxa"/>
          </w:tcPr>
          <w:p w:rsidR="000027E7" w:rsidRPr="00C806D0" w:rsidRDefault="000027E7" w:rsidP="000027E7">
            <w:pPr>
              <w:jc w:val="center"/>
              <w:rPr>
                <w:sz w:val="20"/>
                <w:szCs w:val="20"/>
              </w:rPr>
            </w:pPr>
            <w:r w:rsidRPr="00C806D0">
              <w:rPr>
                <w:sz w:val="20"/>
                <w:szCs w:val="20"/>
              </w:rPr>
              <w:t>53.2% (46.3-60.1)</w:t>
            </w:r>
          </w:p>
        </w:tc>
        <w:tc>
          <w:tcPr>
            <w:tcW w:w="1862" w:type="dxa"/>
          </w:tcPr>
          <w:p w:rsidR="000027E7" w:rsidRPr="00C806D0" w:rsidRDefault="000027E7" w:rsidP="000027E7">
            <w:pPr>
              <w:jc w:val="center"/>
              <w:rPr>
                <w:sz w:val="20"/>
                <w:szCs w:val="20"/>
              </w:rPr>
            </w:pPr>
            <w:r w:rsidRPr="00C806D0">
              <w:rPr>
                <w:sz w:val="20"/>
                <w:szCs w:val="20"/>
              </w:rPr>
              <w:t>0.32</w:t>
            </w:r>
          </w:p>
        </w:tc>
      </w:tr>
      <w:tr w:rsidR="000027E7" w:rsidRPr="00C806D0" w:rsidTr="000027E7">
        <w:trPr>
          <w:jc w:val="center"/>
        </w:trPr>
        <w:tc>
          <w:tcPr>
            <w:tcW w:w="2376" w:type="dxa"/>
          </w:tcPr>
          <w:p w:rsidR="000027E7" w:rsidRPr="00C806D0" w:rsidRDefault="000027E7" w:rsidP="000027E7">
            <w:pPr>
              <w:rPr>
                <w:sz w:val="20"/>
                <w:szCs w:val="20"/>
              </w:rPr>
            </w:pPr>
            <w:r w:rsidRPr="00C806D0">
              <w:rPr>
                <w:sz w:val="20"/>
                <w:szCs w:val="20"/>
              </w:rPr>
              <w:t>White ethnicity*</w:t>
            </w:r>
          </w:p>
        </w:tc>
        <w:tc>
          <w:tcPr>
            <w:tcW w:w="2511" w:type="dxa"/>
          </w:tcPr>
          <w:p w:rsidR="000027E7" w:rsidRPr="00C806D0" w:rsidRDefault="000027E7" w:rsidP="000027E7">
            <w:pPr>
              <w:jc w:val="center"/>
              <w:rPr>
                <w:sz w:val="20"/>
                <w:szCs w:val="20"/>
              </w:rPr>
            </w:pPr>
            <w:r w:rsidRPr="00C806D0">
              <w:rPr>
                <w:sz w:val="20"/>
                <w:szCs w:val="20"/>
              </w:rPr>
              <w:t>77.6% (74.1-81.0)</w:t>
            </w:r>
          </w:p>
        </w:tc>
        <w:tc>
          <w:tcPr>
            <w:tcW w:w="2493" w:type="dxa"/>
          </w:tcPr>
          <w:p w:rsidR="000027E7" w:rsidRPr="00C806D0" w:rsidRDefault="000027E7" w:rsidP="000027E7">
            <w:pPr>
              <w:jc w:val="center"/>
              <w:rPr>
                <w:sz w:val="20"/>
                <w:szCs w:val="20"/>
              </w:rPr>
            </w:pPr>
            <w:r w:rsidRPr="00C806D0">
              <w:rPr>
                <w:sz w:val="20"/>
                <w:szCs w:val="20"/>
              </w:rPr>
              <w:t>59.1% (52.3-65.9)</w:t>
            </w:r>
          </w:p>
        </w:tc>
        <w:tc>
          <w:tcPr>
            <w:tcW w:w="1862" w:type="dxa"/>
          </w:tcPr>
          <w:p w:rsidR="000027E7" w:rsidRPr="00C806D0" w:rsidRDefault="000027E7" w:rsidP="000027E7">
            <w:pPr>
              <w:jc w:val="center"/>
              <w:rPr>
                <w:sz w:val="20"/>
                <w:szCs w:val="20"/>
              </w:rPr>
            </w:pPr>
            <w:r w:rsidRPr="00C806D0">
              <w:rPr>
                <w:sz w:val="20"/>
                <w:szCs w:val="20"/>
              </w:rPr>
              <w:t>&lt;0.01</w:t>
            </w:r>
          </w:p>
        </w:tc>
      </w:tr>
      <w:tr w:rsidR="000027E7" w:rsidRPr="00C806D0" w:rsidTr="000027E7">
        <w:trPr>
          <w:jc w:val="center"/>
        </w:trPr>
        <w:tc>
          <w:tcPr>
            <w:tcW w:w="2376" w:type="dxa"/>
          </w:tcPr>
          <w:p w:rsidR="000027E7" w:rsidRPr="00C806D0" w:rsidRDefault="002A16B4" w:rsidP="000027E7">
            <w:pPr>
              <w:rPr>
                <w:sz w:val="20"/>
                <w:szCs w:val="20"/>
              </w:rPr>
            </w:pPr>
            <w:r w:rsidRPr="00C806D0">
              <w:rPr>
                <w:sz w:val="20"/>
                <w:szCs w:val="20"/>
              </w:rPr>
              <w:t>Extracranial</w:t>
            </w:r>
            <w:r w:rsidR="000027E7" w:rsidRPr="00C806D0">
              <w:rPr>
                <w:sz w:val="20"/>
                <w:szCs w:val="20"/>
              </w:rPr>
              <w:t xml:space="preserve"> injury </w:t>
            </w:r>
          </w:p>
        </w:tc>
        <w:tc>
          <w:tcPr>
            <w:tcW w:w="2511" w:type="dxa"/>
          </w:tcPr>
          <w:p w:rsidR="000027E7" w:rsidRPr="00C806D0" w:rsidRDefault="000027E7" w:rsidP="000027E7">
            <w:pPr>
              <w:jc w:val="center"/>
              <w:rPr>
                <w:sz w:val="20"/>
                <w:szCs w:val="20"/>
              </w:rPr>
            </w:pPr>
            <w:r w:rsidRPr="00C806D0">
              <w:rPr>
                <w:sz w:val="20"/>
                <w:szCs w:val="20"/>
              </w:rPr>
              <w:t>23.5% (20.0-27.0)</w:t>
            </w:r>
          </w:p>
        </w:tc>
        <w:tc>
          <w:tcPr>
            <w:tcW w:w="2493" w:type="dxa"/>
          </w:tcPr>
          <w:p w:rsidR="000027E7" w:rsidRPr="00C806D0" w:rsidRDefault="000027E7" w:rsidP="000027E7">
            <w:pPr>
              <w:jc w:val="center"/>
              <w:rPr>
                <w:sz w:val="20"/>
                <w:szCs w:val="20"/>
              </w:rPr>
            </w:pPr>
            <w:r w:rsidRPr="00C806D0">
              <w:rPr>
                <w:sz w:val="20"/>
                <w:szCs w:val="20"/>
              </w:rPr>
              <w:t>22.7% (16.9-28.4)</w:t>
            </w:r>
          </w:p>
        </w:tc>
        <w:tc>
          <w:tcPr>
            <w:tcW w:w="1862" w:type="dxa"/>
          </w:tcPr>
          <w:p w:rsidR="000027E7" w:rsidRPr="00C806D0" w:rsidRDefault="000027E7" w:rsidP="000027E7">
            <w:pPr>
              <w:jc w:val="center"/>
              <w:rPr>
                <w:sz w:val="20"/>
                <w:szCs w:val="20"/>
              </w:rPr>
            </w:pPr>
            <w:r w:rsidRPr="00C806D0">
              <w:rPr>
                <w:sz w:val="20"/>
                <w:szCs w:val="20"/>
              </w:rPr>
              <w:t>0.81</w:t>
            </w:r>
          </w:p>
        </w:tc>
      </w:tr>
      <w:tr w:rsidR="000027E7" w:rsidRPr="00C806D0" w:rsidTr="000027E7">
        <w:trPr>
          <w:jc w:val="center"/>
        </w:trPr>
        <w:tc>
          <w:tcPr>
            <w:tcW w:w="2376" w:type="dxa"/>
          </w:tcPr>
          <w:p w:rsidR="000027E7" w:rsidRPr="00C806D0" w:rsidRDefault="000027E7" w:rsidP="000027E7">
            <w:pPr>
              <w:rPr>
                <w:sz w:val="20"/>
                <w:szCs w:val="20"/>
              </w:rPr>
            </w:pPr>
            <w:r w:rsidRPr="00C806D0">
              <w:rPr>
                <w:sz w:val="20"/>
                <w:szCs w:val="20"/>
              </w:rPr>
              <w:t xml:space="preserve">Mild TBI </w:t>
            </w:r>
          </w:p>
        </w:tc>
        <w:tc>
          <w:tcPr>
            <w:tcW w:w="2511" w:type="dxa"/>
          </w:tcPr>
          <w:p w:rsidR="000027E7" w:rsidRPr="00C806D0" w:rsidRDefault="000027E7" w:rsidP="000027E7">
            <w:pPr>
              <w:jc w:val="center"/>
              <w:rPr>
                <w:sz w:val="20"/>
                <w:szCs w:val="20"/>
              </w:rPr>
            </w:pPr>
            <w:r w:rsidRPr="00C806D0">
              <w:rPr>
                <w:sz w:val="20"/>
                <w:szCs w:val="20"/>
              </w:rPr>
              <w:t>91.9% (89.6-94.1)</w:t>
            </w:r>
          </w:p>
        </w:tc>
        <w:tc>
          <w:tcPr>
            <w:tcW w:w="2493" w:type="dxa"/>
          </w:tcPr>
          <w:p w:rsidR="000027E7" w:rsidRPr="00C806D0" w:rsidRDefault="000027E7" w:rsidP="000027E7">
            <w:pPr>
              <w:jc w:val="center"/>
              <w:rPr>
                <w:sz w:val="20"/>
                <w:szCs w:val="20"/>
              </w:rPr>
            </w:pPr>
            <w:r w:rsidRPr="00C806D0">
              <w:rPr>
                <w:sz w:val="20"/>
                <w:szCs w:val="20"/>
              </w:rPr>
              <w:t>97.0% (94.7-99.4)</w:t>
            </w:r>
          </w:p>
        </w:tc>
        <w:tc>
          <w:tcPr>
            <w:tcW w:w="1862" w:type="dxa"/>
          </w:tcPr>
          <w:p w:rsidR="000027E7" w:rsidRPr="00C806D0" w:rsidRDefault="000027E7" w:rsidP="000027E7">
            <w:pPr>
              <w:jc w:val="center"/>
              <w:rPr>
                <w:sz w:val="20"/>
                <w:szCs w:val="20"/>
              </w:rPr>
            </w:pPr>
            <w:r w:rsidRPr="00C806D0">
              <w:rPr>
                <w:sz w:val="20"/>
                <w:szCs w:val="20"/>
              </w:rPr>
              <w:t>0.01</w:t>
            </w:r>
          </w:p>
        </w:tc>
      </w:tr>
      <w:tr w:rsidR="000027E7" w:rsidRPr="00C806D0" w:rsidTr="000027E7">
        <w:trPr>
          <w:jc w:val="center"/>
        </w:trPr>
        <w:tc>
          <w:tcPr>
            <w:tcW w:w="2376" w:type="dxa"/>
          </w:tcPr>
          <w:p w:rsidR="000027E7" w:rsidRPr="00C806D0" w:rsidRDefault="000027E7" w:rsidP="000027E7">
            <w:pPr>
              <w:rPr>
                <w:sz w:val="20"/>
                <w:szCs w:val="20"/>
              </w:rPr>
            </w:pPr>
            <w:r w:rsidRPr="00C806D0">
              <w:rPr>
                <w:sz w:val="20"/>
                <w:szCs w:val="20"/>
              </w:rPr>
              <w:t xml:space="preserve">Mode of injury </w:t>
            </w:r>
          </w:p>
        </w:tc>
        <w:tc>
          <w:tcPr>
            <w:tcW w:w="2511" w:type="dxa"/>
          </w:tcPr>
          <w:p w:rsidR="000027E7" w:rsidRPr="00C806D0" w:rsidRDefault="000027E7" w:rsidP="000027E7">
            <w:pPr>
              <w:jc w:val="center"/>
              <w:rPr>
                <w:sz w:val="20"/>
                <w:szCs w:val="20"/>
              </w:rPr>
            </w:pPr>
          </w:p>
        </w:tc>
        <w:tc>
          <w:tcPr>
            <w:tcW w:w="2493" w:type="dxa"/>
          </w:tcPr>
          <w:p w:rsidR="000027E7" w:rsidRPr="00C806D0" w:rsidRDefault="000027E7" w:rsidP="000027E7">
            <w:pPr>
              <w:jc w:val="center"/>
              <w:rPr>
                <w:sz w:val="20"/>
                <w:szCs w:val="20"/>
              </w:rPr>
            </w:pPr>
          </w:p>
        </w:tc>
        <w:tc>
          <w:tcPr>
            <w:tcW w:w="1862" w:type="dxa"/>
          </w:tcPr>
          <w:p w:rsidR="000027E7" w:rsidRPr="00C806D0" w:rsidRDefault="000027E7" w:rsidP="000027E7">
            <w:pPr>
              <w:jc w:val="center"/>
              <w:rPr>
                <w:sz w:val="20"/>
                <w:szCs w:val="20"/>
              </w:rPr>
            </w:pPr>
          </w:p>
        </w:tc>
      </w:tr>
      <w:tr w:rsidR="000027E7" w:rsidRPr="00C806D0" w:rsidTr="000027E7">
        <w:trPr>
          <w:jc w:val="center"/>
        </w:trPr>
        <w:tc>
          <w:tcPr>
            <w:tcW w:w="2376" w:type="dxa"/>
          </w:tcPr>
          <w:p w:rsidR="000027E7" w:rsidRPr="00C806D0" w:rsidRDefault="000027E7" w:rsidP="000027E7">
            <w:pPr>
              <w:rPr>
                <w:sz w:val="20"/>
                <w:szCs w:val="20"/>
              </w:rPr>
            </w:pPr>
            <w:r w:rsidRPr="00C806D0">
              <w:rPr>
                <w:sz w:val="20"/>
                <w:szCs w:val="20"/>
              </w:rPr>
              <w:t xml:space="preserve">   </w:t>
            </w:r>
            <w:r w:rsidRPr="00C806D0">
              <w:rPr>
                <w:sz w:val="20"/>
                <w:szCs w:val="20"/>
              </w:rPr>
              <w:sym w:font="Wingdings" w:char="F09F"/>
            </w:r>
            <w:r w:rsidRPr="00C806D0">
              <w:rPr>
                <w:sz w:val="20"/>
                <w:szCs w:val="20"/>
              </w:rPr>
              <w:t xml:space="preserve"> Road accident</w:t>
            </w:r>
          </w:p>
        </w:tc>
        <w:tc>
          <w:tcPr>
            <w:tcW w:w="2511" w:type="dxa"/>
          </w:tcPr>
          <w:p w:rsidR="000027E7" w:rsidRPr="00C806D0" w:rsidRDefault="000027E7" w:rsidP="000027E7">
            <w:pPr>
              <w:jc w:val="center"/>
              <w:rPr>
                <w:sz w:val="20"/>
                <w:szCs w:val="20"/>
              </w:rPr>
            </w:pPr>
            <w:r w:rsidRPr="00C806D0">
              <w:rPr>
                <w:sz w:val="20"/>
                <w:szCs w:val="20"/>
              </w:rPr>
              <w:t>43.4% (39.4-47.6)</w:t>
            </w:r>
          </w:p>
        </w:tc>
        <w:tc>
          <w:tcPr>
            <w:tcW w:w="2493" w:type="dxa"/>
          </w:tcPr>
          <w:p w:rsidR="000027E7" w:rsidRPr="00C806D0" w:rsidRDefault="000027E7" w:rsidP="000027E7">
            <w:pPr>
              <w:jc w:val="center"/>
              <w:rPr>
                <w:sz w:val="20"/>
                <w:szCs w:val="20"/>
              </w:rPr>
            </w:pPr>
            <w:r w:rsidRPr="00C806D0">
              <w:rPr>
                <w:sz w:val="20"/>
                <w:szCs w:val="20"/>
              </w:rPr>
              <w:t>44.3% (37.5-51.2)</w:t>
            </w:r>
          </w:p>
        </w:tc>
        <w:tc>
          <w:tcPr>
            <w:tcW w:w="1862" w:type="dxa"/>
          </w:tcPr>
          <w:p w:rsidR="000027E7" w:rsidRPr="00C806D0" w:rsidRDefault="000027E7" w:rsidP="000027E7">
            <w:pPr>
              <w:jc w:val="center"/>
              <w:rPr>
                <w:sz w:val="20"/>
                <w:szCs w:val="20"/>
              </w:rPr>
            </w:pPr>
          </w:p>
        </w:tc>
      </w:tr>
      <w:tr w:rsidR="000027E7" w:rsidRPr="00C806D0" w:rsidTr="000027E7">
        <w:trPr>
          <w:jc w:val="center"/>
        </w:trPr>
        <w:tc>
          <w:tcPr>
            <w:tcW w:w="2376" w:type="dxa"/>
          </w:tcPr>
          <w:p w:rsidR="000027E7" w:rsidRPr="00C806D0" w:rsidRDefault="000027E7" w:rsidP="000027E7">
            <w:pPr>
              <w:rPr>
                <w:sz w:val="20"/>
                <w:szCs w:val="20"/>
              </w:rPr>
            </w:pPr>
            <w:r w:rsidRPr="00C806D0">
              <w:rPr>
                <w:sz w:val="20"/>
                <w:szCs w:val="20"/>
              </w:rPr>
              <w:t xml:space="preserve">   </w:t>
            </w:r>
            <w:r w:rsidRPr="00C806D0">
              <w:rPr>
                <w:sz w:val="20"/>
                <w:szCs w:val="20"/>
              </w:rPr>
              <w:sym w:font="Wingdings" w:char="F09F"/>
            </w:r>
            <w:r w:rsidRPr="00C806D0">
              <w:rPr>
                <w:sz w:val="20"/>
                <w:szCs w:val="20"/>
              </w:rPr>
              <w:t xml:space="preserve"> Fall</w:t>
            </w:r>
          </w:p>
        </w:tc>
        <w:tc>
          <w:tcPr>
            <w:tcW w:w="2511" w:type="dxa"/>
          </w:tcPr>
          <w:p w:rsidR="000027E7" w:rsidRPr="00C806D0" w:rsidRDefault="000027E7" w:rsidP="000027E7">
            <w:pPr>
              <w:jc w:val="center"/>
              <w:rPr>
                <w:sz w:val="20"/>
                <w:szCs w:val="20"/>
              </w:rPr>
            </w:pPr>
            <w:r w:rsidRPr="00C806D0">
              <w:rPr>
                <w:sz w:val="20"/>
                <w:szCs w:val="20"/>
              </w:rPr>
              <w:t>27.7% (24.0-31.4)</w:t>
            </w:r>
          </w:p>
        </w:tc>
        <w:tc>
          <w:tcPr>
            <w:tcW w:w="2493" w:type="dxa"/>
          </w:tcPr>
          <w:p w:rsidR="000027E7" w:rsidRPr="00C806D0" w:rsidRDefault="000027E7" w:rsidP="000027E7">
            <w:pPr>
              <w:jc w:val="center"/>
              <w:rPr>
                <w:sz w:val="20"/>
                <w:szCs w:val="20"/>
              </w:rPr>
            </w:pPr>
            <w:r w:rsidRPr="00C806D0">
              <w:rPr>
                <w:sz w:val="20"/>
                <w:szCs w:val="20"/>
              </w:rPr>
              <w:t>16.3% (11.1-21.4)</w:t>
            </w:r>
          </w:p>
        </w:tc>
        <w:tc>
          <w:tcPr>
            <w:tcW w:w="1862" w:type="dxa"/>
          </w:tcPr>
          <w:p w:rsidR="000027E7" w:rsidRPr="00C806D0" w:rsidRDefault="000027E7" w:rsidP="000027E7">
            <w:pPr>
              <w:jc w:val="center"/>
              <w:rPr>
                <w:sz w:val="20"/>
                <w:szCs w:val="20"/>
              </w:rPr>
            </w:pPr>
          </w:p>
        </w:tc>
      </w:tr>
      <w:tr w:rsidR="000027E7" w:rsidRPr="00C806D0" w:rsidTr="000027E7">
        <w:trPr>
          <w:jc w:val="center"/>
        </w:trPr>
        <w:tc>
          <w:tcPr>
            <w:tcW w:w="2376" w:type="dxa"/>
          </w:tcPr>
          <w:p w:rsidR="000027E7" w:rsidRPr="00C806D0" w:rsidRDefault="000027E7" w:rsidP="000027E7">
            <w:pPr>
              <w:rPr>
                <w:sz w:val="20"/>
                <w:szCs w:val="20"/>
              </w:rPr>
            </w:pPr>
            <w:r w:rsidRPr="00C806D0">
              <w:rPr>
                <w:sz w:val="20"/>
                <w:szCs w:val="20"/>
              </w:rPr>
              <w:t xml:space="preserve">   </w:t>
            </w:r>
            <w:r w:rsidRPr="00C806D0">
              <w:rPr>
                <w:sz w:val="20"/>
                <w:szCs w:val="20"/>
              </w:rPr>
              <w:sym w:font="Wingdings" w:char="F09F"/>
            </w:r>
            <w:r w:rsidRPr="00C806D0">
              <w:rPr>
                <w:sz w:val="20"/>
                <w:szCs w:val="20"/>
              </w:rPr>
              <w:t xml:space="preserve"> Sports-related</w:t>
            </w:r>
          </w:p>
        </w:tc>
        <w:tc>
          <w:tcPr>
            <w:tcW w:w="2511" w:type="dxa"/>
          </w:tcPr>
          <w:p w:rsidR="000027E7" w:rsidRPr="00C806D0" w:rsidRDefault="000027E7" w:rsidP="000027E7">
            <w:pPr>
              <w:jc w:val="center"/>
              <w:rPr>
                <w:sz w:val="20"/>
                <w:szCs w:val="20"/>
              </w:rPr>
            </w:pPr>
            <w:r w:rsidRPr="00C806D0">
              <w:rPr>
                <w:sz w:val="20"/>
                <w:szCs w:val="20"/>
              </w:rPr>
              <w:t>7.2% (5.1-9.4)</w:t>
            </w:r>
          </w:p>
        </w:tc>
        <w:tc>
          <w:tcPr>
            <w:tcW w:w="2493" w:type="dxa"/>
          </w:tcPr>
          <w:p w:rsidR="000027E7" w:rsidRPr="00C806D0" w:rsidRDefault="000027E7" w:rsidP="000027E7">
            <w:pPr>
              <w:jc w:val="center"/>
              <w:rPr>
                <w:sz w:val="20"/>
                <w:szCs w:val="20"/>
              </w:rPr>
            </w:pPr>
            <w:r w:rsidRPr="00C806D0">
              <w:rPr>
                <w:sz w:val="20"/>
                <w:szCs w:val="20"/>
              </w:rPr>
              <w:t>14.8% (9.9-19.6)</w:t>
            </w:r>
          </w:p>
        </w:tc>
        <w:tc>
          <w:tcPr>
            <w:tcW w:w="1862" w:type="dxa"/>
          </w:tcPr>
          <w:p w:rsidR="000027E7" w:rsidRPr="00C806D0" w:rsidRDefault="000027E7" w:rsidP="000027E7">
            <w:pPr>
              <w:jc w:val="center"/>
              <w:rPr>
                <w:sz w:val="20"/>
                <w:szCs w:val="20"/>
              </w:rPr>
            </w:pPr>
          </w:p>
        </w:tc>
      </w:tr>
      <w:tr w:rsidR="000027E7" w:rsidRPr="00C806D0" w:rsidTr="000027E7">
        <w:trPr>
          <w:jc w:val="center"/>
        </w:trPr>
        <w:tc>
          <w:tcPr>
            <w:tcW w:w="2376" w:type="dxa"/>
          </w:tcPr>
          <w:p w:rsidR="000027E7" w:rsidRPr="00C806D0" w:rsidRDefault="000027E7" w:rsidP="000027E7">
            <w:pPr>
              <w:rPr>
                <w:sz w:val="20"/>
                <w:szCs w:val="20"/>
              </w:rPr>
            </w:pPr>
            <w:r w:rsidRPr="00C806D0">
              <w:rPr>
                <w:sz w:val="20"/>
                <w:szCs w:val="20"/>
              </w:rPr>
              <w:t xml:space="preserve">   </w:t>
            </w:r>
            <w:r w:rsidRPr="00C806D0">
              <w:rPr>
                <w:sz w:val="20"/>
                <w:szCs w:val="20"/>
              </w:rPr>
              <w:sym w:font="Wingdings" w:char="F09F"/>
            </w:r>
            <w:r w:rsidRPr="00C806D0">
              <w:rPr>
                <w:sz w:val="20"/>
                <w:szCs w:val="20"/>
              </w:rPr>
              <w:t xml:space="preserve"> Bunt assault</w:t>
            </w:r>
          </w:p>
        </w:tc>
        <w:tc>
          <w:tcPr>
            <w:tcW w:w="2511" w:type="dxa"/>
          </w:tcPr>
          <w:p w:rsidR="000027E7" w:rsidRPr="00C806D0" w:rsidRDefault="000027E7" w:rsidP="000027E7">
            <w:pPr>
              <w:jc w:val="center"/>
              <w:rPr>
                <w:sz w:val="20"/>
                <w:szCs w:val="20"/>
              </w:rPr>
            </w:pPr>
            <w:r w:rsidRPr="00C806D0">
              <w:rPr>
                <w:sz w:val="20"/>
                <w:szCs w:val="20"/>
              </w:rPr>
              <w:t>7.6% (5.1-9.4)</w:t>
            </w:r>
          </w:p>
        </w:tc>
        <w:tc>
          <w:tcPr>
            <w:tcW w:w="2493" w:type="dxa"/>
          </w:tcPr>
          <w:p w:rsidR="000027E7" w:rsidRPr="00C806D0" w:rsidRDefault="000027E7" w:rsidP="000027E7">
            <w:pPr>
              <w:jc w:val="center"/>
              <w:rPr>
                <w:sz w:val="20"/>
                <w:szCs w:val="20"/>
              </w:rPr>
            </w:pPr>
            <w:r w:rsidRPr="00C806D0">
              <w:rPr>
                <w:sz w:val="20"/>
                <w:szCs w:val="20"/>
              </w:rPr>
              <w:t>8.4% (4.5-12.2)</w:t>
            </w:r>
          </w:p>
        </w:tc>
        <w:tc>
          <w:tcPr>
            <w:tcW w:w="1862" w:type="dxa"/>
          </w:tcPr>
          <w:p w:rsidR="000027E7" w:rsidRPr="00C806D0" w:rsidRDefault="000027E7" w:rsidP="000027E7">
            <w:pPr>
              <w:jc w:val="center"/>
              <w:rPr>
                <w:sz w:val="20"/>
                <w:szCs w:val="20"/>
              </w:rPr>
            </w:pPr>
          </w:p>
        </w:tc>
      </w:tr>
      <w:tr w:rsidR="000027E7" w:rsidRPr="00C806D0" w:rsidTr="000027E7">
        <w:trPr>
          <w:jc w:val="center"/>
        </w:trPr>
        <w:tc>
          <w:tcPr>
            <w:tcW w:w="2376" w:type="dxa"/>
          </w:tcPr>
          <w:p w:rsidR="000027E7" w:rsidRPr="00C806D0" w:rsidRDefault="000027E7" w:rsidP="000027E7">
            <w:pPr>
              <w:rPr>
                <w:sz w:val="20"/>
                <w:szCs w:val="20"/>
              </w:rPr>
            </w:pPr>
            <w:r w:rsidRPr="00C806D0">
              <w:rPr>
                <w:sz w:val="20"/>
                <w:szCs w:val="20"/>
              </w:rPr>
              <w:t xml:space="preserve">   </w:t>
            </w:r>
            <w:r w:rsidRPr="00C806D0">
              <w:rPr>
                <w:sz w:val="20"/>
                <w:szCs w:val="20"/>
              </w:rPr>
              <w:sym w:font="Wingdings" w:char="F09F"/>
            </w:r>
            <w:r w:rsidRPr="00C806D0">
              <w:rPr>
                <w:sz w:val="20"/>
                <w:szCs w:val="20"/>
              </w:rPr>
              <w:t xml:space="preserve"> Other</w:t>
            </w:r>
          </w:p>
        </w:tc>
        <w:tc>
          <w:tcPr>
            <w:tcW w:w="2511" w:type="dxa"/>
          </w:tcPr>
          <w:p w:rsidR="000027E7" w:rsidRPr="00C806D0" w:rsidRDefault="000027E7" w:rsidP="000027E7">
            <w:pPr>
              <w:jc w:val="center"/>
              <w:rPr>
                <w:sz w:val="20"/>
                <w:szCs w:val="20"/>
              </w:rPr>
            </w:pPr>
            <w:r w:rsidRPr="00C806D0">
              <w:rPr>
                <w:sz w:val="20"/>
                <w:szCs w:val="20"/>
              </w:rPr>
              <w:t>14.0% (11.1-16.8)</w:t>
            </w:r>
          </w:p>
        </w:tc>
        <w:tc>
          <w:tcPr>
            <w:tcW w:w="2493" w:type="dxa"/>
          </w:tcPr>
          <w:p w:rsidR="000027E7" w:rsidRPr="00C806D0" w:rsidRDefault="000027E7" w:rsidP="000027E7">
            <w:pPr>
              <w:jc w:val="center"/>
              <w:rPr>
                <w:sz w:val="20"/>
                <w:szCs w:val="20"/>
              </w:rPr>
            </w:pPr>
            <w:r w:rsidRPr="00C806D0">
              <w:rPr>
                <w:sz w:val="20"/>
                <w:szCs w:val="20"/>
              </w:rPr>
              <w:t>16.3% (11.2-21.4)</w:t>
            </w:r>
          </w:p>
        </w:tc>
        <w:tc>
          <w:tcPr>
            <w:tcW w:w="1862" w:type="dxa"/>
          </w:tcPr>
          <w:p w:rsidR="000027E7" w:rsidRPr="00C806D0" w:rsidRDefault="000027E7" w:rsidP="000027E7">
            <w:pPr>
              <w:jc w:val="center"/>
              <w:rPr>
                <w:sz w:val="20"/>
                <w:szCs w:val="20"/>
              </w:rPr>
            </w:pPr>
            <w:r w:rsidRPr="00C806D0">
              <w:rPr>
                <w:sz w:val="20"/>
                <w:szCs w:val="20"/>
              </w:rPr>
              <w:t>0.001</w:t>
            </w:r>
          </w:p>
        </w:tc>
      </w:tr>
    </w:tbl>
    <w:p w:rsidR="003A4BDE" w:rsidRPr="00C806D0" w:rsidRDefault="003A4BDE" w:rsidP="000027E7">
      <w:pPr>
        <w:rPr>
          <w:b/>
        </w:rPr>
      </w:pPr>
    </w:p>
    <w:p w:rsidR="00CA694F" w:rsidRPr="00C806D0" w:rsidRDefault="00CA694F" w:rsidP="000027E7">
      <w:pPr>
        <w:rPr>
          <w:b/>
        </w:rPr>
        <w:sectPr w:rsidR="00CA694F" w:rsidRPr="00C806D0" w:rsidSect="00E31429">
          <w:pgSz w:w="11906" w:h="16838"/>
          <w:pgMar w:top="1134" w:right="1134" w:bottom="1134" w:left="2268" w:header="709" w:footer="709" w:gutter="0"/>
          <w:cols w:space="708"/>
          <w:docGrid w:linePitch="360"/>
        </w:sectPr>
      </w:pPr>
    </w:p>
    <w:p w:rsidR="000027E7" w:rsidRPr="00C806D0" w:rsidRDefault="00800937" w:rsidP="000027E7">
      <w:pPr>
        <w:rPr>
          <w:b/>
        </w:rPr>
      </w:pPr>
      <w:r w:rsidRPr="00C806D0">
        <w:rPr>
          <w:b/>
        </w:rPr>
        <w:t>Table G11</w:t>
      </w:r>
      <w:r w:rsidR="000027E7" w:rsidRPr="00C806D0">
        <w:rPr>
          <w:b/>
        </w:rPr>
        <w:t xml:space="preserve">. Characteristics of patients lost to follow up </w:t>
      </w:r>
      <w:r w:rsidR="00335B1F" w:rsidRPr="00C806D0">
        <w:rPr>
          <w:b/>
        </w:rPr>
        <w:t>compared with</w:t>
      </w:r>
      <w:r w:rsidR="000027E7" w:rsidRPr="00C806D0">
        <w:rPr>
          <w:b/>
        </w:rPr>
        <w:t xml:space="preserve"> administratively censored or dying patients stratified by age group.</w:t>
      </w:r>
    </w:p>
    <w:tbl>
      <w:tblPr>
        <w:tblStyle w:val="LightShading1"/>
        <w:tblW w:w="0" w:type="auto"/>
        <w:tblLook w:val="0620" w:firstRow="1" w:lastRow="0" w:firstColumn="0" w:lastColumn="0" w:noHBand="1" w:noVBand="1"/>
      </w:tblPr>
      <w:tblGrid>
        <w:gridCol w:w="1746"/>
        <w:gridCol w:w="921"/>
        <w:gridCol w:w="1387"/>
        <w:gridCol w:w="1266"/>
        <w:gridCol w:w="1301"/>
        <w:gridCol w:w="1260"/>
        <w:gridCol w:w="1260"/>
        <w:gridCol w:w="1255"/>
        <w:gridCol w:w="1255"/>
        <w:gridCol w:w="1270"/>
        <w:gridCol w:w="1253"/>
      </w:tblGrid>
      <w:tr w:rsidR="000027E7" w:rsidRPr="00C806D0" w:rsidTr="000027E7">
        <w:trPr>
          <w:cnfStyle w:val="100000000000" w:firstRow="1" w:lastRow="0" w:firstColumn="0" w:lastColumn="0" w:oddVBand="0" w:evenVBand="0" w:oddHBand="0" w:evenHBand="0" w:firstRowFirstColumn="0" w:firstRowLastColumn="0" w:lastRowFirstColumn="0" w:lastRowLastColumn="0"/>
        </w:trPr>
        <w:tc>
          <w:tcPr>
            <w:tcW w:w="1746" w:type="dxa"/>
          </w:tcPr>
          <w:p w:rsidR="000027E7" w:rsidRPr="00C806D0" w:rsidRDefault="000027E7" w:rsidP="000027E7">
            <w:pPr>
              <w:pStyle w:val="NoSpacing"/>
              <w:rPr>
                <w:sz w:val="20"/>
                <w:szCs w:val="20"/>
              </w:rPr>
            </w:pPr>
            <w:r w:rsidRPr="00C806D0">
              <w:rPr>
                <w:sz w:val="20"/>
                <w:szCs w:val="20"/>
              </w:rPr>
              <w:t>Patient characteristic</w:t>
            </w:r>
          </w:p>
        </w:tc>
        <w:tc>
          <w:tcPr>
            <w:tcW w:w="921" w:type="dxa"/>
          </w:tcPr>
          <w:p w:rsidR="000027E7" w:rsidRPr="00C806D0" w:rsidRDefault="000027E7" w:rsidP="000027E7">
            <w:pPr>
              <w:pStyle w:val="NoSpacing"/>
              <w:rPr>
                <w:sz w:val="20"/>
                <w:szCs w:val="20"/>
              </w:rPr>
            </w:pPr>
            <w:r w:rsidRPr="00C806D0">
              <w:rPr>
                <w:sz w:val="20"/>
                <w:szCs w:val="20"/>
              </w:rPr>
              <w:t>n=</w:t>
            </w:r>
          </w:p>
        </w:tc>
        <w:tc>
          <w:tcPr>
            <w:tcW w:w="1387" w:type="dxa"/>
          </w:tcPr>
          <w:p w:rsidR="000027E7" w:rsidRPr="00C806D0" w:rsidRDefault="000027E7" w:rsidP="000027E7">
            <w:pPr>
              <w:pStyle w:val="NoSpacing"/>
              <w:rPr>
                <w:sz w:val="20"/>
                <w:szCs w:val="20"/>
              </w:rPr>
            </w:pPr>
            <w:r w:rsidRPr="00C806D0">
              <w:rPr>
                <w:sz w:val="20"/>
                <w:szCs w:val="20"/>
              </w:rPr>
              <w:t>Completeness index (%)</w:t>
            </w:r>
          </w:p>
        </w:tc>
        <w:tc>
          <w:tcPr>
            <w:tcW w:w="1266" w:type="dxa"/>
          </w:tcPr>
          <w:p w:rsidR="000027E7" w:rsidRPr="00C806D0" w:rsidRDefault="000027E7" w:rsidP="000027E7">
            <w:pPr>
              <w:pStyle w:val="NoSpacing"/>
              <w:rPr>
                <w:sz w:val="20"/>
                <w:szCs w:val="20"/>
              </w:rPr>
            </w:pPr>
            <w:r w:rsidRPr="00C806D0">
              <w:rPr>
                <w:sz w:val="20"/>
                <w:szCs w:val="20"/>
              </w:rPr>
              <w:t>Male gender</w:t>
            </w:r>
          </w:p>
        </w:tc>
        <w:tc>
          <w:tcPr>
            <w:tcW w:w="1301" w:type="dxa"/>
          </w:tcPr>
          <w:p w:rsidR="000027E7" w:rsidRPr="00C806D0" w:rsidRDefault="000027E7" w:rsidP="000027E7">
            <w:pPr>
              <w:pStyle w:val="NoSpacing"/>
              <w:rPr>
                <w:sz w:val="20"/>
                <w:szCs w:val="20"/>
              </w:rPr>
            </w:pPr>
            <w:r w:rsidRPr="00C806D0">
              <w:rPr>
                <w:sz w:val="20"/>
                <w:szCs w:val="20"/>
              </w:rPr>
              <w:t>Non-white ethnicity</w:t>
            </w:r>
          </w:p>
        </w:tc>
        <w:tc>
          <w:tcPr>
            <w:tcW w:w="1260" w:type="dxa"/>
          </w:tcPr>
          <w:p w:rsidR="000027E7" w:rsidRPr="00C806D0" w:rsidRDefault="002A16B4" w:rsidP="000027E7">
            <w:pPr>
              <w:pStyle w:val="NoSpacing"/>
              <w:rPr>
                <w:sz w:val="20"/>
                <w:szCs w:val="20"/>
              </w:rPr>
            </w:pPr>
            <w:r w:rsidRPr="00C806D0">
              <w:rPr>
                <w:sz w:val="20"/>
                <w:szCs w:val="20"/>
              </w:rPr>
              <w:t>Extracranial</w:t>
            </w:r>
            <w:r w:rsidR="000027E7" w:rsidRPr="00C806D0">
              <w:rPr>
                <w:sz w:val="20"/>
                <w:szCs w:val="20"/>
              </w:rPr>
              <w:t xml:space="preserve"> injury</w:t>
            </w:r>
          </w:p>
        </w:tc>
        <w:tc>
          <w:tcPr>
            <w:tcW w:w="1260" w:type="dxa"/>
          </w:tcPr>
          <w:p w:rsidR="000027E7" w:rsidRPr="00C806D0" w:rsidRDefault="000027E7" w:rsidP="000027E7">
            <w:pPr>
              <w:pStyle w:val="NoSpacing"/>
              <w:rPr>
                <w:sz w:val="20"/>
                <w:szCs w:val="20"/>
              </w:rPr>
            </w:pPr>
            <w:r w:rsidRPr="00C806D0">
              <w:rPr>
                <w:sz w:val="20"/>
                <w:szCs w:val="20"/>
              </w:rPr>
              <w:t>Mild TBI</w:t>
            </w:r>
          </w:p>
        </w:tc>
        <w:tc>
          <w:tcPr>
            <w:tcW w:w="1255" w:type="dxa"/>
          </w:tcPr>
          <w:p w:rsidR="000027E7" w:rsidRPr="00C806D0" w:rsidRDefault="000027E7" w:rsidP="000027E7">
            <w:pPr>
              <w:pStyle w:val="NoSpacing"/>
              <w:rPr>
                <w:sz w:val="20"/>
                <w:szCs w:val="20"/>
              </w:rPr>
            </w:pPr>
            <w:r w:rsidRPr="00C806D0">
              <w:rPr>
                <w:sz w:val="20"/>
                <w:szCs w:val="20"/>
              </w:rPr>
              <w:t>Mode of injury: RTA</w:t>
            </w:r>
          </w:p>
        </w:tc>
        <w:tc>
          <w:tcPr>
            <w:tcW w:w="1255" w:type="dxa"/>
          </w:tcPr>
          <w:p w:rsidR="000027E7" w:rsidRPr="00C806D0" w:rsidRDefault="000027E7" w:rsidP="000027E7">
            <w:pPr>
              <w:pStyle w:val="NoSpacing"/>
              <w:rPr>
                <w:sz w:val="20"/>
                <w:szCs w:val="20"/>
              </w:rPr>
            </w:pPr>
            <w:r w:rsidRPr="00C806D0">
              <w:rPr>
                <w:sz w:val="20"/>
                <w:szCs w:val="20"/>
              </w:rPr>
              <w:t>Mode of injury: Fall</w:t>
            </w:r>
          </w:p>
        </w:tc>
        <w:tc>
          <w:tcPr>
            <w:tcW w:w="1270" w:type="dxa"/>
          </w:tcPr>
          <w:p w:rsidR="000027E7" w:rsidRPr="00C806D0" w:rsidRDefault="000027E7" w:rsidP="000027E7">
            <w:pPr>
              <w:pStyle w:val="NoSpacing"/>
              <w:rPr>
                <w:sz w:val="20"/>
                <w:szCs w:val="20"/>
              </w:rPr>
            </w:pPr>
            <w:r w:rsidRPr="00C806D0">
              <w:rPr>
                <w:sz w:val="20"/>
                <w:szCs w:val="20"/>
              </w:rPr>
              <w:t>Mode of injury: Assault</w:t>
            </w:r>
          </w:p>
        </w:tc>
        <w:tc>
          <w:tcPr>
            <w:tcW w:w="1253" w:type="dxa"/>
          </w:tcPr>
          <w:p w:rsidR="000027E7" w:rsidRPr="00C806D0" w:rsidRDefault="000027E7" w:rsidP="000027E7">
            <w:pPr>
              <w:pStyle w:val="NoSpacing"/>
              <w:rPr>
                <w:sz w:val="20"/>
                <w:szCs w:val="20"/>
              </w:rPr>
            </w:pPr>
            <w:r w:rsidRPr="00C806D0">
              <w:rPr>
                <w:sz w:val="20"/>
                <w:szCs w:val="20"/>
              </w:rPr>
              <w:t>Mode of injury: Other</w:t>
            </w:r>
          </w:p>
        </w:tc>
      </w:tr>
      <w:tr w:rsidR="000027E7" w:rsidRPr="00C806D0" w:rsidTr="000027E7">
        <w:tc>
          <w:tcPr>
            <w:tcW w:w="1746" w:type="dxa"/>
            <w:tcBorders>
              <w:top w:val="single" w:sz="8" w:space="0" w:color="000000" w:themeColor="text1"/>
              <w:bottom w:val="nil"/>
            </w:tcBorders>
          </w:tcPr>
          <w:p w:rsidR="000027E7" w:rsidRPr="00C806D0" w:rsidRDefault="000027E7" w:rsidP="000027E7">
            <w:pPr>
              <w:pStyle w:val="NoSpacing"/>
              <w:rPr>
                <w:b/>
                <w:sz w:val="20"/>
                <w:szCs w:val="20"/>
              </w:rPr>
            </w:pPr>
            <w:r w:rsidRPr="00C806D0">
              <w:rPr>
                <w:b/>
                <w:sz w:val="20"/>
                <w:szCs w:val="20"/>
              </w:rPr>
              <w:t>Young adults (16-39 years)</w:t>
            </w:r>
          </w:p>
          <w:p w:rsidR="000027E7" w:rsidRPr="00C806D0" w:rsidRDefault="000027E7" w:rsidP="000027E7">
            <w:pPr>
              <w:pStyle w:val="NoSpacing"/>
              <w:rPr>
                <w:b/>
                <w:sz w:val="20"/>
                <w:szCs w:val="20"/>
              </w:rPr>
            </w:pPr>
          </w:p>
        </w:tc>
        <w:tc>
          <w:tcPr>
            <w:tcW w:w="921" w:type="dxa"/>
            <w:tcBorders>
              <w:top w:val="single" w:sz="8" w:space="0" w:color="000000" w:themeColor="text1"/>
              <w:bottom w:val="nil"/>
            </w:tcBorders>
          </w:tcPr>
          <w:p w:rsidR="000027E7" w:rsidRPr="00C806D0" w:rsidRDefault="000027E7" w:rsidP="000027E7">
            <w:pPr>
              <w:rPr>
                <w:sz w:val="20"/>
                <w:szCs w:val="20"/>
              </w:rPr>
            </w:pPr>
          </w:p>
        </w:tc>
        <w:tc>
          <w:tcPr>
            <w:tcW w:w="1387" w:type="dxa"/>
            <w:tcBorders>
              <w:top w:val="single" w:sz="8" w:space="0" w:color="000000" w:themeColor="text1"/>
              <w:bottom w:val="nil"/>
            </w:tcBorders>
          </w:tcPr>
          <w:p w:rsidR="000027E7" w:rsidRPr="00C806D0" w:rsidRDefault="000027E7" w:rsidP="000027E7">
            <w:pPr>
              <w:rPr>
                <w:sz w:val="20"/>
                <w:szCs w:val="20"/>
              </w:rPr>
            </w:pPr>
          </w:p>
          <w:p w:rsidR="000027E7" w:rsidRPr="00C806D0" w:rsidRDefault="000027E7" w:rsidP="000027E7">
            <w:pPr>
              <w:rPr>
                <w:sz w:val="20"/>
                <w:szCs w:val="20"/>
              </w:rPr>
            </w:pPr>
            <w:r w:rsidRPr="00C806D0">
              <w:rPr>
                <w:sz w:val="20"/>
                <w:szCs w:val="20"/>
              </w:rPr>
              <w:t>72.5%</w:t>
            </w:r>
          </w:p>
        </w:tc>
        <w:tc>
          <w:tcPr>
            <w:tcW w:w="1266" w:type="dxa"/>
            <w:tcBorders>
              <w:top w:val="single" w:sz="8" w:space="0" w:color="000000" w:themeColor="text1"/>
              <w:bottom w:val="nil"/>
            </w:tcBorders>
          </w:tcPr>
          <w:p w:rsidR="000027E7" w:rsidRPr="00C806D0" w:rsidRDefault="000027E7" w:rsidP="000027E7">
            <w:pPr>
              <w:rPr>
                <w:sz w:val="20"/>
                <w:szCs w:val="20"/>
              </w:rPr>
            </w:pPr>
          </w:p>
        </w:tc>
        <w:tc>
          <w:tcPr>
            <w:tcW w:w="1301" w:type="dxa"/>
            <w:tcBorders>
              <w:top w:val="single" w:sz="8" w:space="0" w:color="000000" w:themeColor="text1"/>
              <w:bottom w:val="nil"/>
            </w:tcBorders>
          </w:tcPr>
          <w:p w:rsidR="000027E7" w:rsidRPr="00C806D0" w:rsidRDefault="000027E7" w:rsidP="000027E7">
            <w:pPr>
              <w:rPr>
                <w:sz w:val="20"/>
                <w:szCs w:val="20"/>
              </w:rPr>
            </w:pPr>
          </w:p>
        </w:tc>
        <w:tc>
          <w:tcPr>
            <w:tcW w:w="1260" w:type="dxa"/>
            <w:tcBorders>
              <w:top w:val="single" w:sz="8" w:space="0" w:color="000000" w:themeColor="text1"/>
              <w:bottom w:val="nil"/>
            </w:tcBorders>
          </w:tcPr>
          <w:p w:rsidR="000027E7" w:rsidRPr="00C806D0" w:rsidRDefault="000027E7" w:rsidP="000027E7">
            <w:pPr>
              <w:rPr>
                <w:sz w:val="20"/>
                <w:szCs w:val="20"/>
              </w:rPr>
            </w:pPr>
          </w:p>
        </w:tc>
        <w:tc>
          <w:tcPr>
            <w:tcW w:w="1260" w:type="dxa"/>
            <w:tcBorders>
              <w:top w:val="single" w:sz="8" w:space="0" w:color="000000" w:themeColor="text1"/>
              <w:bottom w:val="nil"/>
            </w:tcBorders>
          </w:tcPr>
          <w:p w:rsidR="000027E7" w:rsidRPr="00C806D0" w:rsidRDefault="000027E7" w:rsidP="000027E7">
            <w:pPr>
              <w:rPr>
                <w:sz w:val="20"/>
                <w:szCs w:val="20"/>
              </w:rPr>
            </w:pPr>
          </w:p>
        </w:tc>
        <w:tc>
          <w:tcPr>
            <w:tcW w:w="1255" w:type="dxa"/>
            <w:tcBorders>
              <w:top w:val="single" w:sz="8" w:space="0" w:color="000000" w:themeColor="text1"/>
              <w:bottom w:val="nil"/>
            </w:tcBorders>
          </w:tcPr>
          <w:p w:rsidR="000027E7" w:rsidRPr="00C806D0" w:rsidRDefault="000027E7" w:rsidP="000027E7">
            <w:pPr>
              <w:rPr>
                <w:sz w:val="20"/>
                <w:szCs w:val="20"/>
              </w:rPr>
            </w:pPr>
          </w:p>
        </w:tc>
        <w:tc>
          <w:tcPr>
            <w:tcW w:w="1255" w:type="dxa"/>
            <w:tcBorders>
              <w:top w:val="single" w:sz="8" w:space="0" w:color="000000" w:themeColor="text1"/>
              <w:bottom w:val="nil"/>
            </w:tcBorders>
          </w:tcPr>
          <w:p w:rsidR="000027E7" w:rsidRPr="00C806D0" w:rsidRDefault="000027E7" w:rsidP="000027E7">
            <w:pPr>
              <w:rPr>
                <w:sz w:val="20"/>
                <w:szCs w:val="20"/>
              </w:rPr>
            </w:pPr>
          </w:p>
        </w:tc>
        <w:tc>
          <w:tcPr>
            <w:tcW w:w="1270" w:type="dxa"/>
            <w:tcBorders>
              <w:top w:val="single" w:sz="8" w:space="0" w:color="000000" w:themeColor="text1"/>
              <w:bottom w:val="nil"/>
            </w:tcBorders>
          </w:tcPr>
          <w:p w:rsidR="000027E7" w:rsidRPr="00C806D0" w:rsidRDefault="000027E7" w:rsidP="000027E7">
            <w:pPr>
              <w:rPr>
                <w:sz w:val="20"/>
                <w:szCs w:val="20"/>
              </w:rPr>
            </w:pPr>
          </w:p>
        </w:tc>
        <w:tc>
          <w:tcPr>
            <w:tcW w:w="1253" w:type="dxa"/>
            <w:tcBorders>
              <w:top w:val="single" w:sz="8" w:space="0" w:color="000000" w:themeColor="text1"/>
              <w:bottom w:val="nil"/>
            </w:tcBorders>
          </w:tcPr>
          <w:p w:rsidR="000027E7" w:rsidRPr="00C806D0" w:rsidRDefault="000027E7" w:rsidP="000027E7">
            <w:pPr>
              <w:rPr>
                <w:sz w:val="20"/>
                <w:szCs w:val="20"/>
              </w:rPr>
            </w:pPr>
          </w:p>
        </w:tc>
      </w:tr>
      <w:tr w:rsidR="000027E7" w:rsidRPr="00C806D0" w:rsidTr="000027E7">
        <w:trPr>
          <w:trHeight w:val="463"/>
        </w:trPr>
        <w:tc>
          <w:tcPr>
            <w:tcW w:w="1746" w:type="dxa"/>
            <w:tcBorders>
              <w:top w:val="nil"/>
            </w:tcBorders>
          </w:tcPr>
          <w:p w:rsidR="000027E7" w:rsidRPr="00C806D0" w:rsidRDefault="000027E7" w:rsidP="000027E7">
            <w:pPr>
              <w:pStyle w:val="NoSpacing"/>
              <w:rPr>
                <w:sz w:val="20"/>
                <w:szCs w:val="20"/>
              </w:rPr>
            </w:pPr>
            <w:r w:rsidRPr="00C806D0">
              <w:rPr>
                <w:sz w:val="20"/>
                <w:szCs w:val="20"/>
              </w:rPr>
              <w:t>Lost to follow up</w:t>
            </w:r>
          </w:p>
        </w:tc>
        <w:tc>
          <w:tcPr>
            <w:tcW w:w="921" w:type="dxa"/>
            <w:tcBorders>
              <w:top w:val="nil"/>
            </w:tcBorders>
          </w:tcPr>
          <w:p w:rsidR="000027E7" w:rsidRPr="00C806D0" w:rsidRDefault="000027E7" w:rsidP="000027E7">
            <w:pPr>
              <w:pStyle w:val="NoSpacing"/>
              <w:rPr>
                <w:sz w:val="20"/>
                <w:szCs w:val="20"/>
              </w:rPr>
            </w:pPr>
            <w:r w:rsidRPr="00C806D0">
              <w:rPr>
                <w:sz w:val="20"/>
                <w:szCs w:val="20"/>
              </w:rPr>
              <w:t>182</w:t>
            </w:r>
          </w:p>
        </w:tc>
        <w:tc>
          <w:tcPr>
            <w:tcW w:w="1387" w:type="dxa"/>
            <w:vMerge w:val="restart"/>
            <w:tcBorders>
              <w:top w:val="nil"/>
            </w:tcBorders>
          </w:tcPr>
          <w:p w:rsidR="000027E7" w:rsidRPr="00C806D0" w:rsidRDefault="000027E7" w:rsidP="000027E7">
            <w:pPr>
              <w:pStyle w:val="NoSpacing"/>
              <w:rPr>
                <w:sz w:val="20"/>
                <w:szCs w:val="20"/>
              </w:rPr>
            </w:pPr>
          </w:p>
        </w:tc>
        <w:tc>
          <w:tcPr>
            <w:tcW w:w="1266" w:type="dxa"/>
            <w:tcBorders>
              <w:top w:val="nil"/>
            </w:tcBorders>
          </w:tcPr>
          <w:p w:rsidR="000027E7" w:rsidRPr="00C806D0" w:rsidRDefault="000027E7" w:rsidP="000027E7">
            <w:pPr>
              <w:pStyle w:val="NoSpacing"/>
              <w:rPr>
                <w:sz w:val="20"/>
                <w:szCs w:val="20"/>
              </w:rPr>
            </w:pPr>
            <w:r w:rsidRPr="00C806D0">
              <w:rPr>
                <w:sz w:val="20"/>
                <w:szCs w:val="20"/>
              </w:rPr>
              <w:t>53.3%</w:t>
            </w:r>
          </w:p>
        </w:tc>
        <w:tc>
          <w:tcPr>
            <w:tcW w:w="1301" w:type="dxa"/>
            <w:tcBorders>
              <w:top w:val="nil"/>
            </w:tcBorders>
          </w:tcPr>
          <w:p w:rsidR="000027E7" w:rsidRPr="00C806D0" w:rsidRDefault="000027E7" w:rsidP="000027E7">
            <w:pPr>
              <w:pStyle w:val="NoSpacing"/>
              <w:rPr>
                <w:sz w:val="20"/>
                <w:szCs w:val="20"/>
              </w:rPr>
            </w:pPr>
            <w:r w:rsidRPr="00C806D0">
              <w:rPr>
                <w:sz w:val="20"/>
                <w:szCs w:val="20"/>
              </w:rPr>
              <w:t>11.0%</w:t>
            </w:r>
          </w:p>
        </w:tc>
        <w:tc>
          <w:tcPr>
            <w:tcW w:w="1260" w:type="dxa"/>
            <w:tcBorders>
              <w:top w:val="nil"/>
            </w:tcBorders>
          </w:tcPr>
          <w:p w:rsidR="000027E7" w:rsidRPr="00C806D0" w:rsidRDefault="000027E7" w:rsidP="000027E7">
            <w:pPr>
              <w:pStyle w:val="NoSpacing"/>
              <w:rPr>
                <w:sz w:val="20"/>
                <w:szCs w:val="20"/>
              </w:rPr>
            </w:pPr>
            <w:r w:rsidRPr="00C806D0">
              <w:rPr>
                <w:sz w:val="20"/>
                <w:szCs w:val="20"/>
              </w:rPr>
              <w:t>22.0%</w:t>
            </w:r>
          </w:p>
        </w:tc>
        <w:tc>
          <w:tcPr>
            <w:tcW w:w="1260" w:type="dxa"/>
            <w:tcBorders>
              <w:top w:val="nil"/>
            </w:tcBorders>
          </w:tcPr>
          <w:p w:rsidR="000027E7" w:rsidRPr="00C806D0" w:rsidRDefault="000027E7" w:rsidP="000027E7">
            <w:pPr>
              <w:pStyle w:val="NoSpacing"/>
              <w:rPr>
                <w:sz w:val="20"/>
                <w:szCs w:val="20"/>
              </w:rPr>
            </w:pPr>
            <w:r w:rsidRPr="00C806D0">
              <w:rPr>
                <w:sz w:val="20"/>
                <w:szCs w:val="20"/>
              </w:rPr>
              <w:t>97.3%</w:t>
            </w:r>
          </w:p>
        </w:tc>
        <w:tc>
          <w:tcPr>
            <w:tcW w:w="1255" w:type="dxa"/>
            <w:tcBorders>
              <w:top w:val="nil"/>
            </w:tcBorders>
          </w:tcPr>
          <w:p w:rsidR="000027E7" w:rsidRPr="00C806D0" w:rsidRDefault="000027E7" w:rsidP="000027E7">
            <w:pPr>
              <w:pStyle w:val="NoSpacing"/>
              <w:rPr>
                <w:sz w:val="20"/>
                <w:szCs w:val="20"/>
              </w:rPr>
            </w:pPr>
            <w:r w:rsidRPr="00C806D0">
              <w:rPr>
                <w:sz w:val="20"/>
                <w:szCs w:val="20"/>
              </w:rPr>
              <w:t>44.5%</w:t>
            </w:r>
          </w:p>
        </w:tc>
        <w:tc>
          <w:tcPr>
            <w:tcW w:w="1255" w:type="dxa"/>
            <w:tcBorders>
              <w:top w:val="nil"/>
            </w:tcBorders>
          </w:tcPr>
          <w:p w:rsidR="000027E7" w:rsidRPr="00C806D0" w:rsidRDefault="000027E7" w:rsidP="000027E7">
            <w:pPr>
              <w:pStyle w:val="NoSpacing"/>
              <w:rPr>
                <w:sz w:val="20"/>
                <w:szCs w:val="20"/>
              </w:rPr>
            </w:pPr>
            <w:r w:rsidRPr="00C806D0">
              <w:rPr>
                <w:sz w:val="20"/>
                <w:szCs w:val="20"/>
              </w:rPr>
              <w:t>15.4%</w:t>
            </w:r>
          </w:p>
        </w:tc>
        <w:tc>
          <w:tcPr>
            <w:tcW w:w="1270" w:type="dxa"/>
            <w:tcBorders>
              <w:top w:val="nil"/>
            </w:tcBorders>
          </w:tcPr>
          <w:p w:rsidR="000027E7" w:rsidRPr="00C806D0" w:rsidRDefault="000027E7" w:rsidP="000027E7">
            <w:pPr>
              <w:pStyle w:val="NoSpacing"/>
              <w:rPr>
                <w:sz w:val="20"/>
                <w:szCs w:val="20"/>
              </w:rPr>
            </w:pPr>
            <w:r w:rsidRPr="00C806D0">
              <w:rPr>
                <w:sz w:val="20"/>
                <w:szCs w:val="20"/>
              </w:rPr>
              <w:t>8.8%</w:t>
            </w:r>
          </w:p>
        </w:tc>
        <w:tc>
          <w:tcPr>
            <w:tcW w:w="1253" w:type="dxa"/>
            <w:tcBorders>
              <w:top w:val="nil"/>
            </w:tcBorders>
          </w:tcPr>
          <w:p w:rsidR="000027E7" w:rsidRPr="00C806D0" w:rsidRDefault="000027E7" w:rsidP="000027E7">
            <w:pPr>
              <w:pStyle w:val="NoSpacing"/>
              <w:rPr>
                <w:sz w:val="20"/>
                <w:szCs w:val="20"/>
              </w:rPr>
            </w:pPr>
            <w:r w:rsidRPr="00C806D0">
              <w:rPr>
                <w:sz w:val="20"/>
                <w:szCs w:val="20"/>
              </w:rPr>
              <w:t>31.3%</w:t>
            </w:r>
          </w:p>
        </w:tc>
      </w:tr>
      <w:tr w:rsidR="000027E7" w:rsidRPr="00C806D0" w:rsidTr="000027E7">
        <w:tc>
          <w:tcPr>
            <w:tcW w:w="1746" w:type="dxa"/>
          </w:tcPr>
          <w:p w:rsidR="000027E7" w:rsidRPr="00C806D0" w:rsidRDefault="000027E7" w:rsidP="000027E7">
            <w:pPr>
              <w:pStyle w:val="NoSpacing"/>
              <w:rPr>
                <w:sz w:val="20"/>
                <w:szCs w:val="20"/>
              </w:rPr>
            </w:pPr>
            <w:r w:rsidRPr="00C806D0">
              <w:rPr>
                <w:sz w:val="20"/>
                <w:szCs w:val="20"/>
              </w:rPr>
              <w:t>Administratively censored or died</w:t>
            </w:r>
          </w:p>
          <w:p w:rsidR="004C61EB" w:rsidRPr="00C806D0" w:rsidRDefault="004C61EB" w:rsidP="000027E7">
            <w:pPr>
              <w:pStyle w:val="NoSpacing"/>
              <w:rPr>
                <w:sz w:val="20"/>
                <w:szCs w:val="20"/>
              </w:rPr>
            </w:pPr>
          </w:p>
        </w:tc>
        <w:tc>
          <w:tcPr>
            <w:tcW w:w="921" w:type="dxa"/>
          </w:tcPr>
          <w:p w:rsidR="000027E7" w:rsidRPr="00C806D0" w:rsidRDefault="000027E7" w:rsidP="000027E7">
            <w:pPr>
              <w:pStyle w:val="NoSpacing"/>
              <w:rPr>
                <w:sz w:val="20"/>
                <w:szCs w:val="20"/>
              </w:rPr>
            </w:pPr>
            <w:r w:rsidRPr="00C806D0">
              <w:rPr>
                <w:sz w:val="20"/>
                <w:szCs w:val="20"/>
              </w:rPr>
              <w:t>357</w:t>
            </w:r>
          </w:p>
        </w:tc>
        <w:tc>
          <w:tcPr>
            <w:tcW w:w="1387" w:type="dxa"/>
            <w:vMerge/>
          </w:tcPr>
          <w:p w:rsidR="000027E7" w:rsidRPr="00C806D0" w:rsidRDefault="000027E7" w:rsidP="000027E7">
            <w:pPr>
              <w:pStyle w:val="NoSpacing"/>
              <w:rPr>
                <w:sz w:val="20"/>
                <w:szCs w:val="20"/>
              </w:rPr>
            </w:pPr>
          </w:p>
        </w:tc>
        <w:tc>
          <w:tcPr>
            <w:tcW w:w="1266" w:type="dxa"/>
          </w:tcPr>
          <w:p w:rsidR="000027E7" w:rsidRPr="00C806D0" w:rsidRDefault="000027E7" w:rsidP="000027E7">
            <w:pPr>
              <w:pStyle w:val="NoSpacing"/>
              <w:rPr>
                <w:sz w:val="20"/>
                <w:szCs w:val="20"/>
              </w:rPr>
            </w:pPr>
            <w:r w:rsidRPr="00C806D0">
              <w:rPr>
                <w:sz w:val="20"/>
                <w:szCs w:val="20"/>
              </w:rPr>
              <w:t>51.8%</w:t>
            </w:r>
          </w:p>
        </w:tc>
        <w:tc>
          <w:tcPr>
            <w:tcW w:w="1301" w:type="dxa"/>
          </w:tcPr>
          <w:p w:rsidR="000027E7" w:rsidRPr="00C806D0" w:rsidRDefault="000027E7" w:rsidP="000027E7">
            <w:pPr>
              <w:pStyle w:val="NoSpacing"/>
              <w:rPr>
                <w:sz w:val="20"/>
                <w:szCs w:val="20"/>
              </w:rPr>
            </w:pPr>
            <w:r w:rsidRPr="00C806D0">
              <w:rPr>
                <w:sz w:val="20"/>
                <w:szCs w:val="20"/>
              </w:rPr>
              <w:t>4.5%</w:t>
            </w:r>
          </w:p>
        </w:tc>
        <w:tc>
          <w:tcPr>
            <w:tcW w:w="1260" w:type="dxa"/>
          </w:tcPr>
          <w:p w:rsidR="000027E7" w:rsidRPr="00C806D0" w:rsidRDefault="000027E7" w:rsidP="000027E7">
            <w:pPr>
              <w:pStyle w:val="NoSpacing"/>
              <w:rPr>
                <w:sz w:val="20"/>
                <w:szCs w:val="20"/>
              </w:rPr>
            </w:pPr>
            <w:r w:rsidRPr="00C806D0">
              <w:rPr>
                <w:sz w:val="20"/>
                <w:szCs w:val="20"/>
              </w:rPr>
              <w:t>23.8%</w:t>
            </w:r>
          </w:p>
        </w:tc>
        <w:tc>
          <w:tcPr>
            <w:tcW w:w="1260" w:type="dxa"/>
          </w:tcPr>
          <w:p w:rsidR="000027E7" w:rsidRPr="00C806D0" w:rsidRDefault="000027E7" w:rsidP="000027E7">
            <w:pPr>
              <w:pStyle w:val="NoSpacing"/>
              <w:rPr>
                <w:sz w:val="20"/>
                <w:szCs w:val="20"/>
              </w:rPr>
            </w:pPr>
            <w:r w:rsidRPr="00C806D0">
              <w:rPr>
                <w:sz w:val="20"/>
                <w:szCs w:val="20"/>
              </w:rPr>
              <w:t>94.4%</w:t>
            </w:r>
          </w:p>
        </w:tc>
        <w:tc>
          <w:tcPr>
            <w:tcW w:w="1255" w:type="dxa"/>
          </w:tcPr>
          <w:p w:rsidR="000027E7" w:rsidRPr="00C806D0" w:rsidRDefault="000027E7" w:rsidP="000027E7">
            <w:pPr>
              <w:pStyle w:val="NoSpacing"/>
              <w:rPr>
                <w:sz w:val="20"/>
                <w:szCs w:val="20"/>
              </w:rPr>
            </w:pPr>
            <w:r w:rsidRPr="00C806D0">
              <w:rPr>
                <w:sz w:val="20"/>
                <w:szCs w:val="20"/>
              </w:rPr>
              <w:t>51.3%</w:t>
            </w:r>
          </w:p>
        </w:tc>
        <w:tc>
          <w:tcPr>
            <w:tcW w:w="1255" w:type="dxa"/>
          </w:tcPr>
          <w:p w:rsidR="000027E7" w:rsidRPr="00C806D0" w:rsidRDefault="000027E7" w:rsidP="000027E7">
            <w:pPr>
              <w:pStyle w:val="NoSpacing"/>
              <w:rPr>
                <w:sz w:val="20"/>
                <w:szCs w:val="20"/>
              </w:rPr>
            </w:pPr>
            <w:r w:rsidRPr="00C806D0">
              <w:rPr>
                <w:sz w:val="20"/>
                <w:szCs w:val="20"/>
              </w:rPr>
              <w:t>14.0%</w:t>
            </w:r>
          </w:p>
        </w:tc>
        <w:tc>
          <w:tcPr>
            <w:tcW w:w="1270" w:type="dxa"/>
          </w:tcPr>
          <w:p w:rsidR="000027E7" w:rsidRPr="00C806D0" w:rsidRDefault="000027E7" w:rsidP="000027E7">
            <w:pPr>
              <w:pStyle w:val="NoSpacing"/>
              <w:rPr>
                <w:sz w:val="20"/>
                <w:szCs w:val="20"/>
              </w:rPr>
            </w:pPr>
            <w:r w:rsidRPr="00C806D0">
              <w:rPr>
                <w:sz w:val="20"/>
                <w:szCs w:val="20"/>
              </w:rPr>
              <w:t>9.0%</w:t>
            </w:r>
          </w:p>
        </w:tc>
        <w:tc>
          <w:tcPr>
            <w:tcW w:w="1253" w:type="dxa"/>
          </w:tcPr>
          <w:p w:rsidR="000027E7" w:rsidRPr="00C806D0" w:rsidRDefault="000027E7" w:rsidP="000027E7">
            <w:pPr>
              <w:pStyle w:val="NoSpacing"/>
              <w:rPr>
                <w:sz w:val="20"/>
                <w:szCs w:val="20"/>
              </w:rPr>
            </w:pPr>
            <w:r w:rsidRPr="00C806D0">
              <w:rPr>
                <w:sz w:val="20"/>
                <w:szCs w:val="20"/>
              </w:rPr>
              <w:t>33.8%</w:t>
            </w:r>
          </w:p>
          <w:p w:rsidR="000027E7" w:rsidRPr="00C806D0" w:rsidRDefault="000027E7" w:rsidP="000027E7">
            <w:pPr>
              <w:pStyle w:val="NoSpacing"/>
              <w:rPr>
                <w:sz w:val="20"/>
                <w:szCs w:val="20"/>
              </w:rPr>
            </w:pPr>
          </w:p>
        </w:tc>
      </w:tr>
      <w:tr w:rsidR="000027E7" w:rsidRPr="00C806D0" w:rsidTr="000027E7">
        <w:tc>
          <w:tcPr>
            <w:tcW w:w="1746" w:type="dxa"/>
          </w:tcPr>
          <w:p w:rsidR="000027E7" w:rsidRPr="00C806D0" w:rsidRDefault="004C61EB" w:rsidP="000027E7">
            <w:pPr>
              <w:pStyle w:val="NoSpacing"/>
              <w:rPr>
                <w:sz w:val="20"/>
                <w:szCs w:val="20"/>
              </w:rPr>
            </w:pPr>
            <w:r w:rsidRPr="00C806D0">
              <w:rPr>
                <w:sz w:val="20"/>
                <w:szCs w:val="20"/>
              </w:rPr>
              <w:t>p-value</w:t>
            </w:r>
          </w:p>
        </w:tc>
        <w:tc>
          <w:tcPr>
            <w:tcW w:w="921" w:type="dxa"/>
          </w:tcPr>
          <w:p w:rsidR="000027E7" w:rsidRPr="00C806D0" w:rsidRDefault="000027E7" w:rsidP="000027E7">
            <w:pPr>
              <w:pStyle w:val="NoSpacing"/>
              <w:rPr>
                <w:sz w:val="20"/>
                <w:szCs w:val="20"/>
              </w:rPr>
            </w:pPr>
          </w:p>
        </w:tc>
        <w:tc>
          <w:tcPr>
            <w:tcW w:w="1387" w:type="dxa"/>
          </w:tcPr>
          <w:p w:rsidR="000027E7" w:rsidRPr="00C806D0" w:rsidRDefault="000027E7" w:rsidP="000027E7">
            <w:pPr>
              <w:pStyle w:val="NoSpacing"/>
              <w:rPr>
                <w:sz w:val="20"/>
                <w:szCs w:val="20"/>
              </w:rPr>
            </w:pPr>
          </w:p>
        </w:tc>
        <w:tc>
          <w:tcPr>
            <w:tcW w:w="1266" w:type="dxa"/>
          </w:tcPr>
          <w:p w:rsidR="000027E7" w:rsidRPr="00C806D0" w:rsidRDefault="000027E7" w:rsidP="000027E7">
            <w:pPr>
              <w:pStyle w:val="NoSpacing"/>
              <w:rPr>
                <w:sz w:val="20"/>
                <w:szCs w:val="20"/>
              </w:rPr>
            </w:pPr>
            <w:r w:rsidRPr="00C806D0">
              <w:rPr>
                <w:sz w:val="20"/>
                <w:szCs w:val="20"/>
              </w:rPr>
              <w:t>0.75</w:t>
            </w:r>
          </w:p>
        </w:tc>
        <w:tc>
          <w:tcPr>
            <w:tcW w:w="1301" w:type="dxa"/>
          </w:tcPr>
          <w:p w:rsidR="000027E7" w:rsidRPr="00C806D0" w:rsidRDefault="000027E7" w:rsidP="000027E7">
            <w:pPr>
              <w:pStyle w:val="NoSpacing"/>
              <w:rPr>
                <w:sz w:val="20"/>
                <w:szCs w:val="20"/>
              </w:rPr>
            </w:pPr>
            <w:r w:rsidRPr="00C806D0">
              <w:rPr>
                <w:sz w:val="20"/>
                <w:szCs w:val="20"/>
              </w:rPr>
              <w:t>&lt;0.01</w:t>
            </w:r>
          </w:p>
        </w:tc>
        <w:tc>
          <w:tcPr>
            <w:tcW w:w="1260" w:type="dxa"/>
          </w:tcPr>
          <w:p w:rsidR="000027E7" w:rsidRPr="00C806D0" w:rsidRDefault="000027E7" w:rsidP="000027E7">
            <w:pPr>
              <w:pStyle w:val="NoSpacing"/>
              <w:rPr>
                <w:sz w:val="20"/>
                <w:szCs w:val="20"/>
              </w:rPr>
            </w:pPr>
            <w:r w:rsidRPr="00C806D0">
              <w:rPr>
                <w:sz w:val="20"/>
                <w:szCs w:val="20"/>
              </w:rPr>
              <w:t>0.63</w:t>
            </w:r>
          </w:p>
        </w:tc>
        <w:tc>
          <w:tcPr>
            <w:tcW w:w="1260" w:type="dxa"/>
          </w:tcPr>
          <w:p w:rsidR="000027E7" w:rsidRPr="00C806D0" w:rsidRDefault="000027E7" w:rsidP="000027E7">
            <w:pPr>
              <w:pStyle w:val="NoSpacing"/>
              <w:rPr>
                <w:sz w:val="20"/>
                <w:szCs w:val="20"/>
              </w:rPr>
            </w:pPr>
            <w:r w:rsidRPr="00C806D0">
              <w:rPr>
                <w:sz w:val="20"/>
                <w:szCs w:val="20"/>
              </w:rPr>
              <w:t>0.14</w:t>
            </w:r>
          </w:p>
        </w:tc>
        <w:tc>
          <w:tcPr>
            <w:tcW w:w="5033" w:type="dxa"/>
            <w:gridSpan w:val="4"/>
          </w:tcPr>
          <w:p w:rsidR="000027E7" w:rsidRPr="00C806D0" w:rsidRDefault="000027E7" w:rsidP="000027E7">
            <w:pPr>
              <w:pStyle w:val="NoSpacing"/>
              <w:jc w:val="center"/>
              <w:rPr>
                <w:sz w:val="20"/>
                <w:szCs w:val="20"/>
              </w:rPr>
            </w:pPr>
            <w:r w:rsidRPr="00C806D0">
              <w:rPr>
                <w:sz w:val="20"/>
                <w:szCs w:val="20"/>
              </w:rPr>
              <w:t>0.39</w:t>
            </w:r>
          </w:p>
        </w:tc>
      </w:tr>
      <w:tr w:rsidR="000027E7" w:rsidRPr="00C806D0" w:rsidTr="000027E7">
        <w:tc>
          <w:tcPr>
            <w:tcW w:w="1746" w:type="dxa"/>
            <w:tcBorders>
              <w:bottom w:val="single" w:sz="4" w:space="0" w:color="auto"/>
            </w:tcBorders>
          </w:tcPr>
          <w:p w:rsidR="000027E7" w:rsidRPr="00C806D0" w:rsidRDefault="000027E7" w:rsidP="000027E7">
            <w:pPr>
              <w:pStyle w:val="NoSpacing"/>
              <w:rPr>
                <w:sz w:val="20"/>
                <w:szCs w:val="20"/>
              </w:rPr>
            </w:pPr>
          </w:p>
        </w:tc>
        <w:tc>
          <w:tcPr>
            <w:tcW w:w="921" w:type="dxa"/>
            <w:tcBorders>
              <w:bottom w:val="single" w:sz="4" w:space="0" w:color="auto"/>
            </w:tcBorders>
          </w:tcPr>
          <w:p w:rsidR="000027E7" w:rsidRPr="00C806D0" w:rsidRDefault="000027E7" w:rsidP="000027E7">
            <w:pPr>
              <w:pStyle w:val="NoSpacing"/>
              <w:rPr>
                <w:sz w:val="20"/>
                <w:szCs w:val="20"/>
              </w:rPr>
            </w:pPr>
          </w:p>
        </w:tc>
        <w:tc>
          <w:tcPr>
            <w:tcW w:w="1387" w:type="dxa"/>
            <w:tcBorders>
              <w:bottom w:val="single" w:sz="4" w:space="0" w:color="auto"/>
            </w:tcBorders>
          </w:tcPr>
          <w:p w:rsidR="000027E7" w:rsidRPr="00C806D0" w:rsidRDefault="000027E7" w:rsidP="000027E7">
            <w:pPr>
              <w:pStyle w:val="NoSpacing"/>
              <w:rPr>
                <w:sz w:val="20"/>
                <w:szCs w:val="20"/>
              </w:rPr>
            </w:pPr>
          </w:p>
        </w:tc>
        <w:tc>
          <w:tcPr>
            <w:tcW w:w="1266" w:type="dxa"/>
            <w:tcBorders>
              <w:bottom w:val="single" w:sz="4" w:space="0" w:color="auto"/>
            </w:tcBorders>
          </w:tcPr>
          <w:p w:rsidR="000027E7" w:rsidRPr="00C806D0" w:rsidRDefault="000027E7" w:rsidP="000027E7">
            <w:pPr>
              <w:pStyle w:val="NoSpacing"/>
              <w:rPr>
                <w:sz w:val="20"/>
                <w:szCs w:val="20"/>
              </w:rPr>
            </w:pPr>
          </w:p>
        </w:tc>
        <w:tc>
          <w:tcPr>
            <w:tcW w:w="1301" w:type="dxa"/>
            <w:tcBorders>
              <w:bottom w:val="single" w:sz="4" w:space="0" w:color="auto"/>
            </w:tcBorders>
          </w:tcPr>
          <w:p w:rsidR="000027E7" w:rsidRPr="00C806D0" w:rsidRDefault="000027E7" w:rsidP="000027E7">
            <w:pPr>
              <w:pStyle w:val="NoSpacing"/>
              <w:rPr>
                <w:sz w:val="20"/>
                <w:szCs w:val="20"/>
              </w:rPr>
            </w:pPr>
          </w:p>
        </w:tc>
        <w:tc>
          <w:tcPr>
            <w:tcW w:w="1260" w:type="dxa"/>
            <w:tcBorders>
              <w:bottom w:val="single" w:sz="4" w:space="0" w:color="auto"/>
            </w:tcBorders>
          </w:tcPr>
          <w:p w:rsidR="000027E7" w:rsidRPr="00C806D0" w:rsidRDefault="000027E7" w:rsidP="000027E7">
            <w:pPr>
              <w:pStyle w:val="NoSpacing"/>
              <w:rPr>
                <w:sz w:val="20"/>
                <w:szCs w:val="20"/>
              </w:rPr>
            </w:pPr>
          </w:p>
        </w:tc>
        <w:tc>
          <w:tcPr>
            <w:tcW w:w="1260" w:type="dxa"/>
            <w:tcBorders>
              <w:bottom w:val="single" w:sz="4" w:space="0" w:color="auto"/>
            </w:tcBorders>
          </w:tcPr>
          <w:p w:rsidR="000027E7" w:rsidRPr="00C806D0" w:rsidRDefault="000027E7" w:rsidP="000027E7">
            <w:pPr>
              <w:pStyle w:val="NoSpacing"/>
              <w:rPr>
                <w:sz w:val="20"/>
                <w:szCs w:val="20"/>
              </w:rPr>
            </w:pPr>
          </w:p>
        </w:tc>
        <w:tc>
          <w:tcPr>
            <w:tcW w:w="1255" w:type="dxa"/>
            <w:tcBorders>
              <w:bottom w:val="single" w:sz="4" w:space="0" w:color="auto"/>
            </w:tcBorders>
          </w:tcPr>
          <w:p w:rsidR="000027E7" w:rsidRPr="00C806D0" w:rsidRDefault="000027E7" w:rsidP="000027E7">
            <w:pPr>
              <w:pStyle w:val="NoSpacing"/>
              <w:rPr>
                <w:sz w:val="20"/>
                <w:szCs w:val="20"/>
              </w:rPr>
            </w:pPr>
          </w:p>
        </w:tc>
        <w:tc>
          <w:tcPr>
            <w:tcW w:w="1255" w:type="dxa"/>
            <w:tcBorders>
              <w:bottom w:val="single" w:sz="4" w:space="0" w:color="auto"/>
            </w:tcBorders>
          </w:tcPr>
          <w:p w:rsidR="000027E7" w:rsidRPr="00C806D0" w:rsidRDefault="000027E7" w:rsidP="000027E7">
            <w:pPr>
              <w:pStyle w:val="NoSpacing"/>
              <w:rPr>
                <w:sz w:val="20"/>
                <w:szCs w:val="20"/>
              </w:rPr>
            </w:pPr>
          </w:p>
        </w:tc>
        <w:tc>
          <w:tcPr>
            <w:tcW w:w="1270" w:type="dxa"/>
            <w:tcBorders>
              <w:bottom w:val="single" w:sz="4" w:space="0" w:color="auto"/>
            </w:tcBorders>
          </w:tcPr>
          <w:p w:rsidR="000027E7" w:rsidRPr="00C806D0" w:rsidRDefault="000027E7" w:rsidP="000027E7">
            <w:pPr>
              <w:pStyle w:val="NoSpacing"/>
              <w:rPr>
                <w:sz w:val="20"/>
                <w:szCs w:val="20"/>
              </w:rPr>
            </w:pPr>
          </w:p>
        </w:tc>
        <w:tc>
          <w:tcPr>
            <w:tcW w:w="1253" w:type="dxa"/>
            <w:tcBorders>
              <w:bottom w:val="single" w:sz="4" w:space="0" w:color="auto"/>
            </w:tcBorders>
          </w:tcPr>
          <w:p w:rsidR="000027E7" w:rsidRPr="00C806D0" w:rsidRDefault="000027E7" w:rsidP="000027E7">
            <w:pPr>
              <w:pStyle w:val="NoSpacing"/>
              <w:rPr>
                <w:sz w:val="20"/>
                <w:szCs w:val="20"/>
              </w:rPr>
            </w:pPr>
          </w:p>
        </w:tc>
      </w:tr>
      <w:tr w:rsidR="000027E7" w:rsidRPr="00C806D0" w:rsidTr="000027E7">
        <w:tc>
          <w:tcPr>
            <w:tcW w:w="1746" w:type="dxa"/>
            <w:tcBorders>
              <w:top w:val="single" w:sz="4" w:space="0" w:color="auto"/>
              <w:bottom w:val="nil"/>
            </w:tcBorders>
          </w:tcPr>
          <w:p w:rsidR="000027E7" w:rsidRPr="00C806D0" w:rsidRDefault="000027E7" w:rsidP="000027E7">
            <w:pPr>
              <w:pStyle w:val="NoSpacing"/>
              <w:rPr>
                <w:b/>
                <w:sz w:val="20"/>
                <w:szCs w:val="20"/>
              </w:rPr>
            </w:pPr>
            <w:r w:rsidRPr="00C806D0">
              <w:rPr>
                <w:b/>
                <w:sz w:val="20"/>
                <w:szCs w:val="20"/>
              </w:rPr>
              <w:t>Middle aged</w:t>
            </w:r>
          </w:p>
          <w:p w:rsidR="000027E7" w:rsidRPr="00C806D0" w:rsidRDefault="000027E7" w:rsidP="000027E7">
            <w:pPr>
              <w:pStyle w:val="NoSpacing"/>
              <w:rPr>
                <w:b/>
                <w:sz w:val="20"/>
                <w:szCs w:val="20"/>
              </w:rPr>
            </w:pPr>
            <w:r w:rsidRPr="00C806D0">
              <w:rPr>
                <w:b/>
                <w:sz w:val="20"/>
                <w:szCs w:val="20"/>
              </w:rPr>
              <w:t>(40-39 years)</w:t>
            </w:r>
          </w:p>
          <w:p w:rsidR="000027E7" w:rsidRPr="00C806D0" w:rsidRDefault="000027E7" w:rsidP="000027E7">
            <w:pPr>
              <w:pStyle w:val="NoSpacing"/>
              <w:rPr>
                <w:b/>
                <w:sz w:val="20"/>
                <w:szCs w:val="20"/>
              </w:rPr>
            </w:pPr>
          </w:p>
        </w:tc>
        <w:tc>
          <w:tcPr>
            <w:tcW w:w="921" w:type="dxa"/>
            <w:tcBorders>
              <w:top w:val="single" w:sz="4" w:space="0" w:color="auto"/>
              <w:bottom w:val="nil"/>
            </w:tcBorders>
          </w:tcPr>
          <w:p w:rsidR="000027E7" w:rsidRPr="00C806D0" w:rsidRDefault="000027E7" w:rsidP="000027E7">
            <w:pPr>
              <w:rPr>
                <w:sz w:val="20"/>
                <w:szCs w:val="20"/>
              </w:rPr>
            </w:pPr>
          </w:p>
        </w:tc>
        <w:tc>
          <w:tcPr>
            <w:tcW w:w="1387" w:type="dxa"/>
            <w:tcBorders>
              <w:top w:val="single" w:sz="4" w:space="0" w:color="auto"/>
              <w:bottom w:val="nil"/>
            </w:tcBorders>
          </w:tcPr>
          <w:p w:rsidR="000027E7" w:rsidRPr="00C806D0" w:rsidRDefault="000027E7" w:rsidP="000027E7">
            <w:pPr>
              <w:rPr>
                <w:sz w:val="20"/>
                <w:szCs w:val="20"/>
              </w:rPr>
            </w:pPr>
          </w:p>
          <w:p w:rsidR="000027E7" w:rsidRPr="00C806D0" w:rsidRDefault="000027E7" w:rsidP="000027E7">
            <w:pPr>
              <w:rPr>
                <w:sz w:val="20"/>
                <w:szCs w:val="20"/>
              </w:rPr>
            </w:pPr>
            <w:r w:rsidRPr="00C806D0">
              <w:rPr>
                <w:sz w:val="20"/>
                <w:szCs w:val="20"/>
              </w:rPr>
              <w:t>90.7%</w:t>
            </w:r>
          </w:p>
        </w:tc>
        <w:tc>
          <w:tcPr>
            <w:tcW w:w="1266" w:type="dxa"/>
            <w:tcBorders>
              <w:top w:val="single" w:sz="4" w:space="0" w:color="auto"/>
              <w:bottom w:val="nil"/>
            </w:tcBorders>
          </w:tcPr>
          <w:p w:rsidR="000027E7" w:rsidRPr="00C806D0" w:rsidRDefault="000027E7" w:rsidP="000027E7">
            <w:pPr>
              <w:rPr>
                <w:sz w:val="20"/>
                <w:szCs w:val="20"/>
              </w:rPr>
            </w:pPr>
          </w:p>
        </w:tc>
        <w:tc>
          <w:tcPr>
            <w:tcW w:w="1301" w:type="dxa"/>
            <w:tcBorders>
              <w:top w:val="single" w:sz="4" w:space="0" w:color="auto"/>
              <w:bottom w:val="nil"/>
            </w:tcBorders>
          </w:tcPr>
          <w:p w:rsidR="000027E7" w:rsidRPr="00C806D0" w:rsidRDefault="000027E7" w:rsidP="000027E7">
            <w:pPr>
              <w:rPr>
                <w:sz w:val="20"/>
                <w:szCs w:val="20"/>
              </w:rPr>
            </w:pPr>
          </w:p>
        </w:tc>
        <w:tc>
          <w:tcPr>
            <w:tcW w:w="1260" w:type="dxa"/>
            <w:tcBorders>
              <w:top w:val="single" w:sz="4" w:space="0" w:color="auto"/>
              <w:bottom w:val="nil"/>
            </w:tcBorders>
          </w:tcPr>
          <w:p w:rsidR="000027E7" w:rsidRPr="00C806D0" w:rsidRDefault="000027E7" w:rsidP="000027E7">
            <w:pPr>
              <w:rPr>
                <w:sz w:val="20"/>
                <w:szCs w:val="20"/>
              </w:rPr>
            </w:pPr>
          </w:p>
        </w:tc>
        <w:tc>
          <w:tcPr>
            <w:tcW w:w="1260" w:type="dxa"/>
            <w:tcBorders>
              <w:top w:val="single" w:sz="4" w:space="0" w:color="auto"/>
              <w:bottom w:val="nil"/>
            </w:tcBorders>
          </w:tcPr>
          <w:p w:rsidR="000027E7" w:rsidRPr="00C806D0" w:rsidRDefault="000027E7" w:rsidP="000027E7">
            <w:pPr>
              <w:rPr>
                <w:sz w:val="20"/>
                <w:szCs w:val="20"/>
              </w:rPr>
            </w:pPr>
          </w:p>
        </w:tc>
        <w:tc>
          <w:tcPr>
            <w:tcW w:w="1255" w:type="dxa"/>
            <w:tcBorders>
              <w:top w:val="single" w:sz="4" w:space="0" w:color="auto"/>
              <w:bottom w:val="nil"/>
            </w:tcBorders>
          </w:tcPr>
          <w:p w:rsidR="000027E7" w:rsidRPr="00C806D0" w:rsidRDefault="000027E7" w:rsidP="000027E7">
            <w:pPr>
              <w:rPr>
                <w:sz w:val="20"/>
                <w:szCs w:val="20"/>
              </w:rPr>
            </w:pPr>
          </w:p>
        </w:tc>
        <w:tc>
          <w:tcPr>
            <w:tcW w:w="1255" w:type="dxa"/>
            <w:tcBorders>
              <w:top w:val="single" w:sz="4" w:space="0" w:color="auto"/>
              <w:bottom w:val="nil"/>
            </w:tcBorders>
          </w:tcPr>
          <w:p w:rsidR="000027E7" w:rsidRPr="00C806D0" w:rsidRDefault="000027E7" w:rsidP="000027E7">
            <w:pPr>
              <w:rPr>
                <w:sz w:val="20"/>
                <w:szCs w:val="20"/>
              </w:rPr>
            </w:pPr>
          </w:p>
        </w:tc>
        <w:tc>
          <w:tcPr>
            <w:tcW w:w="1270" w:type="dxa"/>
            <w:tcBorders>
              <w:top w:val="single" w:sz="4" w:space="0" w:color="auto"/>
              <w:bottom w:val="nil"/>
            </w:tcBorders>
          </w:tcPr>
          <w:p w:rsidR="000027E7" w:rsidRPr="00C806D0" w:rsidRDefault="000027E7" w:rsidP="000027E7">
            <w:pPr>
              <w:rPr>
                <w:sz w:val="20"/>
                <w:szCs w:val="20"/>
              </w:rPr>
            </w:pPr>
          </w:p>
        </w:tc>
        <w:tc>
          <w:tcPr>
            <w:tcW w:w="1253" w:type="dxa"/>
            <w:tcBorders>
              <w:top w:val="single" w:sz="4" w:space="0" w:color="auto"/>
              <w:bottom w:val="nil"/>
            </w:tcBorders>
          </w:tcPr>
          <w:p w:rsidR="000027E7" w:rsidRPr="00C806D0" w:rsidRDefault="000027E7" w:rsidP="000027E7">
            <w:pPr>
              <w:rPr>
                <w:sz w:val="20"/>
                <w:szCs w:val="20"/>
              </w:rPr>
            </w:pPr>
          </w:p>
        </w:tc>
      </w:tr>
      <w:tr w:rsidR="000027E7" w:rsidRPr="00C806D0" w:rsidTr="000027E7">
        <w:trPr>
          <w:trHeight w:val="406"/>
        </w:trPr>
        <w:tc>
          <w:tcPr>
            <w:tcW w:w="1746" w:type="dxa"/>
            <w:tcBorders>
              <w:top w:val="nil"/>
            </w:tcBorders>
          </w:tcPr>
          <w:p w:rsidR="000027E7" w:rsidRPr="00C806D0" w:rsidRDefault="000027E7" w:rsidP="000027E7">
            <w:pPr>
              <w:pStyle w:val="NoSpacing"/>
              <w:rPr>
                <w:sz w:val="20"/>
                <w:szCs w:val="20"/>
              </w:rPr>
            </w:pPr>
            <w:r w:rsidRPr="00C806D0">
              <w:rPr>
                <w:sz w:val="20"/>
                <w:szCs w:val="20"/>
              </w:rPr>
              <w:t>Lost to follow up</w:t>
            </w:r>
          </w:p>
        </w:tc>
        <w:tc>
          <w:tcPr>
            <w:tcW w:w="921" w:type="dxa"/>
            <w:tcBorders>
              <w:top w:val="nil"/>
            </w:tcBorders>
          </w:tcPr>
          <w:p w:rsidR="000027E7" w:rsidRPr="00C806D0" w:rsidRDefault="000027E7" w:rsidP="000027E7">
            <w:pPr>
              <w:pStyle w:val="NoSpacing"/>
              <w:rPr>
                <w:sz w:val="20"/>
                <w:szCs w:val="20"/>
              </w:rPr>
            </w:pPr>
            <w:r w:rsidRPr="00C806D0">
              <w:rPr>
                <w:sz w:val="20"/>
                <w:szCs w:val="20"/>
              </w:rPr>
              <w:t>18</w:t>
            </w:r>
          </w:p>
        </w:tc>
        <w:tc>
          <w:tcPr>
            <w:tcW w:w="1387" w:type="dxa"/>
            <w:tcBorders>
              <w:top w:val="nil"/>
            </w:tcBorders>
          </w:tcPr>
          <w:p w:rsidR="000027E7" w:rsidRPr="00C806D0" w:rsidRDefault="000027E7" w:rsidP="000027E7">
            <w:pPr>
              <w:pStyle w:val="NoSpacing"/>
              <w:rPr>
                <w:sz w:val="20"/>
                <w:szCs w:val="20"/>
              </w:rPr>
            </w:pPr>
          </w:p>
        </w:tc>
        <w:tc>
          <w:tcPr>
            <w:tcW w:w="1266" w:type="dxa"/>
            <w:tcBorders>
              <w:top w:val="nil"/>
            </w:tcBorders>
          </w:tcPr>
          <w:p w:rsidR="000027E7" w:rsidRPr="00C806D0" w:rsidRDefault="000027E7" w:rsidP="000027E7">
            <w:pPr>
              <w:pStyle w:val="NoSpacing"/>
              <w:rPr>
                <w:sz w:val="20"/>
                <w:szCs w:val="20"/>
              </w:rPr>
            </w:pPr>
            <w:r w:rsidRPr="00C806D0">
              <w:rPr>
                <w:sz w:val="20"/>
                <w:szCs w:val="20"/>
              </w:rPr>
              <w:t>55.6%</w:t>
            </w:r>
          </w:p>
        </w:tc>
        <w:tc>
          <w:tcPr>
            <w:tcW w:w="1301" w:type="dxa"/>
            <w:tcBorders>
              <w:top w:val="nil"/>
            </w:tcBorders>
          </w:tcPr>
          <w:p w:rsidR="000027E7" w:rsidRPr="00C806D0" w:rsidRDefault="000027E7" w:rsidP="000027E7">
            <w:pPr>
              <w:pStyle w:val="NoSpacing"/>
              <w:rPr>
                <w:sz w:val="20"/>
                <w:szCs w:val="20"/>
              </w:rPr>
            </w:pPr>
            <w:r w:rsidRPr="00C806D0">
              <w:rPr>
                <w:sz w:val="20"/>
                <w:szCs w:val="20"/>
              </w:rPr>
              <w:t>5.6%</w:t>
            </w:r>
          </w:p>
        </w:tc>
        <w:tc>
          <w:tcPr>
            <w:tcW w:w="1260" w:type="dxa"/>
            <w:tcBorders>
              <w:top w:val="nil"/>
            </w:tcBorders>
          </w:tcPr>
          <w:p w:rsidR="000027E7" w:rsidRPr="00C806D0" w:rsidRDefault="000027E7" w:rsidP="000027E7">
            <w:pPr>
              <w:pStyle w:val="NoSpacing"/>
              <w:rPr>
                <w:sz w:val="20"/>
                <w:szCs w:val="20"/>
              </w:rPr>
            </w:pPr>
            <w:r w:rsidRPr="00C806D0">
              <w:rPr>
                <w:sz w:val="20"/>
                <w:szCs w:val="20"/>
              </w:rPr>
              <w:t>33.3%</w:t>
            </w:r>
          </w:p>
        </w:tc>
        <w:tc>
          <w:tcPr>
            <w:tcW w:w="1260" w:type="dxa"/>
            <w:tcBorders>
              <w:top w:val="nil"/>
            </w:tcBorders>
          </w:tcPr>
          <w:p w:rsidR="000027E7" w:rsidRPr="00C806D0" w:rsidRDefault="000027E7" w:rsidP="000027E7">
            <w:pPr>
              <w:pStyle w:val="NoSpacing"/>
              <w:rPr>
                <w:sz w:val="20"/>
                <w:szCs w:val="20"/>
              </w:rPr>
            </w:pPr>
            <w:r w:rsidRPr="00C806D0">
              <w:rPr>
                <w:sz w:val="20"/>
                <w:szCs w:val="20"/>
              </w:rPr>
              <w:t>94.4%</w:t>
            </w:r>
          </w:p>
        </w:tc>
        <w:tc>
          <w:tcPr>
            <w:tcW w:w="1255" w:type="dxa"/>
            <w:tcBorders>
              <w:top w:val="nil"/>
            </w:tcBorders>
          </w:tcPr>
          <w:p w:rsidR="000027E7" w:rsidRPr="00C806D0" w:rsidRDefault="000027E7" w:rsidP="000027E7">
            <w:pPr>
              <w:pStyle w:val="NoSpacing"/>
              <w:rPr>
                <w:sz w:val="20"/>
                <w:szCs w:val="20"/>
              </w:rPr>
            </w:pPr>
            <w:r w:rsidRPr="00C806D0">
              <w:rPr>
                <w:sz w:val="20"/>
                <w:szCs w:val="20"/>
              </w:rPr>
              <w:t>50.0%</w:t>
            </w:r>
          </w:p>
        </w:tc>
        <w:tc>
          <w:tcPr>
            <w:tcW w:w="1255" w:type="dxa"/>
            <w:tcBorders>
              <w:top w:val="nil"/>
            </w:tcBorders>
          </w:tcPr>
          <w:p w:rsidR="000027E7" w:rsidRPr="00C806D0" w:rsidRDefault="000027E7" w:rsidP="000027E7">
            <w:pPr>
              <w:pStyle w:val="NoSpacing"/>
              <w:rPr>
                <w:sz w:val="20"/>
                <w:szCs w:val="20"/>
              </w:rPr>
            </w:pPr>
            <w:r w:rsidRPr="00C806D0">
              <w:rPr>
                <w:sz w:val="20"/>
                <w:szCs w:val="20"/>
              </w:rPr>
              <w:t>11.1%</w:t>
            </w:r>
          </w:p>
        </w:tc>
        <w:tc>
          <w:tcPr>
            <w:tcW w:w="1270" w:type="dxa"/>
            <w:tcBorders>
              <w:top w:val="nil"/>
            </w:tcBorders>
          </w:tcPr>
          <w:p w:rsidR="000027E7" w:rsidRPr="00C806D0" w:rsidRDefault="000027E7" w:rsidP="000027E7">
            <w:pPr>
              <w:pStyle w:val="NoSpacing"/>
              <w:rPr>
                <w:sz w:val="20"/>
                <w:szCs w:val="20"/>
              </w:rPr>
            </w:pPr>
            <w:r w:rsidRPr="00C806D0">
              <w:rPr>
                <w:sz w:val="20"/>
                <w:szCs w:val="20"/>
              </w:rPr>
              <w:t>5.6%</w:t>
            </w:r>
          </w:p>
        </w:tc>
        <w:tc>
          <w:tcPr>
            <w:tcW w:w="1253" w:type="dxa"/>
            <w:tcBorders>
              <w:top w:val="nil"/>
            </w:tcBorders>
          </w:tcPr>
          <w:p w:rsidR="000027E7" w:rsidRPr="00C806D0" w:rsidRDefault="000027E7" w:rsidP="000027E7">
            <w:pPr>
              <w:pStyle w:val="NoSpacing"/>
              <w:rPr>
                <w:sz w:val="20"/>
                <w:szCs w:val="20"/>
              </w:rPr>
            </w:pPr>
            <w:r w:rsidRPr="00C806D0">
              <w:rPr>
                <w:sz w:val="20"/>
                <w:szCs w:val="20"/>
              </w:rPr>
              <w:t>33.3%</w:t>
            </w:r>
          </w:p>
        </w:tc>
      </w:tr>
      <w:tr w:rsidR="000027E7" w:rsidRPr="00C806D0" w:rsidTr="000027E7">
        <w:tc>
          <w:tcPr>
            <w:tcW w:w="1746" w:type="dxa"/>
          </w:tcPr>
          <w:p w:rsidR="000027E7" w:rsidRPr="00C806D0" w:rsidRDefault="000027E7" w:rsidP="000027E7">
            <w:pPr>
              <w:pStyle w:val="NoSpacing"/>
              <w:rPr>
                <w:sz w:val="20"/>
                <w:szCs w:val="20"/>
              </w:rPr>
            </w:pPr>
            <w:r w:rsidRPr="00C806D0">
              <w:rPr>
                <w:sz w:val="20"/>
                <w:szCs w:val="20"/>
              </w:rPr>
              <w:t>Administratively censored or died</w:t>
            </w:r>
          </w:p>
          <w:p w:rsidR="004C61EB" w:rsidRPr="00C806D0" w:rsidRDefault="004C61EB" w:rsidP="000027E7">
            <w:pPr>
              <w:pStyle w:val="NoSpacing"/>
              <w:rPr>
                <w:sz w:val="20"/>
                <w:szCs w:val="20"/>
              </w:rPr>
            </w:pPr>
          </w:p>
        </w:tc>
        <w:tc>
          <w:tcPr>
            <w:tcW w:w="921" w:type="dxa"/>
          </w:tcPr>
          <w:p w:rsidR="000027E7" w:rsidRPr="00C806D0" w:rsidRDefault="000027E7" w:rsidP="000027E7">
            <w:pPr>
              <w:pStyle w:val="NoSpacing"/>
              <w:rPr>
                <w:sz w:val="20"/>
                <w:szCs w:val="20"/>
              </w:rPr>
            </w:pPr>
            <w:r w:rsidRPr="00C806D0">
              <w:rPr>
                <w:sz w:val="20"/>
                <w:szCs w:val="20"/>
              </w:rPr>
              <w:t>121</w:t>
            </w:r>
          </w:p>
        </w:tc>
        <w:tc>
          <w:tcPr>
            <w:tcW w:w="1387" w:type="dxa"/>
          </w:tcPr>
          <w:p w:rsidR="000027E7" w:rsidRPr="00C806D0" w:rsidRDefault="000027E7" w:rsidP="000027E7">
            <w:pPr>
              <w:pStyle w:val="NoSpacing"/>
              <w:rPr>
                <w:sz w:val="20"/>
                <w:szCs w:val="20"/>
              </w:rPr>
            </w:pPr>
          </w:p>
        </w:tc>
        <w:tc>
          <w:tcPr>
            <w:tcW w:w="1266" w:type="dxa"/>
          </w:tcPr>
          <w:p w:rsidR="000027E7" w:rsidRPr="00C806D0" w:rsidRDefault="000027E7" w:rsidP="000027E7">
            <w:pPr>
              <w:pStyle w:val="NoSpacing"/>
              <w:rPr>
                <w:sz w:val="20"/>
                <w:szCs w:val="20"/>
              </w:rPr>
            </w:pPr>
            <w:r w:rsidRPr="00C806D0">
              <w:rPr>
                <w:sz w:val="20"/>
                <w:szCs w:val="20"/>
              </w:rPr>
              <w:t>52.9%</w:t>
            </w:r>
          </w:p>
        </w:tc>
        <w:tc>
          <w:tcPr>
            <w:tcW w:w="1301" w:type="dxa"/>
          </w:tcPr>
          <w:p w:rsidR="000027E7" w:rsidRPr="00C806D0" w:rsidRDefault="000027E7" w:rsidP="000027E7">
            <w:pPr>
              <w:pStyle w:val="NoSpacing"/>
              <w:rPr>
                <w:sz w:val="20"/>
                <w:szCs w:val="20"/>
              </w:rPr>
            </w:pPr>
            <w:r w:rsidRPr="00C806D0">
              <w:rPr>
                <w:sz w:val="20"/>
                <w:szCs w:val="20"/>
              </w:rPr>
              <w:t>2.5%</w:t>
            </w:r>
          </w:p>
        </w:tc>
        <w:tc>
          <w:tcPr>
            <w:tcW w:w="1260" w:type="dxa"/>
          </w:tcPr>
          <w:p w:rsidR="000027E7" w:rsidRPr="00C806D0" w:rsidRDefault="000027E7" w:rsidP="000027E7">
            <w:pPr>
              <w:pStyle w:val="NoSpacing"/>
              <w:rPr>
                <w:sz w:val="20"/>
                <w:szCs w:val="20"/>
              </w:rPr>
            </w:pPr>
            <w:r w:rsidRPr="00C806D0">
              <w:rPr>
                <w:sz w:val="20"/>
                <w:szCs w:val="20"/>
              </w:rPr>
              <w:t>23.1%</w:t>
            </w:r>
          </w:p>
        </w:tc>
        <w:tc>
          <w:tcPr>
            <w:tcW w:w="1260" w:type="dxa"/>
          </w:tcPr>
          <w:p w:rsidR="000027E7" w:rsidRPr="00C806D0" w:rsidRDefault="000027E7" w:rsidP="000027E7">
            <w:pPr>
              <w:pStyle w:val="NoSpacing"/>
              <w:rPr>
                <w:sz w:val="20"/>
                <w:szCs w:val="20"/>
              </w:rPr>
            </w:pPr>
            <w:r w:rsidRPr="00C806D0">
              <w:rPr>
                <w:sz w:val="20"/>
                <w:szCs w:val="20"/>
              </w:rPr>
              <w:t>90.1%</w:t>
            </w:r>
          </w:p>
          <w:p w:rsidR="000027E7" w:rsidRPr="00C806D0" w:rsidRDefault="000027E7" w:rsidP="000027E7">
            <w:pPr>
              <w:pStyle w:val="NoSpacing"/>
              <w:rPr>
                <w:sz w:val="20"/>
                <w:szCs w:val="20"/>
              </w:rPr>
            </w:pPr>
          </w:p>
        </w:tc>
        <w:tc>
          <w:tcPr>
            <w:tcW w:w="1255" w:type="dxa"/>
          </w:tcPr>
          <w:p w:rsidR="000027E7" w:rsidRPr="00C806D0" w:rsidRDefault="000027E7" w:rsidP="000027E7">
            <w:pPr>
              <w:pStyle w:val="NoSpacing"/>
              <w:rPr>
                <w:sz w:val="20"/>
                <w:szCs w:val="20"/>
              </w:rPr>
            </w:pPr>
            <w:r w:rsidRPr="00C806D0">
              <w:rPr>
                <w:sz w:val="20"/>
                <w:szCs w:val="20"/>
              </w:rPr>
              <w:t>39.7%</w:t>
            </w:r>
          </w:p>
        </w:tc>
        <w:tc>
          <w:tcPr>
            <w:tcW w:w="1255" w:type="dxa"/>
          </w:tcPr>
          <w:p w:rsidR="000027E7" w:rsidRPr="00C806D0" w:rsidRDefault="000027E7" w:rsidP="000027E7">
            <w:pPr>
              <w:pStyle w:val="NoSpacing"/>
              <w:rPr>
                <w:sz w:val="20"/>
                <w:szCs w:val="20"/>
              </w:rPr>
            </w:pPr>
            <w:r w:rsidRPr="00C806D0">
              <w:rPr>
                <w:sz w:val="20"/>
                <w:szCs w:val="20"/>
              </w:rPr>
              <w:t>33.1%</w:t>
            </w:r>
          </w:p>
        </w:tc>
        <w:tc>
          <w:tcPr>
            <w:tcW w:w="1270" w:type="dxa"/>
          </w:tcPr>
          <w:p w:rsidR="000027E7" w:rsidRPr="00C806D0" w:rsidRDefault="000027E7" w:rsidP="000027E7">
            <w:pPr>
              <w:pStyle w:val="NoSpacing"/>
              <w:rPr>
                <w:sz w:val="20"/>
                <w:szCs w:val="20"/>
              </w:rPr>
            </w:pPr>
            <w:r w:rsidRPr="00C806D0">
              <w:rPr>
                <w:sz w:val="20"/>
                <w:szCs w:val="20"/>
              </w:rPr>
              <w:t>8.3%</w:t>
            </w:r>
          </w:p>
        </w:tc>
        <w:tc>
          <w:tcPr>
            <w:tcW w:w="1253" w:type="dxa"/>
          </w:tcPr>
          <w:p w:rsidR="000027E7" w:rsidRPr="00C806D0" w:rsidRDefault="000027E7" w:rsidP="000027E7">
            <w:pPr>
              <w:pStyle w:val="NoSpacing"/>
              <w:rPr>
                <w:sz w:val="20"/>
                <w:szCs w:val="20"/>
              </w:rPr>
            </w:pPr>
            <w:r w:rsidRPr="00C806D0">
              <w:rPr>
                <w:sz w:val="20"/>
                <w:szCs w:val="20"/>
              </w:rPr>
              <w:t>18.9%</w:t>
            </w:r>
          </w:p>
        </w:tc>
      </w:tr>
      <w:tr w:rsidR="000027E7" w:rsidRPr="00C806D0" w:rsidTr="000027E7">
        <w:tc>
          <w:tcPr>
            <w:tcW w:w="1746" w:type="dxa"/>
          </w:tcPr>
          <w:p w:rsidR="000027E7" w:rsidRPr="00C806D0" w:rsidRDefault="004C61EB" w:rsidP="000027E7">
            <w:pPr>
              <w:pStyle w:val="NoSpacing"/>
              <w:rPr>
                <w:sz w:val="20"/>
                <w:szCs w:val="20"/>
              </w:rPr>
            </w:pPr>
            <w:r w:rsidRPr="00C806D0">
              <w:rPr>
                <w:sz w:val="20"/>
                <w:szCs w:val="20"/>
              </w:rPr>
              <w:t>p-value</w:t>
            </w:r>
          </w:p>
        </w:tc>
        <w:tc>
          <w:tcPr>
            <w:tcW w:w="921" w:type="dxa"/>
          </w:tcPr>
          <w:p w:rsidR="000027E7" w:rsidRPr="00C806D0" w:rsidRDefault="000027E7" w:rsidP="000027E7">
            <w:pPr>
              <w:pStyle w:val="NoSpacing"/>
              <w:rPr>
                <w:sz w:val="20"/>
                <w:szCs w:val="20"/>
              </w:rPr>
            </w:pPr>
          </w:p>
        </w:tc>
        <w:tc>
          <w:tcPr>
            <w:tcW w:w="1387" w:type="dxa"/>
          </w:tcPr>
          <w:p w:rsidR="000027E7" w:rsidRPr="00C806D0" w:rsidRDefault="000027E7" w:rsidP="000027E7">
            <w:pPr>
              <w:pStyle w:val="NoSpacing"/>
              <w:rPr>
                <w:sz w:val="20"/>
                <w:szCs w:val="20"/>
              </w:rPr>
            </w:pPr>
          </w:p>
        </w:tc>
        <w:tc>
          <w:tcPr>
            <w:tcW w:w="1266" w:type="dxa"/>
          </w:tcPr>
          <w:p w:rsidR="000027E7" w:rsidRPr="00C806D0" w:rsidRDefault="000027E7" w:rsidP="000027E7">
            <w:pPr>
              <w:pStyle w:val="NoSpacing"/>
              <w:rPr>
                <w:sz w:val="20"/>
                <w:szCs w:val="20"/>
              </w:rPr>
            </w:pPr>
            <w:r w:rsidRPr="00C806D0">
              <w:rPr>
                <w:sz w:val="20"/>
                <w:szCs w:val="20"/>
              </w:rPr>
              <w:t>0.83</w:t>
            </w:r>
          </w:p>
        </w:tc>
        <w:tc>
          <w:tcPr>
            <w:tcW w:w="1301" w:type="dxa"/>
          </w:tcPr>
          <w:p w:rsidR="000027E7" w:rsidRPr="00C806D0" w:rsidRDefault="000027E7" w:rsidP="000027E7">
            <w:pPr>
              <w:pStyle w:val="NoSpacing"/>
              <w:rPr>
                <w:sz w:val="20"/>
                <w:szCs w:val="20"/>
              </w:rPr>
            </w:pPr>
            <w:r w:rsidRPr="00C806D0">
              <w:rPr>
                <w:sz w:val="20"/>
                <w:szCs w:val="20"/>
              </w:rPr>
              <w:t>0.45</w:t>
            </w:r>
          </w:p>
        </w:tc>
        <w:tc>
          <w:tcPr>
            <w:tcW w:w="1260" w:type="dxa"/>
          </w:tcPr>
          <w:p w:rsidR="000027E7" w:rsidRPr="00C806D0" w:rsidRDefault="000027E7" w:rsidP="000027E7">
            <w:pPr>
              <w:pStyle w:val="NoSpacing"/>
              <w:rPr>
                <w:sz w:val="20"/>
                <w:szCs w:val="20"/>
              </w:rPr>
            </w:pPr>
            <w:r w:rsidRPr="00C806D0">
              <w:rPr>
                <w:sz w:val="20"/>
                <w:szCs w:val="20"/>
              </w:rPr>
              <w:t>0.35</w:t>
            </w:r>
          </w:p>
        </w:tc>
        <w:tc>
          <w:tcPr>
            <w:tcW w:w="1260" w:type="dxa"/>
          </w:tcPr>
          <w:p w:rsidR="000027E7" w:rsidRPr="00C806D0" w:rsidRDefault="000027E7" w:rsidP="000027E7">
            <w:pPr>
              <w:pStyle w:val="NoSpacing"/>
              <w:rPr>
                <w:sz w:val="20"/>
                <w:szCs w:val="20"/>
              </w:rPr>
            </w:pPr>
            <w:r w:rsidRPr="00C806D0">
              <w:rPr>
                <w:sz w:val="20"/>
                <w:szCs w:val="20"/>
              </w:rPr>
              <w:t>0.55</w:t>
            </w:r>
          </w:p>
        </w:tc>
        <w:tc>
          <w:tcPr>
            <w:tcW w:w="5033" w:type="dxa"/>
            <w:gridSpan w:val="4"/>
          </w:tcPr>
          <w:p w:rsidR="000027E7" w:rsidRPr="00C806D0" w:rsidRDefault="000027E7" w:rsidP="000027E7">
            <w:pPr>
              <w:pStyle w:val="NoSpacing"/>
              <w:jc w:val="center"/>
              <w:rPr>
                <w:sz w:val="20"/>
                <w:szCs w:val="20"/>
              </w:rPr>
            </w:pPr>
            <w:r w:rsidRPr="00C806D0">
              <w:rPr>
                <w:sz w:val="20"/>
                <w:szCs w:val="20"/>
              </w:rPr>
              <w:t>0.23</w:t>
            </w:r>
          </w:p>
        </w:tc>
      </w:tr>
      <w:tr w:rsidR="000027E7" w:rsidRPr="00C806D0" w:rsidTr="000027E7">
        <w:tc>
          <w:tcPr>
            <w:tcW w:w="1746" w:type="dxa"/>
          </w:tcPr>
          <w:p w:rsidR="000027E7" w:rsidRPr="00C806D0" w:rsidRDefault="000027E7" w:rsidP="000027E7">
            <w:pPr>
              <w:pStyle w:val="NoSpacing"/>
              <w:rPr>
                <w:sz w:val="20"/>
                <w:szCs w:val="20"/>
              </w:rPr>
            </w:pPr>
          </w:p>
        </w:tc>
        <w:tc>
          <w:tcPr>
            <w:tcW w:w="921" w:type="dxa"/>
          </w:tcPr>
          <w:p w:rsidR="000027E7" w:rsidRPr="00C806D0" w:rsidRDefault="000027E7" w:rsidP="000027E7">
            <w:pPr>
              <w:pStyle w:val="NoSpacing"/>
              <w:rPr>
                <w:sz w:val="20"/>
                <w:szCs w:val="20"/>
              </w:rPr>
            </w:pPr>
          </w:p>
        </w:tc>
        <w:tc>
          <w:tcPr>
            <w:tcW w:w="1387" w:type="dxa"/>
          </w:tcPr>
          <w:p w:rsidR="000027E7" w:rsidRPr="00C806D0" w:rsidRDefault="000027E7" w:rsidP="000027E7">
            <w:pPr>
              <w:pStyle w:val="NoSpacing"/>
              <w:rPr>
                <w:sz w:val="20"/>
                <w:szCs w:val="20"/>
              </w:rPr>
            </w:pPr>
          </w:p>
        </w:tc>
        <w:tc>
          <w:tcPr>
            <w:tcW w:w="1266" w:type="dxa"/>
          </w:tcPr>
          <w:p w:rsidR="000027E7" w:rsidRPr="00C806D0" w:rsidRDefault="000027E7" w:rsidP="000027E7">
            <w:pPr>
              <w:pStyle w:val="NoSpacing"/>
              <w:rPr>
                <w:sz w:val="20"/>
                <w:szCs w:val="20"/>
              </w:rPr>
            </w:pPr>
          </w:p>
        </w:tc>
        <w:tc>
          <w:tcPr>
            <w:tcW w:w="1301" w:type="dxa"/>
          </w:tcPr>
          <w:p w:rsidR="000027E7" w:rsidRPr="00C806D0" w:rsidRDefault="000027E7" w:rsidP="000027E7">
            <w:pPr>
              <w:pStyle w:val="NoSpacing"/>
              <w:rPr>
                <w:sz w:val="20"/>
                <w:szCs w:val="20"/>
              </w:rPr>
            </w:pPr>
          </w:p>
        </w:tc>
        <w:tc>
          <w:tcPr>
            <w:tcW w:w="1260" w:type="dxa"/>
          </w:tcPr>
          <w:p w:rsidR="000027E7" w:rsidRPr="00C806D0" w:rsidRDefault="000027E7" w:rsidP="000027E7">
            <w:pPr>
              <w:pStyle w:val="NoSpacing"/>
              <w:rPr>
                <w:sz w:val="20"/>
                <w:szCs w:val="20"/>
              </w:rPr>
            </w:pPr>
          </w:p>
        </w:tc>
        <w:tc>
          <w:tcPr>
            <w:tcW w:w="1260" w:type="dxa"/>
          </w:tcPr>
          <w:p w:rsidR="000027E7" w:rsidRPr="00C806D0" w:rsidRDefault="000027E7" w:rsidP="000027E7">
            <w:pPr>
              <w:pStyle w:val="NoSpacing"/>
              <w:rPr>
                <w:sz w:val="20"/>
                <w:szCs w:val="20"/>
              </w:rPr>
            </w:pPr>
          </w:p>
        </w:tc>
        <w:tc>
          <w:tcPr>
            <w:tcW w:w="1255" w:type="dxa"/>
          </w:tcPr>
          <w:p w:rsidR="000027E7" w:rsidRPr="00C806D0" w:rsidRDefault="000027E7" w:rsidP="000027E7">
            <w:pPr>
              <w:pStyle w:val="NoSpacing"/>
              <w:rPr>
                <w:sz w:val="20"/>
                <w:szCs w:val="20"/>
              </w:rPr>
            </w:pPr>
          </w:p>
        </w:tc>
        <w:tc>
          <w:tcPr>
            <w:tcW w:w="1255" w:type="dxa"/>
          </w:tcPr>
          <w:p w:rsidR="000027E7" w:rsidRPr="00C806D0" w:rsidRDefault="000027E7" w:rsidP="000027E7">
            <w:pPr>
              <w:pStyle w:val="NoSpacing"/>
              <w:rPr>
                <w:sz w:val="20"/>
                <w:szCs w:val="20"/>
              </w:rPr>
            </w:pPr>
          </w:p>
        </w:tc>
        <w:tc>
          <w:tcPr>
            <w:tcW w:w="1270" w:type="dxa"/>
          </w:tcPr>
          <w:p w:rsidR="000027E7" w:rsidRPr="00C806D0" w:rsidRDefault="000027E7" w:rsidP="000027E7">
            <w:pPr>
              <w:pStyle w:val="NoSpacing"/>
              <w:rPr>
                <w:sz w:val="20"/>
                <w:szCs w:val="20"/>
              </w:rPr>
            </w:pPr>
          </w:p>
        </w:tc>
        <w:tc>
          <w:tcPr>
            <w:tcW w:w="1253" w:type="dxa"/>
          </w:tcPr>
          <w:p w:rsidR="000027E7" w:rsidRPr="00C806D0" w:rsidRDefault="000027E7" w:rsidP="000027E7">
            <w:pPr>
              <w:pStyle w:val="NoSpacing"/>
              <w:rPr>
                <w:sz w:val="20"/>
                <w:szCs w:val="20"/>
              </w:rPr>
            </w:pPr>
          </w:p>
        </w:tc>
      </w:tr>
      <w:tr w:rsidR="000027E7" w:rsidRPr="00C806D0" w:rsidTr="000027E7">
        <w:tc>
          <w:tcPr>
            <w:tcW w:w="1746" w:type="dxa"/>
            <w:tcBorders>
              <w:top w:val="single" w:sz="4" w:space="0" w:color="auto"/>
              <w:bottom w:val="nil"/>
            </w:tcBorders>
          </w:tcPr>
          <w:p w:rsidR="000027E7" w:rsidRPr="00C806D0" w:rsidRDefault="000027E7" w:rsidP="000027E7">
            <w:pPr>
              <w:pStyle w:val="NoSpacing"/>
              <w:rPr>
                <w:b/>
                <w:sz w:val="20"/>
                <w:szCs w:val="20"/>
              </w:rPr>
            </w:pPr>
            <w:r w:rsidRPr="00C806D0">
              <w:rPr>
                <w:b/>
                <w:sz w:val="20"/>
                <w:szCs w:val="20"/>
              </w:rPr>
              <w:t>Eldery</w:t>
            </w:r>
          </w:p>
          <w:p w:rsidR="000027E7" w:rsidRPr="00C806D0" w:rsidRDefault="000027E7" w:rsidP="000027E7">
            <w:pPr>
              <w:pStyle w:val="NoSpacing"/>
              <w:rPr>
                <w:b/>
                <w:sz w:val="20"/>
                <w:szCs w:val="20"/>
              </w:rPr>
            </w:pPr>
            <w:r w:rsidRPr="00C806D0">
              <w:rPr>
                <w:b/>
                <w:sz w:val="20"/>
                <w:szCs w:val="20"/>
              </w:rPr>
              <w:t>(&gt;65 years)</w:t>
            </w:r>
          </w:p>
          <w:p w:rsidR="000027E7" w:rsidRPr="00C806D0" w:rsidRDefault="000027E7" w:rsidP="000027E7">
            <w:pPr>
              <w:pStyle w:val="NoSpacing"/>
              <w:rPr>
                <w:b/>
                <w:sz w:val="20"/>
                <w:szCs w:val="20"/>
              </w:rPr>
            </w:pPr>
          </w:p>
        </w:tc>
        <w:tc>
          <w:tcPr>
            <w:tcW w:w="921" w:type="dxa"/>
            <w:tcBorders>
              <w:top w:val="single" w:sz="4" w:space="0" w:color="auto"/>
              <w:bottom w:val="nil"/>
            </w:tcBorders>
          </w:tcPr>
          <w:p w:rsidR="000027E7" w:rsidRPr="00C806D0" w:rsidRDefault="000027E7" w:rsidP="000027E7">
            <w:pPr>
              <w:rPr>
                <w:sz w:val="20"/>
                <w:szCs w:val="20"/>
              </w:rPr>
            </w:pPr>
          </w:p>
        </w:tc>
        <w:tc>
          <w:tcPr>
            <w:tcW w:w="1387" w:type="dxa"/>
            <w:tcBorders>
              <w:top w:val="single" w:sz="4" w:space="0" w:color="auto"/>
              <w:bottom w:val="nil"/>
            </w:tcBorders>
          </w:tcPr>
          <w:p w:rsidR="000027E7" w:rsidRPr="00C806D0" w:rsidRDefault="000027E7" w:rsidP="000027E7">
            <w:pPr>
              <w:rPr>
                <w:sz w:val="20"/>
                <w:szCs w:val="20"/>
              </w:rPr>
            </w:pPr>
          </w:p>
          <w:p w:rsidR="000027E7" w:rsidRPr="00C806D0" w:rsidRDefault="000027E7" w:rsidP="000027E7">
            <w:pPr>
              <w:rPr>
                <w:sz w:val="20"/>
                <w:szCs w:val="20"/>
              </w:rPr>
            </w:pPr>
            <w:r w:rsidRPr="00C806D0">
              <w:rPr>
                <w:sz w:val="20"/>
                <w:szCs w:val="20"/>
              </w:rPr>
              <w:t>95.5%</w:t>
            </w:r>
          </w:p>
        </w:tc>
        <w:tc>
          <w:tcPr>
            <w:tcW w:w="1266" w:type="dxa"/>
            <w:tcBorders>
              <w:top w:val="single" w:sz="4" w:space="0" w:color="auto"/>
              <w:bottom w:val="nil"/>
            </w:tcBorders>
          </w:tcPr>
          <w:p w:rsidR="000027E7" w:rsidRPr="00C806D0" w:rsidRDefault="000027E7" w:rsidP="000027E7">
            <w:pPr>
              <w:rPr>
                <w:sz w:val="20"/>
                <w:szCs w:val="20"/>
              </w:rPr>
            </w:pPr>
          </w:p>
        </w:tc>
        <w:tc>
          <w:tcPr>
            <w:tcW w:w="1301" w:type="dxa"/>
            <w:tcBorders>
              <w:top w:val="single" w:sz="4" w:space="0" w:color="auto"/>
              <w:bottom w:val="nil"/>
            </w:tcBorders>
          </w:tcPr>
          <w:p w:rsidR="000027E7" w:rsidRPr="00C806D0" w:rsidRDefault="000027E7" w:rsidP="000027E7">
            <w:pPr>
              <w:rPr>
                <w:sz w:val="20"/>
                <w:szCs w:val="20"/>
              </w:rPr>
            </w:pPr>
          </w:p>
        </w:tc>
        <w:tc>
          <w:tcPr>
            <w:tcW w:w="1260" w:type="dxa"/>
            <w:tcBorders>
              <w:top w:val="single" w:sz="4" w:space="0" w:color="auto"/>
              <w:bottom w:val="nil"/>
            </w:tcBorders>
          </w:tcPr>
          <w:p w:rsidR="000027E7" w:rsidRPr="00C806D0" w:rsidRDefault="000027E7" w:rsidP="000027E7">
            <w:pPr>
              <w:rPr>
                <w:sz w:val="20"/>
                <w:szCs w:val="20"/>
              </w:rPr>
            </w:pPr>
          </w:p>
        </w:tc>
        <w:tc>
          <w:tcPr>
            <w:tcW w:w="1260" w:type="dxa"/>
            <w:tcBorders>
              <w:top w:val="single" w:sz="4" w:space="0" w:color="auto"/>
              <w:bottom w:val="nil"/>
            </w:tcBorders>
          </w:tcPr>
          <w:p w:rsidR="000027E7" w:rsidRPr="00C806D0" w:rsidRDefault="000027E7" w:rsidP="000027E7">
            <w:pPr>
              <w:rPr>
                <w:sz w:val="20"/>
                <w:szCs w:val="20"/>
              </w:rPr>
            </w:pPr>
          </w:p>
        </w:tc>
        <w:tc>
          <w:tcPr>
            <w:tcW w:w="1255" w:type="dxa"/>
            <w:tcBorders>
              <w:top w:val="single" w:sz="4" w:space="0" w:color="auto"/>
              <w:bottom w:val="nil"/>
            </w:tcBorders>
          </w:tcPr>
          <w:p w:rsidR="000027E7" w:rsidRPr="00C806D0" w:rsidRDefault="000027E7" w:rsidP="000027E7">
            <w:pPr>
              <w:rPr>
                <w:sz w:val="20"/>
                <w:szCs w:val="20"/>
              </w:rPr>
            </w:pPr>
          </w:p>
        </w:tc>
        <w:tc>
          <w:tcPr>
            <w:tcW w:w="1255" w:type="dxa"/>
            <w:tcBorders>
              <w:top w:val="single" w:sz="4" w:space="0" w:color="auto"/>
              <w:bottom w:val="nil"/>
            </w:tcBorders>
          </w:tcPr>
          <w:p w:rsidR="000027E7" w:rsidRPr="00C806D0" w:rsidRDefault="000027E7" w:rsidP="000027E7">
            <w:pPr>
              <w:rPr>
                <w:sz w:val="20"/>
                <w:szCs w:val="20"/>
              </w:rPr>
            </w:pPr>
          </w:p>
        </w:tc>
        <w:tc>
          <w:tcPr>
            <w:tcW w:w="1270" w:type="dxa"/>
            <w:tcBorders>
              <w:top w:val="single" w:sz="4" w:space="0" w:color="auto"/>
              <w:bottom w:val="nil"/>
            </w:tcBorders>
          </w:tcPr>
          <w:p w:rsidR="000027E7" w:rsidRPr="00C806D0" w:rsidRDefault="000027E7" w:rsidP="000027E7">
            <w:pPr>
              <w:rPr>
                <w:sz w:val="20"/>
                <w:szCs w:val="20"/>
              </w:rPr>
            </w:pPr>
          </w:p>
        </w:tc>
        <w:tc>
          <w:tcPr>
            <w:tcW w:w="1253" w:type="dxa"/>
            <w:tcBorders>
              <w:top w:val="single" w:sz="4" w:space="0" w:color="auto"/>
              <w:bottom w:val="nil"/>
            </w:tcBorders>
          </w:tcPr>
          <w:p w:rsidR="000027E7" w:rsidRPr="00C806D0" w:rsidRDefault="000027E7" w:rsidP="000027E7">
            <w:pPr>
              <w:rPr>
                <w:sz w:val="20"/>
                <w:szCs w:val="20"/>
              </w:rPr>
            </w:pPr>
          </w:p>
        </w:tc>
      </w:tr>
      <w:tr w:rsidR="000027E7" w:rsidRPr="00C806D0" w:rsidTr="000027E7">
        <w:trPr>
          <w:trHeight w:val="410"/>
        </w:trPr>
        <w:tc>
          <w:tcPr>
            <w:tcW w:w="1746" w:type="dxa"/>
            <w:tcBorders>
              <w:top w:val="nil"/>
            </w:tcBorders>
          </w:tcPr>
          <w:p w:rsidR="000027E7" w:rsidRPr="00C806D0" w:rsidRDefault="000027E7" w:rsidP="000027E7">
            <w:pPr>
              <w:pStyle w:val="NoSpacing"/>
              <w:rPr>
                <w:sz w:val="20"/>
                <w:szCs w:val="20"/>
              </w:rPr>
            </w:pPr>
            <w:r w:rsidRPr="00C806D0">
              <w:rPr>
                <w:sz w:val="20"/>
                <w:szCs w:val="20"/>
              </w:rPr>
              <w:t>Lost to follow up</w:t>
            </w:r>
          </w:p>
        </w:tc>
        <w:tc>
          <w:tcPr>
            <w:tcW w:w="921" w:type="dxa"/>
            <w:tcBorders>
              <w:top w:val="nil"/>
            </w:tcBorders>
          </w:tcPr>
          <w:p w:rsidR="000027E7" w:rsidRPr="00C806D0" w:rsidRDefault="000027E7" w:rsidP="000027E7">
            <w:pPr>
              <w:pStyle w:val="NoSpacing"/>
              <w:rPr>
                <w:sz w:val="20"/>
                <w:szCs w:val="20"/>
              </w:rPr>
            </w:pPr>
            <w:r w:rsidRPr="00C806D0">
              <w:rPr>
                <w:sz w:val="20"/>
                <w:szCs w:val="20"/>
              </w:rPr>
              <w:t>3</w:t>
            </w:r>
          </w:p>
        </w:tc>
        <w:tc>
          <w:tcPr>
            <w:tcW w:w="1387" w:type="dxa"/>
            <w:tcBorders>
              <w:top w:val="nil"/>
            </w:tcBorders>
          </w:tcPr>
          <w:p w:rsidR="000027E7" w:rsidRPr="00C806D0" w:rsidRDefault="000027E7" w:rsidP="000027E7">
            <w:pPr>
              <w:pStyle w:val="NoSpacing"/>
              <w:rPr>
                <w:sz w:val="20"/>
                <w:szCs w:val="20"/>
              </w:rPr>
            </w:pPr>
          </w:p>
        </w:tc>
        <w:tc>
          <w:tcPr>
            <w:tcW w:w="1266" w:type="dxa"/>
            <w:tcBorders>
              <w:top w:val="nil"/>
            </w:tcBorders>
          </w:tcPr>
          <w:p w:rsidR="000027E7" w:rsidRPr="00C806D0" w:rsidRDefault="000027E7" w:rsidP="000027E7">
            <w:pPr>
              <w:pStyle w:val="NoSpacing"/>
              <w:rPr>
                <w:sz w:val="20"/>
                <w:szCs w:val="20"/>
              </w:rPr>
            </w:pPr>
            <w:r w:rsidRPr="00C806D0">
              <w:rPr>
                <w:sz w:val="20"/>
                <w:szCs w:val="20"/>
              </w:rPr>
              <w:t>33.3%</w:t>
            </w:r>
          </w:p>
        </w:tc>
        <w:tc>
          <w:tcPr>
            <w:tcW w:w="1301" w:type="dxa"/>
            <w:tcBorders>
              <w:top w:val="nil"/>
            </w:tcBorders>
          </w:tcPr>
          <w:p w:rsidR="000027E7" w:rsidRPr="00C806D0" w:rsidRDefault="000027E7" w:rsidP="000027E7">
            <w:pPr>
              <w:pStyle w:val="NoSpacing"/>
              <w:rPr>
                <w:sz w:val="20"/>
                <w:szCs w:val="20"/>
              </w:rPr>
            </w:pPr>
            <w:r w:rsidRPr="00C806D0">
              <w:rPr>
                <w:sz w:val="20"/>
                <w:szCs w:val="20"/>
              </w:rPr>
              <w:t>0%</w:t>
            </w:r>
          </w:p>
        </w:tc>
        <w:tc>
          <w:tcPr>
            <w:tcW w:w="1260" w:type="dxa"/>
            <w:tcBorders>
              <w:top w:val="nil"/>
            </w:tcBorders>
          </w:tcPr>
          <w:p w:rsidR="000027E7" w:rsidRPr="00C806D0" w:rsidRDefault="000027E7" w:rsidP="000027E7">
            <w:pPr>
              <w:pStyle w:val="NoSpacing"/>
              <w:rPr>
                <w:sz w:val="20"/>
                <w:szCs w:val="20"/>
              </w:rPr>
            </w:pPr>
            <w:r w:rsidRPr="00C806D0">
              <w:rPr>
                <w:sz w:val="20"/>
                <w:szCs w:val="20"/>
              </w:rPr>
              <w:t>0%</w:t>
            </w:r>
          </w:p>
        </w:tc>
        <w:tc>
          <w:tcPr>
            <w:tcW w:w="1260" w:type="dxa"/>
            <w:tcBorders>
              <w:top w:val="nil"/>
            </w:tcBorders>
          </w:tcPr>
          <w:p w:rsidR="000027E7" w:rsidRPr="00C806D0" w:rsidRDefault="000027E7" w:rsidP="000027E7">
            <w:pPr>
              <w:pStyle w:val="NoSpacing"/>
              <w:rPr>
                <w:sz w:val="20"/>
                <w:szCs w:val="20"/>
              </w:rPr>
            </w:pPr>
            <w:r w:rsidRPr="00C806D0">
              <w:rPr>
                <w:sz w:val="20"/>
                <w:szCs w:val="20"/>
              </w:rPr>
              <w:t>100%</w:t>
            </w:r>
          </w:p>
        </w:tc>
        <w:tc>
          <w:tcPr>
            <w:tcW w:w="1255" w:type="dxa"/>
            <w:tcBorders>
              <w:top w:val="nil"/>
            </w:tcBorders>
          </w:tcPr>
          <w:p w:rsidR="000027E7" w:rsidRPr="00C806D0" w:rsidRDefault="000027E7" w:rsidP="000027E7">
            <w:pPr>
              <w:pStyle w:val="NoSpacing"/>
              <w:rPr>
                <w:sz w:val="20"/>
                <w:szCs w:val="20"/>
              </w:rPr>
            </w:pPr>
            <w:r w:rsidRPr="00C806D0">
              <w:rPr>
                <w:sz w:val="20"/>
                <w:szCs w:val="20"/>
              </w:rPr>
              <w:t>0%</w:t>
            </w:r>
          </w:p>
        </w:tc>
        <w:tc>
          <w:tcPr>
            <w:tcW w:w="1255" w:type="dxa"/>
            <w:tcBorders>
              <w:top w:val="nil"/>
            </w:tcBorders>
          </w:tcPr>
          <w:p w:rsidR="000027E7" w:rsidRPr="00C806D0" w:rsidRDefault="000027E7" w:rsidP="000027E7">
            <w:pPr>
              <w:pStyle w:val="NoSpacing"/>
              <w:rPr>
                <w:sz w:val="20"/>
                <w:szCs w:val="20"/>
              </w:rPr>
            </w:pPr>
            <w:r w:rsidRPr="00C806D0">
              <w:rPr>
                <w:sz w:val="20"/>
                <w:szCs w:val="20"/>
              </w:rPr>
              <w:t>100%</w:t>
            </w:r>
          </w:p>
        </w:tc>
        <w:tc>
          <w:tcPr>
            <w:tcW w:w="1270" w:type="dxa"/>
            <w:tcBorders>
              <w:top w:val="nil"/>
            </w:tcBorders>
          </w:tcPr>
          <w:p w:rsidR="000027E7" w:rsidRPr="00C806D0" w:rsidRDefault="000027E7" w:rsidP="000027E7">
            <w:pPr>
              <w:pStyle w:val="NoSpacing"/>
              <w:rPr>
                <w:sz w:val="20"/>
                <w:szCs w:val="20"/>
              </w:rPr>
            </w:pPr>
            <w:r w:rsidRPr="00C806D0">
              <w:rPr>
                <w:sz w:val="20"/>
                <w:szCs w:val="20"/>
              </w:rPr>
              <w:t>0%</w:t>
            </w:r>
          </w:p>
        </w:tc>
        <w:tc>
          <w:tcPr>
            <w:tcW w:w="1253" w:type="dxa"/>
            <w:tcBorders>
              <w:top w:val="nil"/>
            </w:tcBorders>
          </w:tcPr>
          <w:p w:rsidR="000027E7" w:rsidRPr="00C806D0" w:rsidRDefault="000027E7" w:rsidP="000027E7">
            <w:pPr>
              <w:pStyle w:val="NoSpacing"/>
              <w:rPr>
                <w:sz w:val="20"/>
                <w:szCs w:val="20"/>
              </w:rPr>
            </w:pPr>
            <w:r w:rsidRPr="00C806D0">
              <w:rPr>
                <w:sz w:val="20"/>
                <w:szCs w:val="20"/>
              </w:rPr>
              <w:t>0%</w:t>
            </w:r>
          </w:p>
        </w:tc>
      </w:tr>
      <w:tr w:rsidR="000027E7" w:rsidRPr="00C806D0" w:rsidTr="000027E7">
        <w:tc>
          <w:tcPr>
            <w:tcW w:w="1746" w:type="dxa"/>
          </w:tcPr>
          <w:p w:rsidR="000027E7" w:rsidRPr="00C806D0" w:rsidRDefault="000027E7" w:rsidP="000027E7">
            <w:pPr>
              <w:pStyle w:val="NoSpacing"/>
              <w:rPr>
                <w:sz w:val="20"/>
                <w:szCs w:val="20"/>
              </w:rPr>
            </w:pPr>
            <w:r w:rsidRPr="00C806D0">
              <w:rPr>
                <w:sz w:val="20"/>
                <w:szCs w:val="20"/>
              </w:rPr>
              <w:t>Administratively censored or died</w:t>
            </w:r>
          </w:p>
          <w:p w:rsidR="004C61EB" w:rsidRPr="00C806D0" w:rsidRDefault="004C61EB" w:rsidP="000027E7">
            <w:pPr>
              <w:pStyle w:val="NoSpacing"/>
              <w:rPr>
                <w:sz w:val="20"/>
                <w:szCs w:val="20"/>
              </w:rPr>
            </w:pPr>
          </w:p>
        </w:tc>
        <w:tc>
          <w:tcPr>
            <w:tcW w:w="921" w:type="dxa"/>
          </w:tcPr>
          <w:p w:rsidR="000027E7" w:rsidRPr="00C806D0" w:rsidRDefault="000027E7" w:rsidP="000027E7">
            <w:pPr>
              <w:pStyle w:val="NoSpacing"/>
              <w:rPr>
                <w:sz w:val="20"/>
                <w:szCs w:val="20"/>
              </w:rPr>
            </w:pPr>
            <w:r w:rsidRPr="00C806D0">
              <w:rPr>
                <w:sz w:val="20"/>
                <w:szCs w:val="20"/>
              </w:rPr>
              <w:t>88</w:t>
            </w:r>
          </w:p>
        </w:tc>
        <w:tc>
          <w:tcPr>
            <w:tcW w:w="1387" w:type="dxa"/>
          </w:tcPr>
          <w:p w:rsidR="000027E7" w:rsidRPr="00C806D0" w:rsidRDefault="000027E7" w:rsidP="000027E7">
            <w:pPr>
              <w:pStyle w:val="NoSpacing"/>
              <w:rPr>
                <w:sz w:val="20"/>
                <w:szCs w:val="20"/>
              </w:rPr>
            </w:pPr>
          </w:p>
        </w:tc>
        <w:tc>
          <w:tcPr>
            <w:tcW w:w="1266" w:type="dxa"/>
          </w:tcPr>
          <w:p w:rsidR="000027E7" w:rsidRPr="00C806D0" w:rsidRDefault="000027E7" w:rsidP="000027E7">
            <w:pPr>
              <w:pStyle w:val="NoSpacing"/>
              <w:rPr>
                <w:sz w:val="20"/>
                <w:szCs w:val="20"/>
              </w:rPr>
            </w:pPr>
            <w:r w:rsidRPr="00C806D0">
              <w:rPr>
                <w:sz w:val="20"/>
                <w:szCs w:val="20"/>
              </w:rPr>
              <w:t>33.0%</w:t>
            </w:r>
          </w:p>
          <w:p w:rsidR="000027E7" w:rsidRPr="00C806D0" w:rsidRDefault="000027E7" w:rsidP="000027E7">
            <w:pPr>
              <w:pStyle w:val="NoSpacing"/>
              <w:rPr>
                <w:sz w:val="20"/>
                <w:szCs w:val="20"/>
              </w:rPr>
            </w:pPr>
          </w:p>
        </w:tc>
        <w:tc>
          <w:tcPr>
            <w:tcW w:w="1301" w:type="dxa"/>
          </w:tcPr>
          <w:p w:rsidR="000027E7" w:rsidRPr="00C806D0" w:rsidRDefault="000027E7" w:rsidP="000027E7">
            <w:pPr>
              <w:pStyle w:val="NoSpacing"/>
              <w:rPr>
                <w:sz w:val="20"/>
                <w:szCs w:val="20"/>
              </w:rPr>
            </w:pPr>
            <w:r w:rsidRPr="00C806D0">
              <w:rPr>
                <w:sz w:val="20"/>
                <w:szCs w:val="20"/>
              </w:rPr>
              <w:t>1.1%</w:t>
            </w:r>
          </w:p>
        </w:tc>
        <w:tc>
          <w:tcPr>
            <w:tcW w:w="1260" w:type="dxa"/>
          </w:tcPr>
          <w:p w:rsidR="000027E7" w:rsidRPr="00C806D0" w:rsidRDefault="000027E7" w:rsidP="000027E7">
            <w:pPr>
              <w:pStyle w:val="NoSpacing"/>
              <w:rPr>
                <w:sz w:val="20"/>
                <w:szCs w:val="20"/>
              </w:rPr>
            </w:pPr>
            <w:r w:rsidRPr="00C806D0">
              <w:rPr>
                <w:sz w:val="20"/>
                <w:szCs w:val="20"/>
              </w:rPr>
              <w:t>22.7%</w:t>
            </w:r>
          </w:p>
        </w:tc>
        <w:tc>
          <w:tcPr>
            <w:tcW w:w="1260" w:type="dxa"/>
          </w:tcPr>
          <w:p w:rsidR="000027E7" w:rsidRPr="00C806D0" w:rsidRDefault="000027E7" w:rsidP="000027E7">
            <w:pPr>
              <w:pStyle w:val="NoSpacing"/>
              <w:rPr>
                <w:sz w:val="20"/>
                <w:szCs w:val="20"/>
              </w:rPr>
            </w:pPr>
            <w:r w:rsidRPr="00C806D0">
              <w:rPr>
                <w:sz w:val="20"/>
                <w:szCs w:val="20"/>
              </w:rPr>
              <w:t>84.1%</w:t>
            </w:r>
          </w:p>
        </w:tc>
        <w:tc>
          <w:tcPr>
            <w:tcW w:w="1255" w:type="dxa"/>
          </w:tcPr>
          <w:p w:rsidR="000027E7" w:rsidRPr="00C806D0" w:rsidRDefault="000027E7" w:rsidP="000027E7">
            <w:pPr>
              <w:pStyle w:val="NoSpacing"/>
              <w:rPr>
                <w:sz w:val="20"/>
                <w:szCs w:val="20"/>
              </w:rPr>
            </w:pPr>
            <w:r w:rsidRPr="00C806D0">
              <w:rPr>
                <w:sz w:val="20"/>
                <w:szCs w:val="20"/>
              </w:rPr>
              <w:t>17.1%</w:t>
            </w:r>
          </w:p>
        </w:tc>
        <w:tc>
          <w:tcPr>
            <w:tcW w:w="1255" w:type="dxa"/>
          </w:tcPr>
          <w:p w:rsidR="000027E7" w:rsidRPr="00C806D0" w:rsidRDefault="000027E7" w:rsidP="000027E7">
            <w:pPr>
              <w:pStyle w:val="NoSpacing"/>
              <w:rPr>
                <w:sz w:val="20"/>
                <w:szCs w:val="20"/>
              </w:rPr>
            </w:pPr>
            <w:r w:rsidRPr="00C806D0">
              <w:rPr>
                <w:sz w:val="20"/>
                <w:szCs w:val="20"/>
              </w:rPr>
              <w:t>76.1%</w:t>
            </w:r>
          </w:p>
        </w:tc>
        <w:tc>
          <w:tcPr>
            <w:tcW w:w="1270" w:type="dxa"/>
          </w:tcPr>
          <w:p w:rsidR="000027E7" w:rsidRPr="00C806D0" w:rsidRDefault="000027E7" w:rsidP="000027E7">
            <w:pPr>
              <w:pStyle w:val="NoSpacing"/>
              <w:rPr>
                <w:sz w:val="20"/>
                <w:szCs w:val="20"/>
              </w:rPr>
            </w:pPr>
            <w:r w:rsidRPr="00C806D0">
              <w:rPr>
                <w:sz w:val="20"/>
                <w:szCs w:val="20"/>
              </w:rPr>
              <w:t>1.1%</w:t>
            </w:r>
          </w:p>
        </w:tc>
        <w:tc>
          <w:tcPr>
            <w:tcW w:w="1253" w:type="dxa"/>
          </w:tcPr>
          <w:p w:rsidR="000027E7" w:rsidRPr="00C806D0" w:rsidRDefault="000027E7" w:rsidP="000027E7">
            <w:pPr>
              <w:pStyle w:val="NoSpacing"/>
              <w:rPr>
                <w:sz w:val="20"/>
                <w:szCs w:val="20"/>
              </w:rPr>
            </w:pPr>
            <w:r w:rsidRPr="00C806D0">
              <w:rPr>
                <w:sz w:val="20"/>
                <w:szCs w:val="20"/>
              </w:rPr>
              <w:t>5.7%</w:t>
            </w:r>
          </w:p>
        </w:tc>
      </w:tr>
      <w:tr w:rsidR="000027E7" w:rsidRPr="00C806D0" w:rsidTr="000027E7">
        <w:tc>
          <w:tcPr>
            <w:tcW w:w="1746" w:type="dxa"/>
          </w:tcPr>
          <w:p w:rsidR="000027E7" w:rsidRPr="00C806D0" w:rsidRDefault="004C61EB" w:rsidP="000027E7">
            <w:pPr>
              <w:pStyle w:val="NoSpacing"/>
              <w:rPr>
                <w:sz w:val="20"/>
                <w:szCs w:val="20"/>
              </w:rPr>
            </w:pPr>
            <w:r w:rsidRPr="00C806D0">
              <w:rPr>
                <w:sz w:val="20"/>
                <w:szCs w:val="20"/>
              </w:rPr>
              <w:t>p-value</w:t>
            </w:r>
          </w:p>
        </w:tc>
        <w:tc>
          <w:tcPr>
            <w:tcW w:w="921" w:type="dxa"/>
          </w:tcPr>
          <w:p w:rsidR="000027E7" w:rsidRPr="00C806D0" w:rsidRDefault="000027E7" w:rsidP="000027E7">
            <w:pPr>
              <w:pStyle w:val="NoSpacing"/>
              <w:rPr>
                <w:sz w:val="20"/>
                <w:szCs w:val="20"/>
              </w:rPr>
            </w:pPr>
          </w:p>
        </w:tc>
        <w:tc>
          <w:tcPr>
            <w:tcW w:w="1387" w:type="dxa"/>
          </w:tcPr>
          <w:p w:rsidR="000027E7" w:rsidRPr="00C806D0" w:rsidRDefault="000027E7" w:rsidP="000027E7">
            <w:pPr>
              <w:pStyle w:val="NoSpacing"/>
              <w:rPr>
                <w:sz w:val="20"/>
                <w:szCs w:val="20"/>
              </w:rPr>
            </w:pPr>
          </w:p>
        </w:tc>
        <w:tc>
          <w:tcPr>
            <w:tcW w:w="1266" w:type="dxa"/>
          </w:tcPr>
          <w:p w:rsidR="000027E7" w:rsidRPr="00C806D0" w:rsidRDefault="000027E7" w:rsidP="000027E7">
            <w:pPr>
              <w:pStyle w:val="NoSpacing"/>
              <w:rPr>
                <w:sz w:val="20"/>
                <w:szCs w:val="20"/>
              </w:rPr>
            </w:pPr>
            <w:r w:rsidRPr="00C806D0">
              <w:rPr>
                <w:sz w:val="20"/>
                <w:szCs w:val="20"/>
              </w:rPr>
              <w:t>0.99</w:t>
            </w:r>
          </w:p>
        </w:tc>
        <w:tc>
          <w:tcPr>
            <w:tcW w:w="1301" w:type="dxa"/>
          </w:tcPr>
          <w:p w:rsidR="000027E7" w:rsidRPr="00C806D0" w:rsidRDefault="000027E7" w:rsidP="000027E7">
            <w:pPr>
              <w:pStyle w:val="NoSpacing"/>
              <w:rPr>
                <w:sz w:val="20"/>
                <w:szCs w:val="20"/>
              </w:rPr>
            </w:pPr>
            <w:r w:rsidRPr="00C806D0">
              <w:rPr>
                <w:sz w:val="20"/>
                <w:szCs w:val="20"/>
              </w:rPr>
              <w:t>0.61</w:t>
            </w:r>
          </w:p>
        </w:tc>
        <w:tc>
          <w:tcPr>
            <w:tcW w:w="1260" w:type="dxa"/>
          </w:tcPr>
          <w:p w:rsidR="000027E7" w:rsidRPr="00C806D0" w:rsidRDefault="000027E7" w:rsidP="000027E7">
            <w:pPr>
              <w:pStyle w:val="NoSpacing"/>
              <w:rPr>
                <w:sz w:val="20"/>
                <w:szCs w:val="20"/>
              </w:rPr>
            </w:pPr>
            <w:r w:rsidRPr="00C806D0">
              <w:rPr>
                <w:sz w:val="20"/>
                <w:szCs w:val="20"/>
              </w:rPr>
              <w:t>0.35</w:t>
            </w:r>
          </w:p>
        </w:tc>
        <w:tc>
          <w:tcPr>
            <w:tcW w:w="1260" w:type="dxa"/>
          </w:tcPr>
          <w:p w:rsidR="000027E7" w:rsidRPr="00C806D0" w:rsidRDefault="000027E7" w:rsidP="000027E7">
            <w:pPr>
              <w:pStyle w:val="NoSpacing"/>
              <w:rPr>
                <w:sz w:val="20"/>
                <w:szCs w:val="20"/>
              </w:rPr>
            </w:pPr>
            <w:r w:rsidRPr="00C806D0">
              <w:rPr>
                <w:sz w:val="20"/>
                <w:szCs w:val="20"/>
              </w:rPr>
              <w:t>0.45</w:t>
            </w:r>
          </w:p>
        </w:tc>
        <w:tc>
          <w:tcPr>
            <w:tcW w:w="5033" w:type="dxa"/>
            <w:gridSpan w:val="4"/>
          </w:tcPr>
          <w:p w:rsidR="000027E7" w:rsidRPr="00C806D0" w:rsidRDefault="000027E7" w:rsidP="000027E7">
            <w:pPr>
              <w:pStyle w:val="NoSpacing"/>
              <w:jc w:val="center"/>
              <w:rPr>
                <w:sz w:val="20"/>
                <w:szCs w:val="20"/>
              </w:rPr>
            </w:pPr>
            <w:r w:rsidRPr="00C806D0">
              <w:rPr>
                <w:sz w:val="20"/>
                <w:szCs w:val="20"/>
              </w:rPr>
              <w:t>0.92</w:t>
            </w:r>
          </w:p>
          <w:p w:rsidR="000027E7" w:rsidRPr="00C806D0" w:rsidRDefault="000027E7" w:rsidP="000027E7">
            <w:pPr>
              <w:pStyle w:val="NoSpacing"/>
              <w:jc w:val="center"/>
              <w:rPr>
                <w:sz w:val="20"/>
                <w:szCs w:val="20"/>
              </w:rPr>
            </w:pPr>
          </w:p>
        </w:tc>
      </w:tr>
    </w:tbl>
    <w:p w:rsidR="00CA694F" w:rsidRPr="00C806D0" w:rsidRDefault="00CA694F" w:rsidP="000027E7">
      <w:pPr>
        <w:pStyle w:val="Heading4"/>
        <w:sectPr w:rsidR="00CA694F" w:rsidRPr="00C806D0" w:rsidSect="00CA694F">
          <w:pgSz w:w="16838" w:h="11906" w:orient="landscape"/>
          <w:pgMar w:top="2268" w:right="1134" w:bottom="1134" w:left="1134" w:header="709" w:footer="709" w:gutter="0"/>
          <w:cols w:space="708"/>
          <w:docGrid w:linePitch="360"/>
        </w:sectPr>
      </w:pPr>
    </w:p>
    <w:p w:rsidR="000027E7" w:rsidRPr="00C806D0" w:rsidRDefault="000027E7" w:rsidP="000027E7">
      <w:pPr>
        <w:pStyle w:val="Heading4"/>
      </w:pPr>
      <w:r w:rsidRPr="00C806D0">
        <w:t>Sensitivity analyses for non-informative censoring</w:t>
      </w:r>
    </w:p>
    <w:p w:rsidR="000027E7" w:rsidRPr="00C806D0" w:rsidRDefault="000027E7" w:rsidP="000027E7">
      <w:r w:rsidRPr="00C806D0">
        <w:t xml:space="preserve">Extreme case sensitivity analyses applied maximal stress to the robustness of study results. A Gompertz distribution maintained satisfactory goodness of fit to the data in the event that all study drop outs immediately died after leaving Olmsted County. However the resulting survival curves were completely implausible, precluding any insight into the effect of censoring. In the opposite eventuality that all cases lost to follow up survived to the of the study period significantly diminished survival was still apparent for TBI patients </w:t>
      </w:r>
      <w:r w:rsidR="00335B1F" w:rsidRPr="00C806D0">
        <w:t>compared with</w:t>
      </w:r>
      <w:r w:rsidRPr="00C806D0">
        <w:t xml:space="preserve"> the general US population.</w:t>
      </w:r>
    </w:p>
    <w:p w:rsidR="000027E7" w:rsidRPr="00C806D0" w:rsidRDefault="000027E7" w:rsidP="000027E7"/>
    <w:p w:rsidR="000027E7" w:rsidRPr="00C806D0" w:rsidRDefault="000027E7" w:rsidP="000027E7">
      <w:r w:rsidRPr="00C806D0">
        <w:t xml:space="preserve">In scenario analyses exploring more plausible censoring mechanisms TBI patients demonstrated notably worse survival </w:t>
      </w:r>
      <w:r w:rsidR="00335B1F" w:rsidRPr="00C806D0">
        <w:t>compared with</w:t>
      </w:r>
      <w:r w:rsidRPr="00C806D0">
        <w:t xml:space="preserve"> base case estimates. In the first scenario it was assumed that twice as many patients who were prematurely lost to follow up died </w:t>
      </w:r>
      <w:r w:rsidR="00335B1F" w:rsidRPr="00C806D0">
        <w:t>compared with</w:t>
      </w:r>
      <w:r w:rsidRPr="00C806D0">
        <w:t xml:space="preserve"> those remaining under observation. Life expectancy for those lost to follow up and assumed to have died was 25% less than that of the general US population estimated from year 2000 cohort life tables. Predicted median survival following a TBI at the ages </w:t>
      </w:r>
      <w:r w:rsidR="00CE7834" w:rsidRPr="00C806D0">
        <w:t>of 25, 52 and 79 years were 38.9 years (95%CI 36.7-41.4), 27.9 years (95%CI 26.5-29.2) and 9.15 years (95%CI 8.1-12.1</w:t>
      </w:r>
      <w:r w:rsidRPr="00C806D0">
        <w:t xml:space="preserve">) respectively; </w:t>
      </w:r>
      <w:r w:rsidR="00335B1F" w:rsidRPr="00C806D0">
        <w:t>compared with</w:t>
      </w:r>
      <w:r w:rsidRPr="00C806D0">
        <w:t xml:space="preserve"> 45.8 (38.0-53.6), 30.6 (26.8-34.5) and 9.0 (7.8-10.3) in the original primary model.</w:t>
      </w:r>
    </w:p>
    <w:p w:rsidR="000027E7" w:rsidRPr="00C806D0" w:rsidRDefault="000027E7" w:rsidP="000027E7"/>
    <w:p w:rsidR="000027E7" w:rsidRPr="00C806D0" w:rsidRDefault="000027E7" w:rsidP="000027E7">
      <w:r w:rsidRPr="00C806D0">
        <w:t xml:space="preserve">In the second scenario three times as many patients who were prematurely lost to follow up were assumed to die </w:t>
      </w:r>
      <w:r w:rsidR="00335B1F" w:rsidRPr="00C806D0">
        <w:t>compared with</w:t>
      </w:r>
      <w:r w:rsidRPr="00C806D0">
        <w:t xml:space="preserve"> those remaining under observation. Life expectancy for those lost to follow up and assumed to have died was 50% less than that of the general US population estimated from year 2000 cohort life tables. Under these circumstances predicted median survival following a TBI at the ages of 25, 52 and 79 years were 34.1 years (95%CI 31.8-36.4), 25.0 years (95%CI 23.7-26.3) and 9.3 years (95%CI 8.3-10.4) respectively.</w:t>
      </w:r>
    </w:p>
    <w:p w:rsidR="000027E7" w:rsidRPr="00C806D0" w:rsidRDefault="000027E7" w:rsidP="000027E7"/>
    <w:p w:rsidR="000027E7" w:rsidRPr="00C806D0" w:rsidRDefault="000027E7" w:rsidP="000027E7">
      <w:r w:rsidRPr="00C806D0">
        <w:t xml:space="preserve">Figure G16 presents the extrapolated survival curves from each sensitivity analysis </w:t>
      </w:r>
      <w:r w:rsidR="00335B1F" w:rsidRPr="00C806D0">
        <w:t>compared with</w:t>
      </w:r>
      <w:r w:rsidRPr="00C806D0">
        <w:t xml:space="preserve"> the year 2000 general population. Table G11 compares predicted median survival times with those from the primary model. Diagnostics for survival models developed in these sensitivity analyses were unremarkable. </w:t>
      </w:r>
    </w:p>
    <w:p w:rsidR="000027E7" w:rsidRPr="00C806D0" w:rsidRDefault="000027E7" w:rsidP="000027E7"/>
    <w:p w:rsidR="000027E7" w:rsidRPr="00C806D0" w:rsidRDefault="000027E7" w:rsidP="000027E7"/>
    <w:p w:rsidR="000027E7" w:rsidRPr="00C806D0" w:rsidRDefault="000027E7" w:rsidP="000027E7"/>
    <w:p w:rsidR="000027E7" w:rsidRPr="00C806D0" w:rsidRDefault="000027E7" w:rsidP="000027E7"/>
    <w:p w:rsidR="006F2FC6" w:rsidRPr="00C806D0" w:rsidRDefault="006F2FC6" w:rsidP="000027E7">
      <w:pPr>
        <w:jc w:val="center"/>
        <w:sectPr w:rsidR="006F2FC6" w:rsidRPr="00C806D0" w:rsidSect="00E31429">
          <w:pgSz w:w="11906" w:h="16838"/>
          <w:pgMar w:top="1134" w:right="1134" w:bottom="1134" w:left="2268" w:header="709" w:footer="709" w:gutter="0"/>
          <w:cols w:space="708"/>
          <w:docGrid w:linePitch="360"/>
        </w:sectPr>
      </w:pPr>
    </w:p>
    <w:p w:rsidR="000027E7" w:rsidRPr="00C806D0" w:rsidRDefault="000027E7" w:rsidP="000027E7">
      <w:pPr>
        <w:jc w:val="center"/>
      </w:pPr>
      <w:r w:rsidRPr="00C806D0">
        <w:rPr>
          <w:noProof/>
          <w:lang w:val="en-US"/>
        </w:rPr>
        <w:drawing>
          <wp:inline distT="0" distB="0" distL="0" distR="0">
            <wp:extent cx="5869918" cy="4310743"/>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873347" cy="4313261"/>
                    </a:xfrm>
                    <a:prstGeom prst="rect">
                      <a:avLst/>
                    </a:prstGeom>
                    <a:noFill/>
                    <a:ln w="9525">
                      <a:noFill/>
                      <a:miter lim="800000"/>
                      <a:headEnd/>
                      <a:tailEnd/>
                    </a:ln>
                  </pic:spPr>
                </pic:pic>
              </a:graphicData>
            </a:graphic>
          </wp:inline>
        </w:drawing>
      </w:r>
    </w:p>
    <w:p w:rsidR="00155D84" w:rsidRPr="00C806D0" w:rsidRDefault="000027E7" w:rsidP="000027E7">
      <w:pPr>
        <w:rPr>
          <w:sz w:val="18"/>
          <w:szCs w:val="18"/>
        </w:rPr>
      </w:pPr>
      <w:r w:rsidRPr="00C806D0">
        <w:rPr>
          <w:b/>
          <w:sz w:val="18"/>
          <w:szCs w:val="18"/>
        </w:rPr>
        <w:t xml:space="preserve">Figure G16. Gompertz model predicted extrapolative estimates of survival following TBI in sensitivity analyses for non-informative censoring. </w:t>
      </w:r>
      <w:r w:rsidRPr="00C806D0">
        <w:rPr>
          <w:sz w:val="18"/>
          <w:szCs w:val="18"/>
        </w:rPr>
        <w:t xml:space="preserve">Black lines present the survival curves estimated for survival  following TBI sustained at illustrative ages . Grey lines indicate the corresponding survival curves for the US general population, derived from year 2000 cohort life tables. a) Worst case </w:t>
      </w:r>
      <w:r w:rsidR="00CA694F" w:rsidRPr="00C806D0">
        <w:rPr>
          <w:sz w:val="18"/>
          <w:szCs w:val="18"/>
        </w:rPr>
        <w:t>s</w:t>
      </w:r>
      <w:r w:rsidRPr="00C806D0">
        <w:rPr>
          <w:sz w:val="18"/>
          <w:szCs w:val="18"/>
        </w:rPr>
        <w:t>ensitivity analysis: all patients lost to follow up die immediately. b) Best case: All patients lost to follow up survive until the study end. c) Scenario analysis: Twice as many drops die with life expectancy 25% that of the general population. d)  Scenario analysis: Thrice as many drops die with life expectancy 50% that of the general population.</w:t>
      </w:r>
    </w:p>
    <w:p w:rsidR="006F2FC6" w:rsidRPr="00C806D0" w:rsidRDefault="006F2FC6" w:rsidP="000027E7">
      <w:pPr>
        <w:rPr>
          <w:sz w:val="18"/>
          <w:szCs w:val="18"/>
        </w:rPr>
        <w:sectPr w:rsidR="006F2FC6" w:rsidRPr="00C806D0" w:rsidSect="006F2FC6">
          <w:pgSz w:w="16838" w:h="11906" w:orient="landscape"/>
          <w:pgMar w:top="2268" w:right="1134" w:bottom="1134" w:left="1134" w:header="709" w:footer="709" w:gutter="0"/>
          <w:cols w:space="708"/>
          <w:docGrid w:linePitch="360"/>
        </w:sectPr>
      </w:pPr>
    </w:p>
    <w:p w:rsidR="00155D84" w:rsidRPr="00C806D0" w:rsidRDefault="00155D84" w:rsidP="000027E7">
      <w:pPr>
        <w:rPr>
          <w:sz w:val="18"/>
          <w:szCs w:val="18"/>
        </w:rPr>
      </w:pPr>
    </w:p>
    <w:p w:rsidR="000027E7" w:rsidRPr="00C806D0" w:rsidRDefault="00155D84" w:rsidP="000027E7">
      <w:pPr>
        <w:rPr>
          <w:i/>
        </w:rPr>
      </w:pPr>
      <w:r w:rsidRPr="00C806D0">
        <w:rPr>
          <w:sz w:val="18"/>
          <w:szCs w:val="18"/>
        </w:rPr>
        <w:t>T</w:t>
      </w:r>
      <w:r w:rsidR="000027E7" w:rsidRPr="00C806D0">
        <w:rPr>
          <w:b/>
        </w:rPr>
        <w:t>able G1</w:t>
      </w:r>
      <w:r w:rsidR="00800937" w:rsidRPr="00C806D0">
        <w:rPr>
          <w:b/>
        </w:rPr>
        <w:t>2</w:t>
      </w:r>
      <w:r w:rsidR="000027E7" w:rsidRPr="00C806D0">
        <w:rPr>
          <w:b/>
        </w:rPr>
        <w:t>. Predicted median survival time from sensitivity analyses examining non-informative censoring.</w:t>
      </w:r>
    </w:p>
    <w:tbl>
      <w:tblPr>
        <w:tblStyle w:val="LightShading1"/>
        <w:tblW w:w="5000" w:type="pct"/>
        <w:jc w:val="center"/>
        <w:tblLook w:val="0620" w:firstRow="1" w:lastRow="0" w:firstColumn="0" w:lastColumn="0" w:noHBand="1" w:noVBand="1"/>
      </w:tblPr>
      <w:tblGrid>
        <w:gridCol w:w="3677"/>
        <w:gridCol w:w="1674"/>
        <w:gridCol w:w="1674"/>
        <w:gridCol w:w="1695"/>
      </w:tblGrid>
      <w:tr w:rsidR="000027E7" w:rsidRPr="00C806D0" w:rsidTr="000027E7">
        <w:trPr>
          <w:cnfStyle w:val="100000000000" w:firstRow="1" w:lastRow="0" w:firstColumn="0" w:lastColumn="0" w:oddVBand="0" w:evenVBand="0" w:oddHBand="0" w:evenHBand="0" w:firstRowFirstColumn="0" w:firstRowLastColumn="0" w:lastRowFirstColumn="0" w:lastRowLastColumn="0"/>
          <w:jc w:val="center"/>
        </w:trPr>
        <w:tc>
          <w:tcPr>
            <w:tcW w:w="2108" w:type="pct"/>
          </w:tcPr>
          <w:p w:rsidR="000027E7" w:rsidRPr="00C806D0" w:rsidRDefault="000027E7" w:rsidP="000027E7">
            <w:pPr>
              <w:pStyle w:val="NoSpacing"/>
            </w:pPr>
            <w:r w:rsidRPr="00C806D0">
              <w:t>Model</w:t>
            </w:r>
          </w:p>
          <w:p w:rsidR="000027E7" w:rsidRPr="00C806D0" w:rsidRDefault="000027E7" w:rsidP="000027E7">
            <w:pPr>
              <w:pStyle w:val="NoSpacing"/>
              <w:jc w:val="center"/>
            </w:pPr>
          </w:p>
        </w:tc>
        <w:tc>
          <w:tcPr>
            <w:tcW w:w="2892" w:type="pct"/>
            <w:gridSpan w:val="3"/>
          </w:tcPr>
          <w:p w:rsidR="000027E7" w:rsidRPr="00C806D0" w:rsidRDefault="000027E7" w:rsidP="000027E7">
            <w:pPr>
              <w:pStyle w:val="NoSpacing"/>
              <w:jc w:val="center"/>
            </w:pPr>
            <w:r w:rsidRPr="00C806D0">
              <w:t>Predicted median survival (years, 95% CI)</w:t>
            </w:r>
          </w:p>
        </w:tc>
      </w:tr>
      <w:tr w:rsidR="000027E7" w:rsidRPr="00C806D0" w:rsidTr="000027E7">
        <w:trPr>
          <w:jc w:val="center"/>
        </w:trPr>
        <w:tc>
          <w:tcPr>
            <w:tcW w:w="2108" w:type="pct"/>
          </w:tcPr>
          <w:p w:rsidR="000027E7" w:rsidRPr="00C806D0" w:rsidRDefault="000027E7" w:rsidP="000027E7">
            <w:pPr>
              <w:pStyle w:val="NoSpacing"/>
              <w:jc w:val="center"/>
              <w:rPr>
                <w:b/>
              </w:rPr>
            </w:pPr>
          </w:p>
        </w:tc>
        <w:tc>
          <w:tcPr>
            <w:tcW w:w="960" w:type="pct"/>
          </w:tcPr>
          <w:p w:rsidR="000027E7" w:rsidRPr="00C806D0" w:rsidRDefault="000027E7" w:rsidP="000027E7">
            <w:pPr>
              <w:pStyle w:val="NoSpacing"/>
              <w:jc w:val="center"/>
              <w:rPr>
                <w:b/>
              </w:rPr>
            </w:pPr>
            <w:r w:rsidRPr="00C806D0">
              <w:rPr>
                <w:b/>
              </w:rPr>
              <w:t>25 years</w:t>
            </w:r>
          </w:p>
        </w:tc>
        <w:tc>
          <w:tcPr>
            <w:tcW w:w="960" w:type="pct"/>
          </w:tcPr>
          <w:p w:rsidR="000027E7" w:rsidRPr="00C806D0" w:rsidRDefault="000027E7" w:rsidP="000027E7">
            <w:pPr>
              <w:pStyle w:val="NoSpacing"/>
              <w:jc w:val="center"/>
              <w:rPr>
                <w:b/>
              </w:rPr>
            </w:pPr>
            <w:r w:rsidRPr="00C806D0">
              <w:rPr>
                <w:b/>
              </w:rPr>
              <w:t>52 years</w:t>
            </w:r>
          </w:p>
        </w:tc>
        <w:tc>
          <w:tcPr>
            <w:tcW w:w="972" w:type="pct"/>
          </w:tcPr>
          <w:p w:rsidR="000027E7" w:rsidRPr="00C806D0" w:rsidRDefault="000027E7" w:rsidP="000027E7">
            <w:pPr>
              <w:pStyle w:val="NoSpacing"/>
              <w:jc w:val="center"/>
              <w:rPr>
                <w:b/>
              </w:rPr>
            </w:pPr>
            <w:r w:rsidRPr="00C806D0">
              <w:rPr>
                <w:b/>
              </w:rPr>
              <w:t>79 Years</w:t>
            </w:r>
          </w:p>
        </w:tc>
      </w:tr>
      <w:tr w:rsidR="000027E7" w:rsidRPr="00C806D0" w:rsidTr="000027E7">
        <w:trPr>
          <w:jc w:val="center"/>
        </w:trPr>
        <w:tc>
          <w:tcPr>
            <w:tcW w:w="2108" w:type="pct"/>
          </w:tcPr>
          <w:p w:rsidR="000027E7" w:rsidRPr="00C806D0" w:rsidRDefault="000027E7" w:rsidP="000027E7">
            <w:pPr>
              <w:pStyle w:val="NoSpacing"/>
              <w:jc w:val="center"/>
            </w:pPr>
          </w:p>
        </w:tc>
        <w:tc>
          <w:tcPr>
            <w:tcW w:w="960" w:type="pct"/>
          </w:tcPr>
          <w:p w:rsidR="000027E7" w:rsidRPr="00C806D0" w:rsidRDefault="000027E7" w:rsidP="000027E7">
            <w:pPr>
              <w:pStyle w:val="NoSpacing"/>
              <w:jc w:val="center"/>
            </w:pPr>
          </w:p>
        </w:tc>
        <w:tc>
          <w:tcPr>
            <w:tcW w:w="960" w:type="pct"/>
          </w:tcPr>
          <w:p w:rsidR="000027E7" w:rsidRPr="00C806D0" w:rsidRDefault="000027E7" w:rsidP="000027E7">
            <w:pPr>
              <w:pStyle w:val="NoSpacing"/>
              <w:jc w:val="center"/>
            </w:pPr>
          </w:p>
        </w:tc>
        <w:tc>
          <w:tcPr>
            <w:tcW w:w="972" w:type="pct"/>
          </w:tcPr>
          <w:p w:rsidR="000027E7" w:rsidRPr="00C806D0" w:rsidRDefault="000027E7" w:rsidP="000027E7">
            <w:pPr>
              <w:pStyle w:val="NoSpacing"/>
              <w:jc w:val="center"/>
            </w:pPr>
          </w:p>
        </w:tc>
      </w:tr>
      <w:tr w:rsidR="000027E7" w:rsidRPr="00C806D0" w:rsidTr="000027E7">
        <w:trPr>
          <w:jc w:val="center"/>
        </w:trPr>
        <w:tc>
          <w:tcPr>
            <w:tcW w:w="2108" w:type="pct"/>
          </w:tcPr>
          <w:p w:rsidR="000027E7" w:rsidRPr="00C806D0" w:rsidRDefault="000027E7" w:rsidP="000027E7">
            <w:r w:rsidRPr="00C806D0">
              <w:t>Primary model</w:t>
            </w:r>
          </w:p>
        </w:tc>
        <w:tc>
          <w:tcPr>
            <w:tcW w:w="960" w:type="pct"/>
          </w:tcPr>
          <w:p w:rsidR="000027E7" w:rsidRPr="00C806D0" w:rsidRDefault="000027E7" w:rsidP="000027E7">
            <w:pPr>
              <w:pStyle w:val="NoSpacing"/>
              <w:jc w:val="center"/>
              <w:rPr>
                <w:rFonts w:ascii="Calibri" w:hAnsi="Calibri"/>
              </w:rPr>
            </w:pPr>
            <w:r w:rsidRPr="00C806D0">
              <w:rPr>
                <w:rFonts w:ascii="Calibri" w:hAnsi="Calibri"/>
              </w:rPr>
              <w:t>45.8</w:t>
            </w:r>
          </w:p>
          <w:p w:rsidR="000027E7" w:rsidRPr="00C806D0" w:rsidRDefault="000027E7" w:rsidP="000027E7">
            <w:pPr>
              <w:pStyle w:val="NoSpacing"/>
              <w:jc w:val="center"/>
              <w:rPr>
                <w:rFonts w:ascii="Calibri" w:hAnsi="Calibri"/>
              </w:rPr>
            </w:pPr>
            <w:r w:rsidRPr="00C806D0">
              <w:rPr>
                <w:rFonts w:ascii="Calibri" w:hAnsi="Calibri"/>
              </w:rPr>
              <w:t>(38.0-53.6)</w:t>
            </w:r>
          </w:p>
          <w:p w:rsidR="000027E7" w:rsidRPr="00C806D0" w:rsidRDefault="000027E7" w:rsidP="000027E7">
            <w:pPr>
              <w:pStyle w:val="NoSpacing"/>
              <w:jc w:val="center"/>
              <w:rPr>
                <w:rFonts w:ascii="Calibri" w:hAnsi="Calibri"/>
              </w:rPr>
            </w:pPr>
          </w:p>
        </w:tc>
        <w:tc>
          <w:tcPr>
            <w:tcW w:w="960" w:type="pct"/>
          </w:tcPr>
          <w:p w:rsidR="000027E7" w:rsidRPr="00C806D0" w:rsidRDefault="000027E7" w:rsidP="000027E7">
            <w:pPr>
              <w:pStyle w:val="NoSpacing"/>
              <w:jc w:val="center"/>
              <w:rPr>
                <w:rFonts w:ascii="Calibri" w:hAnsi="Calibri"/>
              </w:rPr>
            </w:pPr>
            <w:r w:rsidRPr="00C806D0">
              <w:rPr>
                <w:rFonts w:ascii="Calibri" w:hAnsi="Calibri"/>
              </w:rPr>
              <w:t>30.6</w:t>
            </w:r>
          </w:p>
          <w:p w:rsidR="000027E7" w:rsidRPr="00C806D0" w:rsidRDefault="000027E7" w:rsidP="000027E7">
            <w:pPr>
              <w:pStyle w:val="NoSpacing"/>
              <w:jc w:val="center"/>
              <w:rPr>
                <w:rFonts w:ascii="Calibri" w:hAnsi="Calibri"/>
              </w:rPr>
            </w:pPr>
            <w:r w:rsidRPr="00C806D0">
              <w:rPr>
                <w:rFonts w:ascii="Calibri" w:hAnsi="Calibri"/>
              </w:rPr>
              <w:t>(26.8-34.5)</w:t>
            </w:r>
          </w:p>
        </w:tc>
        <w:tc>
          <w:tcPr>
            <w:tcW w:w="972" w:type="pct"/>
          </w:tcPr>
          <w:p w:rsidR="000027E7" w:rsidRPr="00C806D0" w:rsidRDefault="000027E7" w:rsidP="000027E7">
            <w:pPr>
              <w:pStyle w:val="NoSpacing"/>
              <w:jc w:val="center"/>
              <w:rPr>
                <w:rFonts w:ascii="Calibri" w:hAnsi="Calibri"/>
              </w:rPr>
            </w:pPr>
            <w:r w:rsidRPr="00C806D0">
              <w:rPr>
                <w:rFonts w:ascii="Calibri" w:hAnsi="Calibri"/>
              </w:rPr>
              <w:t>9.0</w:t>
            </w:r>
          </w:p>
          <w:p w:rsidR="000027E7" w:rsidRPr="00C806D0" w:rsidRDefault="000027E7" w:rsidP="000027E7">
            <w:pPr>
              <w:pStyle w:val="NoSpacing"/>
              <w:jc w:val="center"/>
              <w:rPr>
                <w:rFonts w:ascii="Calibri" w:hAnsi="Calibri"/>
              </w:rPr>
            </w:pPr>
            <w:r w:rsidRPr="00C806D0">
              <w:rPr>
                <w:rFonts w:ascii="Calibri" w:hAnsi="Calibri"/>
              </w:rPr>
              <w:t>(7.8-10.3)</w:t>
            </w:r>
          </w:p>
        </w:tc>
      </w:tr>
      <w:tr w:rsidR="000027E7" w:rsidRPr="00C806D0" w:rsidTr="000027E7">
        <w:trPr>
          <w:jc w:val="center"/>
        </w:trPr>
        <w:tc>
          <w:tcPr>
            <w:tcW w:w="2108" w:type="pct"/>
          </w:tcPr>
          <w:p w:rsidR="000027E7" w:rsidRPr="00C806D0" w:rsidRDefault="000027E7" w:rsidP="000027E7">
            <w:r w:rsidRPr="00C806D0">
              <w:t xml:space="preserve">Worst case sensitivity analysis </w:t>
            </w:r>
          </w:p>
        </w:tc>
        <w:tc>
          <w:tcPr>
            <w:tcW w:w="960" w:type="pct"/>
          </w:tcPr>
          <w:p w:rsidR="000027E7" w:rsidRPr="00C806D0" w:rsidRDefault="000027E7" w:rsidP="000027E7">
            <w:pPr>
              <w:pStyle w:val="NoSpacing"/>
              <w:jc w:val="center"/>
              <w:rPr>
                <w:rFonts w:ascii="Calibri" w:hAnsi="Calibri"/>
              </w:rPr>
            </w:pPr>
            <w:r w:rsidRPr="00C806D0">
              <w:rPr>
                <w:rFonts w:ascii="Calibri" w:hAnsi="Calibri"/>
              </w:rPr>
              <w:t>111.0</w:t>
            </w:r>
          </w:p>
          <w:p w:rsidR="000027E7" w:rsidRPr="00C806D0" w:rsidRDefault="000027E7" w:rsidP="000027E7">
            <w:pPr>
              <w:pStyle w:val="NoSpacing"/>
              <w:jc w:val="center"/>
              <w:rPr>
                <w:rFonts w:ascii="Calibri" w:hAnsi="Calibri"/>
              </w:rPr>
            </w:pPr>
            <w:r w:rsidRPr="00C806D0">
              <w:rPr>
                <w:rFonts w:ascii="Calibri" w:hAnsi="Calibri"/>
              </w:rPr>
              <w:t>(0.0-1,278.0)</w:t>
            </w:r>
          </w:p>
        </w:tc>
        <w:tc>
          <w:tcPr>
            <w:tcW w:w="960" w:type="pct"/>
          </w:tcPr>
          <w:p w:rsidR="000027E7" w:rsidRPr="00C806D0" w:rsidRDefault="000027E7" w:rsidP="000027E7">
            <w:pPr>
              <w:pStyle w:val="NoSpacing"/>
              <w:jc w:val="center"/>
              <w:rPr>
                <w:rFonts w:ascii="Calibri" w:hAnsi="Calibri"/>
              </w:rPr>
            </w:pPr>
            <w:r w:rsidRPr="00C806D0">
              <w:rPr>
                <w:rFonts w:ascii="Calibri" w:hAnsi="Calibri"/>
              </w:rPr>
              <w:t>26.2</w:t>
            </w:r>
          </w:p>
          <w:p w:rsidR="000027E7" w:rsidRPr="00C806D0" w:rsidRDefault="000027E7" w:rsidP="000027E7">
            <w:pPr>
              <w:pStyle w:val="NoSpacing"/>
              <w:jc w:val="center"/>
              <w:rPr>
                <w:rFonts w:ascii="Calibri" w:hAnsi="Calibri"/>
              </w:rPr>
            </w:pPr>
            <w:r w:rsidRPr="00C806D0">
              <w:rPr>
                <w:rFonts w:ascii="Calibri" w:hAnsi="Calibri"/>
              </w:rPr>
              <w:t>(19.6-32.9)</w:t>
            </w:r>
          </w:p>
        </w:tc>
        <w:tc>
          <w:tcPr>
            <w:tcW w:w="972" w:type="pct"/>
          </w:tcPr>
          <w:p w:rsidR="000027E7" w:rsidRPr="00C806D0" w:rsidRDefault="000027E7" w:rsidP="000027E7">
            <w:pPr>
              <w:pStyle w:val="NoSpacing"/>
              <w:jc w:val="center"/>
              <w:rPr>
                <w:rFonts w:ascii="Calibri" w:hAnsi="Calibri"/>
              </w:rPr>
            </w:pPr>
            <w:r w:rsidRPr="00C806D0">
              <w:rPr>
                <w:rFonts w:ascii="Calibri" w:hAnsi="Calibri"/>
              </w:rPr>
              <w:t>6.8</w:t>
            </w:r>
          </w:p>
          <w:p w:rsidR="000027E7" w:rsidRPr="00C806D0" w:rsidRDefault="000027E7" w:rsidP="000027E7">
            <w:pPr>
              <w:pStyle w:val="NoSpacing"/>
              <w:jc w:val="center"/>
              <w:rPr>
                <w:rFonts w:ascii="Calibri" w:hAnsi="Calibri"/>
              </w:rPr>
            </w:pPr>
            <w:r w:rsidRPr="00C806D0">
              <w:rPr>
                <w:rFonts w:ascii="Calibri" w:hAnsi="Calibri"/>
              </w:rPr>
              <w:t>(5.2-8.5)</w:t>
            </w:r>
          </w:p>
          <w:p w:rsidR="000027E7" w:rsidRPr="00C806D0" w:rsidRDefault="000027E7" w:rsidP="000027E7">
            <w:pPr>
              <w:pStyle w:val="NoSpacing"/>
              <w:jc w:val="center"/>
              <w:rPr>
                <w:rFonts w:ascii="Calibri" w:hAnsi="Calibri"/>
              </w:rPr>
            </w:pPr>
          </w:p>
        </w:tc>
      </w:tr>
      <w:tr w:rsidR="000027E7" w:rsidRPr="00C806D0" w:rsidTr="000027E7">
        <w:trPr>
          <w:jc w:val="center"/>
        </w:trPr>
        <w:tc>
          <w:tcPr>
            <w:tcW w:w="2108" w:type="pct"/>
          </w:tcPr>
          <w:p w:rsidR="000027E7" w:rsidRPr="00C806D0" w:rsidRDefault="000027E7" w:rsidP="000027E7">
            <w:r w:rsidRPr="00C806D0">
              <w:t>Best case sensitivity analysis</w:t>
            </w:r>
          </w:p>
        </w:tc>
        <w:tc>
          <w:tcPr>
            <w:tcW w:w="960" w:type="pct"/>
          </w:tcPr>
          <w:p w:rsidR="000027E7" w:rsidRPr="00C806D0" w:rsidRDefault="000027E7" w:rsidP="000027E7">
            <w:pPr>
              <w:pStyle w:val="NoSpacing"/>
              <w:jc w:val="center"/>
              <w:rPr>
                <w:rFonts w:ascii="Calibri" w:hAnsi="Calibri"/>
              </w:rPr>
            </w:pPr>
            <w:r w:rsidRPr="00C806D0">
              <w:rPr>
                <w:rFonts w:ascii="Calibri" w:hAnsi="Calibri"/>
              </w:rPr>
              <w:t>49.0</w:t>
            </w:r>
          </w:p>
          <w:p w:rsidR="000027E7" w:rsidRPr="00C806D0" w:rsidRDefault="000027E7" w:rsidP="000027E7">
            <w:pPr>
              <w:pStyle w:val="NoSpacing"/>
              <w:jc w:val="center"/>
              <w:rPr>
                <w:rFonts w:ascii="Calibri" w:hAnsi="Calibri"/>
              </w:rPr>
            </w:pPr>
            <w:r w:rsidRPr="00C806D0">
              <w:rPr>
                <w:rFonts w:ascii="Calibri" w:hAnsi="Calibri"/>
              </w:rPr>
              <w:t>(39.9-58.1)</w:t>
            </w:r>
          </w:p>
        </w:tc>
        <w:tc>
          <w:tcPr>
            <w:tcW w:w="960" w:type="pct"/>
          </w:tcPr>
          <w:p w:rsidR="000027E7" w:rsidRPr="00C806D0" w:rsidRDefault="000027E7" w:rsidP="000027E7">
            <w:pPr>
              <w:pStyle w:val="NoSpacing"/>
              <w:jc w:val="center"/>
              <w:rPr>
                <w:rFonts w:ascii="Calibri" w:hAnsi="Calibri"/>
              </w:rPr>
            </w:pPr>
            <w:r w:rsidRPr="00C806D0">
              <w:rPr>
                <w:rFonts w:ascii="Calibri" w:hAnsi="Calibri"/>
              </w:rPr>
              <w:t>32.9</w:t>
            </w:r>
          </w:p>
          <w:p w:rsidR="000027E7" w:rsidRPr="00C806D0" w:rsidRDefault="000027E7" w:rsidP="000027E7">
            <w:pPr>
              <w:pStyle w:val="NoSpacing"/>
              <w:jc w:val="center"/>
              <w:rPr>
                <w:rFonts w:ascii="Calibri" w:hAnsi="Calibri"/>
              </w:rPr>
            </w:pPr>
            <w:r w:rsidRPr="00C806D0">
              <w:rPr>
                <w:rFonts w:ascii="Calibri" w:hAnsi="Calibri"/>
              </w:rPr>
              <w:t>(28.3-37.4)</w:t>
            </w:r>
          </w:p>
        </w:tc>
        <w:tc>
          <w:tcPr>
            <w:tcW w:w="972" w:type="pct"/>
          </w:tcPr>
          <w:p w:rsidR="000027E7" w:rsidRPr="00C806D0" w:rsidRDefault="000027E7" w:rsidP="000027E7">
            <w:pPr>
              <w:pStyle w:val="NoSpacing"/>
              <w:jc w:val="center"/>
              <w:rPr>
                <w:rFonts w:ascii="Calibri" w:hAnsi="Calibri"/>
              </w:rPr>
            </w:pPr>
            <w:r w:rsidRPr="00C806D0">
              <w:rPr>
                <w:rFonts w:ascii="Calibri" w:hAnsi="Calibri"/>
              </w:rPr>
              <w:t>9.6</w:t>
            </w:r>
          </w:p>
          <w:p w:rsidR="000027E7" w:rsidRPr="00C806D0" w:rsidRDefault="000027E7" w:rsidP="000027E7">
            <w:pPr>
              <w:pStyle w:val="NoSpacing"/>
              <w:jc w:val="center"/>
              <w:rPr>
                <w:rFonts w:ascii="Calibri" w:hAnsi="Calibri"/>
              </w:rPr>
            </w:pPr>
            <w:r w:rsidRPr="00C806D0">
              <w:rPr>
                <w:rFonts w:ascii="Calibri" w:hAnsi="Calibri"/>
              </w:rPr>
              <w:t>(8.3-10.9)</w:t>
            </w:r>
          </w:p>
          <w:p w:rsidR="000027E7" w:rsidRPr="00C806D0" w:rsidRDefault="000027E7" w:rsidP="000027E7">
            <w:pPr>
              <w:pStyle w:val="NoSpacing"/>
              <w:jc w:val="center"/>
              <w:rPr>
                <w:rFonts w:ascii="Calibri" w:hAnsi="Calibri"/>
              </w:rPr>
            </w:pPr>
          </w:p>
        </w:tc>
      </w:tr>
      <w:tr w:rsidR="000027E7" w:rsidRPr="00C806D0" w:rsidTr="000027E7">
        <w:trPr>
          <w:jc w:val="center"/>
        </w:trPr>
        <w:tc>
          <w:tcPr>
            <w:tcW w:w="2108" w:type="pct"/>
          </w:tcPr>
          <w:p w:rsidR="000027E7" w:rsidRPr="00C806D0" w:rsidRDefault="000027E7" w:rsidP="000027E7">
            <w:r w:rsidRPr="00C806D0">
              <w:t>First scenario sensitivity analysis*</w:t>
            </w:r>
          </w:p>
        </w:tc>
        <w:tc>
          <w:tcPr>
            <w:tcW w:w="960" w:type="pct"/>
          </w:tcPr>
          <w:p w:rsidR="000027E7" w:rsidRPr="00C806D0" w:rsidRDefault="000027E7" w:rsidP="000027E7">
            <w:pPr>
              <w:pStyle w:val="NoSpacing"/>
              <w:jc w:val="center"/>
              <w:rPr>
                <w:rFonts w:ascii="Calibri" w:hAnsi="Calibri"/>
              </w:rPr>
            </w:pPr>
            <w:r w:rsidRPr="00C806D0">
              <w:rPr>
                <w:rFonts w:ascii="Calibri" w:hAnsi="Calibri"/>
              </w:rPr>
              <w:t>38.9</w:t>
            </w:r>
          </w:p>
          <w:p w:rsidR="000027E7" w:rsidRPr="00C806D0" w:rsidRDefault="000027E7" w:rsidP="000027E7">
            <w:pPr>
              <w:pStyle w:val="NoSpacing"/>
              <w:jc w:val="center"/>
              <w:rPr>
                <w:rFonts w:ascii="Calibri" w:hAnsi="Calibri"/>
              </w:rPr>
            </w:pPr>
            <w:r w:rsidRPr="00C806D0">
              <w:rPr>
                <w:rFonts w:ascii="Calibri" w:hAnsi="Calibri"/>
              </w:rPr>
              <w:t>(36.7-41.1)</w:t>
            </w:r>
          </w:p>
        </w:tc>
        <w:tc>
          <w:tcPr>
            <w:tcW w:w="960" w:type="pct"/>
          </w:tcPr>
          <w:p w:rsidR="000027E7" w:rsidRPr="00C806D0" w:rsidRDefault="000027E7" w:rsidP="000027E7">
            <w:pPr>
              <w:pStyle w:val="NoSpacing"/>
              <w:jc w:val="center"/>
              <w:rPr>
                <w:rFonts w:ascii="Calibri" w:hAnsi="Calibri"/>
              </w:rPr>
            </w:pPr>
            <w:r w:rsidRPr="00C806D0">
              <w:rPr>
                <w:rFonts w:ascii="Calibri" w:hAnsi="Calibri"/>
              </w:rPr>
              <w:t>27.9</w:t>
            </w:r>
          </w:p>
          <w:p w:rsidR="000027E7" w:rsidRPr="00C806D0" w:rsidRDefault="000027E7" w:rsidP="000027E7">
            <w:pPr>
              <w:pStyle w:val="NoSpacing"/>
              <w:jc w:val="center"/>
              <w:rPr>
                <w:rFonts w:ascii="Calibri" w:hAnsi="Calibri"/>
              </w:rPr>
            </w:pPr>
            <w:r w:rsidRPr="00C806D0">
              <w:rPr>
                <w:rFonts w:ascii="Calibri" w:hAnsi="Calibri"/>
              </w:rPr>
              <w:t>(26.5-29.2)</w:t>
            </w:r>
          </w:p>
        </w:tc>
        <w:tc>
          <w:tcPr>
            <w:tcW w:w="972" w:type="pct"/>
          </w:tcPr>
          <w:p w:rsidR="000027E7" w:rsidRPr="00C806D0" w:rsidRDefault="000027E7" w:rsidP="000027E7">
            <w:pPr>
              <w:pStyle w:val="NoSpacing"/>
              <w:jc w:val="center"/>
              <w:rPr>
                <w:rFonts w:ascii="Calibri" w:hAnsi="Calibri"/>
              </w:rPr>
            </w:pPr>
            <w:r w:rsidRPr="00C806D0">
              <w:rPr>
                <w:rFonts w:ascii="Calibri" w:hAnsi="Calibri"/>
              </w:rPr>
              <w:t>9.15</w:t>
            </w:r>
          </w:p>
          <w:p w:rsidR="000027E7" w:rsidRPr="00C806D0" w:rsidRDefault="00CE7834" w:rsidP="000027E7">
            <w:pPr>
              <w:pStyle w:val="NoSpacing"/>
              <w:jc w:val="center"/>
              <w:rPr>
                <w:rFonts w:ascii="Calibri" w:hAnsi="Calibri"/>
              </w:rPr>
            </w:pPr>
            <w:r w:rsidRPr="00C806D0">
              <w:rPr>
                <w:rFonts w:ascii="Calibri" w:hAnsi="Calibri"/>
              </w:rPr>
              <w:t>(8.1-10.1</w:t>
            </w:r>
            <w:r w:rsidR="000027E7" w:rsidRPr="00C806D0">
              <w:rPr>
                <w:rFonts w:ascii="Calibri" w:hAnsi="Calibri"/>
              </w:rPr>
              <w:t>)</w:t>
            </w:r>
          </w:p>
          <w:p w:rsidR="000027E7" w:rsidRPr="00C806D0" w:rsidRDefault="000027E7" w:rsidP="000027E7">
            <w:pPr>
              <w:pStyle w:val="NoSpacing"/>
              <w:jc w:val="center"/>
              <w:rPr>
                <w:rFonts w:ascii="Calibri" w:hAnsi="Calibri"/>
              </w:rPr>
            </w:pPr>
          </w:p>
        </w:tc>
      </w:tr>
      <w:tr w:rsidR="000027E7" w:rsidRPr="00C806D0" w:rsidTr="000027E7">
        <w:trPr>
          <w:jc w:val="center"/>
        </w:trPr>
        <w:tc>
          <w:tcPr>
            <w:tcW w:w="2108" w:type="pct"/>
          </w:tcPr>
          <w:p w:rsidR="000027E7" w:rsidRPr="00C806D0" w:rsidRDefault="000027E7" w:rsidP="000027E7">
            <w:r w:rsidRPr="00C806D0">
              <w:t>Second scenario sensitivity analysis**</w:t>
            </w:r>
          </w:p>
        </w:tc>
        <w:tc>
          <w:tcPr>
            <w:tcW w:w="960" w:type="pct"/>
          </w:tcPr>
          <w:p w:rsidR="000027E7" w:rsidRPr="00C806D0" w:rsidRDefault="000027E7" w:rsidP="000027E7">
            <w:pPr>
              <w:pStyle w:val="NoSpacing"/>
              <w:jc w:val="center"/>
              <w:rPr>
                <w:rFonts w:ascii="Calibri" w:hAnsi="Calibri"/>
              </w:rPr>
            </w:pPr>
            <w:r w:rsidRPr="00C806D0">
              <w:rPr>
                <w:rFonts w:ascii="Calibri" w:hAnsi="Calibri"/>
              </w:rPr>
              <w:t>34.1</w:t>
            </w:r>
          </w:p>
          <w:p w:rsidR="000027E7" w:rsidRPr="00C806D0" w:rsidRDefault="000027E7" w:rsidP="000027E7">
            <w:pPr>
              <w:pStyle w:val="NoSpacing"/>
              <w:jc w:val="center"/>
              <w:rPr>
                <w:rFonts w:ascii="Calibri" w:hAnsi="Calibri"/>
              </w:rPr>
            </w:pPr>
            <w:r w:rsidRPr="00C806D0">
              <w:rPr>
                <w:rFonts w:ascii="Calibri" w:hAnsi="Calibri"/>
              </w:rPr>
              <w:t>(31.8-36.4)</w:t>
            </w:r>
          </w:p>
          <w:p w:rsidR="000027E7" w:rsidRPr="00C806D0" w:rsidRDefault="000027E7" w:rsidP="000027E7">
            <w:pPr>
              <w:pStyle w:val="NoSpacing"/>
              <w:jc w:val="center"/>
              <w:rPr>
                <w:rFonts w:ascii="Calibri" w:hAnsi="Calibri"/>
              </w:rPr>
            </w:pPr>
          </w:p>
        </w:tc>
        <w:tc>
          <w:tcPr>
            <w:tcW w:w="960" w:type="pct"/>
          </w:tcPr>
          <w:p w:rsidR="000027E7" w:rsidRPr="00C806D0" w:rsidRDefault="000027E7" w:rsidP="000027E7">
            <w:pPr>
              <w:pStyle w:val="NoSpacing"/>
              <w:jc w:val="center"/>
              <w:rPr>
                <w:rFonts w:ascii="Calibri" w:hAnsi="Calibri"/>
              </w:rPr>
            </w:pPr>
            <w:r w:rsidRPr="00C806D0">
              <w:rPr>
                <w:rFonts w:ascii="Calibri" w:hAnsi="Calibri"/>
              </w:rPr>
              <w:t>25.0</w:t>
            </w:r>
          </w:p>
          <w:p w:rsidR="000027E7" w:rsidRPr="00C806D0" w:rsidRDefault="000027E7" w:rsidP="000027E7">
            <w:pPr>
              <w:pStyle w:val="NoSpacing"/>
              <w:jc w:val="center"/>
              <w:rPr>
                <w:rFonts w:ascii="Calibri" w:hAnsi="Calibri"/>
              </w:rPr>
            </w:pPr>
            <w:r w:rsidRPr="00C806D0">
              <w:rPr>
                <w:rFonts w:ascii="Calibri" w:hAnsi="Calibri"/>
              </w:rPr>
              <w:t>(23.7-26.3)</w:t>
            </w:r>
          </w:p>
        </w:tc>
        <w:tc>
          <w:tcPr>
            <w:tcW w:w="972" w:type="pct"/>
          </w:tcPr>
          <w:p w:rsidR="000027E7" w:rsidRPr="00C806D0" w:rsidRDefault="000027E7" w:rsidP="000027E7">
            <w:pPr>
              <w:pStyle w:val="NoSpacing"/>
              <w:jc w:val="center"/>
              <w:rPr>
                <w:rFonts w:ascii="Calibri" w:hAnsi="Calibri"/>
              </w:rPr>
            </w:pPr>
            <w:r w:rsidRPr="00C806D0">
              <w:rPr>
                <w:rFonts w:ascii="Calibri" w:hAnsi="Calibri"/>
              </w:rPr>
              <w:t>9.34</w:t>
            </w:r>
          </w:p>
          <w:p w:rsidR="000027E7" w:rsidRPr="00C806D0" w:rsidRDefault="000027E7" w:rsidP="000027E7">
            <w:pPr>
              <w:pStyle w:val="NoSpacing"/>
              <w:jc w:val="center"/>
              <w:rPr>
                <w:rFonts w:ascii="Calibri" w:hAnsi="Calibri"/>
              </w:rPr>
            </w:pPr>
            <w:r w:rsidRPr="00C806D0">
              <w:rPr>
                <w:rFonts w:ascii="Calibri" w:hAnsi="Calibri"/>
              </w:rPr>
              <w:t>(8.3-10.4)</w:t>
            </w:r>
          </w:p>
        </w:tc>
      </w:tr>
    </w:tbl>
    <w:p w:rsidR="000027E7" w:rsidRPr="00C806D0" w:rsidRDefault="000027E7" w:rsidP="000027E7">
      <w:pPr>
        <w:rPr>
          <w:sz w:val="16"/>
          <w:szCs w:val="16"/>
        </w:rPr>
      </w:pPr>
      <w:r w:rsidRPr="00C806D0">
        <w:rPr>
          <w:sz w:val="16"/>
          <w:szCs w:val="16"/>
        </w:rPr>
        <w:t xml:space="preserve">* Twice as many patients who were prematurely lost to follow up died </w:t>
      </w:r>
      <w:r w:rsidR="00335B1F" w:rsidRPr="00C806D0">
        <w:rPr>
          <w:sz w:val="16"/>
          <w:szCs w:val="16"/>
        </w:rPr>
        <w:t>compared with</w:t>
      </w:r>
      <w:r w:rsidRPr="00C806D0">
        <w:rPr>
          <w:sz w:val="16"/>
          <w:szCs w:val="16"/>
        </w:rPr>
        <w:t xml:space="preserve"> those remaining under observation. Life expectancy for those lost to follow up and assumed to have died was 25% less than that of the general US population.</w:t>
      </w:r>
    </w:p>
    <w:p w:rsidR="000027E7" w:rsidRPr="00C806D0" w:rsidRDefault="000027E7" w:rsidP="000027E7">
      <w:pPr>
        <w:rPr>
          <w:sz w:val="16"/>
          <w:szCs w:val="16"/>
        </w:rPr>
      </w:pPr>
      <w:r w:rsidRPr="00C806D0">
        <w:rPr>
          <w:sz w:val="16"/>
          <w:szCs w:val="16"/>
        </w:rPr>
        <w:t xml:space="preserve">* Thrice as many patients who were prematurely lost to follow up died </w:t>
      </w:r>
      <w:r w:rsidR="00335B1F" w:rsidRPr="00C806D0">
        <w:rPr>
          <w:sz w:val="16"/>
          <w:szCs w:val="16"/>
        </w:rPr>
        <w:t>compared with</w:t>
      </w:r>
      <w:r w:rsidRPr="00C806D0">
        <w:rPr>
          <w:sz w:val="16"/>
          <w:szCs w:val="16"/>
        </w:rPr>
        <w:t xml:space="preserve"> those remaining under observation. Life expectancy for those lost to follow up and assumed to have died was 50% less than that of the general US population.</w:t>
      </w:r>
    </w:p>
    <w:p w:rsidR="000027E7" w:rsidRPr="00C806D0" w:rsidRDefault="000027E7" w:rsidP="000027E7">
      <w:pPr>
        <w:rPr>
          <w:sz w:val="16"/>
          <w:szCs w:val="16"/>
        </w:rPr>
      </w:pPr>
    </w:p>
    <w:p w:rsidR="00CA694F" w:rsidRPr="00C806D0" w:rsidRDefault="00CA694F" w:rsidP="000027E7">
      <w:pPr>
        <w:rPr>
          <w:sz w:val="16"/>
          <w:szCs w:val="16"/>
        </w:rPr>
      </w:pPr>
    </w:p>
    <w:p w:rsidR="00CA694F" w:rsidRPr="00C806D0" w:rsidRDefault="00CA694F" w:rsidP="000027E7">
      <w:pPr>
        <w:rPr>
          <w:sz w:val="16"/>
          <w:szCs w:val="16"/>
        </w:rPr>
      </w:pPr>
    </w:p>
    <w:p w:rsidR="00CA694F" w:rsidRPr="00C806D0" w:rsidRDefault="00CA694F" w:rsidP="000027E7">
      <w:pPr>
        <w:rPr>
          <w:sz w:val="16"/>
          <w:szCs w:val="16"/>
        </w:rPr>
      </w:pPr>
    </w:p>
    <w:p w:rsidR="00CA694F" w:rsidRPr="00C806D0" w:rsidRDefault="00CA694F" w:rsidP="000027E7">
      <w:pPr>
        <w:rPr>
          <w:sz w:val="16"/>
          <w:szCs w:val="16"/>
        </w:rPr>
      </w:pPr>
    </w:p>
    <w:p w:rsidR="000027E7" w:rsidRPr="00C806D0" w:rsidRDefault="000027E7" w:rsidP="002A360F">
      <w:pPr>
        <w:pStyle w:val="Heading3"/>
      </w:pPr>
      <w:r w:rsidRPr="00C806D0">
        <w:t>Comparison of REP model survival predictions to survival function derived from 2012 UK period life tables</w:t>
      </w:r>
    </w:p>
    <w:p w:rsidR="000027E7" w:rsidRPr="00C806D0" w:rsidRDefault="000027E7" w:rsidP="000027E7">
      <w:pPr>
        <w:jc w:val="center"/>
      </w:pPr>
      <w:r w:rsidRPr="00C806D0">
        <w:rPr>
          <w:noProof/>
          <w:lang w:val="en-US"/>
        </w:rPr>
        <w:drawing>
          <wp:inline distT="0" distB="0" distL="0" distR="0">
            <wp:extent cx="4178595" cy="3039111"/>
            <wp:effectExtent l="19050" t="0" r="0" b="0"/>
            <wp:docPr id="44" name="Picture 1" descr="REP_cohort_effect_updatded_v_ONS_period_life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_cohort_effect_updatded_v_ONS_period_life_table.JPG"/>
                    <pic:cNvPicPr/>
                  </pic:nvPicPr>
                  <pic:blipFill>
                    <a:blip r:embed="rId44" cstate="print"/>
                    <a:stretch>
                      <a:fillRect/>
                    </a:stretch>
                  </pic:blipFill>
                  <pic:spPr>
                    <a:xfrm>
                      <a:off x="0" y="0"/>
                      <a:ext cx="4184721" cy="3043566"/>
                    </a:xfrm>
                    <a:prstGeom prst="rect">
                      <a:avLst/>
                    </a:prstGeom>
                  </pic:spPr>
                </pic:pic>
              </a:graphicData>
            </a:graphic>
          </wp:inline>
        </w:drawing>
      </w:r>
    </w:p>
    <w:p w:rsidR="000027E7" w:rsidRPr="00C806D0" w:rsidRDefault="000027E7" w:rsidP="000027E7">
      <w:pPr>
        <w:pStyle w:val="Heading3"/>
        <w:numPr>
          <w:ilvl w:val="0"/>
          <w:numId w:val="0"/>
        </w:numPr>
        <w:rPr>
          <w:b w:val="0"/>
          <w:sz w:val="20"/>
          <w:szCs w:val="20"/>
        </w:rPr>
      </w:pPr>
      <w:r w:rsidRPr="00C806D0">
        <w:t>Figure G17. Comparison of REP model survival predictions to survival function derived from 2012 UK period life tables.</w:t>
      </w:r>
    </w:p>
    <w:p w:rsidR="00105532" w:rsidRPr="00C806D0" w:rsidRDefault="000027E7" w:rsidP="000027E7">
      <w:pPr>
        <w:pStyle w:val="Heading3"/>
        <w:numPr>
          <w:ilvl w:val="0"/>
          <w:numId w:val="0"/>
        </w:numPr>
        <w:rPr>
          <w:b w:val="0"/>
          <w:sz w:val="20"/>
          <w:szCs w:val="20"/>
        </w:rPr>
      </w:pPr>
      <w:r w:rsidRPr="00C806D0">
        <w:rPr>
          <w:b w:val="0"/>
          <w:sz w:val="20"/>
          <w:szCs w:val="20"/>
        </w:rPr>
        <w:t>Survival curve shown for 50 year old patient in 2012. Grey triangles represent survival function from REP model adjusted for cohort effects. Shaded area indicated 95% confidence interval for REP survival estimates. Black line presents survival function form UK general population period life table.</w:t>
      </w:r>
    </w:p>
    <w:p w:rsidR="00CA694F" w:rsidRPr="00C806D0" w:rsidRDefault="00CA694F" w:rsidP="002A360F">
      <w:pPr>
        <w:pStyle w:val="Heading3"/>
        <w:sectPr w:rsidR="00CA694F" w:rsidRPr="00C806D0" w:rsidSect="00E31429">
          <w:pgSz w:w="11906" w:h="16838"/>
          <w:pgMar w:top="1134" w:right="1134" w:bottom="1134" w:left="2268" w:header="709" w:footer="709" w:gutter="0"/>
          <w:cols w:space="708"/>
          <w:docGrid w:linePitch="360"/>
        </w:sectPr>
      </w:pPr>
    </w:p>
    <w:p w:rsidR="000027E7" w:rsidRPr="00C806D0" w:rsidRDefault="000027E7" w:rsidP="002A360F">
      <w:pPr>
        <w:pStyle w:val="Heading3"/>
      </w:pPr>
      <w:r w:rsidRPr="00C806D0">
        <w:t>Summary of findings from previous studies examining long term survival after TBI</w:t>
      </w:r>
    </w:p>
    <w:p w:rsidR="000027E7" w:rsidRPr="00C806D0" w:rsidRDefault="000027E7" w:rsidP="000027E7">
      <w:pPr>
        <w:rPr>
          <w:b/>
          <w:sz w:val="20"/>
          <w:szCs w:val="20"/>
        </w:rPr>
      </w:pPr>
      <w:r w:rsidRPr="00C806D0">
        <w:rPr>
          <w:b/>
          <w:sz w:val="20"/>
          <w:szCs w:val="20"/>
        </w:rPr>
        <w:t>Table G1</w:t>
      </w:r>
      <w:r w:rsidR="00800937" w:rsidRPr="00C806D0">
        <w:rPr>
          <w:b/>
          <w:sz w:val="20"/>
          <w:szCs w:val="20"/>
        </w:rPr>
        <w:t>3</w:t>
      </w:r>
      <w:r w:rsidRPr="00C806D0">
        <w:rPr>
          <w:b/>
          <w:sz w:val="20"/>
          <w:szCs w:val="20"/>
        </w:rPr>
        <w:t>. Studies investigating long term mortality following TBI</w:t>
      </w:r>
    </w:p>
    <w:tbl>
      <w:tblPr>
        <w:tblStyle w:val="LightShading1"/>
        <w:tblW w:w="5000" w:type="pct"/>
        <w:tblLook w:val="0620" w:firstRow="1" w:lastRow="0" w:firstColumn="0" w:lastColumn="0" w:noHBand="1" w:noVBand="1"/>
      </w:tblPr>
      <w:tblGrid>
        <w:gridCol w:w="1089"/>
        <w:gridCol w:w="760"/>
        <w:gridCol w:w="1224"/>
        <w:gridCol w:w="973"/>
        <w:gridCol w:w="1295"/>
        <w:gridCol w:w="1461"/>
        <w:gridCol w:w="251"/>
        <w:gridCol w:w="837"/>
        <w:gridCol w:w="1476"/>
        <w:gridCol w:w="1153"/>
        <w:gridCol w:w="1981"/>
        <w:gridCol w:w="937"/>
        <w:gridCol w:w="701"/>
        <w:gridCol w:w="648"/>
      </w:tblGrid>
      <w:tr w:rsidR="000027E7" w:rsidRPr="00C806D0" w:rsidTr="000027E7">
        <w:trPr>
          <w:cnfStyle w:val="100000000000" w:firstRow="1" w:lastRow="0" w:firstColumn="0" w:lastColumn="0" w:oddVBand="0" w:evenVBand="0" w:oddHBand="0" w:evenHBand="0" w:firstRowFirstColumn="0" w:firstRowLastColumn="0" w:lastRowFirstColumn="0" w:lastRowLastColumn="0"/>
        </w:trPr>
        <w:tc>
          <w:tcPr>
            <w:tcW w:w="368" w:type="pct"/>
          </w:tcPr>
          <w:p w:rsidR="000027E7" w:rsidRPr="00C806D0" w:rsidRDefault="000027E7" w:rsidP="000027E7">
            <w:pPr>
              <w:pStyle w:val="NoSpacing"/>
              <w:jc w:val="center"/>
              <w:rPr>
                <w:sz w:val="17"/>
                <w:szCs w:val="17"/>
              </w:rPr>
            </w:pPr>
            <w:r w:rsidRPr="00C806D0">
              <w:rPr>
                <w:sz w:val="17"/>
                <w:szCs w:val="17"/>
              </w:rPr>
              <w:t>Study*</w:t>
            </w:r>
          </w:p>
        </w:tc>
        <w:tc>
          <w:tcPr>
            <w:tcW w:w="257" w:type="pct"/>
          </w:tcPr>
          <w:p w:rsidR="000027E7" w:rsidRPr="00C806D0" w:rsidRDefault="000027E7" w:rsidP="000027E7">
            <w:pPr>
              <w:pStyle w:val="NoSpacing"/>
              <w:jc w:val="center"/>
              <w:rPr>
                <w:sz w:val="17"/>
                <w:szCs w:val="17"/>
              </w:rPr>
            </w:pPr>
            <w:r w:rsidRPr="00C806D0">
              <w:rPr>
                <w:sz w:val="17"/>
                <w:szCs w:val="17"/>
              </w:rPr>
              <w:t>Design</w:t>
            </w:r>
          </w:p>
        </w:tc>
        <w:tc>
          <w:tcPr>
            <w:tcW w:w="414" w:type="pct"/>
          </w:tcPr>
          <w:p w:rsidR="000027E7" w:rsidRPr="00C806D0" w:rsidRDefault="000027E7" w:rsidP="000027E7">
            <w:pPr>
              <w:pStyle w:val="NoSpacing"/>
              <w:jc w:val="center"/>
              <w:rPr>
                <w:sz w:val="17"/>
                <w:szCs w:val="17"/>
              </w:rPr>
            </w:pPr>
            <w:r w:rsidRPr="00C806D0">
              <w:rPr>
                <w:sz w:val="17"/>
                <w:szCs w:val="17"/>
              </w:rPr>
              <w:t>Recruitment period</w:t>
            </w:r>
          </w:p>
        </w:tc>
        <w:tc>
          <w:tcPr>
            <w:tcW w:w="329" w:type="pct"/>
          </w:tcPr>
          <w:p w:rsidR="000027E7" w:rsidRPr="00C806D0" w:rsidRDefault="000027E7" w:rsidP="000027E7">
            <w:pPr>
              <w:pStyle w:val="NoSpacing"/>
              <w:jc w:val="center"/>
              <w:rPr>
                <w:sz w:val="17"/>
                <w:szCs w:val="17"/>
              </w:rPr>
            </w:pPr>
            <w:r w:rsidRPr="00C806D0">
              <w:rPr>
                <w:sz w:val="17"/>
                <w:szCs w:val="17"/>
              </w:rPr>
              <w:t>End of follow up</w:t>
            </w:r>
          </w:p>
        </w:tc>
        <w:tc>
          <w:tcPr>
            <w:tcW w:w="438" w:type="pct"/>
          </w:tcPr>
          <w:p w:rsidR="000027E7" w:rsidRPr="00C806D0" w:rsidRDefault="000027E7" w:rsidP="000027E7">
            <w:pPr>
              <w:pStyle w:val="NoSpacing"/>
              <w:jc w:val="center"/>
              <w:rPr>
                <w:sz w:val="17"/>
                <w:szCs w:val="17"/>
              </w:rPr>
            </w:pPr>
            <w:r w:rsidRPr="00C806D0">
              <w:rPr>
                <w:sz w:val="17"/>
                <w:szCs w:val="17"/>
              </w:rPr>
              <w:t>Setting</w:t>
            </w:r>
          </w:p>
        </w:tc>
        <w:tc>
          <w:tcPr>
            <w:tcW w:w="494" w:type="pct"/>
          </w:tcPr>
          <w:p w:rsidR="000027E7" w:rsidRPr="00C806D0" w:rsidRDefault="000027E7" w:rsidP="000027E7">
            <w:pPr>
              <w:pStyle w:val="NoSpacing"/>
              <w:jc w:val="center"/>
              <w:rPr>
                <w:sz w:val="17"/>
                <w:szCs w:val="17"/>
              </w:rPr>
            </w:pPr>
            <w:r w:rsidRPr="00C806D0">
              <w:rPr>
                <w:sz w:val="17"/>
                <w:szCs w:val="17"/>
              </w:rPr>
              <w:t>Study population</w:t>
            </w:r>
          </w:p>
        </w:tc>
        <w:tc>
          <w:tcPr>
            <w:tcW w:w="85" w:type="pct"/>
          </w:tcPr>
          <w:p w:rsidR="000027E7" w:rsidRPr="00C806D0" w:rsidRDefault="000027E7" w:rsidP="000027E7">
            <w:pPr>
              <w:pStyle w:val="NoSpacing"/>
              <w:jc w:val="center"/>
              <w:rPr>
                <w:sz w:val="17"/>
                <w:szCs w:val="17"/>
              </w:rPr>
            </w:pPr>
          </w:p>
        </w:tc>
        <w:tc>
          <w:tcPr>
            <w:tcW w:w="283" w:type="pct"/>
          </w:tcPr>
          <w:p w:rsidR="000027E7" w:rsidRPr="00C806D0" w:rsidRDefault="000027E7" w:rsidP="000027E7">
            <w:pPr>
              <w:pStyle w:val="NoSpacing"/>
              <w:jc w:val="center"/>
              <w:rPr>
                <w:sz w:val="17"/>
                <w:szCs w:val="17"/>
              </w:rPr>
            </w:pPr>
            <w:r w:rsidRPr="00C806D0">
              <w:rPr>
                <w:sz w:val="17"/>
                <w:szCs w:val="17"/>
              </w:rPr>
              <w:t>n=</w:t>
            </w:r>
          </w:p>
        </w:tc>
        <w:tc>
          <w:tcPr>
            <w:tcW w:w="499" w:type="pct"/>
          </w:tcPr>
          <w:p w:rsidR="000027E7" w:rsidRPr="00C806D0" w:rsidRDefault="000027E7" w:rsidP="000027E7">
            <w:pPr>
              <w:pStyle w:val="NoSpacing"/>
              <w:jc w:val="center"/>
              <w:rPr>
                <w:sz w:val="17"/>
                <w:szCs w:val="17"/>
              </w:rPr>
            </w:pPr>
            <w:r w:rsidRPr="00C806D0">
              <w:rPr>
                <w:sz w:val="17"/>
                <w:szCs w:val="17"/>
              </w:rPr>
              <w:t>Methodology</w:t>
            </w:r>
          </w:p>
        </w:tc>
        <w:tc>
          <w:tcPr>
            <w:tcW w:w="390" w:type="pct"/>
          </w:tcPr>
          <w:p w:rsidR="000027E7" w:rsidRPr="00C806D0" w:rsidRDefault="000027E7" w:rsidP="000027E7">
            <w:pPr>
              <w:pStyle w:val="NoSpacing"/>
              <w:jc w:val="center"/>
              <w:rPr>
                <w:sz w:val="17"/>
                <w:szCs w:val="17"/>
              </w:rPr>
            </w:pPr>
            <w:r w:rsidRPr="00C806D0">
              <w:rPr>
                <w:sz w:val="17"/>
                <w:szCs w:val="17"/>
              </w:rPr>
              <w:t xml:space="preserve">Observed effect of TBI on survival </w:t>
            </w:r>
          </w:p>
        </w:tc>
        <w:tc>
          <w:tcPr>
            <w:tcW w:w="670" w:type="pct"/>
          </w:tcPr>
          <w:p w:rsidR="000027E7" w:rsidRPr="00C806D0" w:rsidRDefault="000027E7" w:rsidP="000027E7">
            <w:pPr>
              <w:pStyle w:val="NoSpacing"/>
              <w:jc w:val="center"/>
              <w:rPr>
                <w:sz w:val="17"/>
                <w:szCs w:val="17"/>
              </w:rPr>
            </w:pPr>
            <w:r w:rsidRPr="00C806D0">
              <w:rPr>
                <w:sz w:val="17"/>
                <w:szCs w:val="17"/>
              </w:rPr>
              <w:t>Effect estimate</w:t>
            </w:r>
          </w:p>
          <w:p w:rsidR="000027E7" w:rsidRPr="00C806D0" w:rsidRDefault="000027E7" w:rsidP="000027E7">
            <w:pPr>
              <w:pStyle w:val="NoSpacing"/>
              <w:jc w:val="center"/>
              <w:rPr>
                <w:sz w:val="17"/>
                <w:szCs w:val="17"/>
              </w:rPr>
            </w:pPr>
            <w:r w:rsidRPr="00C806D0">
              <w:rPr>
                <w:sz w:val="17"/>
                <w:szCs w:val="17"/>
              </w:rPr>
              <w:t>(95% CI)</w:t>
            </w:r>
          </w:p>
        </w:tc>
        <w:tc>
          <w:tcPr>
            <w:tcW w:w="317" w:type="pct"/>
          </w:tcPr>
          <w:p w:rsidR="000027E7" w:rsidRPr="00C806D0" w:rsidRDefault="000027E7" w:rsidP="000027E7">
            <w:pPr>
              <w:pStyle w:val="NoSpacing"/>
              <w:jc w:val="center"/>
              <w:rPr>
                <w:sz w:val="17"/>
                <w:szCs w:val="17"/>
              </w:rPr>
            </w:pPr>
            <w:r w:rsidRPr="00C806D0">
              <w:rPr>
                <w:sz w:val="17"/>
                <w:szCs w:val="17"/>
              </w:rPr>
              <w:t>% deaths during study period</w:t>
            </w:r>
          </w:p>
        </w:tc>
        <w:tc>
          <w:tcPr>
            <w:tcW w:w="237" w:type="pct"/>
          </w:tcPr>
          <w:p w:rsidR="000027E7" w:rsidRPr="00C806D0" w:rsidRDefault="000027E7" w:rsidP="000027E7">
            <w:pPr>
              <w:pStyle w:val="NoSpacing"/>
              <w:jc w:val="center"/>
              <w:rPr>
                <w:sz w:val="17"/>
                <w:szCs w:val="17"/>
              </w:rPr>
            </w:pPr>
            <w:r w:rsidRPr="00C806D0">
              <w:rPr>
                <w:sz w:val="17"/>
                <w:szCs w:val="17"/>
              </w:rPr>
              <w:t>Mean age</w:t>
            </w:r>
          </w:p>
          <w:p w:rsidR="000027E7" w:rsidRPr="00C806D0" w:rsidRDefault="000027E7" w:rsidP="000027E7">
            <w:pPr>
              <w:pStyle w:val="NoSpacing"/>
              <w:jc w:val="center"/>
              <w:rPr>
                <w:sz w:val="17"/>
                <w:szCs w:val="17"/>
              </w:rPr>
            </w:pPr>
            <w:r w:rsidRPr="00C806D0">
              <w:rPr>
                <w:sz w:val="17"/>
                <w:szCs w:val="17"/>
              </w:rPr>
              <w:t>(sd)</w:t>
            </w:r>
          </w:p>
        </w:tc>
        <w:tc>
          <w:tcPr>
            <w:tcW w:w="219" w:type="pct"/>
          </w:tcPr>
          <w:p w:rsidR="000027E7" w:rsidRPr="00C806D0" w:rsidRDefault="000027E7" w:rsidP="000027E7">
            <w:pPr>
              <w:pStyle w:val="NoSpacing"/>
              <w:jc w:val="center"/>
              <w:rPr>
                <w:sz w:val="17"/>
                <w:szCs w:val="17"/>
              </w:rPr>
            </w:pPr>
            <w:r w:rsidRPr="00C806D0">
              <w:rPr>
                <w:sz w:val="17"/>
                <w:szCs w:val="17"/>
              </w:rPr>
              <w:t>% Male</w:t>
            </w:r>
          </w:p>
          <w:p w:rsidR="000027E7" w:rsidRPr="00C806D0" w:rsidRDefault="000027E7" w:rsidP="000027E7">
            <w:pPr>
              <w:pStyle w:val="NoSpacing"/>
              <w:jc w:val="center"/>
              <w:rPr>
                <w:sz w:val="17"/>
                <w:szCs w:val="17"/>
              </w:rPr>
            </w:pPr>
            <w:r w:rsidRPr="00C806D0">
              <w:rPr>
                <w:sz w:val="17"/>
                <w:szCs w:val="17"/>
              </w:rPr>
              <w:t>(95% CI)</w:t>
            </w:r>
          </w:p>
        </w:tc>
      </w:tr>
      <w:tr w:rsidR="000027E7" w:rsidRPr="00C806D0" w:rsidTr="000027E7">
        <w:tc>
          <w:tcPr>
            <w:tcW w:w="368" w:type="pct"/>
          </w:tcPr>
          <w:p w:rsidR="000027E7" w:rsidRPr="00C806D0" w:rsidRDefault="000027E7" w:rsidP="000027E7">
            <w:pPr>
              <w:pStyle w:val="NoSpacing"/>
              <w:jc w:val="center"/>
              <w:rPr>
                <w:sz w:val="17"/>
                <w:szCs w:val="17"/>
              </w:rPr>
            </w:pPr>
          </w:p>
        </w:tc>
        <w:tc>
          <w:tcPr>
            <w:tcW w:w="257" w:type="pct"/>
          </w:tcPr>
          <w:p w:rsidR="000027E7" w:rsidRPr="00C806D0" w:rsidRDefault="000027E7" w:rsidP="000027E7">
            <w:pPr>
              <w:pStyle w:val="NoSpacing"/>
              <w:jc w:val="center"/>
              <w:rPr>
                <w:sz w:val="17"/>
                <w:szCs w:val="17"/>
              </w:rPr>
            </w:pPr>
          </w:p>
        </w:tc>
        <w:tc>
          <w:tcPr>
            <w:tcW w:w="414" w:type="pct"/>
          </w:tcPr>
          <w:p w:rsidR="000027E7" w:rsidRPr="00C806D0" w:rsidRDefault="000027E7" w:rsidP="000027E7">
            <w:pPr>
              <w:pStyle w:val="NoSpacing"/>
              <w:jc w:val="center"/>
              <w:rPr>
                <w:sz w:val="17"/>
                <w:szCs w:val="17"/>
              </w:rPr>
            </w:pPr>
          </w:p>
        </w:tc>
        <w:tc>
          <w:tcPr>
            <w:tcW w:w="329" w:type="pct"/>
          </w:tcPr>
          <w:p w:rsidR="000027E7" w:rsidRPr="00C806D0" w:rsidRDefault="000027E7" w:rsidP="000027E7">
            <w:pPr>
              <w:pStyle w:val="NoSpacing"/>
              <w:jc w:val="center"/>
              <w:rPr>
                <w:sz w:val="17"/>
                <w:szCs w:val="17"/>
              </w:rPr>
            </w:pPr>
          </w:p>
        </w:tc>
        <w:tc>
          <w:tcPr>
            <w:tcW w:w="438" w:type="pct"/>
          </w:tcPr>
          <w:p w:rsidR="000027E7" w:rsidRPr="00C806D0" w:rsidRDefault="000027E7" w:rsidP="000027E7">
            <w:pPr>
              <w:pStyle w:val="NoSpacing"/>
              <w:jc w:val="center"/>
              <w:rPr>
                <w:sz w:val="17"/>
                <w:szCs w:val="17"/>
              </w:rPr>
            </w:pPr>
          </w:p>
        </w:tc>
        <w:tc>
          <w:tcPr>
            <w:tcW w:w="494" w:type="pct"/>
          </w:tcPr>
          <w:p w:rsidR="000027E7" w:rsidRPr="00C806D0" w:rsidRDefault="000027E7" w:rsidP="000027E7">
            <w:pPr>
              <w:pStyle w:val="NoSpacing"/>
              <w:jc w:val="center"/>
              <w:rPr>
                <w:sz w:val="17"/>
                <w:szCs w:val="17"/>
              </w:rPr>
            </w:pPr>
          </w:p>
        </w:tc>
        <w:tc>
          <w:tcPr>
            <w:tcW w:w="85" w:type="pct"/>
          </w:tcPr>
          <w:p w:rsidR="000027E7" w:rsidRPr="00C806D0" w:rsidRDefault="000027E7" w:rsidP="000027E7">
            <w:pPr>
              <w:pStyle w:val="NoSpacing"/>
              <w:jc w:val="center"/>
              <w:rPr>
                <w:sz w:val="17"/>
                <w:szCs w:val="17"/>
              </w:rPr>
            </w:pPr>
          </w:p>
        </w:tc>
        <w:tc>
          <w:tcPr>
            <w:tcW w:w="283" w:type="pct"/>
          </w:tcPr>
          <w:p w:rsidR="000027E7" w:rsidRPr="00C806D0" w:rsidRDefault="000027E7" w:rsidP="000027E7">
            <w:pPr>
              <w:pStyle w:val="NoSpacing"/>
              <w:jc w:val="center"/>
              <w:rPr>
                <w:sz w:val="17"/>
                <w:szCs w:val="17"/>
              </w:rPr>
            </w:pPr>
          </w:p>
        </w:tc>
        <w:tc>
          <w:tcPr>
            <w:tcW w:w="499" w:type="pct"/>
          </w:tcPr>
          <w:p w:rsidR="000027E7" w:rsidRPr="00C806D0" w:rsidRDefault="000027E7" w:rsidP="000027E7">
            <w:pPr>
              <w:pStyle w:val="NoSpacing"/>
              <w:jc w:val="center"/>
              <w:rPr>
                <w:sz w:val="17"/>
                <w:szCs w:val="17"/>
              </w:rPr>
            </w:pPr>
          </w:p>
        </w:tc>
        <w:tc>
          <w:tcPr>
            <w:tcW w:w="390" w:type="pct"/>
          </w:tcPr>
          <w:p w:rsidR="000027E7" w:rsidRPr="00C806D0" w:rsidRDefault="000027E7" w:rsidP="000027E7">
            <w:pPr>
              <w:pStyle w:val="NoSpacing"/>
              <w:jc w:val="center"/>
              <w:rPr>
                <w:sz w:val="17"/>
                <w:szCs w:val="17"/>
              </w:rPr>
            </w:pPr>
          </w:p>
        </w:tc>
        <w:tc>
          <w:tcPr>
            <w:tcW w:w="670" w:type="pct"/>
          </w:tcPr>
          <w:p w:rsidR="000027E7" w:rsidRPr="00C806D0" w:rsidRDefault="000027E7" w:rsidP="000027E7">
            <w:pPr>
              <w:pStyle w:val="NoSpacing"/>
              <w:jc w:val="center"/>
              <w:rPr>
                <w:sz w:val="17"/>
                <w:szCs w:val="17"/>
              </w:rPr>
            </w:pPr>
          </w:p>
        </w:tc>
        <w:tc>
          <w:tcPr>
            <w:tcW w:w="317" w:type="pct"/>
          </w:tcPr>
          <w:p w:rsidR="000027E7" w:rsidRPr="00C806D0" w:rsidRDefault="000027E7" w:rsidP="000027E7">
            <w:pPr>
              <w:pStyle w:val="NoSpacing"/>
              <w:jc w:val="center"/>
              <w:rPr>
                <w:sz w:val="17"/>
                <w:szCs w:val="17"/>
              </w:rPr>
            </w:pPr>
          </w:p>
        </w:tc>
        <w:tc>
          <w:tcPr>
            <w:tcW w:w="237" w:type="pct"/>
          </w:tcPr>
          <w:p w:rsidR="000027E7" w:rsidRPr="00C806D0" w:rsidRDefault="000027E7" w:rsidP="000027E7">
            <w:pPr>
              <w:pStyle w:val="NoSpacing"/>
              <w:jc w:val="center"/>
              <w:rPr>
                <w:b/>
                <w:color w:val="000000" w:themeColor="text1"/>
                <w:sz w:val="17"/>
                <w:szCs w:val="17"/>
              </w:rPr>
            </w:pPr>
          </w:p>
        </w:tc>
        <w:tc>
          <w:tcPr>
            <w:tcW w:w="219" w:type="pct"/>
          </w:tcPr>
          <w:p w:rsidR="000027E7" w:rsidRPr="00C806D0" w:rsidRDefault="000027E7" w:rsidP="000027E7">
            <w:pPr>
              <w:pStyle w:val="NoSpacing"/>
              <w:jc w:val="center"/>
              <w:rPr>
                <w:b/>
                <w:color w:val="000000" w:themeColor="text1"/>
                <w:sz w:val="17"/>
                <w:szCs w:val="17"/>
              </w:rPr>
            </w:pPr>
          </w:p>
        </w:tc>
      </w:tr>
      <w:tr w:rsidR="000027E7" w:rsidRPr="00C806D0" w:rsidTr="000027E7">
        <w:trPr>
          <w:trHeight w:val="869"/>
        </w:trPr>
        <w:tc>
          <w:tcPr>
            <w:tcW w:w="368" w:type="pct"/>
          </w:tcPr>
          <w:p w:rsidR="000027E7" w:rsidRPr="00C806D0" w:rsidRDefault="000027E7" w:rsidP="000027E7">
            <w:pPr>
              <w:pStyle w:val="NoSpacing"/>
              <w:rPr>
                <w:sz w:val="17"/>
                <w:szCs w:val="17"/>
              </w:rPr>
            </w:pPr>
            <w:r w:rsidRPr="00C806D0">
              <w:rPr>
                <w:sz w:val="17"/>
                <w:szCs w:val="17"/>
              </w:rPr>
              <w:t>Current study</w:t>
            </w:r>
          </w:p>
          <w:p w:rsidR="000027E7" w:rsidRPr="00C806D0" w:rsidRDefault="000027E7" w:rsidP="000027E7">
            <w:pPr>
              <w:pStyle w:val="NoSpacing"/>
              <w:rPr>
                <w:sz w:val="17"/>
                <w:szCs w:val="17"/>
              </w:rPr>
            </w:pP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1987-1999</w:t>
            </w:r>
          </w:p>
        </w:tc>
        <w:tc>
          <w:tcPr>
            <w:tcW w:w="329" w:type="pct"/>
          </w:tcPr>
          <w:p w:rsidR="000027E7" w:rsidRPr="00C806D0" w:rsidRDefault="000027E7" w:rsidP="000027E7">
            <w:pPr>
              <w:pStyle w:val="NoSpacing"/>
              <w:rPr>
                <w:sz w:val="17"/>
                <w:szCs w:val="17"/>
              </w:rPr>
            </w:pPr>
            <w:r w:rsidRPr="00C806D0">
              <w:rPr>
                <w:sz w:val="17"/>
                <w:szCs w:val="17"/>
              </w:rPr>
              <w:t>2013</w:t>
            </w:r>
          </w:p>
        </w:tc>
        <w:tc>
          <w:tcPr>
            <w:tcW w:w="438" w:type="pct"/>
          </w:tcPr>
          <w:p w:rsidR="000027E7" w:rsidRPr="00C806D0" w:rsidRDefault="009C49A9" w:rsidP="000027E7">
            <w:pPr>
              <w:pStyle w:val="NoSpacing"/>
              <w:rPr>
                <w:sz w:val="17"/>
                <w:szCs w:val="17"/>
              </w:rPr>
            </w:pPr>
            <w:r w:rsidRPr="00C806D0">
              <w:rPr>
                <w:sz w:val="17"/>
                <w:szCs w:val="17"/>
              </w:rPr>
              <w:t>Minnesota, US</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Adults &gt;16 yrs</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Post-acute mild –severe TBI</w:t>
            </w: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769</w:t>
            </w:r>
          </w:p>
        </w:tc>
        <w:tc>
          <w:tcPr>
            <w:tcW w:w="499" w:type="pct"/>
          </w:tcPr>
          <w:p w:rsidR="000027E7" w:rsidRPr="00C806D0" w:rsidRDefault="000027E7" w:rsidP="000027E7">
            <w:pPr>
              <w:pStyle w:val="NoSpacing"/>
              <w:rPr>
                <w:sz w:val="17"/>
                <w:szCs w:val="17"/>
              </w:rPr>
            </w:pPr>
            <w:r w:rsidRPr="00C806D0">
              <w:rPr>
                <w:sz w:val="17"/>
                <w:szCs w:val="17"/>
              </w:rPr>
              <w:t xml:space="preserve">Parametric survival analysis </w:t>
            </w: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general population</w:t>
            </w: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sz w:val="17"/>
                <w:szCs w:val="17"/>
              </w:rPr>
            </w:pPr>
            <w:r w:rsidRPr="00C806D0">
              <w:rPr>
                <w:sz w:val="17"/>
                <w:szCs w:val="17"/>
              </w:rPr>
              <w:t>HR: 1.47 (1.15-1.86)</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Life expectancy at§:</w:t>
            </w:r>
          </w:p>
          <w:p w:rsidR="000027E7" w:rsidRPr="00C806D0" w:rsidRDefault="000027E7" w:rsidP="000027E7">
            <w:pPr>
              <w:pStyle w:val="NoSpacing"/>
              <w:rPr>
                <w:sz w:val="17"/>
                <w:szCs w:val="17"/>
              </w:rPr>
            </w:pPr>
            <w:r w:rsidRPr="00C806D0">
              <w:rPr>
                <w:sz w:val="17"/>
                <w:szCs w:val="17"/>
              </w:rPr>
              <w:t>25=46 years</w:t>
            </w:r>
          </w:p>
          <w:p w:rsidR="000027E7" w:rsidRPr="00C806D0" w:rsidRDefault="000027E7" w:rsidP="000027E7">
            <w:pPr>
              <w:pStyle w:val="NoSpacing"/>
              <w:rPr>
                <w:sz w:val="17"/>
                <w:szCs w:val="17"/>
              </w:rPr>
            </w:pPr>
            <w:r w:rsidRPr="00C806D0">
              <w:rPr>
                <w:sz w:val="17"/>
                <w:szCs w:val="17"/>
              </w:rPr>
              <w:t>52=31 years</w:t>
            </w:r>
          </w:p>
          <w:p w:rsidR="000027E7" w:rsidRPr="00C806D0" w:rsidRDefault="000027E7" w:rsidP="000027E7">
            <w:pPr>
              <w:pStyle w:val="NoSpacing"/>
              <w:rPr>
                <w:sz w:val="17"/>
                <w:szCs w:val="17"/>
              </w:rPr>
            </w:pPr>
            <w:r w:rsidRPr="00C806D0">
              <w:rPr>
                <w:sz w:val="17"/>
                <w:szCs w:val="17"/>
              </w:rPr>
              <w:t>79=9 years</w:t>
            </w:r>
          </w:p>
          <w:p w:rsidR="000027E7" w:rsidRPr="00C806D0" w:rsidRDefault="000027E7" w:rsidP="000027E7">
            <w:pPr>
              <w:pStyle w:val="NoSpacing"/>
              <w:rPr>
                <w:sz w:val="17"/>
                <w:szCs w:val="17"/>
              </w:rPr>
            </w:pPr>
          </w:p>
        </w:tc>
        <w:tc>
          <w:tcPr>
            <w:tcW w:w="317" w:type="pct"/>
          </w:tcPr>
          <w:p w:rsidR="000027E7" w:rsidRPr="00C806D0" w:rsidRDefault="000027E7" w:rsidP="000027E7">
            <w:pPr>
              <w:pStyle w:val="NoSpacing"/>
              <w:rPr>
                <w:sz w:val="17"/>
                <w:szCs w:val="17"/>
              </w:rPr>
            </w:pPr>
            <w:r w:rsidRPr="00C806D0">
              <w:rPr>
                <w:sz w:val="17"/>
                <w:szCs w:val="17"/>
              </w:rPr>
              <w:t>24%</w:t>
            </w:r>
          </w:p>
        </w:tc>
        <w:tc>
          <w:tcPr>
            <w:tcW w:w="237" w:type="pct"/>
          </w:tcPr>
          <w:p w:rsidR="000027E7" w:rsidRPr="00C806D0" w:rsidRDefault="000027E7" w:rsidP="000027E7">
            <w:pPr>
              <w:pStyle w:val="NoSpacing"/>
              <w:rPr>
                <w:sz w:val="17"/>
                <w:szCs w:val="17"/>
              </w:rPr>
            </w:pPr>
            <w:r w:rsidRPr="00C806D0">
              <w:rPr>
                <w:sz w:val="17"/>
                <w:szCs w:val="17"/>
              </w:rPr>
              <w:t>30.3 (19.8)</w:t>
            </w:r>
          </w:p>
        </w:tc>
        <w:tc>
          <w:tcPr>
            <w:tcW w:w="219" w:type="pct"/>
          </w:tcPr>
          <w:p w:rsidR="000027E7" w:rsidRPr="00C806D0" w:rsidRDefault="000027E7" w:rsidP="000027E7">
            <w:pPr>
              <w:pStyle w:val="NoSpacing"/>
              <w:rPr>
                <w:sz w:val="17"/>
                <w:szCs w:val="17"/>
              </w:rPr>
            </w:pPr>
            <w:r w:rsidRPr="00C806D0">
              <w:rPr>
                <w:sz w:val="17"/>
                <w:szCs w:val="17"/>
              </w:rPr>
              <w:t>50% (47-54)</w:t>
            </w:r>
          </w:p>
        </w:tc>
      </w:tr>
      <w:tr w:rsidR="000027E7" w:rsidRPr="00C806D0" w:rsidTr="000027E7">
        <w:trPr>
          <w:trHeight w:val="869"/>
        </w:trPr>
        <w:tc>
          <w:tcPr>
            <w:tcW w:w="368" w:type="pct"/>
          </w:tcPr>
          <w:p w:rsidR="000027E7" w:rsidRPr="00C806D0" w:rsidRDefault="000027E7" w:rsidP="006D4D62">
            <w:pPr>
              <w:pStyle w:val="NoSpacing"/>
              <w:rPr>
                <w:sz w:val="17"/>
                <w:szCs w:val="17"/>
              </w:rPr>
            </w:pPr>
            <w:r w:rsidRPr="00C806D0">
              <w:rPr>
                <w:sz w:val="17"/>
                <w:szCs w:val="17"/>
              </w:rPr>
              <w:t>Fazel 2014</w:t>
            </w:r>
            <w:r w:rsidR="006D4D62" w:rsidRPr="00C806D0">
              <w:rPr>
                <w:noProof/>
                <w:sz w:val="17"/>
                <w:szCs w:val="17"/>
                <w:vertAlign w:val="superscript"/>
              </w:rPr>
              <w:t>[18]</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1969-2009</w:t>
            </w:r>
          </w:p>
        </w:tc>
        <w:tc>
          <w:tcPr>
            <w:tcW w:w="329" w:type="pct"/>
          </w:tcPr>
          <w:p w:rsidR="000027E7" w:rsidRPr="00C806D0" w:rsidRDefault="000027E7" w:rsidP="000027E7">
            <w:pPr>
              <w:pStyle w:val="NoSpacing"/>
              <w:rPr>
                <w:sz w:val="17"/>
                <w:szCs w:val="17"/>
              </w:rPr>
            </w:pPr>
            <w:r w:rsidRPr="00C806D0">
              <w:rPr>
                <w:sz w:val="17"/>
                <w:szCs w:val="17"/>
              </w:rPr>
              <w:t>2009</w:t>
            </w:r>
          </w:p>
        </w:tc>
        <w:tc>
          <w:tcPr>
            <w:tcW w:w="438" w:type="pct"/>
          </w:tcPr>
          <w:p w:rsidR="000027E7" w:rsidRPr="00C806D0" w:rsidRDefault="000027E7" w:rsidP="000027E7">
            <w:pPr>
              <w:pStyle w:val="NoSpacing"/>
              <w:rPr>
                <w:sz w:val="17"/>
                <w:szCs w:val="17"/>
              </w:rPr>
            </w:pPr>
            <w:r w:rsidRPr="00C806D0">
              <w:rPr>
                <w:sz w:val="17"/>
                <w:szCs w:val="17"/>
              </w:rPr>
              <w:t>Sweden</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Any hospital admission or outpatient attendance for TBI</w:t>
            </w:r>
          </w:p>
          <w:p w:rsidR="000027E7" w:rsidRPr="00C806D0" w:rsidRDefault="000027E7" w:rsidP="000027E7">
            <w:pPr>
              <w:pStyle w:val="NoSpacing"/>
              <w:rPr>
                <w:sz w:val="17"/>
                <w:szCs w:val="17"/>
              </w:rPr>
            </w:pP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218,300</w:t>
            </w:r>
          </w:p>
        </w:tc>
        <w:tc>
          <w:tcPr>
            <w:tcW w:w="499" w:type="pct"/>
          </w:tcPr>
          <w:p w:rsidR="000027E7" w:rsidRPr="00C806D0" w:rsidRDefault="000027E7" w:rsidP="000027E7">
            <w:pPr>
              <w:pStyle w:val="NoSpacing"/>
              <w:rPr>
                <w:sz w:val="17"/>
                <w:szCs w:val="17"/>
              </w:rPr>
            </w:pPr>
            <w:r w:rsidRPr="00C806D0">
              <w:rPr>
                <w:sz w:val="17"/>
                <w:szCs w:val="17"/>
              </w:rPr>
              <w:t>Conditional Logistic regression  using age/gender matched community controls; or sibling controls</w:t>
            </w: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general population</w:t>
            </w: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rFonts w:ascii="Calibri" w:hAnsi="Calibri" w:cs="Times New Roman"/>
                <w:sz w:val="17"/>
                <w:szCs w:val="17"/>
              </w:rPr>
            </w:pPr>
            <w:r w:rsidRPr="00C806D0">
              <w:rPr>
                <w:rFonts w:ascii="Calibri" w:hAnsi="Calibri" w:cs="Times New Roman"/>
                <w:sz w:val="17"/>
                <w:szCs w:val="17"/>
              </w:rPr>
              <w:t>OR: 3.2 (3.0-3.4) [general population]</w:t>
            </w:r>
          </w:p>
          <w:p w:rsidR="000027E7" w:rsidRPr="00C806D0" w:rsidRDefault="000027E7" w:rsidP="000027E7">
            <w:pPr>
              <w:pStyle w:val="NoSpacing"/>
              <w:rPr>
                <w:rFonts w:ascii="Calibri" w:hAnsi="Calibri" w:cs="Times New Roman"/>
                <w:sz w:val="17"/>
                <w:szCs w:val="17"/>
              </w:rPr>
            </w:pPr>
          </w:p>
          <w:p w:rsidR="000027E7" w:rsidRPr="00C806D0" w:rsidRDefault="000027E7" w:rsidP="000027E7">
            <w:pPr>
              <w:pStyle w:val="NoSpacing"/>
              <w:rPr>
                <w:sz w:val="17"/>
                <w:szCs w:val="17"/>
              </w:rPr>
            </w:pPr>
            <w:r w:rsidRPr="00C806D0">
              <w:rPr>
                <w:rFonts w:ascii="Calibri" w:hAnsi="Calibri" w:cs="Times New Roman"/>
                <w:sz w:val="17"/>
                <w:szCs w:val="17"/>
              </w:rPr>
              <w:t>OR: 2.6 (2.3-2.8) [siblings]</w:t>
            </w:r>
          </w:p>
        </w:tc>
        <w:tc>
          <w:tcPr>
            <w:tcW w:w="317" w:type="pct"/>
          </w:tcPr>
          <w:p w:rsidR="000027E7" w:rsidRPr="00C806D0" w:rsidRDefault="000027E7" w:rsidP="000027E7">
            <w:pPr>
              <w:pStyle w:val="NoSpacing"/>
              <w:rPr>
                <w:sz w:val="17"/>
                <w:szCs w:val="17"/>
              </w:rPr>
            </w:pPr>
            <w:r w:rsidRPr="00C806D0">
              <w:rPr>
                <w:sz w:val="17"/>
                <w:szCs w:val="17"/>
              </w:rPr>
              <w:t>22%</w:t>
            </w:r>
          </w:p>
        </w:tc>
        <w:tc>
          <w:tcPr>
            <w:tcW w:w="237" w:type="pct"/>
          </w:tcPr>
          <w:p w:rsidR="000027E7" w:rsidRPr="00C806D0" w:rsidRDefault="000027E7" w:rsidP="000027E7">
            <w:pPr>
              <w:pStyle w:val="NoSpacing"/>
              <w:rPr>
                <w:sz w:val="17"/>
                <w:szCs w:val="17"/>
              </w:rPr>
            </w:pPr>
            <w:r w:rsidRPr="00C806D0">
              <w:rPr>
                <w:sz w:val="17"/>
                <w:szCs w:val="17"/>
              </w:rPr>
              <w:t>18.6</w:t>
            </w:r>
          </w:p>
        </w:tc>
        <w:tc>
          <w:tcPr>
            <w:tcW w:w="219" w:type="pct"/>
          </w:tcPr>
          <w:p w:rsidR="000027E7" w:rsidRPr="00C806D0" w:rsidRDefault="000027E7" w:rsidP="000027E7">
            <w:pPr>
              <w:pStyle w:val="NoSpacing"/>
              <w:rPr>
                <w:sz w:val="17"/>
                <w:szCs w:val="17"/>
              </w:rPr>
            </w:pPr>
            <w:r w:rsidRPr="00C806D0">
              <w:rPr>
                <w:sz w:val="17"/>
                <w:szCs w:val="17"/>
              </w:rPr>
              <w:t>69%</w:t>
            </w:r>
          </w:p>
          <w:p w:rsidR="000027E7" w:rsidRPr="00C806D0" w:rsidRDefault="000027E7" w:rsidP="000027E7">
            <w:pPr>
              <w:pStyle w:val="NoSpacing"/>
              <w:rPr>
                <w:sz w:val="17"/>
                <w:szCs w:val="17"/>
              </w:rPr>
            </w:pPr>
          </w:p>
        </w:tc>
      </w:tr>
      <w:tr w:rsidR="000027E7" w:rsidRPr="00C806D0" w:rsidTr="000027E7">
        <w:tc>
          <w:tcPr>
            <w:tcW w:w="368" w:type="pct"/>
          </w:tcPr>
          <w:p w:rsidR="000027E7" w:rsidRPr="00C806D0" w:rsidRDefault="000027E7" w:rsidP="006D4D62">
            <w:pPr>
              <w:pStyle w:val="NoSpacing"/>
              <w:rPr>
                <w:sz w:val="17"/>
                <w:szCs w:val="17"/>
              </w:rPr>
            </w:pPr>
            <w:r w:rsidRPr="00C806D0">
              <w:rPr>
                <w:sz w:val="17"/>
                <w:szCs w:val="17"/>
              </w:rPr>
              <w:t>Baguley 2012</w:t>
            </w:r>
            <w:r w:rsidR="006D4D62" w:rsidRPr="00C806D0">
              <w:rPr>
                <w:noProof/>
                <w:sz w:val="17"/>
                <w:szCs w:val="17"/>
                <w:vertAlign w:val="superscript"/>
              </w:rPr>
              <w:t>[19]</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1990-2007</w:t>
            </w:r>
          </w:p>
        </w:tc>
        <w:tc>
          <w:tcPr>
            <w:tcW w:w="329" w:type="pct"/>
          </w:tcPr>
          <w:p w:rsidR="000027E7" w:rsidRPr="00C806D0" w:rsidRDefault="000027E7" w:rsidP="000027E7">
            <w:pPr>
              <w:pStyle w:val="NoSpacing"/>
              <w:rPr>
                <w:sz w:val="17"/>
                <w:szCs w:val="17"/>
              </w:rPr>
            </w:pPr>
            <w:r w:rsidRPr="00C806D0">
              <w:rPr>
                <w:sz w:val="17"/>
                <w:szCs w:val="17"/>
              </w:rPr>
              <w:t>2009</w:t>
            </w:r>
          </w:p>
        </w:tc>
        <w:tc>
          <w:tcPr>
            <w:tcW w:w="438" w:type="pct"/>
          </w:tcPr>
          <w:p w:rsidR="000027E7" w:rsidRPr="00C806D0" w:rsidRDefault="000027E7" w:rsidP="000027E7">
            <w:pPr>
              <w:pStyle w:val="NoSpacing"/>
              <w:rPr>
                <w:sz w:val="17"/>
                <w:szCs w:val="17"/>
              </w:rPr>
            </w:pPr>
            <w:r w:rsidRPr="00C806D0">
              <w:rPr>
                <w:sz w:val="17"/>
                <w:szCs w:val="17"/>
              </w:rPr>
              <w:t>New South Wales, Australia</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Adults &gt;16 yrs</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TBI admitted for rehabilitation</w:t>
            </w: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2,545</w:t>
            </w:r>
          </w:p>
        </w:tc>
        <w:tc>
          <w:tcPr>
            <w:tcW w:w="499" w:type="pct"/>
          </w:tcPr>
          <w:p w:rsidR="000027E7" w:rsidRPr="00C806D0" w:rsidRDefault="000027E7" w:rsidP="000027E7">
            <w:pPr>
              <w:pStyle w:val="NoSpacing"/>
              <w:rPr>
                <w:sz w:val="17"/>
                <w:szCs w:val="17"/>
              </w:rPr>
            </w:pPr>
            <w:r w:rsidRPr="00C806D0">
              <w:rPr>
                <w:sz w:val="17"/>
                <w:szCs w:val="17"/>
              </w:rPr>
              <w:t>SMR calculated using national general population mortality rates</w:t>
            </w: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general population</w:t>
            </w: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sz w:val="17"/>
                <w:szCs w:val="17"/>
              </w:rPr>
            </w:pPr>
            <w:r w:rsidRPr="00C806D0">
              <w:rPr>
                <w:sz w:val="17"/>
                <w:szCs w:val="17"/>
              </w:rPr>
              <w:t xml:space="preserve">SMR: </w:t>
            </w:r>
            <w:r w:rsidRPr="00C806D0">
              <w:rPr>
                <w:rFonts w:ascii="Calibri" w:hAnsi="Calibri" w:cs="AdvP418B97"/>
                <w:sz w:val="17"/>
                <w:szCs w:val="17"/>
              </w:rPr>
              <w:t>3.19 (2.8 –3.6)</w:t>
            </w:r>
          </w:p>
        </w:tc>
        <w:tc>
          <w:tcPr>
            <w:tcW w:w="317" w:type="pct"/>
          </w:tcPr>
          <w:p w:rsidR="000027E7" w:rsidRPr="00C806D0" w:rsidRDefault="000027E7" w:rsidP="000027E7">
            <w:pPr>
              <w:pStyle w:val="NoSpacing"/>
              <w:rPr>
                <w:sz w:val="17"/>
                <w:szCs w:val="17"/>
              </w:rPr>
            </w:pPr>
            <w:r w:rsidRPr="00C806D0">
              <w:rPr>
                <w:sz w:val="17"/>
                <w:szCs w:val="17"/>
              </w:rPr>
              <w:t>10.2%</w:t>
            </w:r>
          </w:p>
        </w:tc>
        <w:tc>
          <w:tcPr>
            <w:tcW w:w="237" w:type="pct"/>
          </w:tcPr>
          <w:p w:rsidR="000027E7" w:rsidRPr="00C806D0" w:rsidRDefault="000027E7" w:rsidP="000027E7">
            <w:pPr>
              <w:pStyle w:val="NoSpacing"/>
              <w:rPr>
                <w:sz w:val="17"/>
                <w:szCs w:val="17"/>
              </w:rPr>
            </w:pPr>
            <w:r w:rsidRPr="00C806D0">
              <w:rPr>
                <w:sz w:val="17"/>
                <w:szCs w:val="17"/>
              </w:rPr>
              <w:t>35 (14)</w:t>
            </w:r>
          </w:p>
        </w:tc>
        <w:tc>
          <w:tcPr>
            <w:tcW w:w="219" w:type="pct"/>
          </w:tcPr>
          <w:p w:rsidR="000027E7" w:rsidRPr="00C806D0" w:rsidRDefault="000027E7" w:rsidP="000027E7">
            <w:pPr>
              <w:pStyle w:val="NoSpacing"/>
              <w:rPr>
                <w:sz w:val="17"/>
                <w:szCs w:val="17"/>
              </w:rPr>
            </w:pPr>
            <w:r w:rsidRPr="00C806D0">
              <w:rPr>
                <w:sz w:val="17"/>
                <w:szCs w:val="17"/>
              </w:rPr>
              <w:t>81%</w:t>
            </w:r>
          </w:p>
        </w:tc>
      </w:tr>
      <w:tr w:rsidR="000027E7" w:rsidRPr="00C806D0" w:rsidTr="000027E7">
        <w:tc>
          <w:tcPr>
            <w:tcW w:w="368" w:type="pct"/>
          </w:tcPr>
          <w:p w:rsidR="000027E7" w:rsidRPr="00C806D0" w:rsidRDefault="000027E7" w:rsidP="006D4D62">
            <w:pPr>
              <w:pStyle w:val="NoSpacing"/>
              <w:rPr>
                <w:sz w:val="17"/>
                <w:szCs w:val="17"/>
              </w:rPr>
            </w:pPr>
            <w:r w:rsidRPr="00C806D0">
              <w:rPr>
                <w:sz w:val="17"/>
                <w:szCs w:val="17"/>
              </w:rPr>
              <w:t>Himanen 2011</w:t>
            </w:r>
            <w:r w:rsidR="006D4D62" w:rsidRPr="00C806D0">
              <w:rPr>
                <w:noProof/>
                <w:sz w:val="17"/>
                <w:szCs w:val="17"/>
                <w:vertAlign w:val="superscript"/>
              </w:rPr>
              <w:t>[20]</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1950-1971</w:t>
            </w:r>
          </w:p>
        </w:tc>
        <w:tc>
          <w:tcPr>
            <w:tcW w:w="329" w:type="pct"/>
          </w:tcPr>
          <w:p w:rsidR="000027E7" w:rsidRPr="00C806D0" w:rsidRDefault="000027E7" w:rsidP="000027E7">
            <w:pPr>
              <w:pStyle w:val="NoSpacing"/>
              <w:rPr>
                <w:sz w:val="17"/>
                <w:szCs w:val="17"/>
              </w:rPr>
            </w:pPr>
            <w:r w:rsidRPr="00C806D0">
              <w:rPr>
                <w:sz w:val="17"/>
                <w:szCs w:val="17"/>
              </w:rPr>
              <w:t>1996</w:t>
            </w:r>
          </w:p>
        </w:tc>
        <w:tc>
          <w:tcPr>
            <w:tcW w:w="438" w:type="pct"/>
          </w:tcPr>
          <w:p w:rsidR="000027E7" w:rsidRPr="00C806D0" w:rsidRDefault="000027E7" w:rsidP="000027E7">
            <w:pPr>
              <w:pStyle w:val="NoSpacing"/>
              <w:rPr>
                <w:sz w:val="17"/>
                <w:szCs w:val="17"/>
              </w:rPr>
            </w:pPr>
            <w:r w:rsidRPr="00C806D0">
              <w:rPr>
                <w:sz w:val="17"/>
                <w:szCs w:val="17"/>
              </w:rPr>
              <w:t>Turku, Finland</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Adults &gt;16 yrs</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TBI referred for  neurological clinic assessment</w:t>
            </w:r>
          </w:p>
          <w:p w:rsidR="000027E7" w:rsidRPr="00C806D0" w:rsidRDefault="000027E7" w:rsidP="000027E7">
            <w:pPr>
              <w:pStyle w:val="NoSpacing"/>
              <w:rPr>
                <w:sz w:val="17"/>
                <w:szCs w:val="17"/>
              </w:rPr>
            </w:pP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192</w:t>
            </w:r>
          </w:p>
        </w:tc>
        <w:tc>
          <w:tcPr>
            <w:tcW w:w="499" w:type="pct"/>
          </w:tcPr>
          <w:p w:rsidR="000027E7" w:rsidRPr="00C806D0" w:rsidRDefault="000027E7" w:rsidP="000027E7">
            <w:pPr>
              <w:pStyle w:val="NoSpacing"/>
              <w:rPr>
                <w:sz w:val="17"/>
                <w:szCs w:val="17"/>
              </w:rPr>
            </w:pPr>
            <w:r w:rsidRPr="00C806D0">
              <w:rPr>
                <w:sz w:val="17"/>
                <w:szCs w:val="17"/>
              </w:rPr>
              <w:t>SMR calculated using national general population mortality rates</w:t>
            </w: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general population</w:t>
            </w: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sz w:val="17"/>
                <w:szCs w:val="17"/>
              </w:rPr>
            </w:pPr>
            <w:r w:rsidRPr="00C806D0">
              <w:rPr>
                <w:sz w:val="17"/>
                <w:szCs w:val="17"/>
              </w:rPr>
              <w:t xml:space="preserve">SMR: </w:t>
            </w:r>
            <w:r w:rsidRPr="00C806D0">
              <w:rPr>
                <w:rFonts w:ascii="Calibri" w:hAnsi="Calibri" w:cs="AdvP418B97"/>
                <w:sz w:val="17"/>
                <w:szCs w:val="17"/>
              </w:rPr>
              <w:t>1.25 (0.99–1.57)</w:t>
            </w:r>
          </w:p>
        </w:tc>
        <w:tc>
          <w:tcPr>
            <w:tcW w:w="317" w:type="pct"/>
          </w:tcPr>
          <w:p w:rsidR="000027E7" w:rsidRPr="00C806D0" w:rsidRDefault="000027E7" w:rsidP="000027E7">
            <w:pPr>
              <w:pStyle w:val="NoSpacing"/>
              <w:rPr>
                <w:sz w:val="17"/>
                <w:szCs w:val="17"/>
              </w:rPr>
            </w:pPr>
            <w:r w:rsidRPr="00C806D0">
              <w:rPr>
                <w:sz w:val="17"/>
                <w:szCs w:val="17"/>
              </w:rPr>
              <w:t>39%</w:t>
            </w:r>
          </w:p>
        </w:tc>
        <w:tc>
          <w:tcPr>
            <w:tcW w:w="237" w:type="pct"/>
          </w:tcPr>
          <w:p w:rsidR="000027E7" w:rsidRPr="00C806D0" w:rsidRDefault="000027E7" w:rsidP="000027E7">
            <w:pPr>
              <w:pStyle w:val="NoSpacing"/>
              <w:rPr>
                <w:sz w:val="17"/>
                <w:szCs w:val="17"/>
              </w:rPr>
            </w:pPr>
            <w:r w:rsidRPr="00C806D0">
              <w:rPr>
                <w:sz w:val="17"/>
                <w:szCs w:val="17"/>
              </w:rPr>
              <w:t>37.0 (13.8)</w:t>
            </w:r>
          </w:p>
        </w:tc>
        <w:tc>
          <w:tcPr>
            <w:tcW w:w="219" w:type="pct"/>
          </w:tcPr>
          <w:p w:rsidR="000027E7" w:rsidRPr="00C806D0" w:rsidRDefault="000027E7" w:rsidP="000027E7">
            <w:pPr>
              <w:pStyle w:val="NoSpacing"/>
              <w:rPr>
                <w:sz w:val="17"/>
                <w:szCs w:val="17"/>
              </w:rPr>
            </w:pPr>
            <w:r w:rsidRPr="00C806D0">
              <w:rPr>
                <w:sz w:val="17"/>
                <w:szCs w:val="17"/>
              </w:rPr>
              <w:t>65%</w:t>
            </w:r>
          </w:p>
        </w:tc>
      </w:tr>
      <w:tr w:rsidR="000027E7" w:rsidRPr="00C806D0" w:rsidTr="000027E7">
        <w:tc>
          <w:tcPr>
            <w:tcW w:w="368" w:type="pct"/>
          </w:tcPr>
          <w:p w:rsidR="000027E7" w:rsidRPr="00C806D0" w:rsidRDefault="000027E7" w:rsidP="006D4D62">
            <w:pPr>
              <w:pStyle w:val="NoSpacing"/>
              <w:rPr>
                <w:sz w:val="17"/>
                <w:szCs w:val="17"/>
              </w:rPr>
            </w:pPr>
            <w:r w:rsidRPr="00C806D0">
              <w:rPr>
                <w:sz w:val="17"/>
                <w:szCs w:val="17"/>
              </w:rPr>
              <w:t>Ventura 2010</w:t>
            </w:r>
            <w:r w:rsidR="006D4D62" w:rsidRPr="00C806D0">
              <w:rPr>
                <w:noProof/>
                <w:sz w:val="17"/>
                <w:szCs w:val="17"/>
                <w:vertAlign w:val="superscript"/>
              </w:rPr>
              <w:t>[13]</w:t>
            </w:r>
          </w:p>
        </w:tc>
        <w:tc>
          <w:tcPr>
            <w:tcW w:w="257" w:type="pct"/>
          </w:tcPr>
          <w:p w:rsidR="000027E7" w:rsidRPr="00C806D0" w:rsidRDefault="000027E7" w:rsidP="000027E7">
            <w:pPr>
              <w:pStyle w:val="NoSpacing"/>
              <w:rPr>
                <w:sz w:val="17"/>
                <w:szCs w:val="17"/>
              </w:rPr>
            </w:pPr>
            <w:r w:rsidRPr="00C806D0">
              <w:rPr>
                <w:sz w:val="17"/>
                <w:szCs w:val="17"/>
              </w:rPr>
              <w:t xml:space="preserve">RCS </w:t>
            </w:r>
          </w:p>
        </w:tc>
        <w:tc>
          <w:tcPr>
            <w:tcW w:w="414" w:type="pct"/>
          </w:tcPr>
          <w:p w:rsidR="000027E7" w:rsidRPr="00C806D0" w:rsidRDefault="000027E7" w:rsidP="000027E7">
            <w:pPr>
              <w:pStyle w:val="NoSpacing"/>
              <w:rPr>
                <w:sz w:val="17"/>
                <w:szCs w:val="17"/>
              </w:rPr>
            </w:pPr>
            <w:r w:rsidRPr="00C806D0">
              <w:rPr>
                <w:sz w:val="17"/>
                <w:szCs w:val="17"/>
              </w:rPr>
              <w:t>1998-2003</w:t>
            </w:r>
          </w:p>
        </w:tc>
        <w:tc>
          <w:tcPr>
            <w:tcW w:w="329" w:type="pct"/>
          </w:tcPr>
          <w:p w:rsidR="000027E7" w:rsidRPr="00C806D0" w:rsidRDefault="000027E7" w:rsidP="000027E7">
            <w:pPr>
              <w:pStyle w:val="NoSpacing"/>
              <w:rPr>
                <w:sz w:val="17"/>
                <w:szCs w:val="17"/>
              </w:rPr>
            </w:pPr>
            <w:r w:rsidRPr="00C806D0">
              <w:rPr>
                <w:sz w:val="17"/>
                <w:szCs w:val="17"/>
              </w:rPr>
              <w:t>2005</w:t>
            </w:r>
          </w:p>
        </w:tc>
        <w:tc>
          <w:tcPr>
            <w:tcW w:w="438" w:type="pct"/>
          </w:tcPr>
          <w:p w:rsidR="000027E7" w:rsidRPr="00C806D0" w:rsidRDefault="000027E7" w:rsidP="000027E7">
            <w:pPr>
              <w:pStyle w:val="NoSpacing"/>
              <w:rPr>
                <w:sz w:val="17"/>
                <w:szCs w:val="17"/>
              </w:rPr>
            </w:pPr>
            <w:r w:rsidRPr="00C806D0">
              <w:rPr>
                <w:sz w:val="17"/>
                <w:szCs w:val="17"/>
              </w:rPr>
              <w:t>Colorado, US</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TBI discharged alive after acute hospitalisation</w:t>
            </w: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18,998</w:t>
            </w:r>
          </w:p>
        </w:tc>
        <w:tc>
          <w:tcPr>
            <w:tcW w:w="499" w:type="pct"/>
          </w:tcPr>
          <w:p w:rsidR="000027E7" w:rsidRPr="00C806D0" w:rsidRDefault="000027E7" w:rsidP="000027E7">
            <w:pPr>
              <w:pStyle w:val="NoSpacing"/>
              <w:rPr>
                <w:sz w:val="17"/>
                <w:szCs w:val="17"/>
              </w:rPr>
            </w:pPr>
            <w:r w:rsidRPr="00C806D0">
              <w:rPr>
                <w:sz w:val="17"/>
                <w:szCs w:val="17"/>
              </w:rPr>
              <w:t>SMR calculated using national general population mortality rates</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Life expectancy based on SMR &amp; general population mortality rates†</w:t>
            </w: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general population</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rFonts w:ascii="Calibri" w:hAnsi="Calibri" w:cs="AdvP418B97"/>
                <w:sz w:val="17"/>
                <w:szCs w:val="17"/>
              </w:rPr>
            </w:pPr>
            <w:r w:rsidRPr="00C806D0">
              <w:rPr>
                <w:sz w:val="17"/>
                <w:szCs w:val="17"/>
              </w:rPr>
              <w:t xml:space="preserve">SMR: </w:t>
            </w:r>
            <w:r w:rsidRPr="00C806D0">
              <w:rPr>
                <w:rFonts w:ascii="Calibri" w:hAnsi="Calibri" w:cs="AdvP418B97"/>
                <w:sz w:val="17"/>
                <w:szCs w:val="17"/>
              </w:rPr>
              <w:t>2.47 (2.3 –2.7)</w:t>
            </w:r>
          </w:p>
          <w:p w:rsidR="000027E7" w:rsidRPr="00C806D0" w:rsidRDefault="000027E7" w:rsidP="000027E7">
            <w:pPr>
              <w:pStyle w:val="NoSpacing"/>
              <w:rPr>
                <w:rFonts w:ascii="Calibri" w:hAnsi="Calibri" w:cs="AdvP418B97"/>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Life expectancy at:</w:t>
            </w:r>
          </w:p>
          <w:p w:rsidR="000027E7" w:rsidRPr="00C806D0" w:rsidRDefault="000027E7" w:rsidP="000027E7">
            <w:pPr>
              <w:pStyle w:val="NoSpacing"/>
              <w:rPr>
                <w:sz w:val="17"/>
                <w:szCs w:val="17"/>
              </w:rPr>
            </w:pPr>
            <w:r w:rsidRPr="00C806D0">
              <w:rPr>
                <w:sz w:val="17"/>
                <w:szCs w:val="17"/>
              </w:rPr>
              <w:t>20=47 years</w:t>
            </w:r>
          </w:p>
          <w:p w:rsidR="000027E7" w:rsidRPr="00C806D0" w:rsidRDefault="000027E7" w:rsidP="000027E7">
            <w:pPr>
              <w:pStyle w:val="NoSpacing"/>
              <w:rPr>
                <w:sz w:val="17"/>
                <w:szCs w:val="17"/>
              </w:rPr>
            </w:pPr>
            <w:r w:rsidRPr="00C806D0">
              <w:rPr>
                <w:sz w:val="17"/>
                <w:szCs w:val="17"/>
              </w:rPr>
              <w:t>50=22 years</w:t>
            </w:r>
          </w:p>
          <w:p w:rsidR="000027E7" w:rsidRPr="00C806D0" w:rsidRDefault="000027E7" w:rsidP="000027E7">
            <w:pPr>
              <w:pStyle w:val="NoSpacing"/>
              <w:rPr>
                <w:sz w:val="17"/>
                <w:szCs w:val="17"/>
              </w:rPr>
            </w:pPr>
            <w:r w:rsidRPr="00C806D0">
              <w:rPr>
                <w:sz w:val="17"/>
                <w:szCs w:val="17"/>
              </w:rPr>
              <w:t>80=5 years</w:t>
            </w:r>
          </w:p>
          <w:p w:rsidR="000027E7" w:rsidRPr="00C806D0" w:rsidRDefault="000027E7" w:rsidP="000027E7">
            <w:pPr>
              <w:pStyle w:val="NoSpacing"/>
              <w:rPr>
                <w:sz w:val="17"/>
                <w:szCs w:val="17"/>
              </w:rPr>
            </w:pPr>
          </w:p>
        </w:tc>
        <w:tc>
          <w:tcPr>
            <w:tcW w:w="317" w:type="pct"/>
          </w:tcPr>
          <w:p w:rsidR="000027E7" w:rsidRPr="00C806D0" w:rsidRDefault="000027E7" w:rsidP="000027E7">
            <w:pPr>
              <w:pStyle w:val="NoSpacing"/>
              <w:rPr>
                <w:sz w:val="17"/>
                <w:szCs w:val="17"/>
              </w:rPr>
            </w:pPr>
            <w:r w:rsidRPr="00C806D0">
              <w:rPr>
                <w:sz w:val="17"/>
                <w:szCs w:val="17"/>
              </w:rPr>
              <w:t>13.1%</w:t>
            </w:r>
          </w:p>
        </w:tc>
        <w:tc>
          <w:tcPr>
            <w:tcW w:w="237" w:type="pct"/>
          </w:tcPr>
          <w:p w:rsidR="000027E7" w:rsidRPr="00C806D0" w:rsidRDefault="000027E7" w:rsidP="000027E7">
            <w:pPr>
              <w:pStyle w:val="NoSpacing"/>
              <w:rPr>
                <w:sz w:val="17"/>
                <w:szCs w:val="17"/>
              </w:rPr>
            </w:pPr>
            <w:r w:rsidRPr="00C806D0">
              <w:rPr>
                <w:sz w:val="17"/>
                <w:szCs w:val="17"/>
              </w:rPr>
              <w:t>40</w:t>
            </w:r>
          </w:p>
        </w:tc>
        <w:tc>
          <w:tcPr>
            <w:tcW w:w="219" w:type="pct"/>
          </w:tcPr>
          <w:p w:rsidR="000027E7" w:rsidRPr="00C806D0" w:rsidRDefault="000027E7" w:rsidP="000027E7">
            <w:pPr>
              <w:pStyle w:val="NoSpacing"/>
              <w:rPr>
                <w:sz w:val="17"/>
                <w:szCs w:val="17"/>
              </w:rPr>
            </w:pPr>
            <w:r w:rsidRPr="00C806D0">
              <w:rPr>
                <w:sz w:val="17"/>
                <w:szCs w:val="17"/>
              </w:rPr>
              <w:t>65%</w:t>
            </w:r>
          </w:p>
        </w:tc>
      </w:tr>
      <w:tr w:rsidR="000027E7" w:rsidRPr="00C806D0" w:rsidTr="000027E7">
        <w:tc>
          <w:tcPr>
            <w:tcW w:w="368" w:type="pct"/>
          </w:tcPr>
          <w:p w:rsidR="000027E7" w:rsidRPr="00C806D0" w:rsidRDefault="00BE1FEF" w:rsidP="006D4D62">
            <w:pPr>
              <w:pStyle w:val="NoSpacing"/>
              <w:rPr>
                <w:sz w:val="17"/>
                <w:szCs w:val="17"/>
              </w:rPr>
            </w:pPr>
            <w:r w:rsidRPr="00C806D0">
              <w:rPr>
                <w:sz w:val="17"/>
                <w:szCs w:val="17"/>
              </w:rPr>
              <w:t>McMillan</w:t>
            </w:r>
            <w:r w:rsidR="000027E7" w:rsidRPr="00C806D0">
              <w:rPr>
                <w:sz w:val="17"/>
                <w:szCs w:val="17"/>
              </w:rPr>
              <w:t xml:space="preserve"> 2010</w:t>
            </w:r>
            <w:r w:rsidR="006D4D62" w:rsidRPr="00C806D0">
              <w:rPr>
                <w:noProof/>
                <w:sz w:val="17"/>
                <w:szCs w:val="17"/>
                <w:vertAlign w:val="superscript"/>
              </w:rPr>
              <w:t>[21]</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1995-1996</w:t>
            </w:r>
          </w:p>
        </w:tc>
        <w:tc>
          <w:tcPr>
            <w:tcW w:w="329" w:type="pct"/>
          </w:tcPr>
          <w:p w:rsidR="000027E7" w:rsidRPr="00C806D0" w:rsidRDefault="000027E7" w:rsidP="000027E7">
            <w:pPr>
              <w:pStyle w:val="NoSpacing"/>
              <w:rPr>
                <w:sz w:val="17"/>
                <w:szCs w:val="17"/>
              </w:rPr>
            </w:pPr>
            <w:r w:rsidRPr="00C806D0">
              <w:rPr>
                <w:sz w:val="17"/>
                <w:szCs w:val="17"/>
              </w:rPr>
              <w:t>2009</w:t>
            </w:r>
          </w:p>
        </w:tc>
        <w:tc>
          <w:tcPr>
            <w:tcW w:w="438" w:type="pct"/>
          </w:tcPr>
          <w:p w:rsidR="000027E7" w:rsidRPr="00C806D0" w:rsidRDefault="000027E7" w:rsidP="000027E7">
            <w:pPr>
              <w:pStyle w:val="NoSpacing"/>
              <w:rPr>
                <w:sz w:val="17"/>
                <w:szCs w:val="17"/>
              </w:rPr>
            </w:pPr>
            <w:r w:rsidRPr="00C806D0">
              <w:rPr>
                <w:sz w:val="17"/>
                <w:szCs w:val="17"/>
              </w:rPr>
              <w:t>Glasgow, UK</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TBI with acute hospitalisation</w:t>
            </w: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757</w:t>
            </w:r>
          </w:p>
        </w:tc>
        <w:tc>
          <w:tcPr>
            <w:tcW w:w="499" w:type="pct"/>
          </w:tcPr>
          <w:p w:rsidR="000027E7" w:rsidRPr="00C806D0" w:rsidRDefault="000027E7" w:rsidP="000027E7">
            <w:pPr>
              <w:pStyle w:val="NoSpacing"/>
              <w:rPr>
                <w:sz w:val="17"/>
                <w:szCs w:val="17"/>
              </w:rPr>
            </w:pPr>
            <w:r w:rsidRPr="00C806D0">
              <w:rPr>
                <w:sz w:val="17"/>
                <w:szCs w:val="17"/>
              </w:rPr>
              <w:t xml:space="preserve">Odds of death during follow up </w:t>
            </w:r>
            <w:r w:rsidR="00335B1F" w:rsidRPr="00C806D0">
              <w:rPr>
                <w:sz w:val="17"/>
                <w:szCs w:val="17"/>
              </w:rPr>
              <w:t>compared with</w:t>
            </w:r>
            <w:r w:rsidRPr="00C806D0">
              <w:rPr>
                <w:sz w:val="17"/>
                <w:szCs w:val="17"/>
              </w:rPr>
              <w:t xml:space="preserve"> age/gender matched non-TBI community controls</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Comparison of mortality rates with age/gender matched non-TBI controls</w:t>
            </w: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non-head injured controls</w:t>
            </w: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sz w:val="17"/>
                <w:szCs w:val="17"/>
              </w:rPr>
            </w:pPr>
            <w:r w:rsidRPr="00C806D0">
              <w:rPr>
                <w:sz w:val="17"/>
                <w:szCs w:val="17"/>
              </w:rPr>
              <w:t>OR 9.4 (95%CI 5.35-16.5)</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 xml:space="preserve">31 v 14 deaths/100,000/year </w:t>
            </w:r>
          </w:p>
        </w:tc>
        <w:tc>
          <w:tcPr>
            <w:tcW w:w="317" w:type="pct"/>
          </w:tcPr>
          <w:p w:rsidR="000027E7" w:rsidRPr="00C806D0" w:rsidRDefault="000027E7" w:rsidP="000027E7">
            <w:pPr>
              <w:pStyle w:val="NoSpacing"/>
              <w:rPr>
                <w:sz w:val="17"/>
                <w:szCs w:val="17"/>
              </w:rPr>
            </w:pPr>
            <w:r w:rsidRPr="00C806D0">
              <w:rPr>
                <w:sz w:val="17"/>
                <w:szCs w:val="17"/>
              </w:rPr>
              <w:t>33.6%‡</w:t>
            </w:r>
          </w:p>
        </w:tc>
        <w:tc>
          <w:tcPr>
            <w:tcW w:w="237" w:type="pct"/>
          </w:tcPr>
          <w:p w:rsidR="000027E7" w:rsidRPr="00C806D0" w:rsidRDefault="000027E7" w:rsidP="000027E7">
            <w:pPr>
              <w:pStyle w:val="NoSpacing"/>
              <w:rPr>
                <w:sz w:val="17"/>
                <w:szCs w:val="17"/>
              </w:rPr>
            </w:pPr>
            <w:r w:rsidRPr="00C806D0">
              <w:rPr>
                <w:sz w:val="17"/>
                <w:szCs w:val="17"/>
              </w:rPr>
              <w:t>NR</w:t>
            </w:r>
          </w:p>
        </w:tc>
        <w:tc>
          <w:tcPr>
            <w:tcW w:w="219" w:type="pct"/>
          </w:tcPr>
          <w:p w:rsidR="000027E7" w:rsidRPr="00C806D0" w:rsidRDefault="000027E7" w:rsidP="000027E7">
            <w:pPr>
              <w:pStyle w:val="NoSpacing"/>
              <w:rPr>
                <w:sz w:val="17"/>
                <w:szCs w:val="17"/>
              </w:rPr>
            </w:pPr>
            <w:r w:rsidRPr="00C806D0">
              <w:rPr>
                <w:sz w:val="17"/>
                <w:szCs w:val="17"/>
              </w:rPr>
              <w:t>NR</w:t>
            </w:r>
          </w:p>
        </w:tc>
      </w:tr>
      <w:tr w:rsidR="000027E7" w:rsidRPr="00C806D0" w:rsidTr="000027E7">
        <w:trPr>
          <w:trHeight w:val="1438"/>
        </w:trPr>
        <w:tc>
          <w:tcPr>
            <w:tcW w:w="368" w:type="pct"/>
          </w:tcPr>
          <w:p w:rsidR="000027E7" w:rsidRPr="00C806D0" w:rsidRDefault="000027E7" w:rsidP="006D4D62">
            <w:pPr>
              <w:pStyle w:val="NoSpacing"/>
              <w:rPr>
                <w:sz w:val="17"/>
                <w:szCs w:val="17"/>
              </w:rPr>
            </w:pPr>
            <w:r w:rsidRPr="00C806D0">
              <w:rPr>
                <w:sz w:val="17"/>
                <w:szCs w:val="17"/>
              </w:rPr>
              <w:t>Felix-Harrison 2009</w:t>
            </w:r>
            <w:r w:rsidR="006D4D62" w:rsidRPr="00C806D0">
              <w:rPr>
                <w:noProof/>
                <w:sz w:val="17"/>
                <w:szCs w:val="17"/>
                <w:vertAlign w:val="superscript"/>
              </w:rPr>
              <w:t>[14]</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1961-2002</w:t>
            </w:r>
          </w:p>
        </w:tc>
        <w:tc>
          <w:tcPr>
            <w:tcW w:w="329" w:type="pct"/>
          </w:tcPr>
          <w:p w:rsidR="000027E7" w:rsidRPr="00C806D0" w:rsidRDefault="000027E7" w:rsidP="000027E7">
            <w:pPr>
              <w:pStyle w:val="NoSpacing"/>
              <w:rPr>
                <w:sz w:val="17"/>
                <w:szCs w:val="17"/>
              </w:rPr>
            </w:pPr>
            <w:r w:rsidRPr="00C806D0">
              <w:rPr>
                <w:sz w:val="17"/>
                <w:szCs w:val="17"/>
              </w:rPr>
              <w:t>2003</w:t>
            </w:r>
          </w:p>
        </w:tc>
        <w:tc>
          <w:tcPr>
            <w:tcW w:w="438" w:type="pct"/>
          </w:tcPr>
          <w:p w:rsidR="000027E7" w:rsidRPr="00C806D0" w:rsidRDefault="000027E7" w:rsidP="000027E7">
            <w:pPr>
              <w:pStyle w:val="NoSpacing"/>
              <w:rPr>
                <w:sz w:val="17"/>
                <w:szCs w:val="17"/>
              </w:rPr>
            </w:pPr>
            <w:r w:rsidRPr="00C806D0">
              <w:rPr>
                <w:sz w:val="17"/>
                <w:szCs w:val="17"/>
              </w:rPr>
              <w:t>Colorado, USA</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Adults &gt;16years</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TBI admitted for rehabilitation &amp; surviving 1 year</w:t>
            </w: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1,678</w:t>
            </w:r>
          </w:p>
        </w:tc>
        <w:tc>
          <w:tcPr>
            <w:tcW w:w="499" w:type="pct"/>
          </w:tcPr>
          <w:p w:rsidR="000027E7" w:rsidRPr="00C806D0" w:rsidRDefault="000027E7" w:rsidP="000027E7">
            <w:pPr>
              <w:pStyle w:val="NoSpacing"/>
              <w:rPr>
                <w:sz w:val="17"/>
                <w:szCs w:val="17"/>
              </w:rPr>
            </w:pPr>
            <w:r w:rsidRPr="00C806D0">
              <w:rPr>
                <w:sz w:val="17"/>
                <w:szCs w:val="17"/>
              </w:rPr>
              <w:t>SMR calculated using national general population mortality rates</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Life expectancy based on SMR &amp; general population mortality rates†</w:t>
            </w: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general population</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rFonts w:ascii="Calibri" w:hAnsi="Calibri" w:cs="AdvP418B97"/>
                <w:sz w:val="17"/>
                <w:szCs w:val="17"/>
              </w:rPr>
            </w:pPr>
            <w:r w:rsidRPr="00C806D0">
              <w:rPr>
                <w:sz w:val="17"/>
                <w:szCs w:val="17"/>
              </w:rPr>
              <w:t xml:space="preserve">SMR: </w:t>
            </w:r>
            <w:r w:rsidRPr="00C806D0">
              <w:rPr>
                <w:rFonts w:ascii="Calibri" w:hAnsi="Calibri" w:cs="AdvP418B97"/>
                <w:sz w:val="17"/>
                <w:szCs w:val="17"/>
              </w:rPr>
              <w:t>1.51 (1.25 –1.78)</w:t>
            </w:r>
          </w:p>
          <w:p w:rsidR="000027E7" w:rsidRPr="00C806D0" w:rsidRDefault="000027E7" w:rsidP="000027E7">
            <w:pPr>
              <w:pStyle w:val="NoSpacing"/>
              <w:rPr>
                <w:rFonts w:ascii="Calibri" w:hAnsi="Calibri" w:cs="AdvP418B97"/>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Life expectancy at:</w:t>
            </w:r>
          </w:p>
          <w:p w:rsidR="000027E7" w:rsidRPr="00C806D0" w:rsidRDefault="000027E7" w:rsidP="000027E7">
            <w:pPr>
              <w:pStyle w:val="NoSpacing"/>
              <w:rPr>
                <w:sz w:val="17"/>
                <w:szCs w:val="17"/>
              </w:rPr>
            </w:pPr>
            <w:r w:rsidRPr="00C806D0">
              <w:rPr>
                <w:sz w:val="17"/>
                <w:szCs w:val="17"/>
              </w:rPr>
              <w:t>20=50 years</w:t>
            </w:r>
          </w:p>
          <w:p w:rsidR="000027E7" w:rsidRPr="00C806D0" w:rsidRDefault="000027E7" w:rsidP="000027E7">
            <w:pPr>
              <w:pStyle w:val="NoSpacing"/>
              <w:rPr>
                <w:sz w:val="17"/>
                <w:szCs w:val="17"/>
              </w:rPr>
            </w:pPr>
            <w:r w:rsidRPr="00C806D0">
              <w:rPr>
                <w:sz w:val="17"/>
                <w:szCs w:val="17"/>
              </w:rPr>
              <w:t>50=23 years</w:t>
            </w:r>
          </w:p>
          <w:p w:rsidR="000027E7" w:rsidRPr="00C806D0" w:rsidRDefault="000027E7" w:rsidP="000027E7">
            <w:pPr>
              <w:pStyle w:val="NoSpacing"/>
              <w:rPr>
                <w:sz w:val="17"/>
                <w:szCs w:val="17"/>
              </w:rPr>
            </w:pPr>
            <w:r w:rsidRPr="00C806D0">
              <w:rPr>
                <w:sz w:val="17"/>
                <w:szCs w:val="17"/>
              </w:rPr>
              <w:t>70=9 years</w:t>
            </w:r>
          </w:p>
          <w:p w:rsidR="000027E7" w:rsidRPr="00C806D0" w:rsidRDefault="000027E7" w:rsidP="000027E7">
            <w:pPr>
              <w:pStyle w:val="NoSpacing"/>
              <w:rPr>
                <w:sz w:val="17"/>
                <w:szCs w:val="17"/>
              </w:rPr>
            </w:pPr>
            <w:r w:rsidRPr="00C806D0">
              <w:rPr>
                <w:sz w:val="17"/>
                <w:szCs w:val="17"/>
              </w:rPr>
              <w:t>for white males</w:t>
            </w:r>
          </w:p>
        </w:tc>
        <w:tc>
          <w:tcPr>
            <w:tcW w:w="317" w:type="pct"/>
          </w:tcPr>
          <w:p w:rsidR="000027E7" w:rsidRPr="00C806D0" w:rsidRDefault="000027E7" w:rsidP="000027E7">
            <w:pPr>
              <w:pStyle w:val="NoSpacing"/>
              <w:rPr>
                <w:sz w:val="17"/>
                <w:szCs w:val="17"/>
              </w:rPr>
            </w:pPr>
            <w:r w:rsidRPr="00C806D0">
              <w:rPr>
                <w:sz w:val="17"/>
                <w:szCs w:val="17"/>
              </w:rPr>
              <w:t>7.7%</w:t>
            </w:r>
          </w:p>
        </w:tc>
        <w:tc>
          <w:tcPr>
            <w:tcW w:w="237" w:type="pct"/>
          </w:tcPr>
          <w:p w:rsidR="000027E7" w:rsidRPr="00C806D0" w:rsidRDefault="000027E7" w:rsidP="000027E7">
            <w:pPr>
              <w:pStyle w:val="NoSpacing"/>
              <w:rPr>
                <w:sz w:val="17"/>
                <w:szCs w:val="17"/>
              </w:rPr>
            </w:pPr>
            <w:r w:rsidRPr="00C806D0">
              <w:rPr>
                <w:sz w:val="17"/>
                <w:szCs w:val="17"/>
              </w:rPr>
              <w:t>32</w:t>
            </w:r>
          </w:p>
        </w:tc>
        <w:tc>
          <w:tcPr>
            <w:tcW w:w="219" w:type="pct"/>
          </w:tcPr>
          <w:p w:rsidR="000027E7" w:rsidRPr="00C806D0" w:rsidRDefault="000027E7" w:rsidP="000027E7">
            <w:pPr>
              <w:pStyle w:val="NoSpacing"/>
              <w:rPr>
                <w:sz w:val="17"/>
                <w:szCs w:val="17"/>
              </w:rPr>
            </w:pPr>
            <w:r w:rsidRPr="00C806D0">
              <w:rPr>
                <w:sz w:val="17"/>
                <w:szCs w:val="17"/>
              </w:rPr>
              <w:t>76%</w:t>
            </w:r>
          </w:p>
        </w:tc>
      </w:tr>
      <w:tr w:rsidR="000027E7" w:rsidRPr="00C806D0" w:rsidTr="000027E7">
        <w:trPr>
          <w:trHeight w:val="1438"/>
        </w:trPr>
        <w:tc>
          <w:tcPr>
            <w:tcW w:w="368" w:type="pct"/>
          </w:tcPr>
          <w:p w:rsidR="000027E7" w:rsidRPr="00C806D0" w:rsidRDefault="000027E7" w:rsidP="006D4D62">
            <w:pPr>
              <w:pStyle w:val="NoSpacing"/>
              <w:rPr>
                <w:sz w:val="17"/>
                <w:szCs w:val="17"/>
              </w:rPr>
            </w:pPr>
            <w:r w:rsidRPr="00C806D0">
              <w:rPr>
                <w:sz w:val="17"/>
                <w:szCs w:val="17"/>
              </w:rPr>
              <w:t>Colantonio 2008</w:t>
            </w:r>
            <w:r w:rsidR="006D4D62" w:rsidRPr="00C806D0">
              <w:rPr>
                <w:noProof/>
                <w:sz w:val="17"/>
                <w:szCs w:val="17"/>
                <w:vertAlign w:val="superscript"/>
              </w:rPr>
              <w:t>[22]</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1993-1995</w:t>
            </w:r>
          </w:p>
        </w:tc>
        <w:tc>
          <w:tcPr>
            <w:tcW w:w="329" w:type="pct"/>
          </w:tcPr>
          <w:p w:rsidR="000027E7" w:rsidRPr="00C806D0" w:rsidRDefault="000027E7" w:rsidP="000027E7">
            <w:pPr>
              <w:pStyle w:val="NoSpacing"/>
              <w:rPr>
                <w:sz w:val="17"/>
                <w:szCs w:val="17"/>
              </w:rPr>
            </w:pPr>
            <w:r w:rsidRPr="00C806D0">
              <w:rPr>
                <w:sz w:val="17"/>
                <w:szCs w:val="17"/>
              </w:rPr>
              <w:t>2002</w:t>
            </w:r>
          </w:p>
        </w:tc>
        <w:tc>
          <w:tcPr>
            <w:tcW w:w="438" w:type="pct"/>
          </w:tcPr>
          <w:p w:rsidR="000027E7" w:rsidRPr="00C806D0" w:rsidRDefault="000027E7" w:rsidP="000027E7">
            <w:pPr>
              <w:pStyle w:val="NoSpacing"/>
              <w:rPr>
                <w:sz w:val="17"/>
                <w:szCs w:val="17"/>
              </w:rPr>
            </w:pPr>
            <w:r w:rsidRPr="00C806D0">
              <w:rPr>
                <w:sz w:val="17"/>
                <w:szCs w:val="17"/>
              </w:rPr>
              <w:t>Ontario, Canada</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Adults &gt;15years</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TBI admitted with ISS&gt;12</w:t>
            </w: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2,721</w:t>
            </w:r>
          </w:p>
        </w:tc>
        <w:tc>
          <w:tcPr>
            <w:tcW w:w="499" w:type="pct"/>
          </w:tcPr>
          <w:p w:rsidR="000027E7" w:rsidRPr="00C806D0" w:rsidRDefault="000027E7" w:rsidP="000027E7">
            <w:pPr>
              <w:pStyle w:val="NoSpacing"/>
              <w:rPr>
                <w:sz w:val="17"/>
                <w:szCs w:val="17"/>
              </w:rPr>
            </w:pPr>
            <w:r w:rsidRPr="00C806D0">
              <w:rPr>
                <w:sz w:val="17"/>
                <w:szCs w:val="17"/>
              </w:rPr>
              <w:t>SMR calculated using national general population mortality rates</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 xml:space="preserve">SMR calculated using Poisson regression and lower limb injury controls adjusted for age, co-morbidities, </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general population</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injury controls</w:t>
            </w: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sz w:val="17"/>
                <w:szCs w:val="17"/>
              </w:rPr>
            </w:pPr>
            <w:r w:rsidRPr="00C806D0">
              <w:rPr>
                <w:sz w:val="17"/>
                <w:szCs w:val="17"/>
              </w:rPr>
              <w:t>SMR: 2.9</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RR 1.67 (1.15-2.40)</w:t>
            </w:r>
          </w:p>
        </w:tc>
        <w:tc>
          <w:tcPr>
            <w:tcW w:w="317" w:type="pct"/>
          </w:tcPr>
          <w:p w:rsidR="000027E7" w:rsidRPr="00C806D0" w:rsidRDefault="000027E7" w:rsidP="000027E7">
            <w:pPr>
              <w:pStyle w:val="NoSpacing"/>
              <w:rPr>
                <w:sz w:val="17"/>
                <w:szCs w:val="17"/>
              </w:rPr>
            </w:pPr>
            <w:r w:rsidRPr="00C806D0">
              <w:rPr>
                <w:sz w:val="17"/>
                <w:szCs w:val="17"/>
              </w:rPr>
              <w:t>NR</w:t>
            </w:r>
          </w:p>
        </w:tc>
        <w:tc>
          <w:tcPr>
            <w:tcW w:w="237" w:type="pct"/>
          </w:tcPr>
          <w:p w:rsidR="000027E7" w:rsidRPr="00C806D0" w:rsidRDefault="000027E7" w:rsidP="000027E7">
            <w:pPr>
              <w:pStyle w:val="NoSpacing"/>
              <w:rPr>
                <w:sz w:val="17"/>
                <w:szCs w:val="17"/>
              </w:rPr>
            </w:pPr>
            <w:r w:rsidRPr="00C806D0">
              <w:rPr>
                <w:sz w:val="17"/>
                <w:szCs w:val="17"/>
              </w:rPr>
              <w:t>NR</w:t>
            </w:r>
          </w:p>
        </w:tc>
        <w:tc>
          <w:tcPr>
            <w:tcW w:w="219" w:type="pct"/>
          </w:tcPr>
          <w:p w:rsidR="000027E7" w:rsidRPr="00C806D0" w:rsidRDefault="000027E7" w:rsidP="000027E7">
            <w:pPr>
              <w:pStyle w:val="NoSpacing"/>
              <w:rPr>
                <w:sz w:val="17"/>
                <w:szCs w:val="17"/>
              </w:rPr>
            </w:pPr>
            <w:r w:rsidRPr="00C806D0">
              <w:rPr>
                <w:sz w:val="17"/>
                <w:szCs w:val="17"/>
              </w:rPr>
              <w:t>71%</w:t>
            </w:r>
          </w:p>
        </w:tc>
      </w:tr>
      <w:tr w:rsidR="000027E7" w:rsidRPr="00C806D0" w:rsidTr="000027E7">
        <w:trPr>
          <w:trHeight w:val="1438"/>
        </w:trPr>
        <w:tc>
          <w:tcPr>
            <w:tcW w:w="368" w:type="pct"/>
          </w:tcPr>
          <w:p w:rsidR="000027E7" w:rsidRPr="00C806D0" w:rsidRDefault="000027E7" w:rsidP="006D4D62">
            <w:pPr>
              <w:pStyle w:val="NoSpacing"/>
              <w:rPr>
                <w:sz w:val="17"/>
                <w:szCs w:val="17"/>
              </w:rPr>
            </w:pPr>
            <w:r w:rsidRPr="00C806D0">
              <w:rPr>
                <w:sz w:val="17"/>
                <w:szCs w:val="17"/>
              </w:rPr>
              <w:t>Cameron 2008</w:t>
            </w:r>
            <w:r w:rsidR="006D4D62" w:rsidRPr="00C806D0">
              <w:rPr>
                <w:noProof/>
                <w:sz w:val="17"/>
                <w:szCs w:val="17"/>
                <w:vertAlign w:val="superscript"/>
              </w:rPr>
              <w:t>[23]</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1988-1991</w:t>
            </w:r>
          </w:p>
        </w:tc>
        <w:tc>
          <w:tcPr>
            <w:tcW w:w="329" w:type="pct"/>
          </w:tcPr>
          <w:p w:rsidR="000027E7" w:rsidRPr="00C806D0" w:rsidRDefault="000027E7" w:rsidP="000027E7">
            <w:pPr>
              <w:pStyle w:val="NoSpacing"/>
              <w:rPr>
                <w:sz w:val="17"/>
                <w:szCs w:val="17"/>
              </w:rPr>
            </w:pPr>
            <w:r w:rsidRPr="00C806D0">
              <w:rPr>
                <w:sz w:val="17"/>
                <w:szCs w:val="17"/>
              </w:rPr>
              <w:t>10 years following injury</w:t>
            </w:r>
          </w:p>
        </w:tc>
        <w:tc>
          <w:tcPr>
            <w:tcW w:w="438" w:type="pct"/>
          </w:tcPr>
          <w:p w:rsidR="000027E7" w:rsidRPr="00C806D0" w:rsidRDefault="000027E7" w:rsidP="000027E7">
            <w:pPr>
              <w:pStyle w:val="NoSpacing"/>
              <w:rPr>
                <w:sz w:val="17"/>
                <w:szCs w:val="17"/>
              </w:rPr>
            </w:pPr>
            <w:r w:rsidRPr="00C806D0">
              <w:rPr>
                <w:sz w:val="17"/>
                <w:szCs w:val="17"/>
              </w:rPr>
              <w:t>Manitoba, Canada</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Adults 16-64</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TBI with acute hospitalisation</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Excluding first 60 days post injury</w:t>
            </w: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1,290</w:t>
            </w:r>
          </w:p>
        </w:tc>
        <w:tc>
          <w:tcPr>
            <w:tcW w:w="499" w:type="pct"/>
          </w:tcPr>
          <w:p w:rsidR="000027E7" w:rsidRPr="00C806D0" w:rsidRDefault="000027E7" w:rsidP="000027E7">
            <w:pPr>
              <w:pStyle w:val="NoSpacing"/>
              <w:rPr>
                <w:sz w:val="17"/>
                <w:szCs w:val="17"/>
              </w:rPr>
            </w:pPr>
            <w:r w:rsidRPr="00C806D0">
              <w:rPr>
                <w:sz w:val="17"/>
                <w:szCs w:val="17"/>
              </w:rPr>
              <w:t xml:space="preserve">Rate ratio for mortality between TBI &amp; non-injured controls (matched on age, gender, location) </w:t>
            </w: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non-injured ocntrols</w:t>
            </w: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rFonts w:ascii="Calibri" w:hAnsi="Calibri" w:cs="AdvP418B97"/>
                <w:sz w:val="17"/>
                <w:szCs w:val="17"/>
              </w:rPr>
            </w:pPr>
            <w:r w:rsidRPr="00C806D0">
              <w:rPr>
                <w:rFonts w:ascii="Calibri" w:hAnsi="Calibri" w:cs="AdvP418B97"/>
                <w:sz w:val="17"/>
                <w:szCs w:val="17"/>
              </w:rPr>
              <w:t>RR: 3.35 (2.45–4.59) (controlling for age, gender, location)</w:t>
            </w:r>
          </w:p>
          <w:p w:rsidR="000027E7" w:rsidRPr="00C806D0" w:rsidRDefault="000027E7" w:rsidP="000027E7">
            <w:pPr>
              <w:pStyle w:val="NoSpacing"/>
              <w:rPr>
                <w:rFonts w:ascii="Calibri" w:hAnsi="Calibri" w:cs="AdvP418B97"/>
                <w:sz w:val="17"/>
                <w:szCs w:val="17"/>
              </w:rPr>
            </w:pPr>
          </w:p>
          <w:p w:rsidR="000027E7" w:rsidRPr="00C806D0" w:rsidRDefault="000027E7" w:rsidP="000027E7">
            <w:pPr>
              <w:pStyle w:val="NoSpacing"/>
              <w:rPr>
                <w:rFonts w:ascii="Calibri" w:hAnsi="Calibri" w:cs="AdvP418B97"/>
                <w:sz w:val="17"/>
                <w:szCs w:val="17"/>
              </w:rPr>
            </w:pPr>
            <w:r w:rsidRPr="00C806D0">
              <w:rPr>
                <w:rFonts w:ascii="Calibri" w:hAnsi="Calibri" w:cs="AdvP418B97"/>
                <w:sz w:val="17"/>
                <w:szCs w:val="17"/>
              </w:rPr>
              <w:t>RR:1.48 (1.02-2.15)</w:t>
            </w:r>
          </w:p>
          <w:p w:rsidR="000027E7" w:rsidRPr="00C806D0" w:rsidRDefault="000027E7" w:rsidP="000027E7">
            <w:pPr>
              <w:pStyle w:val="NoSpacing"/>
              <w:rPr>
                <w:rFonts w:ascii="Calibri" w:hAnsi="Calibri" w:cs="AdvP418B97"/>
                <w:sz w:val="17"/>
                <w:szCs w:val="17"/>
              </w:rPr>
            </w:pPr>
            <w:r w:rsidRPr="00C806D0">
              <w:rPr>
                <w:rFonts w:ascii="Calibri" w:hAnsi="Calibri" w:cs="AdvP418B97"/>
                <w:sz w:val="17"/>
                <w:szCs w:val="17"/>
              </w:rPr>
              <w:t xml:space="preserve">(controlling for age, gender, location, comorbidities &amp; excluding death within 60 days) </w:t>
            </w:r>
          </w:p>
          <w:p w:rsidR="000027E7" w:rsidRPr="00C806D0" w:rsidRDefault="000027E7" w:rsidP="000027E7">
            <w:pPr>
              <w:pStyle w:val="NoSpacing"/>
              <w:rPr>
                <w:rFonts w:ascii="Calibri" w:hAnsi="Calibri"/>
                <w:sz w:val="17"/>
                <w:szCs w:val="17"/>
              </w:rPr>
            </w:pPr>
          </w:p>
        </w:tc>
        <w:tc>
          <w:tcPr>
            <w:tcW w:w="317" w:type="pct"/>
          </w:tcPr>
          <w:p w:rsidR="000027E7" w:rsidRPr="00C806D0" w:rsidRDefault="000027E7" w:rsidP="000027E7">
            <w:pPr>
              <w:pStyle w:val="NoSpacing"/>
              <w:rPr>
                <w:sz w:val="17"/>
                <w:szCs w:val="17"/>
              </w:rPr>
            </w:pPr>
            <w:r w:rsidRPr="00C806D0">
              <w:rPr>
                <w:sz w:val="17"/>
                <w:szCs w:val="17"/>
              </w:rPr>
              <w:t>12.6%</w:t>
            </w:r>
          </w:p>
        </w:tc>
        <w:tc>
          <w:tcPr>
            <w:tcW w:w="237" w:type="pct"/>
          </w:tcPr>
          <w:p w:rsidR="000027E7" w:rsidRPr="00C806D0" w:rsidRDefault="000027E7" w:rsidP="000027E7">
            <w:pPr>
              <w:pStyle w:val="NoSpacing"/>
              <w:rPr>
                <w:sz w:val="17"/>
                <w:szCs w:val="17"/>
              </w:rPr>
            </w:pPr>
            <w:r w:rsidRPr="00C806D0">
              <w:rPr>
                <w:sz w:val="17"/>
                <w:szCs w:val="17"/>
              </w:rPr>
              <w:t>33.6</w:t>
            </w:r>
          </w:p>
        </w:tc>
        <w:tc>
          <w:tcPr>
            <w:tcW w:w="219" w:type="pct"/>
          </w:tcPr>
          <w:p w:rsidR="000027E7" w:rsidRPr="00C806D0" w:rsidRDefault="000027E7" w:rsidP="000027E7">
            <w:pPr>
              <w:pStyle w:val="NoSpacing"/>
              <w:rPr>
                <w:sz w:val="17"/>
                <w:szCs w:val="17"/>
              </w:rPr>
            </w:pPr>
            <w:r w:rsidRPr="00C806D0">
              <w:rPr>
                <w:sz w:val="17"/>
                <w:szCs w:val="17"/>
              </w:rPr>
              <w:t>69%</w:t>
            </w:r>
          </w:p>
        </w:tc>
      </w:tr>
      <w:tr w:rsidR="000027E7" w:rsidRPr="00C806D0" w:rsidTr="000027E7">
        <w:trPr>
          <w:trHeight w:val="1438"/>
        </w:trPr>
        <w:tc>
          <w:tcPr>
            <w:tcW w:w="368" w:type="pct"/>
          </w:tcPr>
          <w:p w:rsidR="000027E7" w:rsidRPr="00C806D0" w:rsidRDefault="000027E7" w:rsidP="006D4D62">
            <w:pPr>
              <w:pStyle w:val="NoSpacing"/>
              <w:rPr>
                <w:sz w:val="17"/>
                <w:szCs w:val="17"/>
              </w:rPr>
            </w:pPr>
            <w:r w:rsidRPr="00C806D0">
              <w:rPr>
                <w:sz w:val="17"/>
                <w:szCs w:val="17"/>
              </w:rPr>
              <w:t>Ratcliff 2005</w:t>
            </w:r>
            <w:r w:rsidR="006D4D62" w:rsidRPr="00C806D0">
              <w:rPr>
                <w:noProof/>
                <w:sz w:val="17"/>
                <w:szCs w:val="17"/>
                <w:vertAlign w:val="superscript"/>
              </w:rPr>
              <w:t>[24]</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1974-1984, 1988, 1989</w:t>
            </w:r>
          </w:p>
        </w:tc>
        <w:tc>
          <w:tcPr>
            <w:tcW w:w="329" w:type="pct"/>
          </w:tcPr>
          <w:p w:rsidR="000027E7" w:rsidRPr="00C806D0" w:rsidRDefault="000027E7" w:rsidP="000027E7">
            <w:pPr>
              <w:pStyle w:val="NoSpacing"/>
              <w:rPr>
                <w:sz w:val="17"/>
                <w:szCs w:val="17"/>
              </w:rPr>
            </w:pPr>
            <w:r w:rsidRPr="00C806D0">
              <w:rPr>
                <w:sz w:val="17"/>
                <w:szCs w:val="17"/>
              </w:rPr>
              <w:t>24 years post injury</w:t>
            </w:r>
          </w:p>
        </w:tc>
        <w:tc>
          <w:tcPr>
            <w:tcW w:w="438" w:type="pct"/>
          </w:tcPr>
          <w:p w:rsidR="000027E7" w:rsidRPr="00C806D0" w:rsidRDefault="000027E7" w:rsidP="000027E7">
            <w:pPr>
              <w:pStyle w:val="NoSpacing"/>
              <w:rPr>
                <w:sz w:val="17"/>
                <w:szCs w:val="17"/>
              </w:rPr>
            </w:pPr>
            <w:r w:rsidRPr="00C806D0">
              <w:rPr>
                <w:sz w:val="17"/>
                <w:szCs w:val="17"/>
              </w:rPr>
              <w:t>Pittsburgh, USA</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Adults 16-64</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Moderate &amp; severe TBI discharged from inpatient rehabilitation</w:t>
            </w: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642</w:t>
            </w:r>
          </w:p>
        </w:tc>
        <w:tc>
          <w:tcPr>
            <w:tcW w:w="499" w:type="pct"/>
          </w:tcPr>
          <w:p w:rsidR="000027E7" w:rsidRPr="00C806D0" w:rsidRDefault="000027E7" w:rsidP="000027E7">
            <w:pPr>
              <w:pStyle w:val="NoSpacing"/>
              <w:rPr>
                <w:sz w:val="17"/>
                <w:szCs w:val="17"/>
              </w:rPr>
            </w:pPr>
            <w:r w:rsidRPr="00C806D0">
              <w:rPr>
                <w:sz w:val="17"/>
                <w:szCs w:val="17"/>
              </w:rPr>
              <w:t>SMR calculated using regional general population mortality rates</w:t>
            </w: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regional population</w:t>
            </w: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rFonts w:ascii="Calibri" w:hAnsi="Calibri" w:cs="AdvP418B97"/>
                <w:sz w:val="17"/>
                <w:szCs w:val="17"/>
              </w:rPr>
            </w:pPr>
            <w:r w:rsidRPr="00C806D0">
              <w:rPr>
                <w:sz w:val="17"/>
                <w:szCs w:val="17"/>
              </w:rPr>
              <w:t>SMR: 2.78</w:t>
            </w:r>
          </w:p>
        </w:tc>
        <w:tc>
          <w:tcPr>
            <w:tcW w:w="317" w:type="pct"/>
          </w:tcPr>
          <w:p w:rsidR="000027E7" w:rsidRPr="00C806D0" w:rsidRDefault="000027E7" w:rsidP="000027E7">
            <w:pPr>
              <w:pStyle w:val="NoSpacing"/>
              <w:rPr>
                <w:sz w:val="17"/>
                <w:szCs w:val="17"/>
              </w:rPr>
            </w:pPr>
            <w:r w:rsidRPr="00C806D0">
              <w:rPr>
                <w:sz w:val="17"/>
                <w:szCs w:val="17"/>
              </w:rPr>
              <w:t>19.7%</w:t>
            </w:r>
          </w:p>
        </w:tc>
        <w:tc>
          <w:tcPr>
            <w:tcW w:w="237" w:type="pct"/>
          </w:tcPr>
          <w:p w:rsidR="000027E7" w:rsidRPr="00C806D0" w:rsidRDefault="000027E7" w:rsidP="000027E7">
            <w:pPr>
              <w:pStyle w:val="NoSpacing"/>
              <w:rPr>
                <w:sz w:val="17"/>
                <w:szCs w:val="17"/>
              </w:rPr>
            </w:pPr>
            <w:r w:rsidRPr="00C806D0">
              <w:rPr>
                <w:sz w:val="17"/>
                <w:szCs w:val="17"/>
              </w:rPr>
              <w:t>34.8</w:t>
            </w:r>
          </w:p>
        </w:tc>
        <w:tc>
          <w:tcPr>
            <w:tcW w:w="219" w:type="pct"/>
          </w:tcPr>
          <w:p w:rsidR="000027E7" w:rsidRPr="00C806D0" w:rsidRDefault="000027E7" w:rsidP="000027E7">
            <w:pPr>
              <w:pStyle w:val="NoSpacing"/>
              <w:rPr>
                <w:sz w:val="17"/>
                <w:szCs w:val="17"/>
              </w:rPr>
            </w:pPr>
            <w:r w:rsidRPr="00C806D0">
              <w:rPr>
                <w:sz w:val="17"/>
                <w:szCs w:val="17"/>
              </w:rPr>
              <w:t>73%</w:t>
            </w:r>
          </w:p>
        </w:tc>
      </w:tr>
      <w:tr w:rsidR="000027E7" w:rsidRPr="00C806D0" w:rsidTr="000027E7">
        <w:trPr>
          <w:trHeight w:val="1438"/>
        </w:trPr>
        <w:tc>
          <w:tcPr>
            <w:tcW w:w="368" w:type="pct"/>
          </w:tcPr>
          <w:p w:rsidR="000027E7" w:rsidRPr="00C806D0" w:rsidRDefault="000027E7" w:rsidP="006D4D62">
            <w:pPr>
              <w:pStyle w:val="NoSpacing"/>
              <w:rPr>
                <w:sz w:val="17"/>
                <w:szCs w:val="17"/>
              </w:rPr>
            </w:pPr>
            <w:r w:rsidRPr="00C806D0">
              <w:rPr>
                <w:sz w:val="17"/>
                <w:szCs w:val="17"/>
              </w:rPr>
              <w:t>Felix-Harrison 2004</w:t>
            </w:r>
            <w:r w:rsidR="006D4D62" w:rsidRPr="00C806D0">
              <w:rPr>
                <w:noProof/>
                <w:sz w:val="17"/>
                <w:szCs w:val="17"/>
                <w:vertAlign w:val="superscript"/>
              </w:rPr>
              <w:t>[15]</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1988-2000</w:t>
            </w:r>
          </w:p>
        </w:tc>
        <w:tc>
          <w:tcPr>
            <w:tcW w:w="329" w:type="pct"/>
          </w:tcPr>
          <w:p w:rsidR="000027E7" w:rsidRPr="00C806D0" w:rsidRDefault="000027E7" w:rsidP="000027E7">
            <w:pPr>
              <w:pStyle w:val="NoSpacing"/>
              <w:rPr>
                <w:sz w:val="17"/>
                <w:szCs w:val="17"/>
              </w:rPr>
            </w:pPr>
            <w:r w:rsidRPr="00C806D0">
              <w:rPr>
                <w:sz w:val="17"/>
                <w:szCs w:val="17"/>
              </w:rPr>
              <w:t>2001</w:t>
            </w:r>
          </w:p>
        </w:tc>
        <w:tc>
          <w:tcPr>
            <w:tcW w:w="438" w:type="pct"/>
          </w:tcPr>
          <w:p w:rsidR="000027E7" w:rsidRPr="00C806D0" w:rsidRDefault="000027E7" w:rsidP="000027E7">
            <w:pPr>
              <w:pStyle w:val="NoSpacing"/>
              <w:rPr>
                <w:sz w:val="17"/>
                <w:szCs w:val="17"/>
              </w:rPr>
            </w:pPr>
            <w:r w:rsidRPr="00C806D0">
              <w:rPr>
                <w:sz w:val="17"/>
                <w:szCs w:val="17"/>
              </w:rPr>
              <w:t>US rehabilitation hospitals</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Adults &gt;16years</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 xml:space="preserve">TBI admitted for rehabilitation </w:t>
            </w: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2,178</w:t>
            </w:r>
          </w:p>
        </w:tc>
        <w:tc>
          <w:tcPr>
            <w:tcW w:w="499" w:type="pct"/>
          </w:tcPr>
          <w:p w:rsidR="000027E7" w:rsidRPr="00C806D0" w:rsidRDefault="000027E7" w:rsidP="000027E7">
            <w:pPr>
              <w:pStyle w:val="NoSpacing"/>
              <w:rPr>
                <w:sz w:val="17"/>
                <w:szCs w:val="17"/>
              </w:rPr>
            </w:pPr>
            <w:r w:rsidRPr="00C806D0">
              <w:rPr>
                <w:sz w:val="17"/>
                <w:szCs w:val="17"/>
              </w:rPr>
              <w:t>SMR calculated using national general population mortality rates</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Life expectancy based on SMR &amp; general population mortality rates†</w:t>
            </w: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general population</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sz w:val="17"/>
                <w:szCs w:val="17"/>
              </w:rPr>
            </w:pPr>
            <w:r w:rsidRPr="00C806D0">
              <w:rPr>
                <w:sz w:val="17"/>
                <w:szCs w:val="17"/>
              </w:rPr>
              <w:t>SMR: 2.00 (1.69-2.31)</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Life expectancy at:</w:t>
            </w:r>
          </w:p>
          <w:p w:rsidR="000027E7" w:rsidRPr="00C806D0" w:rsidRDefault="000027E7" w:rsidP="000027E7">
            <w:pPr>
              <w:pStyle w:val="NoSpacing"/>
              <w:rPr>
                <w:sz w:val="17"/>
                <w:szCs w:val="17"/>
              </w:rPr>
            </w:pPr>
            <w:r w:rsidRPr="00C806D0">
              <w:rPr>
                <w:sz w:val="17"/>
                <w:szCs w:val="17"/>
              </w:rPr>
              <w:t>20=54 years</w:t>
            </w:r>
          </w:p>
          <w:p w:rsidR="000027E7" w:rsidRPr="00C806D0" w:rsidRDefault="000027E7" w:rsidP="000027E7">
            <w:pPr>
              <w:pStyle w:val="NoSpacing"/>
              <w:rPr>
                <w:sz w:val="17"/>
                <w:szCs w:val="17"/>
              </w:rPr>
            </w:pPr>
            <w:r w:rsidRPr="00C806D0">
              <w:rPr>
                <w:sz w:val="17"/>
                <w:szCs w:val="17"/>
              </w:rPr>
              <w:t>50=20 years</w:t>
            </w:r>
          </w:p>
          <w:p w:rsidR="000027E7" w:rsidRPr="00C806D0" w:rsidRDefault="000027E7" w:rsidP="000027E7">
            <w:pPr>
              <w:pStyle w:val="NoSpacing"/>
              <w:rPr>
                <w:sz w:val="17"/>
                <w:szCs w:val="17"/>
              </w:rPr>
            </w:pPr>
            <w:r w:rsidRPr="00C806D0">
              <w:rPr>
                <w:sz w:val="17"/>
                <w:szCs w:val="17"/>
              </w:rPr>
              <w:t>70=7 years</w:t>
            </w:r>
          </w:p>
          <w:p w:rsidR="000027E7" w:rsidRPr="00C806D0" w:rsidRDefault="000027E7" w:rsidP="000027E7">
            <w:pPr>
              <w:pStyle w:val="NoSpacing"/>
              <w:rPr>
                <w:sz w:val="17"/>
                <w:szCs w:val="17"/>
              </w:rPr>
            </w:pPr>
            <w:r w:rsidRPr="00C806D0">
              <w:rPr>
                <w:sz w:val="17"/>
                <w:szCs w:val="17"/>
              </w:rPr>
              <w:t>for white males</w:t>
            </w:r>
          </w:p>
        </w:tc>
        <w:tc>
          <w:tcPr>
            <w:tcW w:w="317" w:type="pct"/>
          </w:tcPr>
          <w:p w:rsidR="000027E7" w:rsidRPr="00C806D0" w:rsidRDefault="000027E7" w:rsidP="000027E7">
            <w:pPr>
              <w:pStyle w:val="NoSpacing"/>
              <w:rPr>
                <w:sz w:val="17"/>
                <w:szCs w:val="17"/>
              </w:rPr>
            </w:pPr>
            <w:r w:rsidRPr="00C806D0">
              <w:rPr>
                <w:sz w:val="17"/>
                <w:szCs w:val="17"/>
              </w:rPr>
              <w:t>7.4%</w:t>
            </w:r>
          </w:p>
        </w:tc>
        <w:tc>
          <w:tcPr>
            <w:tcW w:w="237" w:type="pct"/>
          </w:tcPr>
          <w:p w:rsidR="000027E7" w:rsidRPr="00C806D0" w:rsidRDefault="000027E7" w:rsidP="000027E7">
            <w:pPr>
              <w:pStyle w:val="NoSpacing"/>
              <w:rPr>
                <w:sz w:val="17"/>
                <w:szCs w:val="17"/>
              </w:rPr>
            </w:pPr>
            <w:r w:rsidRPr="00C806D0">
              <w:rPr>
                <w:sz w:val="17"/>
                <w:szCs w:val="17"/>
              </w:rPr>
              <w:t>37.3</w:t>
            </w:r>
          </w:p>
        </w:tc>
        <w:tc>
          <w:tcPr>
            <w:tcW w:w="219" w:type="pct"/>
          </w:tcPr>
          <w:p w:rsidR="000027E7" w:rsidRPr="00C806D0" w:rsidRDefault="000027E7" w:rsidP="000027E7">
            <w:pPr>
              <w:pStyle w:val="NoSpacing"/>
              <w:rPr>
                <w:sz w:val="17"/>
                <w:szCs w:val="17"/>
              </w:rPr>
            </w:pPr>
            <w:r w:rsidRPr="00C806D0">
              <w:rPr>
                <w:sz w:val="17"/>
                <w:szCs w:val="17"/>
              </w:rPr>
              <w:t>76%</w:t>
            </w:r>
          </w:p>
        </w:tc>
      </w:tr>
      <w:tr w:rsidR="000027E7" w:rsidRPr="00C806D0" w:rsidTr="000027E7">
        <w:trPr>
          <w:trHeight w:val="1438"/>
        </w:trPr>
        <w:tc>
          <w:tcPr>
            <w:tcW w:w="368" w:type="pct"/>
          </w:tcPr>
          <w:p w:rsidR="000027E7" w:rsidRPr="00C806D0" w:rsidRDefault="000027E7" w:rsidP="006D4D62">
            <w:pPr>
              <w:pStyle w:val="NoSpacing"/>
              <w:rPr>
                <w:sz w:val="17"/>
                <w:szCs w:val="17"/>
              </w:rPr>
            </w:pPr>
            <w:r w:rsidRPr="00C806D0">
              <w:rPr>
                <w:sz w:val="17"/>
                <w:szCs w:val="17"/>
              </w:rPr>
              <w:t>Shavelle 2001</w:t>
            </w:r>
            <w:r w:rsidR="006D4D62" w:rsidRPr="00C806D0">
              <w:rPr>
                <w:noProof/>
                <w:sz w:val="17"/>
                <w:szCs w:val="17"/>
                <w:vertAlign w:val="superscript"/>
              </w:rPr>
              <w:t>[25]</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1988-1996</w:t>
            </w:r>
          </w:p>
        </w:tc>
        <w:tc>
          <w:tcPr>
            <w:tcW w:w="329" w:type="pct"/>
          </w:tcPr>
          <w:p w:rsidR="000027E7" w:rsidRPr="00C806D0" w:rsidRDefault="000027E7" w:rsidP="000027E7">
            <w:pPr>
              <w:pStyle w:val="NoSpacing"/>
              <w:rPr>
                <w:sz w:val="17"/>
                <w:szCs w:val="17"/>
              </w:rPr>
            </w:pPr>
            <w:r w:rsidRPr="00C806D0">
              <w:rPr>
                <w:sz w:val="17"/>
                <w:szCs w:val="17"/>
              </w:rPr>
              <w:t>1997</w:t>
            </w:r>
          </w:p>
        </w:tc>
        <w:tc>
          <w:tcPr>
            <w:tcW w:w="438" w:type="pct"/>
          </w:tcPr>
          <w:p w:rsidR="000027E7" w:rsidRPr="00C806D0" w:rsidRDefault="000027E7" w:rsidP="000027E7">
            <w:pPr>
              <w:pStyle w:val="NoSpacing"/>
              <w:rPr>
                <w:sz w:val="17"/>
                <w:szCs w:val="17"/>
              </w:rPr>
            </w:pPr>
            <w:r w:rsidRPr="00C806D0">
              <w:rPr>
                <w:sz w:val="17"/>
                <w:szCs w:val="17"/>
              </w:rPr>
              <w:t>California, US</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TBI with mental disability requiring long term care</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Aged &gt;10 years</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Survived &gt;12 months</w:t>
            </w:r>
          </w:p>
          <w:p w:rsidR="002A26CD" w:rsidRPr="00C806D0" w:rsidRDefault="002A26CD" w:rsidP="000027E7">
            <w:pPr>
              <w:pStyle w:val="NoSpacing"/>
              <w:rPr>
                <w:sz w:val="17"/>
                <w:szCs w:val="17"/>
              </w:rPr>
            </w:pP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2,320</w:t>
            </w:r>
          </w:p>
        </w:tc>
        <w:tc>
          <w:tcPr>
            <w:tcW w:w="499" w:type="pct"/>
          </w:tcPr>
          <w:p w:rsidR="000027E7" w:rsidRPr="00C806D0" w:rsidRDefault="000027E7" w:rsidP="000027E7">
            <w:pPr>
              <w:pStyle w:val="NoSpacing"/>
              <w:rPr>
                <w:sz w:val="17"/>
                <w:szCs w:val="17"/>
              </w:rPr>
            </w:pPr>
            <w:r w:rsidRPr="00C806D0">
              <w:rPr>
                <w:sz w:val="17"/>
                <w:szCs w:val="17"/>
              </w:rPr>
              <w:t>SMR calculated using regional general population mortality rates</w:t>
            </w:r>
          </w:p>
          <w:p w:rsidR="000027E7" w:rsidRPr="00C806D0" w:rsidRDefault="000027E7" w:rsidP="000027E7">
            <w:pPr>
              <w:pStyle w:val="NoSpacing"/>
              <w:rPr>
                <w:sz w:val="17"/>
                <w:szCs w:val="17"/>
              </w:rPr>
            </w:pP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regional population</w:t>
            </w: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rFonts w:ascii="Calibri" w:hAnsi="Calibri"/>
                <w:sz w:val="17"/>
                <w:szCs w:val="17"/>
              </w:rPr>
            </w:pPr>
            <w:r w:rsidRPr="00C806D0">
              <w:rPr>
                <w:rFonts w:ascii="Calibri" w:hAnsi="Calibri" w:cs="Clearface-Regular"/>
                <w:sz w:val="17"/>
                <w:szCs w:val="17"/>
              </w:rPr>
              <w:t>SMR: 3.1 (2.5, 3.7)</w:t>
            </w:r>
          </w:p>
        </w:tc>
        <w:tc>
          <w:tcPr>
            <w:tcW w:w="317" w:type="pct"/>
          </w:tcPr>
          <w:p w:rsidR="000027E7" w:rsidRPr="00C806D0" w:rsidRDefault="000027E7" w:rsidP="000027E7">
            <w:pPr>
              <w:pStyle w:val="NoSpacing"/>
              <w:rPr>
                <w:sz w:val="17"/>
                <w:szCs w:val="17"/>
              </w:rPr>
            </w:pPr>
            <w:r w:rsidRPr="00C806D0">
              <w:rPr>
                <w:sz w:val="17"/>
                <w:szCs w:val="17"/>
              </w:rPr>
              <w:t>5.1%</w:t>
            </w:r>
          </w:p>
        </w:tc>
        <w:tc>
          <w:tcPr>
            <w:tcW w:w="237" w:type="pct"/>
          </w:tcPr>
          <w:p w:rsidR="000027E7" w:rsidRPr="00C806D0" w:rsidRDefault="000027E7" w:rsidP="000027E7">
            <w:pPr>
              <w:pStyle w:val="NoSpacing"/>
              <w:rPr>
                <w:sz w:val="17"/>
                <w:szCs w:val="17"/>
              </w:rPr>
            </w:pPr>
            <w:r w:rsidRPr="00C806D0">
              <w:rPr>
                <w:sz w:val="17"/>
                <w:szCs w:val="17"/>
              </w:rPr>
              <w:t>NR</w:t>
            </w:r>
          </w:p>
        </w:tc>
        <w:tc>
          <w:tcPr>
            <w:tcW w:w="219" w:type="pct"/>
          </w:tcPr>
          <w:p w:rsidR="000027E7" w:rsidRPr="00C806D0" w:rsidRDefault="000027E7" w:rsidP="000027E7">
            <w:pPr>
              <w:pStyle w:val="NoSpacing"/>
              <w:rPr>
                <w:sz w:val="17"/>
                <w:szCs w:val="17"/>
              </w:rPr>
            </w:pPr>
            <w:r w:rsidRPr="00C806D0">
              <w:rPr>
                <w:sz w:val="17"/>
                <w:szCs w:val="17"/>
              </w:rPr>
              <w:t>68%</w:t>
            </w:r>
          </w:p>
        </w:tc>
      </w:tr>
      <w:tr w:rsidR="000027E7" w:rsidRPr="00C806D0" w:rsidTr="000027E7">
        <w:trPr>
          <w:trHeight w:val="568"/>
        </w:trPr>
        <w:tc>
          <w:tcPr>
            <w:tcW w:w="368" w:type="pct"/>
          </w:tcPr>
          <w:p w:rsidR="000027E7" w:rsidRPr="00C806D0" w:rsidRDefault="000027E7" w:rsidP="006D4D62">
            <w:pPr>
              <w:pStyle w:val="NoSpacing"/>
              <w:rPr>
                <w:sz w:val="17"/>
                <w:szCs w:val="17"/>
              </w:rPr>
            </w:pPr>
            <w:r w:rsidRPr="00C806D0">
              <w:rPr>
                <w:sz w:val="17"/>
                <w:szCs w:val="17"/>
              </w:rPr>
              <w:t>Strauss 1998</w:t>
            </w:r>
            <w:r w:rsidR="006D4D62" w:rsidRPr="00C806D0">
              <w:rPr>
                <w:noProof/>
                <w:sz w:val="17"/>
                <w:szCs w:val="17"/>
                <w:vertAlign w:val="superscript"/>
              </w:rPr>
              <w:t>[26]</w:t>
            </w:r>
          </w:p>
        </w:tc>
        <w:tc>
          <w:tcPr>
            <w:tcW w:w="257" w:type="pct"/>
          </w:tcPr>
          <w:p w:rsidR="000027E7" w:rsidRPr="00C806D0" w:rsidRDefault="000027E7" w:rsidP="000027E7">
            <w:pPr>
              <w:pStyle w:val="NoSpacing"/>
              <w:rPr>
                <w:sz w:val="17"/>
                <w:szCs w:val="17"/>
              </w:rPr>
            </w:pPr>
            <w:r w:rsidRPr="00C806D0">
              <w:rPr>
                <w:sz w:val="17"/>
                <w:szCs w:val="17"/>
              </w:rPr>
              <w:t>RCS</w:t>
            </w:r>
          </w:p>
        </w:tc>
        <w:tc>
          <w:tcPr>
            <w:tcW w:w="414" w:type="pct"/>
          </w:tcPr>
          <w:p w:rsidR="000027E7" w:rsidRPr="00C806D0" w:rsidRDefault="000027E7" w:rsidP="000027E7">
            <w:pPr>
              <w:pStyle w:val="NoSpacing"/>
              <w:rPr>
                <w:sz w:val="17"/>
                <w:szCs w:val="17"/>
              </w:rPr>
            </w:pPr>
            <w:r w:rsidRPr="00C806D0">
              <w:rPr>
                <w:sz w:val="17"/>
                <w:szCs w:val="17"/>
              </w:rPr>
              <w:t>1987-1995</w:t>
            </w:r>
          </w:p>
        </w:tc>
        <w:tc>
          <w:tcPr>
            <w:tcW w:w="329" w:type="pct"/>
          </w:tcPr>
          <w:p w:rsidR="000027E7" w:rsidRPr="00C806D0" w:rsidRDefault="000027E7" w:rsidP="000027E7">
            <w:pPr>
              <w:pStyle w:val="NoSpacing"/>
              <w:rPr>
                <w:sz w:val="17"/>
                <w:szCs w:val="17"/>
              </w:rPr>
            </w:pPr>
            <w:r w:rsidRPr="00C806D0">
              <w:rPr>
                <w:sz w:val="17"/>
                <w:szCs w:val="17"/>
              </w:rPr>
              <w:t>1995</w:t>
            </w:r>
          </w:p>
        </w:tc>
        <w:tc>
          <w:tcPr>
            <w:tcW w:w="438" w:type="pct"/>
          </w:tcPr>
          <w:p w:rsidR="000027E7" w:rsidRPr="00C806D0" w:rsidRDefault="000027E7" w:rsidP="000027E7">
            <w:pPr>
              <w:pStyle w:val="NoSpacing"/>
              <w:rPr>
                <w:sz w:val="17"/>
                <w:szCs w:val="17"/>
              </w:rPr>
            </w:pPr>
            <w:r w:rsidRPr="00C806D0">
              <w:rPr>
                <w:sz w:val="17"/>
                <w:szCs w:val="17"/>
              </w:rPr>
              <w:t>California, US</w:t>
            </w:r>
          </w:p>
        </w:tc>
        <w:tc>
          <w:tcPr>
            <w:tcW w:w="494" w:type="pct"/>
          </w:tcPr>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TBI receiving disability services</w:t>
            </w:r>
          </w:p>
          <w:p w:rsidR="000027E7" w:rsidRPr="00C806D0" w:rsidRDefault="000027E7" w:rsidP="000027E7">
            <w:pPr>
              <w:pStyle w:val="NoSpacing"/>
              <w:rPr>
                <w:sz w:val="17"/>
                <w:szCs w:val="17"/>
              </w:rPr>
            </w:pPr>
            <w:r w:rsidRPr="00C806D0">
              <w:rPr>
                <w:sz w:val="17"/>
                <w:szCs w:val="17"/>
              </w:rPr>
              <w:sym w:font="Wingdings" w:char="F09F"/>
            </w:r>
            <w:r w:rsidRPr="00C806D0">
              <w:rPr>
                <w:sz w:val="17"/>
                <w:szCs w:val="17"/>
              </w:rPr>
              <w:t>Aged 5-21 years</w:t>
            </w:r>
          </w:p>
        </w:tc>
        <w:tc>
          <w:tcPr>
            <w:tcW w:w="85" w:type="pct"/>
          </w:tcPr>
          <w:p w:rsidR="000027E7" w:rsidRPr="00C806D0" w:rsidRDefault="000027E7" w:rsidP="000027E7">
            <w:pPr>
              <w:pStyle w:val="NoSpacing"/>
              <w:rPr>
                <w:sz w:val="17"/>
                <w:szCs w:val="17"/>
              </w:rPr>
            </w:pPr>
          </w:p>
        </w:tc>
        <w:tc>
          <w:tcPr>
            <w:tcW w:w="283" w:type="pct"/>
          </w:tcPr>
          <w:p w:rsidR="000027E7" w:rsidRPr="00C806D0" w:rsidRDefault="000027E7" w:rsidP="000027E7">
            <w:pPr>
              <w:pStyle w:val="NoSpacing"/>
              <w:rPr>
                <w:sz w:val="17"/>
                <w:szCs w:val="17"/>
              </w:rPr>
            </w:pPr>
            <w:r w:rsidRPr="00C806D0">
              <w:rPr>
                <w:sz w:val="17"/>
                <w:szCs w:val="17"/>
              </w:rPr>
              <w:t>946</w:t>
            </w:r>
          </w:p>
        </w:tc>
        <w:tc>
          <w:tcPr>
            <w:tcW w:w="499" w:type="pct"/>
          </w:tcPr>
          <w:p w:rsidR="000027E7" w:rsidRPr="00C806D0" w:rsidRDefault="000027E7" w:rsidP="000027E7">
            <w:pPr>
              <w:pStyle w:val="NoSpacing"/>
              <w:rPr>
                <w:sz w:val="17"/>
                <w:szCs w:val="17"/>
              </w:rPr>
            </w:pPr>
            <w:r w:rsidRPr="00C806D0">
              <w:rPr>
                <w:sz w:val="17"/>
                <w:szCs w:val="17"/>
              </w:rPr>
              <w:t>Period life table constructed for TBI patients</w:t>
            </w:r>
          </w:p>
        </w:tc>
        <w:tc>
          <w:tcPr>
            <w:tcW w:w="390" w:type="pct"/>
          </w:tcPr>
          <w:p w:rsidR="000027E7" w:rsidRPr="00C806D0" w:rsidRDefault="000027E7" w:rsidP="000027E7">
            <w:pPr>
              <w:pStyle w:val="NoSpacing"/>
              <w:rPr>
                <w:sz w:val="17"/>
                <w:szCs w:val="17"/>
              </w:rPr>
            </w:pPr>
            <w:r w:rsidRPr="00C806D0">
              <w:rPr>
                <w:sz w:val="17"/>
                <w:szCs w:val="17"/>
              </w:rPr>
              <w:t xml:space="preserve">Decreased </w:t>
            </w:r>
            <w:r w:rsidR="00335B1F" w:rsidRPr="00C806D0">
              <w:rPr>
                <w:sz w:val="17"/>
                <w:szCs w:val="17"/>
              </w:rPr>
              <w:t>compared with</w:t>
            </w:r>
            <w:r w:rsidRPr="00C806D0">
              <w:rPr>
                <w:sz w:val="17"/>
                <w:szCs w:val="17"/>
              </w:rPr>
              <w:t xml:space="preserve"> regional population</w:t>
            </w:r>
          </w:p>
          <w:p w:rsidR="000027E7" w:rsidRPr="00C806D0" w:rsidRDefault="000027E7" w:rsidP="000027E7">
            <w:pPr>
              <w:pStyle w:val="NoSpacing"/>
              <w:rPr>
                <w:sz w:val="17"/>
                <w:szCs w:val="17"/>
              </w:rPr>
            </w:pPr>
          </w:p>
        </w:tc>
        <w:tc>
          <w:tcPr>
            <w:tcW w:w="670" w:type="pct"/>
          </w:tcPr>
          <w:p w:rsidR="000027E7" w:rsidRPr="00C806D0" w:rsidRDefault="000027E7" w:rsidP="000027E7">
            <w:pPr>
              <w:pStyle w:val="NoSpacing"/>
              <w:rPr>
                <w:sz w:val="17"/>
                <w:szCs w:val="17"/>
              </w:rPr>
            </w:pPr>
            <w:r w:rsidRPr="00C806D0">
              <w:rPr>
                <w:sz w:val="17"/>
                <w:szCs w:val="17"/>
              </w:rPr>
              <w:t xml:space="preserve">TBI </w:t>
            </w:r>
            <w:r w:rsidR="002A26CD" w:rsidRPr="00C806D0">
              <w:rPr>
                <w:sz w:val="17"/>
                <w:szCs w:val="17"/>
              </w:rPr>
              <w:t xml:space="preserve">at 17 years </w:t>
            </w:r>
            <w:r w:rsidRPr="00C806D0">
              <w:rPr>
                <w:sz w:val="17"/>
                <w:szCs w:val="17"/>
              </w:rPr>
              <w:t>with resultant moderate motor skills: 89% survival at age 50</w:t>
            </w:r>
          </w:p>
          <w:p w:rsidR="000027E7" w:rsidRPr="00C806D0" w:rsidRDefault="000027E7" w:rsidP="000027E7">
            <w:pPr>
              <w:pStyle w:val="NoSpacing"/>
              <w:rPr>
                <w:sz w:val="17"/>
                <w:szCs w:val="17"/>
              </w:rPr>
            </w:pPr>
          </w:p>
          <w:p w:rsidR="000027E7" w:rsidRPr="00C806D0" w:rsidRDefault="000027E7" w:rsidP="000027E7">
            <w:pPr>
              <w:pStyle w:val="NoSpacing"/>
              <w:rPr>
                <w:sz w:val="17"/>
                <w:szCs w:val="17"/>
              </w:rPr>
            </w:pPr>
            <w:r w:rsidRPr="00C806D0">
              <w:rPr>
                <w:sz w:val="17"/>
                <w:szCs w:val="17"/>
              </w:rPr>
              <w:t>Life expectancy at:</w:t>
            </w:r>
          </w:p>
          <w:p w:rsidR="000027E7" w:rsidRPr="00C806D0" w:rsidRDefault="000027E7" w:rsidP="000027E7">
            <w:pPr>
              <w:pStyle w:val="NoSpacing"/>
              <w:rPr>
                <w:sz w:val="17"/>
                <w:szCs w:val="17"/>
              </w:rPr>
            </w:pPr>
            <w:r w:rsidRPr="00C806D0">
              <w:rPr>
                <w:sz w:val="17"/>
                <w:szCs w:val="17"/>
              </w:rPr>
              <w:t>20=51 years</w:t>
            </w:r>
          </w:p>
          <w:p w:rsidR="000027E7" w:rsidRPr="00C806D0" w:rsidRDefault="000027E7" w:rsidP="000027E7">
            <w:pPr>
              <w:pStyle w:val="NoSpacing"/>
              <w:rPr>
                <w:sz w:val="17"/>
                <w:szCs w:val="17"/>
              </w:rPr>
            </w:pPr>
            <w:r w:rsidRPr="00C806D0">
              <w:rPr>
                <w:sz w:val="17"/>
                <w:szCs w:val="17"/>
              </w:rPr>
              <w:t>50=27 years</w:t>
            </w:r>
          </w:p>
          <w:p w:rsidR="000027E7" w:rsidRPr="00C806D0" w:rsidRDefault="000027E7" w:rsidP="000027E7">
            <w:pPr>
              <w:pStyle w:val="NoSpacing"/>
              <w:rPr>
                <w:sz w:val="17"/>
                <w:szCs w:val="17"/>
              </w:rPr>
            </w:pPr>
            <w:r w:rsidRPr="00C806D0">
              <w:rPr>
                <w:sz w:val="17"/>
                <w:szCs w:val="17"/>
              </w:rPr>
              <w:t>for TBI with good mobility</w:t>
            </w:r>
          </w:p>
        </w:tc>
        <w:tc>
          <w:tcPr>
            <w:tcW w:w="317" w:type="pct"/>
          </w:tcPr>
          <w:p w:rsidR="000027E7" w:rsidRPr="00C806D0" w:rsidRDefault="000027E7" w:rsidP="000027E7">
            <w:pPr>
              <w:pStyle w:val="NoSpacing"/>
              <w:rPr>
                <w:sz w:val="17"/>
                <w:szCs w:val="17"/>
              </w:rPr>
            </w:pPr>
            <w:r w:rsidRPr="00C806D0">
              <w:rPr>
                <w:sz w:val="17"/>
                <w:szCs w:val="17"/>
              </w:rPr>
              <w:t>4%</w:t>
            </w:r>
          </w:p>
        </w:tc>
        <w:tc>
          <w:tcPr>
            <w:tcW w:w="237" w:type="pct"/>
          </w:tcPr>
          <w:p w:rsidR="000027E7" w:rsidRPr="00C806D0" w:rsidRDefault="000027E7" w:rsidP="000027E7">
            <w:pPr>
              <w:pStyle w:val="NoSpacing"/>
              <w:rPr>
                <w:sz w:val="17"/>
                <w:szCs w:val="17"/>
              </w:rPr>
            </w:pPr>
            <w:r w:rsidRPr="00C806D0">
              <w:rPr>
                <w:sz w:val="17"/>
                <w:szCs w:val="17"/>
              </w:rPr>
              <w:t>NR</w:t>
            </w:r>
          </w:p>
        </w:tc>
        <w:tc>
          <w:tcPr>
            <w:tcW w:w="219" w:type="pct"/>
          </w:tcPr>
          <w:p w:rsidR="000027E7" w:rsidRPr="00C806D0" w:rsidRDefault="000027E7" w:rsidP="000027E7">
            <w:pPr>
              <w:pStyle w:val="NoSpacing"/>
              <w:rPr>
                <w:sz w:val="17"/>
                <w:szCs w:val="17"/>
              </w:rPr>
            </w:pPr>
            <w:r w:rsidRPr="00C806D0">
              <w:rPr>
                <w:sz w:val="17"/>
                <w:szCs w:val="17"/>
              </w:rPr>
              <w:t>NR</w:t>
            </w:r>
          </w:p>
        </w:tc>
      </w:tr>
    </w:tbl>
    <w:p w:rsidR="000027E7" w:rsidRPr="00C806D0" w:rsidRDefault="000027E7" w:rsidP="009C49A9">
      <w:pPr>
        <w:pStyle w:val="NoSpacing"/>
        <w:rPr>
          <w:rFonts w:ascii="Calibri" w:hAnsi="Calibri"/>
          <w:sz w:val="20"/>
          <w:szCs w:val="20"/>
        </w:rPr>
      </w:pPr>
      <w:r w:rsidRPr="00C806D0">
        <w:rPr>
          <w:rFonts w:ascii="Calibri" w:hAnsi="Calibri"/>
          <w:sz w:val="20"/>
          <w:szCs w:val="20"/>
        </w:rPr>
        <w:t>* Final study included if multiple reports on same cohort</w:t>
      </w:r>
      <w:r w:rsidR="009C49A9" w:rsidRPr="00C806D0">
        <w:rPr>
          <w:rFonts w:ascii="Calibri" w:hAnsi="Calibri"/>
          <w:sz w:val="20"/>
          <w:szCs w:val="20"/>
        </w:rPr>
        <w:t xml:space="preserve">. </w:t>
      </w:r>
      <w:r w:rsidRPr="00C806D0">
        <w:rPr>
          <w:rFonts w:ascii="Calibri" w:hAnsi="Calibri"/>
          <w:sz w:val="20"/>
          <w:szCs w:val="20"/>
        </w:rPr>
        <w:t>† assuming constant SMR at all ages</w:t>
      </w:r>
      <w:r w:rsidR="009C49A9" w:rsidRPr="00C806D0">
        <w:rPr>
          <w:rFonts w:ascii="Calibri" w:hAnsi="Calibri"/>
          <w:sz w:val="20"/>
          <w:szCs w:val="20"/>
        </w:rPr>
        <w:t xml:space="preserve">. </w:t>
      </w:r>
      <w:r w:rsidRPr="00C806D0">
        <w:rPr>
          <w:rFonts w:ascii="Calibri" w:hAnsi="Calibri"/>
          <w:sz w:val="20"/>
          <w:szCs w:val="20"/>
        </w:rPr>
        <w:t>‡ excluding cases who died in first year</w:t>
      </w:r>
      <w:r w:rsidR="009C49A9" w:rsidRPr="00C806D0">
        <w:rPr>
          <w:rFonts w:ascii="Calibri" w:hAnsi="Calibri"/>
          <w:sz w:val="20"/>
          <w:szCs w:val="20"/>
        </w:rPr>
        <w:t xml:space="preserve">. </w:t>
      </w:r>
      <w:r w:rsidRPr="00C806D0">
        <w:rPr>
          <w:rFonts w:ascii="Calibri" w:hAnsi="Calibri"/>
          <w:sz w:val="20"/>
          <w:szCs w:val="20"/>
        </w:rPr>
        <w:t>§ Unadjusted for cohort effects</w:t>
      </w:r>
    </w:p>
    <w:p w:rsidR="003A4BDE" w:rsidRPr="00C806D0" w:rsidRDefault="002A26CD" w:rsidP="003A4BDE">
      <w:r w:rsidRPr="00C806D0">
        <w:rPr>
          <w:sz w:val="20"/>
          <w:szCs w:val="20"/>
        </w:rPr>
        <w:t>NR: Not reported</w:t>
      </w:r>
    </w:p>
    <w:p w:rsidR="00CA694F" w:rsidRPr="00C806D0" w:rsidRDefault="00CA694F" w:rsidP="000027E7">
      <w:pPr>
        <w:pStyle w:val="Heading2"/>
        <w:sectPr w:rsidR="00CA694F" w:rsidRPr="00C806D0" w:rsidSect="00CA694F">
          <w:pgSz w:w="16838" w:h="11906" w:orient="landscape"/>
          <w:pgMar w:top="2268" w:right="1134" w:bottom="1134" w:left="1134" w:header="709" w:footer="709" w:gutter="0"/>
          <w:cols w:space="708"/>
          <w:docGrid w:linePitch="360"/>
        </w:sectPr>
      </w:pPr>
    </w:p>
    <w:p w:rsidR="000027E7" w:rsidRPr="00C806D0" w:rsidRDefault="000027E7" w:rsidP="000027E7">
      <w:pPr>
        <w:pStyle w:val="Heading2"/>
      </w:pPr>
      <w:r w:rsidRPr="00C806D0">
        <w:t>References</w:t>
      </w:r>
    </w:p>
    <w:p w:rsidR="006D4D62" w:rsidRPr="00C806D0" w:rsidRDefault="006D4D62" w:rsidP="006D4D62">
      <w:pPr>
        <w:spacing w:line="240" w:lineRule="auto"/>
        <w:ind w:left="720" w:hanging="720"/>
        <w:rPr>
          <w:rFonts w:ascii="Calibri" w:hAnsi="Calibri"/>
          <w:noProof/>
        </w:rPr>
      </w:pPr>
      <w:bookmarkStart w:id="183" w:name="_ENREF_7_1"/>
      <w:r w:rsidRPr="00C806D0">
        <w:rPr>
          <w:rFonts w:ascii="Calibri" w:hAnsi="Calibri"/>
          <w:noProof/>
        </w:rPr>
        <w:t>1.</w:t>
      </w:r>
      <w:r w:rsidRPr="00C806D0">
        <w:rPr>
          <w:rFonts w:ascii="Calibri" w:hAnsi="Calibri"/>
          <w:noProof/>
        </w:rPr>
        <w:tab/>
        <w:t xml:space="preserve">Collett D: </w:t>
      </w:r>
      <w:r w:rsidRPr="00C806D0">
        <w:rPr>
          <w:rFonts w:ascii="Calibri" w:hAnsi="Calibri"/>
          <w:b/>
          <w:noProof/>
        </w:rPr>
        <w:t>Modelling survival data in medical research</w:t>
      </w:r>
      <w:r w:rsidRPr="00C806D0">
        <w:rPr>
          <w:rFonts w:ascii="Calibri" w:hAnsi="Calibri"/>
          <w:noProof/>
        </w:rPr>
        <w:t>, 2nd ed. edn. Boca Raton, Fla. ; London: Chapman &amp; Hall/CRC; 2003.</w:t>
      </w:r>
      <w:bookmarkEnd w:id="183"/>
    </w:p>
    <w:p w:rsidR="006D4D62" w:rsidRPr="00C806D0" w:rsidRDefault="006D4D62" w:rsidP="006D4D62">
      <w:pPr>
        <w:spacing w:line="240" w:lineRule="auto"/>
        <w:ind w:left="720" w:hanging="720"/>
        <w:rPr>
          <w:rFonts w:ascii="Calibri" w:hAnsi="Calibri"/>
          <w:noProof/>
        </w:rPr>
      </w:pPr>
      <w:bookmarkStart w:id="184" w:name="_ENREF_7_2"/>
      <w:r w:rsidRPr="00C806D0">
        <w:rPr>
          <w:rFonts w:ascii="Calibri" w:hAnsi="Calibri"/>
          <w:noProof/>
        </w:rPr>
        <w:t>2.</w:t>
      </w:r>
      <w:r w:rsidRPr="00C806D0">
        <w:rPr>
          <w:rFonts w:ascii="Calibri" w:hAnsi="Calibri"/>
          <w:noProof/>
        </w:rPr>
        <w:tab/>
        <w:t xml:space="preserve">Ishak KJ, Kreif N, Benedict A, Muszbek N: </w:t>
      </w:r>
      <w:r w:rsidRPr="00C806D0">
        <w:rPr>
          <w:rFonts w:ascii="Calibri" w:hAnsi="Calibri"/>
          <w:b/>
          <w:noProof/>
        </w:rPr>
        <w:t>Overview of parametric survival analysis for health-economic applications</w:t>
      </w:r>
      <w:r w:rsidRPr="00C806D0">
        <w:rPr>
          <w:rFonts w:ascii="Calibri" w:hAnsi="Calibri"/>
          <w:noProof/>
        </w:rPr>
        <w:t xml:space="preserve">. </w:t>
      </w:r>
      <w:r w:rsidRPr="00C806D0">
        <w:rPr>
          <w:rFonts w:ascii="Calibri" w:hAnsi="Calibri"/>
          <w:i/>
          <w:noProof/>
        </w:rPr>
        <w:t xml:space="preserve">PharmacoEconomics </w:t>
      </w:r>
      <w:r w:rsidRPr="00C806D0">
        <w:rPr>
          <w:rFonts w:ascii="Calibri" w:hAnsi="Calibri"/>
          <w:noProof/>
        </w:rPr>
        <w:t xml:space="preserve">2013, </w:t>
      </w:r>
      <w:r w:rsidRPr="00C806D0">
        <w:rPr>
          <w:rFonts w:ascii="Calibri" w:hAnsi="Calibri"/>
          <w:b/>
          <w:noProof/>
        </w:rPr>
        <w:t>31</w:t>
      </w:r>
      <w:r w:rsidRPr="00C806D0">
        <w:rPr>
          <w:rFonts w:ascii="Calibri" w:hAnsi="Calibri"/>
          <w:noProof/>
        </w:rPr>
        <w:t>(8):663-675.</w:t>
      </w:r>
      <w:bookmarkEnd w:id="184"/>
    </w:p>
    <w:p w:rsidR="006D4D62" w:rsidRPr="00C806D0" w:rsidRDefault="006D4D62" w:rsidP="006D4D62">
      <w:pPr>
        <w:spacing w:line="240" w:lineRule="auto"/>
        <w:ind w:left="720" w:hanging="720"/>
        <w:rPr>
          <w:rFonts w:ascii="Calibri" w:hAnsi="Calibri"/>
          <w:noProof/>
        </w:rPr>
      </w:pPr>
      <w:bookmarkStart w:id="185" w:name="_ENREF_7_3"/>
      <w:r w:rsidRPr="00C806D0">
        <w:rPr>
          <w:rFonts w:ascii="Calibri" w:hAnsi="Calibri"/>
          <w:noProof/>
        </w:rPr>
        <w:t>3.</w:t>
      </w:r>
      <w:r w:rsidRPr="00C806D0">
        <w:rPr>
          <w:rFonts w:ascii="Calibri" w:hAnsi="Calibri"/>
          <w:noProof/>
        </w:rPr>
        <w:tab/>
        <w:t xml:space="preserve">Grieve R, Hawkins N, Pennington M: </w:t>
      </w:r>
      <w:r w:rsidRPr="00C806D0">
        <w:rPr>
          <w:rFonts w:ascii="Calibri" w:hAnsi="Calibri"/>
          <w:b/>
          <w:noProof/>
        </w:rPr>
        <w:t>Extrapolation of survival data in cost-effectiveness analyses: improving the current state of play</w:t>
      </w:r>
      <w:r w:rsidRPr="00C806D0">
        <w:rPr>
          <w:rFonts w:ascii="Calibri" w:hAnsi="Calibri"/>
          <w:noProof/>
        </w:rPr>
        <w:t xml:space="preserve">. </w:t>
      </w:r>
      <w:r w:rsidRPr="00C806D0">
        <w:rPr>
          <w:rFonts w:ascii="Calibri" w:hAnsi="Calibri"/>
          <w:i/>
          <w:noProof/>
        </w:rPr>
        <w:t xml:space="preserve">Medical decision making : an international journal of the Society for Medical Decision Making </w:t>
      </w:r>
      <w:r w:rsidRPr="00C806D0">
        <w:rPr>
          <w:rFonts w:ascii="Calibri" w:hAnsi="Calibri"/>
          <w:noProof/>
        </w:rPr>
        <w:t xml:space="preserve">2013, </w:t>
      </w:r>
      <w:r w:rsidRPr="00C806D0">
        <w:rPr>
          <w:rFonts w:ascii="Calibri" w:hAnsi="Calibri"/>
          <w:b/>
          <w:noProof/>
        </w:rPr>
        <w:t>33</w:t>
      </w:r>
      <w:r w:rsidRPr="00C806D0">
        <w:rPr>
          <w:rFonts w:ascii="Calibri" w:hAnsi="Calibri"/>
          <w:noProof/>
        </w:rPr>
        <w:t>(6):740-742.</w:t>
      </w:r>
      <w:bookmarkEnd w:id="185"/>
    </w:p>
    <w:p w:rsidR="006D4D62" w:rsidRPr="00C806D0" w:rsidRDefault="006D4D62" w:rsidP="006D4D62">
      <w:pPr>
        <w:spacing w:line="240" w:lineRule="auto"/>
        <w:ind w:left="720" w:hanging="720"/>
        <w:rPr>
          <w:rFonts w:ascii="Calibri" w:hAnsi="Calibri"/>
          <w:noProof/>
        </w:rPr>
      </w:pPr>
      <w:bookmarkStart w:id="186" w:name="_ENREF_7_4"/>
      <w:r w:rsidRPr="00C806D0">
        <w:rPr>
          <w:rFonts w:ascii="Calibri" w:hAnsi="Calibri"/>
          <w:noProof/>
        </w:rPr>
        <w:t>4.</w:t>
      </w:r>
      <w:r w:rsidRPr="00C806D0">
        <w:rPr>
          <w:rFonts w:ascii="Calibri" w:hAnsi="Calibri"/>
          <w:noProof/>
        </w:rPr>
        <w:tab/>
        <w:t xml:space="preserve">Latimer NR: </w:t>
      </w:r>
      <w:r w:rsidRPr="00C806D0">
        <w:rPr>
          <w:rFonts w:ascii="Calibri" w:hAnsi="Calibri"/>
          <w:b/>
          <w:noProof/>
        </w:rPr>
        <w:t>Response to “Survival Analysis and Extrapolation Modeling of Time-to-Event Clinical Trial Data for Economic Evaluation: An Alternative Approach” by Bagust and Beale</w:t>
      </w:r>
      <w:r w:rsidRPr="00C806D0">
        <w:rPr>
          <w:rFonts w:ascii="Calibri" w:hAnsi="Calibri"/>
          <w:noProof/>
        </w:rPr>
        <w:t xml:space="preserve">. </w:t>
      </w:r>
      <w:r w:rsidRPr="00C806D0">
        <w:rPr>
          <w:rFonts w:ascii="Calibri" w:hAnsi="Calibri"/>
          <w:i/>
          <w:noProof/>
        </w:rPr>
        <w:t xml:space="preserve">Medical Decision Making </w:t>
      </w:r>
      <w:r w:rsidRPr="00C806D0">
        <w:rPr>
          <w:rFonts w:ascii="Calibri" w:hAnsi="Calibri"/>
          <w:noProof/>
        </w:rPr>
        <w:t>2013.</w:t>
      </w:r>
      <w:bookmarkEnd w:id="186"/>
    </w:p>
    <w:p w:rsidR="006D4D62" w:rsidRPr="00C806D0" w:rsidRDefault="006D4D62" w:rsidP="006D4D62">
      <w:pPr>
        <w:spacing w:line="240" w:lineRule="auto"/>
        <w:ind w:left="720" w:hanging="720"/>
        <w:rPr>
          <w:rFonts w:ascii="Calibri" w:hAnsi="Calibri"/>
          <w:noProof/>
        </w:rPr>
      </w:pPr>
      <w:bookmarkStart w:id="187" w:name="_ENREF_7_5"/>
      <w:r w:rsidRPr="00C806D0">
        <w:rPr>
          <w:rFonts w:ascii="Calibri" w:hAnsi="Calibri"/>
          <w:noProof/>
        </w:rPr>
        <w:t>5.</w:t>
      </w:r>
      <w:r w:rsidRPr="00C806D0">
        <w:rPr>
          <w:rFonts w:ascii="Calibri" w:hAnsi="Calibri"/>
          <w:noProof/>
        </w:rPr>
        <w:tab/>
        <w:t xml:space="preserve">Cortese G, Scheike TH, Martinussen T: </w:t>
      </w:r>
      <w:r w:rsidRPr="00C806D0">
        <w:rPr>
          <w:rFonts w:ascii="Calibri" w:hAnsi="Calibri"/>
          <w:b/>
          <w:noProof/>
        </w:rPr>
        <w:t>Flexible survival regression modelling</w:t>
      </w:r>
      <w:r w:rsidRPr="00C806D0">
        <w:rPr>
          <w:rFonts w:ascii="Calibri" w:hAnsi="Calibri"/>
          <w:noProof/>
        </w:rPr>
        <w:t xml:space="preserve">. </w:t>
      </w:r>
      <w:r w:rsidRPr="00C806D0">
        <w:rPr>
          <w:rFonts w:ascii="Calibri" w:hAnsi="Calibri"/>
          <w:i/>
          <w:noProof/>
        </w:rPr>
        <w:t xml:space="preserve">Statistical methods in medical research </w:t>
      </w:r>
      <w:r w:rsidRPr="00C806D0">
        <w:rPr>
          <w:rFonts w:ascii="Calibri" w:hAnsi="Calibri"/>
          <w:noProof/>
        </w:rPr>
        <w:t xml:space="preserve">2010, </w:t>
      </w:r>
      <w:r w:rsidRPr="00C806D0">
        <w:rPr>
          <w:rFonts w:ascii="Calibri" w:hAnsi="Calibri"/>
          <w:b/>
          <w:noProof/>
        </w:rPr>
        <w:t>19</w:t>
      </w:r>
      <w:r w:rsidRPr="00C806D0">
        <w:rPr>
          <w:rFonts w:ascii="Calibri" w:hAnsi="Calibri"/>
          <w:noProof/>
        </w:rPr>
        <w:t>(1):5-28.</w:t>
      </w:r>
      <w:bookmarkEnd w:id="187"/>
    </w:p>
    <w:p w:rsidR="006D4D62" w:rsidRPr="00C806D0" w:rsidRDefault="006D4D62" w:rsidP="006D4D62">
      <w:pPr>
        <w:spacing w:line="240" w:lineRule="auto"/>
        <w:ind w:left="720" w:hanging="720"/>
        <w:rPr>
          <w:rFonts w:ascii="Calibri" w:hAnsi="Calibri"/>
          <w:noProof/>
        </w:rPr>
      </w:pPr>
      <w:bookmarkStart w:id="188" w:name="_ENREF_7_6"/>
      <w:r w:rsidRPr="00C806D0">
        <w:rPr>
          <w:rFonts w:ascii="Calibri" w:hAnsi="Calibri"/>
          <w:noProof/>
        </w:rPr>
        <w:t>6.</w:t>
      </w:r>
      <w:r w:rsidRPr="00C806D0">
        <w:rPr>
          <w:rFonts w:ascii="Calibri" w:hAnsi="Calibri"/>
          <w:noProof/>
        </w:rPr>
        <w:tab/>
        <w:t xml:space="preserve">Latimer NR: </w:t>
      </w:r>
      <w:r w:rsidRPr="00C806D0">
        <w:rPr>
          <w:rFonts w:ascii="Calibri" w:hAnsi="Calibri"/>
          <w:b/>
          <w:noProof/>
        </w:rPr>
        <w:t>Survival analysis for economic evaluations alongside clinical trials--extrapolation with patient-level data: inconsistencies, limitations, and a practical guide</w:t>
      </w:r>
      <w:r w:rsidRPr="00C806D0">
        <w:rPr>
          <w:rFonts w:ascii="Calibri" w:hAnsi="Calibri"/>
          <w:noProof/>
        </w:rPr>
        <w:t xml:space="preserve">. </w:t>
      </w:r>
      <w:r w:rsidRPr="00C806D0">
        <w:rPr>
          <w:rFonts w:ascii="Calibri" w:hAnsi="Calibri"/>
          <w:i/>
          <w:noProof/>
        </w:rPr>
        <w:t xml:space="preserve">Medical decision making : an international journal of the Society for Medical Decision Making </w:t>
      </w:r>
      <w:r w:rsidRPr="00C806D0">
        <w:rPr>
          <w:rFonts w:ascii="Calibri" w:hAnsi="Calibri"/>
          <w:noProof/>
        </w:rPr>
        <w:t xml:space="preserve">2013, </w:t>
      </w:r>
      <w:r w:rsidRPr="00C806D0">
        <w:rPr>
          <w:rFonts w:ascii="Calibri" w:hAnsi="Calibri"/>
          <w:b/>
          <w:noProof/>
        </w:rPr>
        <w:t>33</w:t>
      </w:r>
      <w:r w:rsidRPr="00C806D0">
        <w:rPr>
          <w:rFonts w:ascii="Calibri" w:hAnsi="Calibri"/>
          <w:noProof/>
        </w:rPr>
        <w:t>(6):743-754.</w:t>
      </w:r>
      <w:bookmarkEnd w:id="188"/>
    </w:p>
    <w:p w:rsidR="006D4D62" w:rsidRPr="00C806D0" w:rsidRDefault="006D4D62" w:rsidP="006D4D62">
      <w:pPr>
        <w:spacing w:line="240" w:lineRule="auto"/>
        <w:ind w:left="720" w:hanging="720"/>
        <w:rPr>
          <w:rFonts w:ascii="Calibri" w:hAnsi="Calibri"/>
          <w:noProof/>
        </w:rPr>
      </w:pPr>
      <w:bookmarkStart w:id="189" w:name="_ENREF_7_7"/>
      <w:r w:rsidRPr="00C806D0">
        <w:rPr>
          <w:rFonts w:ascii="Calibri" w:hAnsi="Calibri"/>
          <w:noProof/>
        </w:rPr>
        <w:t>7.</w:t>
      </w:r>
      <w:r w:rsidRPr="00C806D0">
        <w:rPr>
          <w:rFonts w:ascii="Calibri" w:hAnsi="Calibri"/>
          <w:noProof/>
        </w:rPr>
        <w:tab/>
        <w:t xml:space="preserve">Durrleman S, Simon R: </w:t>
      </w:r>
      <w:r w:rsidRPr="00C806D0">
        <w:rPr>
          <w:rFonts w:ascii="Calibri" w:hAnsi="Calibri"/>
          <w:b/>
          <w:noProof/>
        </w:rPr>
        <w:t>Flexible regression models with cubic splines</w:t>
      </w:r>
      <w:r w:rsidRPr="00C806D0">
        <w:rPr>
          <w:rFonts w:ascii="Calibri" w:hAnsi="Calibri"/>
          <w:noProof/>
        </w:rPr>
        <w:t xml:space="preserve">. </w:t>
      </w:r>
      <w:r w:rsidRPr="00C806D0">
        <w:rPr>
          <w:rFonts w:ascii="Calibri" w:hAnsi="Calibri"/>
          <w:i/>
          <w:noProof/>
        </w:rPr>
        <w:t xml:space="preserve">Statistics in medicine </w:t>
      </w:r>
      <w:r w:rsidRPr="00C806D0">
        <w:rPr>
          <w:rFonts w:ascii="Calibri" w:hAnsi="Calibri"/>
          <w:noProof/>
        </w:rPr>
        <w:t xml:space="preserve">1989, </w:t>
      </w:r>
      <w:r w:rsidRPr="00C806D0">
        <w:rPr>
          <w:rFonts w:ascii="Calibri" w:hAnsi="Calibri"/>
          <w:b/>
          <w:noProof/>
        </w:rPr>
        <w:t>8</w:t>
      </w:r>
      <w:r w:rsidRPr="00C806D0">
        <w:rPr>
          <w:rFonts w:ascii="Calibri" w:hAnsi="Calibri"/>
          <w:noProof/>
        </w:rPr>
        <w:t>(5):551-561.</w:t>
      </w:r>
      <w:bookmarkEnd w:id="189"/>
    </w:p>
    <w:p w:rsidR="006D4D62" w:rsidRPr="00C806D0" w:rsidRDefault="006D4D62" w:rsidP="006D4D62">
      <w:pPr>
        <w:spacing w:line="240" w:lineRule="auto"/>
        <w:ind w:left="720" w:hanging="720"/>
        <w:rPr>
          <w:rFonts w:ascii="Calibri" w:hAnsi="Calibri"/>
          <w:noProof/>
        </w:rPr>
      </w:pPr>
      <w:bookmarkStart w:id="190" w:name="_ENREF_7_8"/>
      <w:r w:rsidRPr="00C806D0">
        <w:rPr>
          <w:rFonts w:ascii="Calibri" w:hAnsi="Calibri"/>
          <w:noProof/>
        </w:rPr>
        <w:t>8.</w:t>
      </w:r>
      <w:r w:rsidRPr="00C806D0">
        <w:rPr>
          <w:rFonts w:ascii="Calibri" w:hAnsi="Calibri"/>
          <w:noProof/>
        </w:rPr>
        <w:tab/>
        <w:t xml:space="preserve">Malec JF, Brown AW, Leibson CL, Flaada JT, Mandrekar JN, Diehl NN, Perkins PK: </w:t>
      </w:r>
      <w:r w:rsidRPr="00C806D0">
        <w:rPr>
          <w:rFonts w:ascii="Calibri" w:hAnsi="Calibri"/>
          <w:b/>
          <w:noProof/>
        </w:rPr>
        <w:t>The mayo classification system for traumatic brain injury severity</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2007, </w:t>
      </w:r>
      <w:r w:rsidRPr="00C806D0">
        <w:rPr>
          <w:rFonts w:ascii="Calibri" w:hAnsi="Calibri"/>
          <w:b/>
          <w:noProof/>
        </w:rPr>
        <w:t>24</w:t>
      </w:r>
      <w:r w:rsidRPr="00C806D0">
        <w:rPr>
          <w:rFonts w:ascii="Calibri" w:hAnsi="Calibri"/>
          <w:noProof/>
        </w:rPr>
        <w:t>(9):1417-1424.</w:t>
      </w:r>
      <w:bookmarkEnd w:id="190"/>
    </w:p>
    <w:p w:rsidR="006D4D62" w:rsidRPr="00C806D0" w:rsidRDefault="006D4D62" w:rsidP="006D4D62">
      <w:pPr>
        <w:spacing w:line="240" w:lineRule="auto"/>
        <w:ind w:left="720" w:hanging="720"/>
        <w:rPr>
          <w:rFonts w:ascii="Calibri" w:hAnsi="Calibri"/>
          <w:noProof/>
        </w:rPr>
      </w:pPr>
      <w:bookmarkStart w:id="191" w:name="_ENREF_7_9"/>
      <w:r w:rsidRPr="00C806D0">
        <w:rPr>
          <w:rFonts w:ascii="Calibri" w:hAnsi="Calibri"/>
          <w:noProof/>
        </w:rPr>
        <w:t>9.</w:t>
      </w:r>
      <w:r w:rsidRPr="00C806D0">
        <w:rPr>
          <w:rFonts w:ascii="Calibri" w:hAnsi="Calibri"/>
          <w:noProof/>
        </w:rPr>
        <w:tab/>
        <w:t xml:space="preserve">Wunsch GJ, Mouchart M, Duchène J: </w:t>
      </w:r>
      <w:r w:rsidRPr="00C806D0">
        <w:rPr>
          <w:rFonts w:ascii="Calibri" w:hAnsi="Calibri"/>
          <w:b/>
          <w:noProof/>
        </w:rPr>
        <w:t>The life table : modelling survival and death</w:t>
      </w:r>
      <w:r w:rsidRPr="00C806D0">
        <w:rPr>
          <w:rFonts w:ascii="Calibri" w:hAnsi="Calibri"/>
          <w:noProof/>
        </w:rPr>
        <w:t>. Dordrecht ; Boston: Kluwer Academic; 2002.</w:t>
      </w:r>
      <w:bookmarkEnd w:id="191"/>
    </w:p>
    <w:p w:rsidR="006D4D62" w:rsidRPr="00C806D0" w:rsidRDefault="006D4D62" w:rsidP="006D4D62">
      <w:pPr>
        <w:spacing w:line="240" w:lineRule="auto"/>
        <w:ind w:left="720" w:hanging="720"/>
        <w:rPr>
          <w:rFonts w:ascii="Calibri" w:hAnsi="Calibri"/>
          <w:noProof/>
        </w:rPr>
      </w:pPr>
      <w:bookmarkStart w:id="192" w:name="_ENREF_7_10"/>
      <w:r w:rsidRPr="00C806D0">
        <w:rPr>
          <w:rFonts w:ascii="Calibri" w:hAnsi="Calibri"/>
          <w:noProof/>
        </w:rPr>
        <w:t>10.</w:t>
      </w:r>
      <w:r w:rsidRPr="00C806D0">
        <w:rPr>
          <w:rFonts w:ascii="Calibri" w:hAnsi="Calibri"/>
          <w:noProof/>
        </w:rPr>
        <w:tab/>
        <w:t xml:space="preserve">Chiang CL: </w:t>
      </w:r>
      <w:r w:rsidRPr="00C806D0">
        <w:rPr>
          <w:rFonts w:ascii="Calibri" w:hAnsi="Calibri"/>
          <w:b/>
          <w:noProof/>
        </w:rPr>
        <w:t>The life table and its applications</w:t>
      </w:r>
      <w:r w:rsidRPr="00C806D0">
        <w:rPr>
          <w:rFonts w:ascii="Calibri" w:hAnsi="Calibri"/>
          <w:noProof/>
        </w:rPr>
        <w:t>, Original edn. Malabar, Fla.: R.E. Krieger Pub. Co.; 1984.</w:t>
      </w:r>
      <w:bookmarkEnd w:id="192"/>
    </w:p>
    <w:p w:rsidR="006D4D62" w:rsidRPr="00C806D0" w:rsidRDefault="006D4D62" w:rsidP="006D4D62">
      <w:pPr>
        <w:spacing w:line="240" w:lineRule="auto"/>
        <w:ind w:left="720" w:hanging="720"/>
        <w:rPr>
          <w:rFonts w:ascii="Calibri" w:hAnsi="Calibri"/>
          <w:noProof/>
        </w:rPr>
      </w:pPr>
      <w:bookmarkStart w:id="193" w:name="_ENREF_7_11"/>
      <w:r w:rsidRPr="00C806D0">
        <w:rPr>
          <w:rFonts w:ascii="Calibri" w:hAnsi="Calibri"/>
          <w:noProof/>
        </w:rPr>
        <w:t>11.</w:t>
      </w:r>
      <w:r w:rsidRPr="00C806D0">
        <w:rPr>
          <w:rFonts w:ascii="Calibri" w:hAnsi="Calibri"/>
          <w:noProof/>
        </w:rPr>
        <w:tab/>
        <w:t xml:space="preserve">Gray AM: </w:t>
      </w:r>
      <w:r w:rsidRPr="00C806D0">
        <w:rPr>
          <w:rFonts w:ascii="Calibri" w:hAnsi="Calibri"/>
          <w:b/>
          <w:noProof/>
        </w:rPr>
        <w:t>Applied methods of cost-effectiveness analysis in health care</w:t>
      </w:r>
      <w:r w:rsidRPr="00C806D0">
        <w:rPr>
          <w:rFonts w:ascii="Calibri" w:hAnsi="Calibri"/>
          <w:noProof/>
        </w:rPr>
        <w:t>. Oxford: Oxford University Press; 2011.</w:t>
      </w:r>
      <w:bookmarkEnd w:id="193"/>
    </w:p>
    <w:p w:rsidR="006D4D62" w:rsidRPr="00C806D0" w:rsidRDefault="006D4D62" w:rsidP="006D4D62">
      <w:pPr>
        <w:spacing w:line="240" w:lineRule="auto"/>
        <w:ind w:left="720" w:hanging="720"/>
        <w:rPr>
          <w:rFonts w:ascii="Calibri" w:hAnsi="Calibri"/>
          <w:noProof/>
        </w:rPr>
      </w:pPr>
      <w:bookmarkStart w:id="194" w:name="_ENREF_7_12"/>
      <w:r w:rsidRPr="00C806D0">
        <w:rPr>
          <w:rFonts w:ascii="Calibri" w:hAnsi="Calibri"/>
          <w:noProof/>
        </w:rPr>
        <w:t>12.</w:t>
      </w:r>
      <w:r w:rsidRPr="00C806D0">
        <w:rPr>
          <w:rFonts w:ascii="Calibri" w:hAnsi="Calibri"/>
          <w:noProof/>
        </w:rPr>
        <w:tab/>
        <w:t xml:space="preserve">Statistics OoN: </w:t>
      </w:r>
      <w:r w:rsidRPr="00C806D0">
        <w:rPr>
          <w:rFonts w:ascii="Calibri" w:hAnsi="Calibri"/>
          <w:b/>
          <w:noProof/>
        </w:rPr>
        <w:t>England, Interim Life Tables 1980-82 to 2006-2008</w:t>
      </w:r>
      <w:r w:rsidRPr="00C806D0">
        <w:rPr>
          <w:rFonts w:ascii="Calibri" w:hAnsi="Calibri"/>
          <w:noProof/>
        </w:rPr>
        <w:t>. In</w:t>
      </w:r>
      <w:r w:rsidRPr="00C806D0">
        <w:rPr>
          <w:rFonts w:ascii="Calibri" w:hAnsi="Calibri"/>
          <w:i/>
          <w:noProof/>
        </w:rPr>
        <w:t>.</w:t>
      </w:r>
      <w:r w:rsidRPr="00C806D0">
        <w:rPr>
          <w:rFonts w:ascii="Calibri" w:hAnsi="Calibri"/>
          <w:noProof/>
        </w:rPr>
        <w:t xml:space="preserve"> London: Office of National Statistics; 2009.</w:t>
      </w:r>
      <w:bookmarkEnd w:id="194"/>
    </w:p>
    <w:p w:rsidR="006D4D62" w:rsidRPr="00C806D0" w:rsidRDefault="006D4D62" w:rsidP="006D4D62">
      <w:pPr>
        <w:spacing w:line="240" w:lineRule="auto"/>
        <w:ind w:left="720" w:hanging="720"/>
        <w:rPr>
          <w:rFonts w:ascii="Calibri" w:hAnsi="Calibri"/>
          <w:noProof/>
        </w:rPr>
      </w:pPr>
      <w:bookmarkStart w:id="195" w:name="_ENREF_7_13"/>
      <w:r w:rsidRPr="00C806D0">
        <w:rPr>
          <w:rFonts w:ascii="Calibri" w:hAnsi="Calibri"/>
          <w:noProof/>
        </w:rPr>
        <w:t>13.</w:t>
      </w:r>
      <w:r w:rsidRPr="00C806D0">
        <w:rPr>
          <w:rFonts w:ascii="Calibri" w:hAnsi="Calibri"/>
          <w:noProof/>
        </w:rPr>
        <w:tab/>
        <w:t xml:space="preserve">Ventura T, Harrison-Felix C, Carlson N, Diguiseppi C, Gabella B, Brown A, Devivo M, Whiteneck G: </w:t>
      </w:r>
      <w:r w:rsidRPr="00C806D0">
        <w:rPr>
          <w:rFonts w:ascii="Calibri" w:hAnsi="Calibri"/>
          <w:b/>
          <w:noProof/>
        </w:rPr>
        <w:t>Mortality after discharge from acute care hospitalization with traumatic brain injury: a population-based study</w:t>
      </w:r>
      <w:r w:rsidRPr="00C806D0">
        <w:rPr>
          <w:rFonts w:ascii="Calibri" w:hAnsi="Calibri"/>
          <w:noProof/>
        </w:rPr>
        <w:t xml:space="preserve">. </w:t>
      </w:r>
      <w:r w:rsidRPr="00C806D0">
        <w:rPr>
          <w:rFonts w:ascii="Calibri" w:hAnsi="Calibri"/>
          <w:i/>
          <w:noProof/>
        </w:rPr>
        <w:t xml:space="preserve">Archives of physical medicine and rehabilitation </w:t>
      </w:r>
      <w:r w:rsidRPr="00C806D0">
        <w:rPr>
          <w:rFonts w:ascii="Calibri" w:hAnsi="Calibri"/>
          <w:noProof/>
        </w:rPr>
        <w:t xml:space="preserve">2010, </w:t>
      </w:r>
      <w:r w:rsidRPr="00C806D0">
        <w:rPr>
          <w:rFonts w:ascii="Calibri" w:hAnsi="Calibri"/>
          <w:b/>
          <w:noProof/>
        </w:rPr>
        <w:t>91</w:t>
      </w:r>
      <w:r w:rsidRPr="00C806D0">
        <w:rPr>
          <w:rFonts w:ascii="Calibri" w:hAnsi="Calibri"/>
          <w:noProof/>
        </w:rPr>
        <w:t>(1):20-29.</w:t>
      </w:r>
      <w:bookmarkEnd w:id="195"/>
    </w:p>
    <w:p w:rsidR="006D4D62" w:rsidRPr="00C806D0" w:rsidRDefault="006D4D62" w:rsidP="006D4D62">
      <w:pPr>
        <w:spacing w:line="240" w:lineRule="auto"/>
        <w:ind w:left="720" w:hanging="720"/>
        <w:rPr>
          <w:rFonts w:ascii="Calibri" w:hAnsi="Calibri"/>
          <w:noProof/>
        </w:rPr>
      </w:pPr>
      <w:bookmarkStart w:id="196" w:name="_ENREF_7_14"/>
      <w:r w:rsidRPr="00C806D0">
        <w:rPr>
          <w:rFonts w:ascii="Calibri" w:hAnsi="Calibri"/>
          <w:noProof/>
        </w:rPr>
        <w:t>14.</w:t>
      </w:r>
      <w:r w:rsidRPr="00C806D0">
        <w:rPr>
          <w:rFonts w:ascii="Calibri" w:hAnsi="Calibri"/>
          <w:noProof/>
        </w:rPr>
        <w:tab/>
        <w:t xml:space="preserve">Harrison-Felix CL, Whiteneck GG, Jha A, DeVivo MJ, Hammond FM, Hart DM: </w:t>
      </w:r>
      <w:r w:rsidRPr="00C806D0">
        <w:rPr>
          <w:rFonts w:ascii="Calibri" w:hAnsi="Calibri"/>
          <w:b/>
          <w:noProof/>
        </w:rPr>
        <w:t>Mortality over four decades after traumatic brain injury rehabilitation: a retrospective cohort study</w:t>
      </w:r>
      <w:r w:rsidRPr="00C806D0">
        <w:rPr>
          <w:rFonts w:ascii="Calibri" w:hAnsi="Calibri"/>
          <w:noProof/>
        </w:rPr>
        <w:t xml:space="preserve">. </w:t>
      </w:r>
      <w:r w:rsidRPr="00C806D0">
        <w:rPr>
          <w:rFonts w:ascii="Calibri" w:hAnsi="Calibri"/>
          <w:i/>
          <w:noProof/>
        </w:rPr>
        <w:t xml:space="preserve">Archives of physical medicine and rehabilitation </w:t>
      </w:r>
      <w:r w:rsidRPr="00C806D0">
        <w:rPr>
          <w:rFonts w:ascii="Calibri" w:hAnsi="Calibri"/>
          <w:noProof/>
        </w:rPr>
        <w:t xml:space="preserve">2009, </w:t>
      </w:r>
      <w:r w:rsidRPr="00C806D0">
        <w:rPr>
          <w:rFonts w:ascii="Calibri" w:hAnsi="Calibri"/>
          <w:b/>
          <w:noProof/>
        </w:rPr>
        <w:t>90</w:t>
      </w:r>
      <w:r w:rsidRPr="00C806D0">
        <w:rPr>
          <w:rFonts w:ascii="Calibri" w:hAnsi="Calibri"/>
          <w:noProof/>
        </w:rPr>
        <w:t>(9):1506-1513.</w:t>
      </w:r>
      <w:bookmarkEnd w:id="196"/>
    </w:p>
    <w:p w:rsidR="006D4D62" w:rsidRPr="00C806D0" w:rsidRDefault="006D4D62" w:rsidP="006D4D62">
      <w:pPr>
        <w:spacing w:line="240" w:lineRule="auto"/>
        <w:ind w:left="720" w:hanging="720"/>
        <w:rPr>
          <w:rFonts w:ascii="Calibri" w:hAnsi="Calibri"/>
          <w:noProof/>
        </w:rPr>
      </w:pPr>
      <w:bookmarkStart w:id="197" w:name="_ENREF_7_15"/>
      <w:r w:rsidRPr="00C806D0">
        <w:rPr>
          <w:rFonts w:ascii="Calibri" w:hAnsi="Calibri"/>
          <w:noProof/>
        </w:rPr>
        <w:t>15.</w:t>
      </w:r>
      <w:r w:rsidRPr="00C806D0">
        <w:rPr>
          <w:rFonts w:ascii="Calibri" w:hAnsi="Calibri"/>
          <w:noProof/>
        </w:rPr>
        <w:tab/>
        <w:t xml:space="preserve">Harrison-Felix C, Whiteneck G, DeVivo M, Hammond FM, Jha A: </w:t>
      </w:r>
      <w:r w:rsidRPr="00C806D0">
        <w:rPr>
          <w:rFonts w:ascii="Calibri" w:hAnsi="Calibri"/>
          <w:b/>
          <w:noProof/>
        </w:rPr>
        <w:t>Mortality following rehabilitation in the Traumatic Brain Injury Model Systems of Care</w:t>
      </w:r>
      <w:r w:rsidRPr="00C806D0">
        <w:rPr>
          <w:rFonts w:ascii="Calibri" w:hAnsi="Calibri"/>
          <w:noProof/>
        </w:rPr>
        <w:t xml:space="preserve">. </w:t>
      </w:r>
      <w:r w:rsidRPr="00C806D0">
        <w:rPr>
          <w:rFonts w:ascii="Calibri" w:hAnsi="Calibri"/>
          <w:i/>
          <w:noProof/>
        </w:rPr>
        <w:t xml:space="preserve">NeuroRehabilitation </w:t>
      </w:r>
      <w:r w:rsidRPr="00C806D0">
        <w:rPr>
          <w:rFonts w:ascii="Calibri" w:hAnsi="Calibri"/>
          <w:noProof/>
        </w:rPr>
        <w:t xml:space="preserve">2004, </w:t>
      </w:r>
      <w:r w:rsidRPr="00C806D0">
        <w:rPr>
          <w:rFonts w:ascii="Calibri" w:hAnsi="Calibri"/>
          <w:b/>
          <w:noProof/>
        </w:rPr>
        <w:t>19</w:t>
      </w:r>
      <w:r w:rsidRPr="00C806D0">
        <w:rPr>
          <w:rFonts w:ascii="Calibri" w:hAnsi="Calibri"/>
          <w:noProof/>
        </w:rPr>
        <w:t>(1):45-54.</w:t>
      </w:r>
      <w:bookmarkEnd w:id="197"/>
    </w:p>
    <w:p w:rsidR="006D4D62" w:rsidRPr="00C806D0" w:rsidRDefault="006D4D62" w:rsidP="006D4D62">
      <w:pPr>
        <w:spacing w:line="240" w:lineRule="auto"/>
        <w:ind w:left="720" w:hanging="720"/>
        <w:rPr>
          <w:rFonts w:ascii="Calibri" w:hAnsi="Calibri"/>
          <w:noProof/>
        </w:rPr>
      </w:pPr>
      <w:bookmarkStart w:id="198" w:name="_ENREF_7_16"/>
      <w:r w:rsidRPr="00C806D0">
        <w:rPr>
          <w:rFonts w:ascii="Calibri" w:hAnsi="Calibri"/>
          <w:noProof/>
        </w:rPr>
        <w:t>16.</w:t>
      </w:r>
      <w:r w:rsidRPr="00C806D0">
        <w:rPr>
          <w:rFonts w:ascii="Calibri" w:hAnsi="Calibri"/>
          <w:noProof/>
        </w:rPr>
        <w:tab/>
        <w:t xml:space="preserve">Strauss D, Shavelle RM, DeVivo MJ, Harrison-Felix C, Whiteneck GG: </w:t>
      </w:r>
      <w:r w:rsidRPr="00C806D0">
        <w:rPr>
          <w:rFonts w:ascii="Calibri" w:hAnsi="Calibri"/>
          <w:b/>
          <w:noProof/>
        </w:rPr>
        <w:t>Life expectancy after traumatic brain injury</w:t>
      </w:r>
      <w:r w:rsidRPr="00C806D0">
        <w:rPr>
          <w:rFonts w:ascii="Calibri" w:hAnsi="Calibri"/>
          <w:noProof/>
        </w:rPr>
        <w:t xml:space="preserve">. </w:t>
      </w:r>
      <w:r w:rsidRPr="00C806D0">
        <w:rPr>
          <w:rFonts w:ascii="Calibri" w:hAnsi="Calibri"/>
          <w:i/>
          <w:noProof/>
        </w:rPr>
        <w:t xml:space="preserve">NeuroRehabilitation </w:t>
      </w:r>
      <w:r w:rsidRPr="00C806D0">
        <w:rPr>
          <w:rFonts w:ascii="Calibri" w:hAnsi="Calibri"/>
          <w:noProof/>
        </w:rPr>
        <w:t xml:space="preserve">2004, </w:t>
      </w:r>
      <w:r w:rsidRPr="00C806D0">
        <w:rPr>
          <w:rFonts w:ascii="Calibri" w:hAnsi="Calibri"/>
          <w:b/>
          <w:noProof/>
        </w:rPr>
        <w:t>19</w:t>
      </w:r>
      <w:r w:rsidRPr="00C806D0">
        <w:rPr>
          <w:rFonts w:ascii="Calibri" w:hAnsi="Calibri"/>
          <w:noProof/>
        </w:rPr>
        <w:t>(3):257-258.</w:t>
      </w:r>
      <w:bookmarkEnd w:id="198"/>
    </w:p>
    <w:p w:rsidR="006D4D62" w:rsidRPr="00C806D0" w:rsidRDefault="006D4D62" w:rsidP="006D4D62">
      <w:pPr>
        <w:spacing w:line="240" w:lineRule="auto"/>
        <w:ind w:left="720" w:hanging="720"/>
        <w:rPr>
          <w:rFonts w:ascii="Calibri" w:hAnsi="Calibri"/>
          <w:noProof/>
        </w:rPr>
      </w:pPr>
      <w:bookmarkStart w:id="199" w:name="_ENREF_7_17"/>
      <w:r w:rsidRPr="00C806D0">
        <w:rPr>
          <w:rFonts w:ascii="Calibri" w:hAnsi="Calibri"/>
          <w:noProof/>
        </w:rPr>
        <w:t>17.</w:t>
      </w:r>
      <w:r w:rsidRPr="00C806D0">
        <w:rPr>
          <w:rFonts w:ascii="Calibri" w:hAnsi="Calibri"/>
          <w:noProof/>
        </w:rPr>
        <w:tab/>
        <w:t xml:space="preserve">Johansson S: </w:t>
      </w:r>
      <w:r w:rsidRPr="00C806D0">
        <w:rPr>
          <w:rFonts w:ascii="Calibri" w:hAnsi="Calibri"/>
          <w:b/>
          <w:noProof/>
        </w:rPr>
        <w:t>Longevity in women</w:t>
      </w:r>
      <w:r w:rsidRPr="00C806D0">
        <w:rPr>
          <w:rFonts w:ascii="Calibri" w:hAnsi="Calibri"/>
          <w:noProof/>
        </w:rPr>
        <w:t xml:space="preserve">. </w:t>
      </w:r>
      <w:r w:rsidRPr="00C806D0">
        <w:rPr>
          <w:rFonts w:ascii="Calibri" w:hAnsi="Calibri"/>
          <w:i/>
          <w:noProof/>
        </w:rPr>
        <w:t xml:space="preserve">Cardiovascular clinics </w:t>
      </w:r>
      <w:r w:rsidRPr="00C806D0">
        <w:rPr>
          <w:rFonts w:ascii="Calibri" w:hAnsi="Calibri"/>
          <w:noProof/>
        </w:rPr>
        <w:t xml:space="preserve">1989, </w:t>
      </w:r>
      <w:r w:rsidRPr="00C806D0">
        <w:rPr>
          <w:rFonts w:ascii="Calibri" w:hAnsi="Calibri"/>
          <w:b/>
          <w:noProof/>
        </w:rPr>
        <w:t>19</w:t>
      </w:r>
      <w:r w:rsidRPr="00C806D0">
        <w:rPr>
          <w:rFonts w:ascii="Calibri" w:hAnsi="Calibri"/>
          <w:noProof/>
        </w:rPr>
        <w:t>(3):3-16.</w:t>
      </w:r>
      <w:bookmarkEnd w:id="199"/>
    </w:p>
    <w:p w:rsidR="006D4D62" w:rsidRPr="00C806D0" w:rsidRDefault="006D4D62" w:rsidP="006D4D62">
      <w:pPr>
        <w:spacing w:line="240" w:lineRule="auto"/>
        <w:ind w:left="720" w:hanging="720"/>
        <w:rPr>
          <w:rFonts w:ascii="Calibri" w:hAnsi="Calibri"/>
          <w:noProof/>
        </w:rPr>
      </w:pPr>
      <w:bookmarkStart w:id="200" w:name="_ENREF_7_18"/>
      <w:r w:rsidRPr="00C806D0">
        <w:rPr>
          <w:rFonts w:ascii="Calibri" w:hAnsi="Calibri"/>
          <w:noProof/>
        </w:rPr>
        <w:t>18.</w:t>
      </w:r>
      <w:r w:rsidRPr="00C806D0">
        <w:rPr>
          <w:rFonts w:ascii="Calibri" w:hAnsi="Calibri"/>
          <w:noProof/>
        </w:rPr>
        <w:tab/>
        <w:t xml:space="preserve">Fazel S, Wolf A, Pillas D, Lichtenstein P, Langstrom N: </w:t>
      </w:r>
      <w:r w:rsidRPr="00C806D0">
        <w:rPr>
          <w:rFonts w:ascii="Calibri" w:hAnsi="Calibri"/>
          <w:b/>
          <w:noProof/>
        </w:rPr>
        <w:t>Suicide, fatal injuries, and other causes of premature mortality in patients with traumatic brain injury: a 41-year Swedish population study</w:t>
      </w:r>
      <w:r w:rsidRPr="00C806D0">
        <w:rPr>
          <w:rFonts w:ascii="Calibri" w:hAnsi="Calibri"/>
          <w:noProof/>
        </w:rPr>
        <w:t xml:space="preserve">. </w:t>
      </w:r>
      <w:r w:rsidRPr="00C806D0">
        <w:rPr>
          <w:rFonts w:ascii="Calibri" w:hAnsi="Calibri"/>
          <w:i/>
          <w:noProof/>
        </w:rPr>
        <w:t xml:space="preserve">JAMA psychiatry </w:t>
      </w:r>
      <w:r w:rsidRPr="00C806D0">
        <w:rPr>
          <w:rFonts w:ascii="Calibri" w:hAnsi="Calibri"/>
          <w:noProof/>
        </w:rPr>
        <w:t xml:space="preserve">2014, </w:t>
      </w:r>
      <w:r w:rsidRPr="00C806D0">
        <w:rPr>
          <w:rFonts w:ascii="Calibri" w:hAnsi="Calibri"/>
          <w:b/>
          <w:noProof/>
        </w:rPr>
        <w:t>71</w:t>
      </w:r>
      <w:r w:rsidRPr="00C806D0">
        <w:rPr>
          <w:rFonts w:ascii="Calibri" w:hAnsi="Calibri"/>
          <w:noProof/>
        </w:rPr>
        <w:t>(3):326-333.</w:t>
      </w:r>
      <w:bookmarkEnd w:id="200"/>
    </w:p>
    <w:p w:rsidR="006D4D62" w:rsidRPr="00C806D0" w:rsidRDefault="006D4D62" w:rsidP="006D4D62">
      <w:pPr>
        <w:spacing w:line="240" w:lineRule="auto"/>
        <w:ind w:left="720" w:hanging="720"/>
        <w:rPr>
          <w:rFonts w:ascii="Calibri" w:hAnsi="Calibri"/>
          <w:noProof/>
        </w:rPr>
      </w:pPr>
      <w:bookmarkStart w:id="201" w:name="_ENREF_7_19"/>
      <w:r w:rsidRPr="00C806D0">
        <w:rPr>
          <w:rFonts w:ascii="Calibri" w:hAnsi="Calibri"/>
          <w:noProof/>
        </w:rPr>
        <w:t>19.</w:t>
      </w:r>
      <w:r w:rsidRPr="00C806D0">
        <w:rPr>
          <w:rFonts w:ascii="Calibri" w:hAnsi="Calibri"/>
          <w:noProof/>
        </w:rPr>
        <w:tab/>
        <w:t xml:space="preserve">Baguley IJ, Nott MT, Howle AA, Simpson GK, Browne S, King AC, Cotter RE, Hodgkinson A: </w:t>
      </w:r>
      <w:r w:rsidRPr="00C806D0">
        <w:rPr>
          <w:rFonts w:ascii="Calibri" w:hAnsi="Calibri"/>
          <w:b/>
          <w:noProof/>
        </w:rPr>
        <w:t>Late mortality after severe traumatic brain injury in New South Wales: a multicentre study</w:t>
      </w:r>
      <w:r w:rsidRPr="00C806D0">
        <w:rPr>
          <w:rFonts w:ascii="Calibri" w:hAnsi="Calibri"/>
          <w:noProof/>
        </w:rPr>
        <w:t xml:space="preserve">. </w:t>
      </w:r>
      <w:r w:rsidRPr="00C806D0">
        <w:rPr>
          <w:rFonts w:ascii="Calibri" w:hAnsi="Calibri"/>
          <w:i/>
          <w:noProof/>
        </w:rPr>
        <w:t xml:space="preserve">The Medical journal of Australia </w:t>
      </w:r>
      <w:r w:rsidRPr="00C806D0">
        <w:rPr>
          <w:rFonts w:ascii="Calibri" w:hAnsi="Calibri"/>
          <w:noProof/>
        </w:rPr>
        <w:t xml:space="preserve">2012, </w:t>
      </w:r>
      <w:r w:rsidRPr="00C806D0">
        <w:rPr>
          <w:rFonts w:ascii="Calibri" w:hAnsi="Calibri"/>
          <w:b/>
          <w:noProof/>
        </w:rPr>
        <w:t>196</w:t>
      </w:r>
      <w:r w:rsidRPr="00C806D0">
        <w:rPr>
          <w:rFonts w:ascii="Calibri" w:hAnsi="Calibri"/>
          <w:noProof/>
        </w:rPr>
        <w:t>(1):40-45.</w:t>
      </w:r>
      <w:bookmarkEnd w:id="201"/>
    </w:p>
    <w:p w:rsidR="006D4D62" w:rsidRPr="00C806D0" w:rsidRDefault="006D4D62" w:rsidP="006D4D62">
      <w:pPr>
        <w:spacing w:line="240" w:lineRule="auto"/>
        <w:ind w:left="720" w:hanging="720"/>
        <w:rPr>
          <w:rFonts w:ascii="Calibri" w:hAnsi="Calibri"/>
          <w:noProof/>
        </w:rPr>
      </w:pPr>
      <w:bookmarkStart w:id="202" w:name="_ENREF_7_20"/>
      <w:r w:rsidRPr="00C806D0">
        <w:rPr>
          <w:rFonts w:ascii="Calibri" w:hAnsi="Calibri"/>
          <w:noProof/>
        </w:rPr>
        <w:t>20.</w:t>
      </w:r>
      <w:r w:rsidRPr="00C806D0">
        <w:rPr>
          <w:rFonts w:ascii="Calibri" w:hAnsi="Calibri"/>
          <w:noProof/>
        </w:rPr>
        <w:tab/>
        <w:t xml:space="preserve">Himanen L, Portin R, Hamalainen P, Hurme S, Hiekkanen H, Tenovuo O: </w:t>
      </w:r>
      <w:r w:rsidRPr="00C806D0">
        <w:rPr>
          <w:rFonts w:ascii="Calibri" w:hAnsi="Calibri"/>
          <w:b/>
          <w:noProof/>
        </w:rPr>
        <w:t>Risk factors for reduced survival after traumatic brain injury: a 30-year follow-up study</w:t>
      </w:r>
      <w:r w:rsidRPr="00C806D0">
        <w:rPr>
          <w:rFonts w:ascii="Calibri" w:hAnsi="Calibri"/>
          <w:noProof/>
        </w:rPr>
        <w:t xml:space="preserve">. </w:t>
      </w:r>
      <w:r w:rsidRPr="00C806D0">
        <w:rPr>
          <w:rFonts w:ascii="Calibri" w:hAnsi="Calibri"/>
          <w:i/>
          <w:noProof/>
        </w:rPr>
        <w:t xml:space="preserve">Brain injury : [BI] </w:t>
      </w:r>
      <w:r w:rsidRPr="00C806D0">
        <w:rPr>
          <w:rFonts w:ascii="Calibri" w:hAnsi="Calibri"/>
          <w:noProof/>
        </w:rPr>
        <w:t xml:space="preserve">2011, </w:t>
      </w:r>
      <w:r w:rsidRPr="00C806D0">
        <w:rPr>
          <w:rFonts w:ascii="Calibri" w:hAnsi="Calibri"/>
          <w:b/>
          <w:noProof/>
        </w:rPr>
        <w:t>25</w:t>
      </w:r>
      <w:r w:rsidRPr="00C806D0">
        <w:rPr>
          <w:rFonts w:ascii="Calibri" w:hAnsi="Calibri"/>
          <w:noProof/>
        </w:rPr>
        <w:t>(5):443-452.</w:t>
      </w:r>
      <w:bookmarkEnd w:id="202"/>
    </w:p>
    <w:p w:rsidR="006D4D62" w:rsidRPr="00C806D0" w:rsidRDefault="006D4D62" w:rsidP="006D4D62">
      <w:pPr>
        <w:spacing w:line="240" w:lineRule="auto"/>
        <w:ind w:left="720" w:hanging="720"/>
        <w:rPr>
          <w:rFonts w:ascii="Calibri" w:hAnsi="Calibri"/>
          <w:noProof/>
        </w:rPr>
      </w:pPr>
      <w:bookmarkStart w:id="203" w:name="_ENREF_7_21"/>
      <w:r w:rsidRPr="00C806D0">
        <w:rPr>
          <w:rFonts w:ascii="Calibri" w:hAnsi="Calibri"/>
          <w:noProof/>
        </w:rPr>
        <w:t>21.</w:t>
      </w:r>
      <w:r w:rsidRPr="00C806D0">
        <w:rPr>
          <w:rFonts w:ascii="Calibri" w:hAnsi="Calibri"/>
          <w:noProof/>
        </w:rPr>
        <w:tab/>
        <w:t xml:space="preserve">McMillan TM, Teasdale GM, Weir CJ, Stewart E: </w:t>
      </w:r>
      <w:r w:rsidRPr="00C806D0">
        <w:rPr>
          <w:rFonts w:ascii="Calibri" w:hAnsi="Calibri"/>
          <w:b/>
          <w:noProof/>
        </w:rPr>
        <w:t>Death after head injury: the 13 year outcome of a case control study</w:t>
      </w:r>
      <w:r w:rsidRPr="00C806D0">
        <w:rPr>
          <w:rFonts w:ascii="Calibri" w:hAnsi="Calibri"/>
          <w:noProof/>
        </w:rPr>
        <w:t xml:space="preserve">. </w:t>
      </w:r>
      <w:r w:rsidRPr="00C806D0">
        <w:rPr>
          <w:rFonts w:ascii="Calibri" w:hAnsi="Calibri"/>
          <w:i/>
          <w:noProof/>
        </w:rPr>
        <w:t xml:space="preserve">Journal of neurology, neurosurgery, and psychiatry </w:t>
      </w:r>
      <w:r w:rsidRPr="00C806D0">
        <w:rPr>
          <w:rFonts w:ascii="Calibri" w:hAnsi="Calibri"/>
          <w:noProof/>
        </w:rPr>
        <w:t xml:space="preserve">2011, </w:t>
      </w:r>
      <w:r w:rsidRPr="00C806D0">
        <w:rPr>
          <w:rFonts w:ascii="Calibri" w:hAnsi="Calibri"/>
          <w:b/>
          <w:noProof/>
        </w:rPr>
        <w:t>82</w:t>
      </w:r>
      <w:r w:rsidRPr="00C806D0">
        <w:rPr>
          <w:rFonts w:ascii="Calibri" w:hAnsi="Calibri"/>
          <w:noProof/>
        </w:rPr>
        <w:t>(8):931-935.</w:t>
      </w:r>
      <w:bookmarkEnd w:id="203"/>
    </w:p>
    <w:p w:rsidR="006D4D62" w:rsidRPr="00C806D0" w:rsidRDefault="006D4D62" w:rsidP="006D4D62">
      <w:pPr>
        <w:spacing w:line="240" w:lineRule="auto"/>
        <w:ind w:left="720" w:hanging="720"/>
        <w:rPr>
          <w:rFonts w:ascii="Calibri" w:hAnsi="Calibri"/>
          <w:noProof/>
        </w:rPr>
      </w:pPr>
      <w:bookmarkStart w:id="204" w:name="_ENREF_7_22"/>
      <w:r w:rsidRPr="00C806D0">
        <w:rPr>
          <w:rFonts w:ascii="Calibri" w:hAnsi="Calibri"/>
          <w:noProof/>
        </w:rPr>
        <w:t>22.</w:t>
      </w:r>
      <w:r w:rsidRPr="00C806D0">
        <w:rPr>
          <w:rFonts w:ascii="Calibri" w:hAnsi="Calibri"/>
          <w:noProof/>
        </w:rPr>
        <w:tab/>
        <w:t xml:space="preserve">Colantonio A, Escobar MD, Chipman M, McLellan B, Austin PC, Mirabella G, Ratcliff G: </w:t>
      </w:r>
      <w:r w:rsidRPr="00C806D0">
        <w:rPr>
          <w:rFonts w:ascii="Calibri" w:hAnsi="Calibri"/>
          <w:b/>
          <w:noProof/>
        </w:rPr>
        <w:t>Predictors of postacute mortality following traumatic brain injury in a seriously injured population</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2008, </w:t>
      </w:r>
      <w:r w:rsidRPr="00C806D0">
        <w:rPr>
          <w:rFonts w:ascii="Calibri" w:hAnsi="Calibri"/>
          <w:b/>
          <w:noProof/>
        </w:rPr>
        <w:t>64</w:t>
      </w:r>
      <w:r w:rsidRPr="00C806D0">
        <w:rPr>
          <w:rFonts w:ascii="Calibri" w:hAnsi="Calibri"/>
          <w:noProof/>
        </w:rPr>
        <w:t>(4):876-882.</w:t>
      </w:r>
      <w:bookmarkEnd w:id="204"/>
    </w:p>
    <w:p w:rsidR="006D4D62" w:rsidRPr="00C806D0" w:rsidRDefault="006D4D62" w:rsidP="006D4D62">
      <w:pPr>
        <w:spacing w:line="240" w:lineRule="auto"/>
        <w:ind w:left="720" w:hanging="720"/>
        <w:rPr>
          <w:rFonts w:ascii="Calibri" w:hAnsi="Calibri"/>
          <w:noProof/>
        </w:rPr>
      </w:pPr>
      <w:bookmarkStart w:id="205" w:name="_ENREF_7_23"/>
      <w:r w:rsidRPr="00C806D0">
        <w:rPr>
          <w:rFonts w:ascii="Calibri" w:hAnsi="Calibri"/>
          <w:noProof/>
        </w:rPr>
        <w:t>23.</w:t>
      </w:r>
      <w:r w:rsidRPr="00C806D0">
        <w:rPr>
          <w:rFonts w:ascii="Calibri" w:hAnsi="Calibri"/>
          <w:noProof/>
        </w:rPr>
        <w:tab/>
        <w:t xml:space="preserve">Cameron CM, Purdie DM, Kliewer EV, McClure RJ: </w:t>
      </w:r>
      <w:r w:rsidRPr="00C806D0">
        <w:rPr>
          <w:rFonts w:ascii="Calibri" w:hAnsi="Calibri"/>
          <w:b/>
          <w:noProof/>
        </w:rPr>
        <w:t>Long-term mortality following trauma: 10 year follow-up in a population-based sample of injured adults</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2005, </w:t>
      </w:r>
      <w:r w:rsidRPr="00C806D0">
        <w:rPr>
          <w:rFonts w:ascii="Calibri" w:hAnsi="Calibri"/>
          <w:b/>
          <w:noProof/>
        </w:rPr>
        <w:t>59</w:t>
      </w:r>
      <w:r w:rsidRPr="00C806D0">
        <w:rPr>
          <w:rFonts w:ascii="Calibri" w:hAnsi="Calibri"/>
          <w:noProof/>
        </w:rPr>
        <w:t>(3):639-646.</w:t>
      </w:r>
      <w:bookmarkEnd w:id="205"/>
    </w:p>
    <w:p w:rsidR="006D4D62" w:rsidRPr="00C806D0" w:rsidRDefault="006D4D62" w:rsidP="006D4D62">
      <w:pPr>
        <w:spacing w:line="240" w:lineRule="auto"/>
        <w:ind w:left="720" w:hanging="720"/>
        <w:rPr>
          <w:rFonts w:ascii="Calibri" w:hAnsi="Calibri"/>
          <w:noProof/>
        </w:rPr>
      </w:pPr>
      <w:bookmarkStart w:id="206" w:name="_ENREF_7_24"/>
      <w:r w:rsidRPr="00C806D0">
        <w:rPr>
          <w:rFonts w:ascii="Calibri" w:hAnsi="Calibri"/>
          <w:noProof/>
        </w:rPr>
        <w:t>24.</w:t>
      </w:r>
      <w:r w:rsidRPr="00C806D0">
        <w:rPr>
          <w:rFonts w:ascii="Calibri" w:hAnsi="Calibri"/>
          <w:noProof/>
        </w:rPr>
        <w:tab/>
        <w:t xml:space="preserve">Ratcliff G, Colantonio A, Escobar M, Chase S, Vernich L: </w:t>
      </w:r>
      <w:r w:rsidRPr="00C806D0">
        <w:rPr>
          <w:rFonts w:ascii="Calibri" w:hAnsi="Calibri"/>
          <w:b/>
          <w:noProof/>
        </w:rPr>
        <w:t>Long-term survival following traumatic brain injury</w:t>
      </w:r>
      <w:r w:rsidRPr="00C806D0">
        <w:rPr>
          <w:rFonts w:ascii="Calibri" w:hAnsi="Calibri"/>
          <w:noProof/>
        </w:rPr>
        <w:t xml:space="preserve">. </w:t>
      </w:r>
      <w:r w:rsidRPr="00C806D0">
        <w:rPr>
          <w:rFonts w:ascii="Calibri" w:hAnsi="Calibri"/>
          <w:i/>
          <w:noProof/>
        </w:rPr>
        <w:t xml:space="preserve">Disability and rehabilitation </w:t>
      </w:r>
      <w:r w:rsidRPr="00C806D0">
        <w:rPr>
          <w:rFonts w:ascii="Calibri" w:hAnsi="Calibri"/>
          <w:noProof/>
        </w:rPr>
        <w:t xml:space="preserve">2005, </w:t>
      </w:r>
      <w:r w:rsidRPr="00C806D0">
        <w:rPr>
          <w:rFonts w:ascii="Calibri" w:hAnsi="Calibri"/>
          <w:b/>
          <w:noProof/>
        </w:rPr>
        <w:t>27</w:t>
      </w:r>
      <w:r w:rsidRPr="00C806D0">
        <w:rPr>
          <w:rFonts w:ascii="Calibri" w:hAnsi="Calibri"/>
          <w:noProof/>
        </w:rPr>
        <w:t>(6):305-314.</w:t>
      </w:r>
      <w:bookmarkEnd w:id="206"/>
    </w:p>
    <w:p w:rsidR="006D4D62" w:rsidRPr="00C806D0" w:rsidRDefault="006D4D62" w:rsidP="006D4D62">
      <w:pPr>
        <w:spacing w:line="240" w:lineRule="auto"/>
        <w:ind w:left="720" w:hanging="720"/>
        <w:rPr>
          <w:rFonts w:ascii="Calibri" w:hAnsi="Calibri"/>
          <w:noProof/>
        </w:rPr>
      </w:pPr>
      <w:bookmarkStart w:id="207" w:name="_ENREF_7_25"/>
      <w:r w:rsidRPr="00C806D0">
        <w:rPr>
          <w:rFonts w:ascii="Calibri" w:hAnsi="Calibri"/>
          <w:noProof/>
        </w:rPr>
        <w:t>25.</w:t>
      </w:r>
      <w:r w:rsidRPr="00C806D0">
        <w:rPr>
          <w:rFonts w:ascii="Calibri" w:hAnsi="Calibri"/>
          <w:noProof/>
        </w:rPr>
        <w:tab/>
        <w:t xml:space="preserve">Shavelle RM, Strauss D, Whyte J, Day SM, Yu YL: </w:t>
      </w:r>
      <w:r w:rsidRPr="00C806D0">
        <w:rPr>
          <w:rFonts w:ascii="Calibri" w:hAnsi="Calibri"/>
          <w:b/>
          <w:noProof/>
        </w:rPr>
        <w:t>Long-term causes of death after traumatic brain injury</w:t>
      </w:r>
      <w:r w:rsidRPr="00C806D0">
        <w:rPr>
          <w:rFonts w:ascii="Calibri" w:hAnsi="Calibri"/>
          <w:noProof/>
        </w:rPr>
        <w:t xml:space="preserve">. </w:t>
      </w:r>
      <w:r w:rsidRPr="00C806D0">
        <w:rPr>
          <w:rFonts w:ascii="Calibri" w:hAnsi="Calibri"/>
          <w:i/>
          <w:noProof/>
        </w:rPr>
        <w:t xml:space="preserve">American journal of physical medicine &amp; rehabilitation / Association of Academic Physiatrists </w:t>
      </w:r>
      <w:r w:rsidRPr="00C806D0">
        <w:rPr>
          <w:rFonts w:ascii="Calibri" w:hAnsi="Calibri"/>
          <w:noProof/>
        </w:rPr>
        <w:t xml:space="preserve">2001, </w:t>
      </w:r>
      <w:r w:rsidRPr="00C806D0">
        <w:rPr>
          <w:rFonts w:ascii="Calibri" w:hAnsi="Calibri"/>
          <w:b/>
          <w:noProof/>
        </w:rPr>
        <w:t>80</w:t>
      </w:r>
      <w:r w:rsidRPr="00C806D0">
        <w:rPr>
          <w:rFonts w:ascii="Calibri" w:hAnsi="Calibri"/>
          <w:noProof/>
        </w:rPr>
        <w:t>(7):510-516; quiz 517-519.</w:t>
      </w:r>
      <w:bookmarkEnd w:id="207"/>
    </w:p>
    <w:p w:rsidR="006D4D62" w:rsidRPr="00C806D0" w:rsidRDefault="006D4D62" w:rsidP="006D4D62">
      <w:pPr>
        <w:spacing w:line="240" w:lineRule="auto"/>
        <w:ind w:left="720" w:hanging="720"/>
        <w:rPr>
          <w:rFonts w:ascii="Calibri" w:hAnsi="Calibri"/>
          <w:noProof/>
        </w:rPr>
      </w:pPr>
      <w:bookmarkStart w:id="208" w:name="_ENREF_7_26"/>
      <w:r w:rsidRPr="00C806D0">
        <w:rPr>
          <w:rFonts w:ascii="Calibri" w:hAnsi="Calibri"/>
          <w:noProof/>
        </w:rPr>
        <w:t>26.</w:t>
      </w:r>
      <w:r w:rsidRPr="00C806D0">
        <w:rPr>
          <w:rFonts w:ascii="Calibri" w:hAnsi="Calibri"/>
          <w:noProof/>
        </w:rPr>
        <w:tab/>
        <w:t xml:space="preserve">Strauss DJ, Shavelle RM, Anderson TW: </w:t>
      </w:r>
      <w:r w:rsidRPr="00C806D0">
        <w:rPr>
          <w:rFonts w:ascii="Calibri" w:hAnsi="Calibri"/>
          <w:b/>
          <w:noProof/>
        </w:rPr>
        <w:t>Long-term survival of children and adolescents after traumatic brain injury</w:t>
      </w:r>
      <w:r w:rsidRPr="00C806D0">
        <w:rPr>
          <w:rFonts w:ascii="Calibri" w:hAnsi="Calibri"/>
          <w:noProof/>
        </w:rPr>
        <w:t xml:space="preserve">. </w:t>
      </w:r>
      <w:r w:rsidRPr="00C806D0">
        <w:rPr>
          <w:rFonts w:ascii="Calibri" w:hAnsi="Calibri"/>
          <w:i/>
          <w:noProof/>
        </w:rPr>
        <w:t xml:space="preserve">Archives of physical medicine and rehabilitation </w:t>
      </w:r>
      <w:r w:rsidRPr="00C806D0">
        <w:rPr>
          <w:rFonts w:ascii="Calibri" w:hAnsi="Calibri"/>
          <w:noProof/>
        </w:rPr>
        <w:t xml:space="preserve">1998, </w:t>
      </w:r>
      <w:r w:rsidRPr="00C806D0">
        <w:rPr>
          <w:rFonts w:ascii="Calibri" w:hAnsi="Calibri"/>
          <w:b/>
          <w:noProof/>
        </w:rPr>
        <w:t>79</w:t>
      </w:r>
      <w:r w:rsidRPr="00C806D0">
        <w:rPr>
          <w:rFonts w:ascii="Calibri" w:hAnsi="Calibri"/>
          <w:noProof/>
        </w:rPr>
        <w:t>(9):1095-1100.</w:t>
      </w:r>
      <w:bookmarkEnd w:id="208"/>
    </w:p>
    <w:p w:rsidR="006D4D62" w:rsidRPr="00C806D0" w:rsidRDefault="006D4D62" w:rsidP="006D4D62">
      <w:pPr>
        <w:spacing w:line="240" w:lineRule="auto"/>
        <w:rPr>
          <w:noProof/>
        </w:rPr>
      </w:pPr>
    </w:p>
    <w:p w:rsidR="000027E7" w:rsidRPr="00C806D0" w:rsidRDefault="000027E7" w:rsidP="000027E7"/>
    <w:p w:rsidR="005F0441" w:rsidRPr="00C806D0" w:rsidRDefault="005F0441" w:rsidP="004442E4">
      <w:pPr>
        <w:sectPr w:rsidR="005F0441" w:rsidRPr="00C806D0" w:rsidSect="00E31429">
          <w:pgSz w:w="11906" w:h="16838"/>
          <w:pgMar w:top="1134" w:right="1134" w:bottom="1134" w:left="2268" w:header="709" w:footer="709" w:gutter="0"/>
          <w:cols w:space="708"/>
          <w:docGrid w:linePitch="360"/>
        </w:sectPr>
      </w:pPr>
    </w:p>
    <w:p w:rsidR="005F0441" w:rsidRPr="00C806D0" w:rsidRDefault="005F0441" w:rsidP="005F0441">
      <w:pPr>
        <w:pStyle w:val="Heading1"/>
      </w:pPr>
      <w:r w:rsidRPr="00C806D0">
        <w:t xml:space="preserve">Appendix H: supplementary METHODOLOGical INFORMATION for the hitsns ECONOMIC EVALUATION </w:t>
      </w:r>
    </w:p>
    <w:p w:rsidR="005F0441" w:rsidRPr="00C806D0" w:rsidRDefault="005F0441" w:rsidP="005F0441">
      <w:pPr>
        <w:pStyle w:val="Heading2"/>
      </w:pPr>
      <w:r w:rsidRPr="00C806D0">
        <w:t>Delphi survey of TBI experts</w:t>
      </w:r>
    </w:p>
    <w:p w:rsidR="005F0441" w:rsidRPr="00C806D0" w:rsidRDefault="005F0441" w:rsidP="00480D7C">
      <w:pPr>
        <w:pStyle w:val="Heading3"/>
      </w:pPr>
      <w:r w:rsidRPr="00C806D0">
        <w:t>Background</w:t>
      </w:r>
    </w:p>
    <w:p w:rsidR="005F0441" w:rsidRPr="00C806D0" w:rsidRDefault="005F0441" w:rsidP="005F0441">
      <w:pPr>
        <w:rPr>
          <w:rFonts w:ascii="Calibri" w:hAnsi="Calibri"/>
          <w:vertAlign w:val="superscript"/>
        </w:rPr>
      </w:pPr>
      <w:r w:rsidRPr="00C806D0">
        <w:rPr>
          <w:rFonts w:ascii="Calibri" w:hAnsi="Calibri"/>
        </w:rPr>
        <w:t>To optimise the models contextual relevance, reduce biases arising from the subjective views of expert advisory panel members, maximise content and</w:t>
      </w:r>
      <w:r w:rsidR="000F4A20" w:rsidRPr="00C806D0">
        <w:rPr>
          <w:rFonts w:ascii="Calibri" w:hAnsi="Calibri"/>
        </w:rPr>
        <w:t xml:space="preserve"> face validity, </w:t>
      </w:r>
      <w:r w:rsidRPr="00C806D0">
        <w:rPr>
          <w:rFonts w:ascii="Calibri" w:hAnsi="Calibri"/>
        </w:rPr>
        <w:t>and increase credibility a modified Delphi approach was used to support development of  the conceptual models, seeking a consensus on the economic model structure and included comparators.</w:t>
      </w:r>
    </w:p>
    <w:p w:rsidR="005F0441" w:rsidRPr="00C806D0" w:rsidRDefault="005F0441" w:rsidP="005F0441">
      <w:pPr>
        <w:rPr>
          <w:rFonts w:ascii="Calibri" w:hAnsi="Calibri"/>
        </w:rPr>
      </w:pPr>
    </w:p>
    <w:p w:rsidR="005F0441" w:rsidRPr="00C806D0" w:rsidRDefault="005F0441" w:rsidP="005F0441">
      <w:pPr>
        <w:rPr>
          <w:rFonts w:ascii="Calibri" w:hAnsi="Calibri" w:cs="AdvTT2acb703b"/>
          <w:color w:val="131313"/>
        </w:rPr>
      </w:pPr>
      <w:r w:rsidRPr="00C806D0">
        <w:rPr>
          <w:rFonts w:ascii="Calibri" w:hAnsi="Calibri"/>
        </w:rPr>
        <w:t>The Delphi method is a consensus development technique, extensively applied in health research and used previously in decision analysis model structuring.</w:t>
      </w:r>
      <w:r w:rsidR="00480D7C" w:rsidRPr="00C806D0">
        <w:rPr>
          <w:rFonts w:ascii="Calibri" w:hAnsi="Calibri"/>
          <w:noProof/>
          <w:vertAlign w:val="superscript"/>
        </w:rPr>
        <w:t>[</w:t>
      </w:r>
      <w:r w:rsidR="006D4D62" w:rsidRPr="00C806D0">
        <w:rPr>
          <w:rFonts w:ascii="Calibri" w:hAnsi="Calibri"/>
          <w:noProof/>
          <w:vertAlign w:val="superscript"/>
        </w:rPr>
        <w:t>1</w:t>
      </w:r>
      <w:r w:rsidR="00480D7C" w:rsidRPr="00C806D0">
        <w:rPr>
          <w:rFonts w:ascii="Calibri" w:hAnsi="Calibri"/>
          <w:noProof/>
          <w:vertAlign w:val="superscript"/>
        </w:rPr>
        <w:t xml:space="preserve">, </w:t>
      </w:r>
      <w:r w:rsidR="006D4D62" w:rsidRPr="00C806D0">
        <w:rPr>
          <w:rFonts w:ascii="Calibri" w:hAnsi="Calibri"/>
          <w:noProof/>
          <w:vertAlign w:val="superscript"/>
        </w:rPr>
        <w:t>2</w:t>
      </w:r>
      <w:r w:rsidR="00480D7C" w:rsidRPr="00C806D0">
        <w:rPr>
          <w:rFonts w:ascii="Calibri" w:hAnsi="Calibri"/>
          <w:noProof/>
          <w:vertAlign w:val="superscript"/>
        </w:rPr>
        <w:t>]</w:t>
      </w:r>
      <w:r w:rsidRPr="00C806D0">
        <w:rPr>
          <w:rFonts w:ascii="Calibri" w:hAnsi="Calibri"/>
        </w:rPr>
        <w:t xml:space="preserve"> The classical Delphi process consists of </w:t>
      </w:r>
      <w:r w:rsidRPr="00C806D0">
        <w:rPr>
          <w:rFonts w:ascii="Calibri" w:hAnsi="Calibri" w:cs="AdvTT2acb703b"/>
          <w:color w:val="131313"/>
        </w:rPr>
        <w:t>a series of consecutive structured surveys of experts’ opinions, interspersed with moderated feedback to participants, aiming to reach a concordant group response. The fundamental characteristics of the Delphi technique include: respondent anonymity promoting the uninhibited expression of opinions; statistical aggregation of group responses; and controlled feedback and iteration allowing participants to refine their views in light of group opinions.</w:t>
      </w:r>
      <w:r w:rsidR="00480D7C" w:rsidRPr="00C806D0">
        <w:rPr>
          <w:rFonts w:ascii="Calibri" w:hAnsi="Calibri" w:cs="AdvTT2acb703b"/>
          <w:noProof/>
          <w:color w:val="131313"/>
          <w:vertAlign w:val="superscript"/>
        </w:rPr>
        <w:t>[</w:t>
      </w:r>
      <w:r w:rsidR="006D4D62" w:rsidRPr="00C806D0">
        <w:rPr>
          <w:rFonts w:ascii="Calibri" w:hAnsi="Calibri" w:cs="AdvTT2acb703b"/>
          <w:noProof/>
          <w:color w:val="131313"/>
          <w:vertAlign w:val="superscript"/>
        </w:rPr>
        <w:t>2-7</w:t>
      </w:r>
      <w:r w:rsidR="00480D7C" w:rsidRPr="00C806D0">
        <w:rPr>
          <w:rFonts w:ascii="Calibri" w:hAnsi="Calibri" w:cs="AdvTT2acb703b"/>
          <w:noProof/>
          <w:color w:val="131313"/>
          <w:vertAlign w:val="superscript"/>
        </w:rPr>
        <w:t>]</w:t>
      </w:r>
      <w:r w:rsidRPr="00C806D0">
        <w:rPr>
          <w:rFonts w:ascii="Calibri" w:hAnsi="Calibri" w:cs="AdvTT2acb703b"/>
          <w:color w:val="131313"/>
        </w:rPr>
        <w:t xml:space="preserve"> </w:t>
      </w:r>
    </w:p>
    <w:p w:rsidR="005F0441" w:rsidRPr="00C806D0" w:rsidRDefault="005F0441" w:rsidP="005F0441">
      <w:pPr>
        <w:rPr>
          <w:rFonts w:ascii="Calibri" w:hAnsi="Calibri" w:cs="AdvTT2acb703b"/>
          <w:color w:val="131313"/>
        </w:rPr>
      </w:pPr>
    </w:p>
    <w:p w:rsidR="005F0441" w:rsidRPr="00C806D0" w:rsidRDefault="005F0441" w:rsidP="005F0441">
      <w:pPr>
        <w:rPr>
          <w:rFonts w:ascii="Calibri" w:hAnsi="Calibri" w:cs="AdvTT2acb703b"/>
          <w:color w:val="131313"/>
        </w:rPr>
      </w:pPr>
      <w:r w:rsidRPr="00C806D0">
        <w:rPr>
          <w:rFonts w:ascii="Calibri" w:hAnsi="Calibri" w:cs="AdvTT2acb703b"/>
          <w:color w:val="131313"/>
        </w:rPr>
        <w:t>The initial Delphi iteration traditionally comprises an open survey of panel members’ views to identify relevant themes with high content validity. Subsequent Delphi rounds then frame and develop these important items as close-ended statements, with experts rating their agreement level in view of the group’s overall response, typically scored using a Likert scale. The Delphi process concludes once sufficient consensus and stability of opinion is reached. This is defined objectively based on pre-specified proportions of responses falling within in a prescribed range, and statistical agreement in responses between rounds.</w:t>
      </w:r>
      <w:r w:rsidR="00480D7C" w:rsidRPr="00C806D0">
        <w:rPr>
          <w:rFonts w:ascii="Calibri" w:hAnsi="Calibri" w:cs="AdvTT2acb703b"/>
          <w:noProof/>
          <w:color w:val="131313"/>
          <w:vertAlign w:val="superscript"/>
        </w:rPr>
        <w:t>[</w:t>
      </w:r>
      <w:r w:rsidR="006D4D62" w:rsidRPr="00C806D0">
        <w:rPr>
          <w:rFonts w:ascii="Calibri" w:hAnsi="Calibri" w:cs="AdvTT2acb703b"/>
          <w:noProof/>
          <w:color w:val="131313"/>
          <w:vertAlign w:val="superscript"/>
        </w:rPr>
        <w:t>2-7</w:t>
      </w:r>
      <w:r w:rsidR="00480D7C" w:rsidRPr="00C806D0">
        <w:rPr>
          <w:rFonts w:ascii="Calibri" w:hAnsi="Calibri" w:cs="AdvTT2acb703b"/>
          <w:noProof/>
          <w:color w:val="131313"/>
          <w:vertAlign w:val="superscript"/>
        </w:rPr>
        <w:t>]</w:t>
      </w:r>
    </w:p>
    <w:p w:rsidR="005F0441" w:rsidRPr="00C806D0" w:rsidRDefault="005F0441" w:rsidP="005F0441">
      <w:pPr>
        <w:autoSpaceDE w:val="0"/>
        <w:autoSpaceDN w:val="0"/>
        <w:adjustRightInd w:val="0"/>
        <w:rPr>
          <w:rFonts w:ascii="Calibri" w:hAnsi="Calibri" w:cs="AdvTT2acb703b"/>
          <w:color w:val="131313"/>
        </w:rPr>
      </w:pPr>
    </w:p>
    <w:p w:rsidR="005F0441" w:rsidRPr="00C806D0" w:rsidRDefault="005F0441" w:rsidP="005F0441">
      <w:pPr>
        <w:autoSpaceDE w:val="0"/>
        <w:autoSpaceDN w:val="0"/>
        <w:adjustRightInd w:val="0"/>
        <w:rPr>
          <w:rFonts w:ascii="Calibri" w:hAnsi="Calibri"/>
        </w:rPr>
      </w:pPr>
      <w:r w:rsidRPr="00C806D0">
        <w:rPr>
          <w:rFonts w:ascii="Calibri" w:hAnsi="Calibri"/>
        </w:rPr>
        <w:t>A Delphi approach was chosen to support model structuring over other consensus techniques due to its ability to include a wide range of geographically separated participants, allowance for reflection and free expression of opinions, efficiency, and facility to distil a diverse range of opinions.</w:t>
      </w:r>
      <w:r w:rsidR="00480D7C" w:rsidRPr="00C806D0">
        <w:rPr>
          <w:rFonts w:ascii="Calibri" w:hAnsi="Calibri"/>
          <w:noProof/>
          <w:vertAlign w:val="superscript"/>
        </w:rPr>
        <w:t>[</w:t>
      </w:r>
      <w:r w:rsidR="006D4D62" w:rsidRPr="00C806D0">
        <w:rPr>
          <w:rFonts w:ascii="Calibri" w:hAnsi="Calibri"/>
          <w:noProof/>
          <w:vertAlign w:val="superscript"/>
        </w:rPr>
        <w:t>3</w:t>
      </w:r>
      <w:r w:rsidR="00480D7C" w:rsidRPr="00C806D0">
        <w:rPr>
          <w:rFonts w:ascii="Calibri" w:hAnsi="Calibri"/>
          <w:noProof/>
          <w:vertAlign w:val="superscript"/>
        </w:rPr>
        <w:t>]</w:t>
      </w:r>
      <w:r w:rsidRPr="00C806D0">
        <w:rPr>
          <w:rFonts w:ascii="Calibri" w:hAnsi="Calibri"/>
        </w:rPr>
        <w:t xml:space="preserve"> </w:t>
      </w:r>
    </w:p>
    <w:p w:rsidR="005F0441" w:rsidRPr="00C806D0" w:rsidRDefault="005F0441" w:rsidP="00480D7C">
      <w:pPr>
        <w:pStyle w:val="Heading3"/>
      </w:pPr>
      <w:r w:rsidRPr="00C806D0">
        <w:t>Methods</w:t>
      </w:r>
    </w:p>
    <w:p w:rsidR="005F0441" w:rsidRPr="00C806D0" w:rsidRDefault="005F0441" w:rsidP="005F0441">
      <w:pPr>
        <w:autoSpaceDE w:val="0"/>
        <w:autoSpaceDN w:val="0"/>
        <w:adjustRightInd w:val="0"/>
        <w:rPr>
          <w:rFonts w:ascii="Calibri" w:hAnsi="Calibri"/>
        </w:rPr>
      </w:pPr>
      <w:r w:rsidRPr="00C806D0">
        <w:rPr>
          <w:rFonts w:ascii="Calibri" w:hAnsi="Calibri"/>
        </w:rPr>
        <w:t>The classical Delphi approach was modified slightly in response to the study’s objectives with replacement of an open first round with an advisory panel meeting to define relevant structured questions and informal judgement used to determine consensus. These modifications have been implemented previously in health economic studies, reflecting the specific requirements of decision analysis model structuring.</w:t>
      </w:r>
      <w:r w:rsidR="00480D7C" w:rsidRPr="00C806D0">
        <w:rPr>
          <w:rFonts w:ascii="Calibri" w:hAnsi="Calibri"/>
          <w:noProof/>
          <w:vertAlign w:val="superscript"/>
        </w:rPr>
        <w:t>[</w:t>
      </w:r>
      <w:r w:rsidR="006D4D62" w:rsidRPr="00C806D0">
        <w:rPr>
          <w:rFonts w:ascii="Calibri" w:hAnsi="Calibri"/>
          <w:noProof/>
          <w:vertAlign w:val="superscript"/>
        </w:rPr>
        <w:t>1</w:t>
      </w:r>
      <w:r w:rsidR="00480D7C" w:rsidRPr="00C806D0">
        <w:rPr>
          <w:rFonts w:ascii="Calibri" w:hAnsi="Calibri"/>
          <w:noProof/>
          <w:vertAlign w:val="superscript"/>
        </w:rPr>
        <w:t xml:space="preserve">, </w:t>
      </w:r>
      <w:r w:rsidR="006D4D62" w:rsidRPr="00C806D0">
        <w:rPr>
          <w:rFonts w:ascii="Calibri" w:hAnsi="Calibri"/>
          <w:noProof/>
          <w:vertAlign w:val="superscript"/>
        </w:rPr>
        <w:t>8</w:t>
      </w:r>
      <w:r w:rsidR="00480D7C" w:rsidRPr="00C806D0">
        <w:rPr>
          <w:rFonts w:ascii="Calibri" w:hAnsi="Calibri"/>
          <w:noProof/>
          <w:vertAlign w:val="superscript"/>
        </w:rPr>
        <w:t>]</w:t>
      </w:r>
      <w:r w:rsidRPr="00C806D0">
        <w:rPr>
          <w:rFonts w:ascii="Calibri" w:hAnsi="Calibri"/>
        </w:rPr>
        <w:t xml:space="preserve"> </w:t>
      </w:r>
    </w:p>
    <w:p w:rsidR="005F0441" w:rsidRPr="00C806D0" w:rsidRDefault="005F0441" w:rsidP="005F0441">
      <w:pPr>
        <w:autoSpaceDE w:val="0"/>
        <w:autoSpaceDN w:val="0"/>
        <w:adjustRightInd w:val="0"/>
        <w:rPr>
          <w:rFonts w:ascii="Calibri" w:hAnsi="Calibri"/>
          <w:i/>
        </w:rPr>
      </w:pPr>
    </w:p>
    <w:p w:rsidR="005F0441" w:rsidRPr="00C806D0" w:rsidRDefault="005F0441" w:rsidP="005F0441">
      <w:pPr>
        <w:rPr>
          <w:rFonts w:ascii="Calibri" w:hAnsi="Calibri"/>
        </w:rPr>
      </w:pPr>
      <w:r w:rsidRPr="00C806D0">
        <w:rPr>
          <w:rFonts w:ascii="Calibri" w:hAnsi="Calibri"/>
        </w:rPr>
        <w:t>Purposive sampling was used to recruit a heterogeneous group of subjects encompassing the full spectrum of expertise relevant to United Kingdom TBI management pathways. Selection criteria included: subject knowledge; specialist background; likelihood of participation; advocacy for specific management pathways; and credibility to the decision maker. Experts were identified from the scientific literature, clinical guideline groups, professional organisations and personal contacts. The sample size for Delphi studies is subjective and 22 panel members were chosen in accordance with guidelines from the Research And Development (RAND) Corporation.</w:t>
      </w:r>
      <w:r w:rsidR="00480D7C" w:rsidRPr="00C806D0">
        <w:rPr>
          <w:rFonts w:ascii="Calibri" w:hAnsi="Calibri"/>
          <w:noProof/>
          <w:vertAlign w:val="superscript"/>
        </w:rPr>
        <w:t>[</w:t>
      </w:r>
      <w:r w:rsidR="006D4D62" w:rsidRPr="00C806D0">
        <w:rPr>
          <w:rFonts w:ascii="Calibri" w:hAnsi="Calibri"/>
          <w:noProof/>
          <w:vertAlign w:val="superscript"/>
        </w:rPr>
        <w:t>2</w:t>
      </w:r>
      <w:r w:rsidR="00480D7C" w:rsidRPr="00C806D0">
        <w:rPr>
          <w:rFonts w:ascii="Calibri" w:hAnsi="Calibri"/>
          <w:noProof/>
          <w:vertAlign w:val="superscript"/>
        </w:rPr>
        <w:t>]</w:t>
      </w:r>
      <w:r w:rsidRPr="00C806D0">
        <w:rPr>
          <w:rFonts w:ascii="Calibri" w:hAnsi="Calibri"/>
        </w:rPr>
        <w:t xml:space="preserve"> This number was considered sufficient to reflect the diversity of potential viewpoints, allow for attrition, and reduce group error. </w:t>
      </w:r>
    </w:p>
    <w:p w:rsidR="005F0441" w:rsidRPr="00C806D0" w:rsidRDefault="005F0441" w:rsidP="005F0441">
      <w:pPr>
        <w:rPr>
          <w:rFonts w:ascii="Calibri" w:hAnsi="Calibri"/>
        </w:rPr>
      </w:pPr>
    </w:p>
    <w:p w:rsidR="005F0441" w:rsidRPr="00C806D0" w:rsidRDefault="005F0441" w:rsidP="005F0441">
      <w:pPr>
        <w:rPr>
          <w:rFonts w:ascii="Calibri" w:hAnsi="Calibri"/>
          <w:i/>
        </w:rPr>
      </w:pPr>
      <w:r w:rsidRPr="00C806D0">
        <w:rPr>
          <w:rFonts w:ascii="Calibri" w:hAnsi="Calibri"/>
        </w:rPr>
        <w:t>Potential experts were invited to participate by email and supplied with an information sheet explaining the study rationale, planned methodology, and consent procedures. An internet based self-administered Delphi process was subsequently conducted using pre-piloted web-hosted questionnaires. Each round allowed 2 weeks for completion of responses, with email reminders sent after 1 week. The survey was conducted from 20</w:t>
      </w:r>
      <w:r w:rsidRPr="00C806D0">
        <w:rPr>
          <w:rFonts w:ascii="Calibri" w:hAnsi="Calibri"/>
          <w:vertAlign w:val="superscript"/>
        </w:rPr>
        <w:t>th</w:t>
      </w:r>
      <w:r w:rsidRPr="00C806D0">
        <w:rPr>
          <w:rFonts w:ascii="Calibri" w:hAnsi="Calibri"/>
        </w:rPr>
        <w:t xml:space="preserve"> May 2013 to 31</w:t>
      </w:r>
      <w:r w:rsidRPr="00C806D0">
        <w:rPr>
          <w:rFonts w:ascii="Calibri" w:hAnsi="Calibri"/>
          <w:vertAlign w:val="superscript"/>
        </w:rPr>
        <w:t>st</w:t>
      </w:r>
      <w:r w:rsidRPr="00C806D0">
        <w:rPr>
          <w:rFonts w:ascii="Calibri" w:hAnsi="Calibri"/>
        </w:rPr>
        <w:t xml:space="preserve"> July 2014.</w:t>
      </w:r>
    </w:p>
    <w:p w:rsidR="005F0441" w:rsidRPr="00C806D0" w:rsidRDefault="005F0441" w:rsidP="005F0441">
      <w:pPr>
        <w:rPr>
          <w:rFonts w:ascii="Calibri" w:hAnsi="Calibri"/>
        </w:rPr>
      </w:pPr>
    </w:p>
    <w:p w:rsidR="005F0441" w:rsidRPr="00C806D0" w:rsidRDefault="005F0441" w:rsidP="005F0441">
      <w:pPr>
        <w:rPr>
          <w:rFonts w:ascii="Calibri" w:hAnsi="Calibri"/>
        </w:rPr>
      </w:pPr>
      <w:r w:rsidRPr="00C806D0">
        <w:rPr>
          <w:rFonts w:ascii="Calibri" w:hAnsi="Calibri"/>
        </w:rPr>
        <w:t xml:space="preserve">In the first round structured questions, informed by systematic literature reviews and the advisory group, were posed in three domains: identification of comparators relevant to the decision problem; characterisation of important population subgroups; and establishment of factors influencing the effectiveness of possible management pathways. In total 15 questions were asked across these domains. Participants were asked to rate their agreement with each question on a 1 (strongly disagree) to 5 (strongly agree) Likert scale and to justify their opinion in free-text.  An additional open question was posed in each domain asking participants to identify any further important options that had not been included.  </w:t>
      </w:r>
    </w:p>
    <w:p w:rsidR="005F0441" w:rsidRPr="00C806D0" w:rsidRDefault="005F0441" w:rsidP="005F0441">
      <w:pPr>
        <w:rPr>
          <w:rFonts w:ascii="Calibri" w:hAnsi="Calibri"/>
        </w:rPr>
      </w:pPr>
    </w:p>
    <w:p w:rsidR="005F0441" w:rsidRPr="00C806D0" w:rsidRDefault="005F0441" w:rsidP="005F0441">
      <w:pPr>
        <w:rPr>
          <w:rFonts w:ascii="Calibri" w:hAnsi="Calibri"/>
        </w:rPr>
      </w:pPr>
      <w:r w:rsidRPr="00C806D0">
        <w:rPr>
          <w:rFonts w:ascii="Calibri" w:hAnsi="Calibri"/>
        </w:rPr>
        <w:t xml:space="preserve">A mixed-methods approach was taken to summarise each round’s findings. Quantitative measures of percentage agreement and disagreement with each statement were calculated, with results also examined as frequency histograms to demonstrate the distribution of opinions. Free-text responses were examined using qualitative thematic analysis. In subsequent Delphi iterations, participants were provided with the quantitative and qualitative results of the previous round and a summary of their previous opinions. Model features judged to show a high level of consensus were not re-stated. </w:t>
      </w:r>
    </w:p>
    <w:p w:rsidR="005F0441" w:rsidRPr="00C806D0" w:rsidRDefault="005F0441" w:rsidP="005F0441">
      <w:pPr>
        <w:rPr>
          <w:rFonts w:ascii="Calibri" w:hAnsi="Calibri"/>
        </w:rPr>
      </w:pPr>
    </w:p>
    <w:p w:rsidR="005F0441" w:rsidRPr="00C806D0" w:rsidRDefault="005F0441" w:rsidP="005F0441">
      <w:pPr>
        <w:rPr>
          <w:rFonts w:ascii="Calibri" w:hAnsi="Calibri"/>
          <w:i/>
        </w:rPr>
      </w:pPr>
      <w:r w:rsidRPr="00C806D0">
        <w:rPr>
          <w:rFonts w:ascii="Calibri" w:hAnsi="Calibri"/>
        </w:rPr>
        <w:t xml:space="preserve">Up to four Delphi rounds were planned, dependent on when group agreement or stability of opinion was achieved on at least 80% of model structure criteria. Consensus and stability on each criterion were not formally defined, but were based on the primary modeller’s judgement guided by quantitative measures of agreement (&gt;70% agreement) and changes in responses between rounds. Early termination of the study was also possible if it was obvious that no further consensus was possible with further iterations.  </w:t>
      </w:r>
    </w:p>
    <w:p w:rsidR="005F0441" w:rsidRPr="00C806D0" w:rsidRDefault="005F0441" w:rsidP="005F0441">
      <w:pPr>
        <w:rPr>
          <w:rFonts w:ascii="Calibri" w:hAnsi="Calibri"/>
        </w:rPr>
      </w:pPr>
    </w:p>
    <w:p w:rsidR="005F0441" w:rsidRPr="00C806D0" w:rsidRDefault="005F0441" w:rsidP="005F0441">
      <w:pPr>
        <w:rPr>
          <w:rFonts w:ascii="Calibri" w:hAnsi="Calibri"/>
        </w:rPr>
      </w:pPr>
      <w:r w:rsidRPr="00C806D0">
        <w:rPr>
          <w:rFonts w:ascii="Calibri" w:hAnsi="Calibri"/>
        </w:rPr>
        <w:t>Surveys were designed and implemented using the SmartSurvey web application.</w:t>
      </w:r>
      <w:r w:rsidRPr="00C806D0">
        <w:rPr>
          <w:rFonts w:ascii="Calibri" w:hAnsi="Calibri"/>
          <w:noProof/>
          <w:vertAlign w:val="superscript"/>
        </w:rPr>
        <w:t>[</w:t>
      </w:r>
      <w:r w:rsidR="006D4D62" w:rsidRPr="00C806D0">
        <w:rPr>
          <w:rFonts w:ascii="Calibri" w:hAnsi="Calibri"/>
          <w:noProof/>
          <w:vertAlign w:val="superscript"/>
        </w:rPr>
        <w:t>9</w:t>
      </w:r>
      <w:r w:rsidRPr="00C806D0">
        <w:rPr>
          <w:rFonts w:ascii="Calibri" w:hAnsi="Calibri"/>
          <w:noProof/>
          <w:vertAlign w:val="superscript"/>
        </w:rPr>
        <w:t>]</w:t>
      </w:r>
      <w:r w:rsidRPr="00C806D0">
        <w:rPr>
          <w:rFonts w:ascii="Calibri" w:hAnsi="Calibri"/>
        </w:rPr>
        <w:t xml:space="preserve"> Data analysis was performed in Microsoft Excel (Microsoft Corporation, Redmond, USA) and Stata 12.1 (StataCorp, College Station ,USA). Ethical approval was obtained from the University of Sheffield. No financial incentives were offered and participants remained anonymous throughout the study. </w:t>
      </w:r>
    </w:p>
    <w:p w:rsidR="005F0441" w:rsidRPr="00C806D0" w:rsidRDefault="005F0441" w:rsidP="00480D7C">
      <w:pPr>
        <w:pStyle w:val="Heading3"/>
      </w:pPr>
      <w:r w:rsidRPr="00C806D0">
        <w:t>Results</w:t>
      </w:r>
    </w:p>
    <w:p w:rsidR="005F0441" w:rsidRPr="00C806D0" w:rsidRDefault="005F0441" w:rsidP="005F0441">
      <w:r w:rsidRPr="00C806D0">
        <w:t xml:space="preserve">Of the 22 experts invited to participate in the survey, 14 panellists (64%) completed the first round questionnaire.  At this stage consensus was adjudged to have been reached on 4 out of the initial 15 questions (27%). All 14 of these experts also participated in a second round during which consensus was obtained on four further questions. At this stage it was apparent that opinions diverged widely on the remaining questions and had not been significantly influenced by feedback between rounds. Free-text responses to these questions indicated that further convergence of opinion with additional rounds of surveying was unlikely to occur. It was considered that further sampling would lead to declining response rates rather than more relevant findings and the Delphi study was therefore terminated after round two. Table H1 summarises the results for each question. </w:t>
      </w:r>
    </w:p>
    <w:p w:rsidR="005F0441" w:rsidRPr="00C806D0" w:rsidRDefault="005F0441" w:rsidP="005F0441"/>
    <w:p w:rsidR="005F0441" w:rsidRPr="00C806D0" w:rsidRDefault="005F0441" w:rsidP="005F0441"/>
    <w:p w:rsidR="00BF1676" w:rsidRPr="00C806D0" w:rsidRDefault="00BF1676"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r w:rsidRPr="00C806D0">
        <w:rPr>
          <w:b/>
        </w:rPr>
        <w:t>Table H1. Results for each question in the Delphi survey</w:t>
      </w:r>
    </w:p>
    <w:tbl>
      <w:tblPr>
        <w:tblStyle w:val="LightShading1"/>
        <w:tblW w:w="0" w:type="auto"/>
        <w:tblLook w:val="0620" w:firstRow="1" w:lastRow="0" w:firstColumn="0" w:lastColumn="0" w:noHBand="1" w:noVBand="1"/>
      </w:tblPr>
      <w:tblGrid>
        <w:gridCol w:w="3588"/>
        <w:gridCol w:w="927"/>
        <w:gridCol w:w="1243"/>
        <w:gridCol w:w="1836"/>
        <w:gridCol w:w="621"/>
        <w:gridCol w:w="505"/>
      </w:tblGrid>
      <w:tr w:rsidR="005F0441" w:rsidRPr="00C806D0" w:rsidTr="002A16B4">
        <w:trPr>
          <w:cnfStyle w:val="100000000000" w:firstRow="1" w:lastRow="0" w:firstColumn="0" w:lastColumn="0" w:oddVBand="0" w:evenVBand="0" w:oddHBand="0" w:evenHBand="0" w:firstRowFirstColumn="0" w:firstRowLastColumn="0" w:lastRowFirstColumn="0" w:lastRowLastColumn="0"/>
        </w:trPr>
        <w:tc>
          <w:tcPr>
            <w:tcW w:w="0" w:type="auto"/>
            <w:tcBorders>
              <w:bottom w:val="nil"/>
            </w:tcBorders>
          </w:tcPr>
          <w:p w:rsidR="005F0441" w:rsidRPr="00C806D0" w:rsidRDefault="005F0441" w:rsidP="002A16B4">
            <w:r w:rsidRPr="00C806D0">
              <w:t>Question</w:t>
            </w:r>
          </w:p>
        </w:tc>
        <w:tc>
          <w:tcPr>
            <w:tcW w:w="0" w:type="auto"/>
            <w:gridSpan w:val="2"/>
            <w:tcBorders>
              <w:bottom w:val="nil"/>
            </w:tcBorders>
          </w:tcPr>
          <w:p w:rsidR="005F0441" w:rsidRPr="00C806D0" w:rsidRDefault="005F0441" w:rsidP="002A16B4">
            <w:pPr>
              <w:jc w:val="center"/>
            </w:pPr>
            <w:r w:rsidRPr="00C806D0">
              <w:t>Round 1 results*</w:t>
            </w:r>
          </w:p>
        </w:tc>
        <w:tc>
          <w:tcPr>
            <w:tcW w:w="0" w:type="auto"/>
            <w:gridSpan w:val="3"/>
            <w:tcBorders>
              <w:bottom w:val="nil"/>
            </w:tcBorders>
          </w:tcPr>
          <w:p w:rsidR="005F0441" w:rsidRPr="00C806D0" w:rsidRDefault="005F0441" w:rsidP="002A16B4">
            <w:pPr>
              <w:jc w:val="center"/>
            </w:pPr>
            <w:r w:rsidRPr="00C806D0">
              <w:t>Round 2 results*</w:t>
            </w:r>
          </w:p>
        </w:tc>
      </w:tr>
      <w:tr w:rsidR="005F0441" w:rsidRPr="00C806D0" w:rsidTr="002A16B4">
        <w:tc>
          <w:tcPr>
            <w:tcW w:w="0" w:type="auto"/>
            <w:tcBorders>
              <w:top w:val="nil"/>
              <w:bottom w:val="single" w:sz="4" w:space="0" w:color="auto"/>
            </w:tcBorders>
          </w:tcPr>
          <w:p w:rsidR="005F0441" w:rsidRPr="00C806D0" w:rsidRDefault="005F0441" w:rsidP="002A16B4"/>
        </w:tc>
        <w:tc>
          <w:tcPr>
            <w:tcW w:w="0" w:type="auto"/>
            <w:tcBorders>
              <w:top w:val="nil"/>
              <w:bottom w:val="single" w:sz="4" w:space="0" w:color="auto"/>
            </w:tcBorders>
          </w:tcPr>
          <w:p w:rsidR="005F0441" w:rsidRPr="00C806D0" w:rsidRDefault="005F0441" w:rsidP="002A16B4">
            <w:pPr>
              <w:jc w:val="center"/>
              <w:rPr>
                <w:b/>
              </w:rPr>
            </w:pPr>
            <w:r w:rsidRPr="00C806D0">
              <w:rPr>
                <w:b/>
              </w:rPr>
              <w:t>Agree</w:t>
            </w:r>
          </w:p>
        </w:tc>
        <w:tc>
          <w:tcPr>
            <w:tcW w:w="0" w:type="auto"/>
            <w:tcBorders>
              <w:top w:val="nil"/>
              <w:bottom w:val="single" w:sz="4" w:space="0" w:color="auto"/>
            </w:tcBorders>
          </w:tcPr>
          <w:p w:rsidR="005F0441" w:rsidRPr="00C806D0" w:rsidRDefault="005F0441" w:rsidP="002A16B4">
            <w:pPr>
              <w:jc w:val="center"/>
              <w:rPr>
                <w:b/>
              </w:rPr>
            </w:pPr>
            <w:r w:rsidRPr="00C806D0">
              <w:rPr>
                <w:b/>
              </w:rPr>
              <w:t>Disagree</w:t>
            </w:r>
          </w:p>
        </w:tc>
        <w:tc>
          <w:tcPr>
            <w:tcW w:w="0" w:type="auto"/>
            <w:tcBorders>
              <w:top w:val="nil"/>
              <w:bottom w:val="single" w:sz="4" w:space="0" w:color="auto"/>
            </w:tcBorders>
          </w:tcPr>
          <w:p w:rsidR="005F0441" w:rsidRPr="00C806D0" w:rsidRDefault="005F0441" w:rsidP="002A16B4">
            <w:pPr>
              <w:jc w:val="center"/>
              <w:rPr>
                <w:b/>
              </w:rPr>
            </w:pPr>
            <w:r w:rsidRPr="00C806D0">
              <w:rPr>
                <w:b/>
              </w:rPr>
              <w:t>Agree</w:t>
            </w:r>
          </w:p>
        </w:tc>
        <w:tc>
          <w:tcPr>
            <w:tcW w:w="0" w:type="auto"/>
            <w:gridSpan w:val="2"/>
            <w:tcBorders>
              <w:top w:val="nil"/>
              <w:bottom w:val="single" w:sz="4" w:space="0" w:color="auto"/>
            </w:tcBorders>
          </w:tcPr>
          <w:p w:rsidR="005F0441" w:rsidRPr="00C806D0" w:rsidRDefault="005F0441" w:rsidP="002A16B4">
            <w:pPr>
              <w:jc w:val="center"/>
              <w:rPr>
                <w:b/>
              </w:rPr>
            </w:pPr>
            <w:r w:rsidRPr="00C806D0">
              <w:rPr>
                <w:b/>
              </w:rPr>
              <w:t>Disagree</w:t>
            </w:r>
          </w:p>
        </w:tc>
      </w:tr>
      <w:tr w:rsidR="005F0441" w:rsidRPr="00C806D0" w:rsidTr="002A16B4">
        <w:trPr>
          <w:gridAfter w:val="1"/>
        </w:trPr>
        <w:tc>
          <w:tcPr>
            <w:tcW w:w="0" w:type="auto"/>
            <w:gridSpan w:val="5"/>
            <w:tcBorders>
              <w:top w:val="single" w:sz="4" w:space="0" w:color="auto"/>
            </w:tcBorders>
          </w:tcPr>
          <w:p w:rsidR="005F0441" w:rsidRPr="00C806D0" w:rsidRDefault="005F0441" w:rsidP="002A16B4">
            <w:r w:rsidRPr="00C806D0">
              <w:rPr>
                <w:b/>
              </w:rPr>
              <w:t>The following strategies should be included in the HITSNS economic model:</w:t>
            </w:r>
          </w:p>
        </w:tc>
      </w:tr>
      <w:tr w:rsidR="005F0441" w:rsidRPr="00C806D0" w:rsidTr="00480D7C">
        <w:tc>
          <w:tcPr>
            <w:tcW w:w="0" w:type="auto"/>
            <w:shd w:val="clear" w:color="auto" w:fill="D9D9D9" w:themeFill="background1" w:themeFillShade="D9"/>
          </w:tcPr>
          <w:p w:rsidR="005F0441" w:rsidRPr="00C806D0" w:rsidRDefault="002A16B4" w:rsidP="002A16B4">
            <w:r w:rsidRPr="00C806D0">
              <w:t>Prehospital</w:t>
            </w:r>
            <w:r w:rsidR="005F0441" w:rsidRPr="00C806D0">
              <w:t xml:space="preserve"> triage and bypass</w:t>
            </w:r>
          </w:p>
        </w:tc>
        <w:tc>
          <w:tcPr>
            <w:tcW w:w="0" w:type="auto"/>
            <w:shd w:val="clear" w:color="auto" w:fill="D9D9D9" w:themeFill="background1" w:themeFillShade="D9"/>
          </w:tcPr>
          <w:p w:rsidR="005F0441" w:rsidRPr="00C806D0" w:rsidRDefault="005F0441" w:rsidP="002A16B4">
            <w:pPr>
              <w:jc w:val="center"/>
            </w:pPr>
            <w:r w:rsidRPr="00C806D0">
              <w:t>79%</w:t>
            </w:r>
          </w:p>
        </w:tc>
        <w:tc>
          <w:tcPr>
            <w:tcW w:w="0" w:type="auto"/>
            <w:shd w:val="clear" w:color="auto" w:fill="D9D9D9" w:themeFill="background1" w:themeFillShade="D9"/>
          </w:tcPr>
          <w:p w:rsidR="005F0441" w:rsidRPr="00C806D0" w:rsidRDefault="005F0441" w:rsidP="002A16B4">
            <w:pPr>
              <w:jc w:val="center"/>
            </w:pPr>
            <w:r w:rsidRPr="00C806D0">
              <w:t>21%</w:t>
            </w:r>
          </w:p>
        </w:tc>
        <w:tc>
          <w:tcPr>
            <w:tcW w:w="0" w:type="auto"/>
            <w:shd w:val="clear" w:color="auto" w:fill="D9D9D9" w:themeFill="background1" w:themeFillShade="D9"/>
          </w:tcPr>
          <w:p w:rsidR="005F0441" w:rsidRPr="00C806D0" w:rsidRDefault="005F0441" w:rsidP="002A16B4">
            <w:pPr>
              <w:jc w:val="center"/>
            </w:pPr>
            <w:r w:rsidRPr="00C806D0">
              <w:t>-</w:t>
            </w:r>
          </w:p>
        </w:tc>
        <w:tc>
          <w:tcPr>
            <w:tcW w:w="0" w:type="auto"/>
            <w:gridSpan w:val="2"/>
            <w:shd w:val="clear" w:color="auto" w:fill="D9D9D9" w:themeFill="background1" w:themeFillShade="D9"/>
          </w:tcPr>
          <w:p w:rsidR="005F0441" w:rsidRPr="00C806D0" w:rsidRDefault="005F0441" w:rsidP="002A16B4">
            <w:pPr>
              <w:jc w:val="center"/>
            </w:pPr>
            <w:r w:rsidRPr="00C806D0">
              <w:t>-</w:t>
            </w:r>
          </w:p>
        </w:tc>
      </w:tr>
      <w:tr w:rsidR="005F0441" w:rsidRPr="00C806D0" w:rsidTr="00480D7C">
        <w:tc>
          <w:tcPr>
            <w:tcW w:w="0" w:type="auto"/>
            <w:shd w:val="clear" w:color="auto" w:fill="D9D9D9" w:themeFill="background1" w:themeFillShade="D9"/>
          </w:tcPr>
          <w:p w:rsidR="005F0441" w:rsidRPr="00C806D0" w:rsidRDefault="005F0441" w:rsidP="002A16B4">
            <w:r w:rsidRPr="00C806D0">
              <w:t>Selective secondary transfer</w:t>
            </w:r>
          </w:p>
        </w:tc>
        <w:tc>
          <w:tcPr>
            <w:tcW w:w="0" w:type="auto"/>
            <w:shd w:val="clear" w:color="auto" w:fill="D9D9D9" w:themeFill="background1" w:themeFillShade="D9"/>
          </w:tcPr>
          <w:p w:rsidR="005F0441" w:rsidRPr="00C806D0" w:rsidRDefault="005F0441" w:rsidP="002A16B4">
            <w:pPr>
              <w:jc w:val="center"/>
            </w:pPr>
            <w:r w:rsidRPr="00C806D0">
              <w:t>33%</w:t>
            </w:r>
          </w:p>
        </w:tc>
        <w:tc>
          <w:tcPr>
            <w:tcW w:w="0" w:type="auto"/>
            <w:shd w:val="clear" w:color="auto" w:fill="D9D9D9" w:themeFill="background1" w:themeFillShade="D9"/>
          </w:tcPr>
          <w:p w:rsidR="005F0441" w:rsidRPr="00C806D0" w:rsidRDefault="005F0441" w:rsidP="002A16B4">
            <w:pPr>
              <w:jc w:val="center"/>
            </w:pPr>
            <w:r w:rsidRPr="00C806D0">
              <w:t>50%</w:t>
            </w:r>
          </w:p>
        </w:tc>
        <w:tc>
          <w:tcPr>
            <w:tcW w:w="0" w:type="auto"/>
            <w:shd w:val="clear" w:color="auto" w:fill="D9D9D9" w:themeFill="background1" w:themeFillShade="D9"/>
          </w:tcPr>
          <w:p w:rsidR="005F0441" w:rsidRPr="00C806D0" w:rsidRDefault="005F0441" w:rsidP="002A16B4">
            <w:pPr>
              <w:jc w:val="center"/>
            </w:pPr>
            <w:r w:rsidRPr="00C806D0">
              <w:t>75%</w:t>
            </w:r>
          </w:p>
        </w:tc>
        <w:tc>
          <w:tcPr>
            <w:tcW w:w="0" w:type="auto"/>
            <w:gridSpan w:val="2"/>
            <w:shd w:val="clear" w:color="auto" w:fill="D9D9D9" w:themeFill="background1" w:themeFillShade="D9"/>
          </w:tcPr>
          <w:p w:rsidR="005F0441" w:rsidRPr="00C806D0" w:rsidRDefault="005F0441" w:rsidP="002A16B4">
            <w:pPr>
              <w:jc w:val="center"/>
            </w:pPr>
            <w:r w:rsidRPr="00C806D0">
              <w:t>17%</w:t>
            </w:r>
          </w:p>
        </w:tc>
      </w:tr>
      <w:tr w:rsidR="005F0441" w:rsidRPr="00C806D0" w:rsidTr="00480D7C">
        <w:tc>
          <w:tcPr>
            <w:tcW w:w="0" w:type="auto"/>
            <w:shd w:val="clear" w:color="auto" w:fill="D9D9D9" w:themeFill="background1" w:themeFillShade="D9"/>
          </w:tcPr>
          <w:p w:rsidR="005F0441" w:rsidRPr="00C806D0" w:rsidRDefault="005F0441" w:rsidP="002A16B4">
            <w:r w:rsidRPr="00C806D0">
              <w:t>Routine secondary transfer</w:t>
            </w:r>
          </w:p>
        </w:tc>
        <w:tc>
          <w:tcPr>
            <w:tcW w:w="0" w:type="auto"/>
            <w:shd w:val="clear" w:color="auto" w:fill="D9D9D9" w:themeFill="background1" w:themeFillShade="D9"/>
          </w:tcPr>
          <w:p w:rsidR="005F0441" w:rsidRPr="00C806D0" w:rsidRDefault="005F0441" w:rsidP="002A16B4">
            <w:pPr>
              <w:jc w:val="center"/>
            </w:pPr>
            <w:r w:rsidRPr="00C806D0">
              <w:t>75%</w:t>
            </w:r>
          </w:p>
        </w:tc>
        <w:tc>
          <w:tcPr>
            <w:tcW w:w="0" w:type="auto"/>
            <w:shd w:val="clear" w:color="auto" w:fill="D9D9D9" w:themeFill="background1" w:themeFillShade="D9"/>
          </w:tcPr>
          <w:p w:rsidR="005F0441" w:rsidRPr="00C806D0" w:rsidRDefault="005F0441" w:rsidP="002A16B4">
            <w:pPr>
              <w:jc w:val="center"/>
            </w:pPr>
            <w:r w:rsidRPr="00C806D0">
              <w:t>17%</w:t>
            </w:r>
          </w:p>
        </w:tc>
        <w:tc>
          <w:tcPr>
            <w:tcW w:w="0" w:type="auto"/>
            <w:shd w:val="clear" w:color="auto" w:fill="D9D9D9" w:themeFill="background1" w:themeFillShade="D9"/>
          </w:tcPr>
          <w:p w:rsidR="005F0441" w:rsidRPr="00C806D0" w:rsidRDefault="005F0441" w:rsidP="002A16B4">
            <w:pPr>
              <w:jc w:val="center"/>
            </w:pPr>
            <w:r w:rsidRPr="00C806D0">
              <w:t>-</w:t>
            </w:r>
          </w:p>
        </w:tc>
        <w:tc>
          <w:tcPr>
            <w:tcW w:w="0" w:type="auto"/>
            <w:gridSpan w:val="2"/>
            <w:shd w:val="clear" w:color="auto" w:fill="D9D9D9" w:themeFill="background1" w:themeFillShade="D9"/>
          </w:tcPr>
          <w:p w:rsidR="005F0441" w:rsidRPr="00C806D0" w:rsidRDefault="005F0441" w:rsidP="002A16B4">
            <w:pPr>
              <w:jc w:val="center"/>
            </w:pPr>
            <w:r w:rsidRPr="00C806D0">
              <w:t>-</w:t>
            </w:r>
          </w:p>
        </w:tc>
      </w:tr>
      <w:tr w:rsidR="005F0441" w:rsidRPr="00C806D0" w:rsidTr="00480D7C">
        <w:tc>
          <w:tcPr>
            <w:tcW w:w="0" w:type="auto"/>
            <w:shd w:val="clear" w:color="auto" w:fill="D9D9D9" w:themeFill="background1" w:themeFillShade="D9"/>
          </w:tcPr>
          <w:p w:rsidR="005F0441" w:rsidRPr="00C806D0" w:rsidRDefault="005F0441" w:rsidP="002A16B4">
            <w:r w:rsidRPr="00C806D0">
              <w:t>No secondary transfer</w:t>
            </w:r>
          </w:p>
        </w:tc>
        <w:tc>
          <w:tcPr>
            <w:tcW w:w="0" w:type="auto"/>
            <w:shd w:val="clear" w:color="auto" w:fill="D9D9D9" w:themeFill="background1" w:themeFillShade="D9"/>
          </w:tcPr>
          <w:p w:rsidR="005F0441" w:rsidRPr="00C806D0" w:rsidRDefault="005F0441" w:rsidP="002A16B4">
            <w:pPr>
              <w:jc w:val="center"/>
            </w:pPr>
            <w:r w:rsidRPr="00C806D0">
              <w:t>25%</w:t>
            </w:r>
          </w:p>
        </w:tc>
        <w:tc>
          <w:tcPr>
            <w:tcW w:w="0" w:type="auto"/>
            <w:shd w:val="clear" w:color="auto" w:fill="D9D9D9" w:themeFill="background1" w:themeFillShade="D9"/>
          </w:tcPr>
          <w:p w:rsidR="005F0441" w:rsidRPr="00C806D0" w:rsidRDefault="005F0441" w:rsidP="002A16B4">
            <w:pPr>
              <w:jc w:val="center"/>
            </w:pPr>
            <w:r w:rsidRPr="00C806D0">
              <w:t>67%</w:t>
            </w:r>
          </w:p>
        </w:tc>
        <w:tc>
          <w:tcPr>
            <w:tcW w:w="0" w:type="auto"/>
            <w:shd w:val="clear" w:color="auto" w:fill="D9D9D9" w:themeFill="background1" w:themeFillShade="D9"/>
          </w:tcPr>
          <w:p w:rsidR="005F0441" w:rsidRPr="00C806D0" w:rsidRDefault="005F0441" w:rsidP="002A16B4">
            <w:pPr>
              <w:jc w:val="center"/>
            </w:pPr>
            <w:r w:rsidRPr="00C806D0">
              <w:t>14%</w:t>
            </w:r>
          </w:p>
        </w:tc>
        <w:tc>
          <w:tcPr>
            <w:tcW w:w="0" w:type="auto"/>
            <w:gridSpan w:val="2"/>
            <w:shd w:val="clear" w:color="auto" w:fill="D9D9D9" w:themeFill="background1" w:themeFillShade="D9"/>
          </w:tcPr>
          <w:p w:rsidR="005F0441" w:rsidRPr="00C806D0" w:rsidRDefault="005F0441" w:rsidP="002A16B4">
            <w:pPr>
              <w:jc w:val="center"/>
            </w:pPr>
            <w:r w:rsidRPr="00C806D0">
              <w:t>79%</w:t>
            </w:r>
          </w:p>
        </w:tc>
      </w:tr>
      <w:tr w:rsidR="005F0441" w:rsidRPr="00C806D0" w:rsidTr="002A16B4">
        <w:tc>
          <w:tcPr>
            <w:tcW w:w="0" w:type="auto"/>
          </w:tcPr>
          <w:p w:rsidR="005F0441" w:rsidRPr="00C806D0" w:rsidRDefault="005F0441" w:rsidP="002A16B4"/>
        </w:tc>
        <w:tc>
          <w:tcPr>
            <w:tcW w:w="0" w:type="auto"/>
          </w:tcPr>
          <w:p w:rsidR="005F0441" w:rsidRPr="00C806D0" w:rsidRDefault="005F0441" w:rsidP="002A16B4"/>
        </w:tc>
        <w:tc>
          <w:tcPr>
            <w:tcW w:w="0" w:type="auto"/>
          </w:tcPr>
          <w:p w:rsidR="005F0441" w:rsidRPr="00C806D0" w:rsidRDefault="005F0441" w:rsidP="002A16B4"/>
        </w:tc>
        <w:tc>
          <w:tcPr>
            <w:tcW w:w="0" w:type="auto"/>
          </w:tcPr>
          <w:p w:rsidR="005F0441" w:rsidRPr="00C806D0" w:rsidRDefault="005F0441" w:rsidP="002A16B4"/>
        </w:tc>
        <w:tc>
          <w:tcPr>
            <w:tcW w:w="0" w:type="auto"/>
            <w:gridSpan w:val="2"/>
          </w:tcPr>
          <w:p w:rsidR="005F0441" w:rsidRPr="00C806D0" w:rsidRDefault="005F0441" w:rsidP="002A16B4"/>
        </w:tc>
      </w:tr>
      <w:tr w:rsidR="005F0441" w:rsidRPr="00C806D0" w:rsidTr="002A16B4">
        <w:trPr>
          <w:gridAfter w:val="1"/>
        </w:trPr>
        <w:tc>
          <w:tcPr>
            <w:tcW w:w="0" w:type="auto"/>
            <w:gridSpan w:val="5"/>
          </w:tcPr>
          <w:p w:rsidR="005F0441" w:rsidRPr="00C806D0" w:rsidRDefault="005F0441" w:rsidP="002A16B4">
            <w:pPr>
              <w:rPr>
                <w:b/>
              </w:rPr>
            </w:pPr>
            <w:r w:rsidRPr="00C806D0">
              <w:rPr>
                <w:b/>
              </w:rPr>
              <w:t xml:space="preserve">There will be a subgroup effect across different management strategies for the following types of patients: </w:t>
            </w:r>
          </w:p>
        </w:tc>
      </w:tr>
      <w:tr w:rsidR="005F0441" w:rsidRPr="00C806D0" w:rsidTr="002A16B4">
        <w:tc>
          <w:tcPr>
            <w:tcW w:w="0" w:type="auto"/>
          </w:tcPr>
          <w:p w:rsidR="005F0441" w:rsidRPr="00C806D0" w:rsidRDefault="005F0441" w:rsidP="002A16B4">
            <w:r w:rsidRPr="00C806D0">
              <w:t>Elderly &gt;65 years</w:t>
            </w:r>
          </w:p>
        </w:tc>
        <w:tc>
          <w:tcPr>
            <w:tcW w:w="0" w:type="auto"/>
          </w:tcPr>
          <w:p w:rsidR="005F0441" w:rsidRPr="00C806D0" w:rsidRDefault="005F0441" w:rsidP="002A16B4">
            <w:pPr>
              <w:jc w:val="center"/>
            </w:pPr>
            <w:r w:rsidRPr="00C806D0">
              <w:t>43%</w:t>
            </w:r>
          </w:p>
        </w:tc>
        <w:tc>
          <w:tcPr>
            <w:tcW w:w="0" w:type="auto"/>
          </w:tcPr>
          <w:p w:rsidR="005F0441" w:rsidRPr="00C806D0" w:rsidRDefault="005F0441" w:rsidP="002A16B4">
            <w:pPr>
              <w:jc w:val="center"/>
            </w:pPr>
            <w:r w:rsidRPr="00C806D0">
              <w:t>36%</w:t>
            </w:r>
          </w:p>
        </w:tc>
        <w:tc>
          <w:tcPr>
            <w:tcW w:w="0" w:type="auto"/>
          </w:tcPr>
          <w:p w:rsidR="005F0441" w:rsidRPr="00C806D0" w:rsidRDefault="005F0441" w:rsidP="002A16B4">
            <w:pPr>
              <w:jc w:val="center"/>
            </w:pPr>
            <w:r w:rsidRPr="00C806D0">
              <w:t>39%</w:t>
            </w:r>
          </w:p>
        </w:tc>
        <w:tc>
          <w:tcPr>
            <w:tcW w:w="0" w:type="auto"/>
            <w:gridSpan w:val="2"/>
          </w:tcPr>
          <w:p w:rsidR="005F0441" w:rsidRPr="00C806D0" w:rsidRDefault="005F0441" w:rsidP="002A16B4">
            <w:pPr>
              <w:jc w:val="center"/>
            </w:pPr>
            <w:r w:rsidRPr="00C806D0">
              <w:t>39%</w:t>
            </w:r>
          </w:p>
        </w:tc>
      </w:tr>
      <w:tr w:rsidR="005F0441" w:rsidRPr="00C806D0" w:rsidTr="002A16B4">
        <w:tc>
          <w:tcPr>
            <w:tcW w:w="0" w:type="auto"/>
          </w:tcPr>
          <w:p w:rsidR="005F0441" w:rsidRPr="00C806D0" w:rsidRDefault="005F0441" w:rsidP="002A16B4">
            <w:pPr>
              <w:rPr>
                <w:b/>
              </w:rPr>
            </w:pPr>
            <w:r w:rsidRPr="00C806D0">
              <w:rPr>
                <w:rFonts w:ascii="Calibri" w:hAnsi="Calibri"/>
              </w:rPr>
              <w:t>Expanding intracranial haematomas</w:t>
            </w:r>
          </w:p>
        </w:tc>
        <w:tc>
          <w:tcPr>
            <w:tcW w:w="0" w:type="auto"/>
          </w:tcPr>
          <w:p w:rsidR="005F0441" w:rsidRPr="00C806D0" w:rsidRDefault="005F0441" w:rsidP="002A16B4">
            <w:pPr>
              <w:jc w:val="center"/>
            </w:pPr>
            <w:r w:rsidRPr="00C806D0">
              <w:t>50%</w:t>
            </w:r>
          </w:p>
        </w:tc>
        <w:tc>
          <w:tcPr>
            <w:tcW w:w="0" w:type="auto"/>
          </w:tcPr>
          <w:p w:rsidR="005F0441" w:rsidRPr="00C806D0" w:rsidRDefault="005F0441" w:rsidP="002A16B4">
            <w:pPr>
              <w:jc w:val="center"/>
            </w:pPr>
            <w:r w:rsidRPr="00C806D0">
              <w:t>29%</w:t>
            </w:r>
          </w:p>
        </w:tc>
        <w:tc>
          <w:tcPr>
            <w:tcW w:w="0" w:type="auto"/>
          </w:tcPr>
          <w:p w:rsidR="005F0441" w:rsidRPr="00C806D0" w:rsidRDefault="005F0441" w:rsidP="002A16B4">
            <w:pPr>
              <w:jc w:val="center"/>
            </w:pPr>
            <w:r w:rsidRPr="00C806D0">
              <w:t>64%</w:t>
            </w:r>
          </w:p>
        </w:tc>
        <w:tc>
          <w:tcPr>
            <w:tcW w:w="0" w:type="auto"/>
            <w:gridSpan w:val="2"/>
          </w:tcPr>
          <w:p w:rsidR="005F0441" w:rsidRPr="00C806D0" w:rsidRDefault="005F0441" w:rsidP="002A16B4">
            <w:pPr>
              <w:jc w:val="center"/>
            </w:pPr>
            <w:r w:rsidRPr="00C806D0">
              <w:t>21%</w:t>
            </w:r>
          </w:p>
        </w:tc>
      </w:tr>
      <w:tr w:rsidR="005F0441" w:rsidRPr="00C806D0" w:rsidTr="002A16B4">
        <w:tc>
          <w:tcPr>
            <w:tcW w:w="0" w:type="auto"/>
          </w:tcPr>
          <w:p w:rsidR="005F0441" w:rsidRPr="00C806D0" w:rsidRDefault="005F0441" w:rsidP="002A16B4">
            <w:pPr>
              <w:rPr>
                <w:rFonts w:ascii="Calibri" w:hAnsi="Calibri"/>
              </w:rPr>
            </w:pPr>
            <w:r w:rsidRPr="00C806D0">
              <w:rPr>
                <w:rFonts w:ascii="Calibri" w:hAnsi="Calibri"/>
              </w:rPr>
              <w:t xml:space="preserve">Major </w:t>
            </w:r>
            <w:r w:rsidR="002A16B4" w:rsidRPr="00C806D0">
              <w:rPr>
                <w:rFonts w:ascii="Calibri" w:hAnsi="Calibri"/>
              </w:rPr>
              <w:t>extracranial</w:t>
            </w:r>
            <w:r w:rsidRPr="00C806D0">
              <w:rPr>
                <w:rFonts w:ascii="Calibri" w:hAnsi="Calibri"/>
              </w:rPr>
              <w:t xml:space="preserve"> injury</w:t>
            </w:r>
          </w:p>
          <w:p w:rsidR="005F0441" w:rsidRPr="00C806D0" w:rsidRDefault="005F0441" w:rsidP="002A16B4">
            <w:pPr>
              <w:rPr>
                <w:b/>
              </w:rPr>
            </w:pPr>
          </w:p>
        </w:tc>
        <w:tc>
          <w:tcPr>
            <w:tcW w:w="0" w:type="auto"/>
          </w:tcPr>
          <w:p w:rsidR="005F0441" w:rsidRPr="00C806D0" w:rsidRDefault="005F0441" w:rsidP="002A16B4">
            <w:pPr>
              <w:jc w:val="center"/>
            </w:pPr>
            <w:r w:rsidRPr="00C806D0">
              <w:t>43%</w:t>
            </w:r>
          </w:p>
        </w:tc>
        <w:tc>
          <w:tcPr>
            <w:tcW w:w="0" w:type="auto"/>
          </w:tcPr>
          <w:p w:rsidR="005F0441" w:rsidRPr="00C806D0" w:rsidRDefault="005F0441" w:rsidP="002A16B4">
            <w:pPr>
              <w:jc w:val="center"/>
            </w:pPr>
            <w:r w:rsidRPr="00C806D0">
              <w:t>14%</w:t>
            </w:r>
          </w:p>
        </w:tc>
        <w:tc>
          <w:tcPr>
            <w:tcW w:w="0" w:type="auto"/>
          </w:tcPr>
          <w:p w:rsidR="005F0441" w:rsidRPr="00C806D0" w:rsidRDefault="005F0441" w:rsidP="002A16B4">
            <w:pPr>
              <w:jc w:val="center"/>
            </w:pPr>
            <w:r w:rsidRPr="00C806D0">
              <w:t>57%</w:t>
            </w:r>
          </w:p>
        </w:tc>
        <w:tc>
          <w:tcPr>
            <w:tcW w:w="0" w:type="auto"/>
            <w:gridSpan w:val="2"/>
          </w:tcPr>
          <w:p w:rsidR="005F0441" w:rsidRPr="00C806D0" w:rsidRDefault="005F0441" w:rsidP="002A16B4">
            <w:pPr>
              <w:jc w:val="center"/>
            </w:pPr>
            <w:r w:rsidRPr="00C806D0">
              <w:t>14%</w:t>
            </w:r>
          </w:p>
        </w:tc>
      </w:tr>
      <w:tr w:rsidR="005F0441" w:rsidRPr="00C806D0" w:rsidTr="002A16B4">
        <w:trPr>
          <w:gridAfter w:val="1"/>
        </w:trPr>
        <w:tc>
          <w:tcPr>
            <w:tcW w:w="0" w:type="auto"/>
            <w:gridSpan w:val="5"/>
          </w:tcPr>
          <w:p w:rsidR="005F0441" w:rsidRPr="00C806D0" w:rsidRDefault="005F0441" w:rsidP="002A16B4">
            <w:r w:rsidRPr="00C806D0">
              <w:rPr>
                <w:b/>
              </w:rPr>
              <w:t>The following factors will be important in influencing the relative effectiveness of prehospital triage and bypass:</w:t>
            </w:r>
          </w:p>
        </w:tc>
      </w:tr>
      <w:tr w:rsidR="005F0441" w:rsidRPr="00C806D0" w:rsidTr="00480D7C">
        <w:tc>
          <w:tcPr>
            <w:tcW w:w="0" w:type="auto"/>
            <w:shd w:val="clear" w:color="auto" w:fill="D9D9D9" w:themeFill="background1" w:themeFillShade="D9"/>
          </w:tcPr>
          <w:p w:rsidR="005F0441" w:rsidRPr="00C806D0" w:rsidRDefault="005F0441" w:rsidP="002A16B4">
            <w:r w:rsidRPr="00C806D0">
              <w:t xml:space="preserve">Decreasing time to neurosurgery </w:t>
            </w:r>
          </w:p>
        </w:tc>
        <w:tc>
          <w:tcPr>
            <w:tcW w:w="0" w:type="auto"/>
            <w:shd w:val="clear" w:color="auto" w:fill="D9D9D9" w:themeFill="background1" w:themeFillShade="D9"/>
          </w:tcPr>
          <w:p w:rsidR="005F0441" w:rsidRPr="00C806D0" w:rsidRDefault="005F0441" w:rsidP="002A16B4">
            <w:pPr>
              <w:jc w:val="center"/>
            </w:pPr>
            <w:r w:rsidRPr="00C806D0">
              <w:t>83%</w:t>
            </w:r>
          </w:p>
        </w:tc>
        <w:tc>
          <w:tcPr>
            <w:tcW w:w="0" w:type="auto"/>
            <w:shd w:val="clear" w:color="auto" w:fill="D9D9D9" w:themeFill="background1" w:themeFillShade="D9"/>
          </w:tcPr>
          <w:p w:rsidR="005F0441" w:rsidRPr="00C806D0" w:rsidRDefault="005F0441" w:rsidP="002A16B4">
            <w:pPr>
              <w:jc w:val="center"/>
            </w:pPr>
            <w:r w:rsidRPr="00C806D0">
              <w:t>0%</w:t>
            </w:r>
          </w:p>
        </w:tc>
        <w:tc>
          <w:tcPr>
            <w:tcW w:w="0" w:type="auto"/>
            <w:shd w:val="clear" w:color="auto" w:fill="D9D9D9" w:themeFill="background1" w:themeFillShade="D9"/>
          </w:tcPr>
          <w:p w:rsidR="005F0441" w:rsidRPr="00C806D0" w:rsidRDefault="005F0441" w:rsidP="002A16B4">
            <w:pPr>
              <w:jc w:val="center"/>
            </w:pPr>
            <w:r w:rsidRPr="00C806D0">
              <w:t>-</w:t>
            </w:r>
          </w:p>
        </w:tc>
        <w:tc>
          <w:tcPr>
            <w:tcW w:w="0" w:type="auto"/>
            <w:gridSpan w:val="2"/>
            <w:shd w:val="clear" w:color="auto" w:fill="D9D9D9" w:themeFill="background1" w:themeFillShade="D9"/>
          </w:tcPr>
          <w:p w:rsidR="005F0441" w:rsidRPr="00C806D0" w:rsidRDefault="005F0441" w:rsidP="002A16B4">
            <w:pPr>
              <w:jc w:val="center"/>
            </w:pPr>
            <w:r w:rsidRPr="00C806D0">
              <w:t>-</w:t>
            </w:r>
          </w:p>
        </w:tc>
      </w:tr>
      <w:tr w:rsidR="005F0441" w:rsidRPr="00C806D0" w:rsidTr="00480D7C">
        <w:tc>
          <w:tcPr>
            <w:tcW w:w="0" w:type="auto"/>
            <w:shd w:val="clear" w:color="auto" w:fill="D9D9D9" w:themeFill="background1" w:themeFillShade="D9"/>
          </w:tcPr>
          <w:p w:rsidR="005F0441" w:rsidRPr="00C806D0" w:rsidRDefault="005F0441" w:rsidP="002A16B4">
            <w:r w:rsidRPr="00C806D0">
              <w:t>Decreased time to neurocritical care</w:t>
            </w:r>
          </w:p>
        </w:tc>
        <w:tc>
          <w:tcPr>
            <w:tcW w:w="0" w:type="auto"/>
            <w:shd w:val="clear" w:color="auto" w:fill="D9D9D9" w:themeFill="background1" w:themeFillShade="D9"/>
          </w:tcPr>
          <w:p w:rsidR="005F0441" w:rsidRPr="00C806D0" w:rsidRDefault="005F0441" w:rsidP="002A16B4">
            <w:pPr>
              <w:jc w:val="center"/>
            </w:pPr>
            <w:r w:rsidRPr="00C806D0">
              <w:t>79%</w:t>
            </w:r>
          </w:p>
        </w:tc>
        <w:tc>
          <w:tcPr>
            <w:tcW w:w="0" w:type="auto"/>
            <w:shd w:val="clear" w:color="auto" w:fill="D9D9D9" w:themeFill="background1" w:themeFillShade="D9"/>
          </w:tcPr>
          <w:p w:rsidR="005F0441" w:rsidRPr="00C806D0" w:rsidRDefault="005F0441" w:rsidP="002A16B4">
            <w:pPr>
              <w:jc w:val="center"/>
            </w:pPr>
            <w:r w:rsidRPr="00C806D0">
              <w:t>31%</w:t>
            </w:r>
          </w:p>
        </w:tc>
        <w:tc>
          <w:tcPr>
            <w:tcW w:w="0" w:type="auto"/>
            <w:shd w:val="clear" w:color="auto" w:fill="D9D9D9" w:themeFill="background1" w:themeFillShade="D9"/>
          </w:tcPr>
          <w:p w:rsidR="005F0441" w:rsidRPr="00C806D0" w:rsidRDefault="005F0441" w:rsidP="002A16B4">
            <w:pPr>
              <w:jc w:val="center"/>
            </w:pPr>
            <w:r w:rsidRPr="00C806D0">
              <w:t>-</w:t>
            </w:r>
          </w:p>
        </w:tc>
        <w:tc>
          <w:tcPr>
            <w:tcW w:w="0" w:type="auto"/>
            <w:gridSpan w:val="2"/>
            <w:shd w:val="clear" w:color="auto" w:fill="D9D9D9" w:themeFill="background1" w:themeFillShade="D9"/>
          </w:tcPr>
          <w:p w:rsidR="005F0441" w:rsidRPr="00C806D0" w:rsidRDefault="005F0441" w:rsidP="002A16B4">
            <w:pPr>
              <w:jc w:val="center"/>
            </w:pPr>
            <w:r w:rsidRPr="00C806D0">
              <w:t>-</w:t>
            </w:r>
          </w:p>
        </w:tc>
      </w:tr>
      <w:tr w:rsidR="005F0441" w:rsidRPr="00C806D0" w:rsidTr="002A16B4">
        <w:tc>
          <w:tcPr>
            <w:tcW w:w="0" w:type="auto"/>
          </w:tcPr>
          <w:p w:rsidR="005F0441" w:rsidRPr="00C806D0" w:rsidRDefault="005F0441" w:rsidP="002A16B4">
            <w:r w:rsidRPr="00C806D0">
              <w:t>Increasing number treated in SNCs</w:t>
            </w:r>
          </w:p>
        </w:tc>
        <w:tc>
          <w:tcPr>
            <w:tcW w:w="0" w:type="auto"/>
          </w:tcPr>
          <w:p w:rsidR="005F0441" w:rsidRPr="00C806D0" w:rsidRDefault="005F0441" w:rsidP="002A16B4">
            <w:pPr>
              <w:jc w:val="center"/>
            </w:pPr>
            <w:r w:rsidRPr="00C806D0">
              <w:t>62%</w:t>
            </w:r>
          </w:p>
        </w:tc>
        <w:tc>
          <w:tcPr>
            <w:tcW w:w="0" w:type="auto"/>
          </w:tcPr>
          <w:p w:rsidR="005F0441" w:rsidRPr="00C806D0" w:rsidRDefault="005F0441" w:rsidP="002A16B4">
            <w:pPr>
              <w:jc w:val="center"/>
            </w:pPr>
            <w:r w:rsidRPr="00C806D0">
              <w:t>15%</w:t>
            </w:r>
          </w:p>
        </w:tc>
        <w:tc>
          <w:tcPr>
            <w:tcW w:w="0" w:type="auto"/>
          </w:tcPr>
          <w:p w:rsidR="005F0441" w:rsidRPr="00C806D0" w:rsidRDefault="005F0441" w:rsidP="002A16B4">
            <w:pPr>
              <w:jc w:val="center"/>
            </w:pPr>
            <w:r w:rsidRPr="00C806D0">
              <w:t>50%</w:t>
            </w:r>
          </w:p>
        </w:tc>
        <w:tc>
          <w:tcPr>
            <w:tcW w:w="0" w:type="auto"/>
            <w:gridSpan w:val="2"/>
          </w:tcPr>
          <w:p w:rsidR="005F0441" w:rsidRPr="00C806D0" w:rsidRDefault="005F0441" w:rsidP="002A16B4">
            <w:pPr>
              <w:jc w:val="center"/>
            </w:pPr>
            <w:r w:rsidRPr="00C806D0">
              <w:t>14%</w:t>
            </w:r>
          </w:p>
        </w:tc>
      </w:tr>
      <w:tr w:rsidR="005F0441" w:rsidRPr="00C806D0" w:rsidTr="002A16B4">
        <w:tc>
          <w:tcPr>
            <w:tcW w:w="0" w:type="auto"/>
          </w:tcPr>
          <w:p w:rsidR="005F0441" w:rsidRPr="00C806D0" w:rsidRDefault="005F0441" w:rsidP="002A16B4">
            <w:r w:rsidRPr="00C806D0">
              <w:t>Secondary brain insults during bypass</w:t>
            </w:r>
          </w:p>
        </w:tc>
        <w:tc>
          <w:tcPr>
            <w:tcW w:w="0" w:type="auto"/>
          </w:tcPr>
          <w:p w:rsidR="005F0441" w:rsidRPr="00C806D0" w:rsidRDefault="005F0441" w:rsidP="002A16B4">
            <w:pPr>
              <w:jc w:val="center"/>
            </w:pPr>
            <w:r w:rsidRPr="00C806D0">
              <w:t>46%</w:t>
            </w:r>
          </w:p>
        </w:tc>
        <w:tc>
          <w:tcPr>
            <w:tcW w:w="0" w:type="auto"/>
          </w:tcPr>
          <w:p w:rsidR="005F0441" w:rsidRPr="00C806D0" w:rsidRDefault="005F0441" w:rsidP="002A16B4">
            <w:pPr>
              <w:jc w:val="center"/>
            </w:pPr>
            <w:r w:rsidRPr="00C806D0">
              <w:t>23%</w:t>
            </w:r>
          </w:p>
        </w:tc>
        <w:tc>
          <w:tcPr>
            <w:tcW w:w="0" w:type="auto"/>
          </w:tcPr>
          <w:p w:rsidR="005F0441" w:rsidRPr="00C806D0" w:rsidRDefault="005F0441" w:rsidP="002A16B4">
            <w:pPr>
              <w:jc w:val="center"/>
            </w:pPr>
            <w:r w:rsidRPr="00C806D0">
              <w:t>43%</w:t>
            </w:r>
          </w:p>
        </w:tc>
        <w:tc>
          <w:tcPr>
            <w:tcW w:w="0" w:type="auto"/>
            <w:gridSpan w:val="2"/>
          </w:tcPr>
          <w:p w:rsidR="005F0441" w:rsidRPr="00C806D0" w:rsidRDefault="005F0441" w:rsidP="002A16B4">
            <w:pPr>
              <w:jc w:val="center"/>
            </w:pPr>
            <w:r w:rsidRPr="00C806D0">
              <w:t>7%</w:t>
            </w:r>
          </w:p>
        </w:tc>
      </w:tr>
      <w:tr w:rsidR="005F0441" w:rsidRPr="00C806D0" w:rsidTr="002A16B4">
        <w:tc>
          <w:tcPr>
            <w:tcW w:w="0" w:type="auto"/>
          </w:tcPr>
          <w:p w:rsidR="005F0441" w:rsidRPr="00C806D0" w:rsidRDefault="005F0441" w:rsidP="002A16B4">
            <w:r w:rsidRPr="00C806D0">
              <w:t xml:space="preserve">Overcrowding </w:t>
            </w:r>
            <w:r w:rsidR="00480D7C" w:rsidRPr="00C806D0">
              <w:t xml:space="preserve">in </w:t>
            </w:r>
            <w:r w:rsidRPr="00C806D0">
              <w:t>SNC ICUs</w:t>
            </w:r>
          </w:p>
        </w:tc>
        <w:tc>
          <w:tcPr>
            <w:tcW w:w="0" w:type="auto"/>
          </w:tcPr>
          <w:p w:rsidR="005F0441" w:rsidRPr="00C806D0" w:rsidRDefault="005F0441" w:rsidP="002A16B4">
            <w:pPr>
              <w:jc w:val="center"/>
            </w:pPr>
            <w:r w:rsidRPr="00C806D0">
              <w:t>21%</w:t>
            </w:r>
          </w:p>
        </w:tc>
        <w:tc>
          <w:tcPr>
            <w:tcW w:w="0" w:type="auto"/>
          </w:tcPr>
          <w:p w:rsidR="005F0441" w:rsidRPr="00C806D0" w:rsidRDefault="005F0441" w:rsidP="002A16B4">
            <w:pPr>
              <w:jc w:val="center"/>
            </w:pPr>
            <w:r w:rsidRPr="00C806D0">
              <w:t>50%</w:t>
            </w:r>
          </w:p>
        </w:tc>
        <w:tc>
          <w:tcPr>
            <w:tcW w:w="0" w:type="auto"/>
          </w:tcPr>
          <w:p w:rsidR="005F0441" w:rsidRPr="00C806D0" w:rsidRDefault="005F0441" w:rsidP="002A16B4">
            <w:pPr>
              <w:jc w:val="center"/>
            </w:pPr>
            <w:r w:rsidRPr="00C806D0">
              <w:t>36%</w:t>
            </w:r>
          </w:p>
        </w:tc>
        <w:tc>
          <w:tcPr>
            <w:tcW w:w="0" w:type="auto"/>
            <w:gridSpan w:val="2"/>
          </w:tcPr>
          <w:p w:rsidR="005F0441" w:rsidRPr="00C806D0" w:rsidRDefault="005F0441" w:rsidP="002A16B4">
            <w:pPr>
              <w:jc w:val="center"/>
            </w:pPr>
            <w:r w:rsidRPr="00C806D0">
              <w:t>43%</w:t>
            </w:r>
          </w:p>
        </w:tc>
      </w:tr>
      <w:tr w:rsidR="005F0441" w:rsidRPr="00C806D0" w:rsidTr="00480D7C">
        <w:tc>
          <w:tcPr>
            <w:tcW w:w="0" w:type="auto"/>
            <w:shd w:val="clear" w:color="auto" w:fill="D9D9D9" w:themeFill="background1" w:themeFillShade="D9"/>
          </w:tcPr>
          <w:p w:rsidR="005F0441" w:rsidRPr="00C806D0" w:rsidRDefault="005F0441" w:rsidP="002A16B4">
            <w:r w:rsidRPr="00C806D0">
              <w:t xml:space="preserve">Overcrowding </w:t>
            </w:r>
            <w:r w:rsidR="00480D7C" w:rsidRPr="00C806D0">
              <w:t xml:space="preserve">in </w:t>
            </w:r>
            <w:r w:rsidRPr="00C806D0">
              <w:t>SNC EDs</w:t>
            </w:r>
          </w:p>
        </w:tc>
        <w:tc>
          <w:tcPr>
            <w:tcW w:w="0" w:type="auto"/>
            <w:shd w:val="clear" w:color="auto" w:fill="D9D9D9" w:themeFill="background1" w:themeFillShade="D9"/>
          </w:tcPr>
          <w:p w:rsidR="005F0441" w:rsidRPr="00C806D0" w:rsidRDefault="005F0441" w:rsidP="002A16B4">
            <w:pPr>
              <w:jc w:val="center"/>
            </w:pPr>
            <w:r w:rsidRPr="00C806D0">
              <w:t>23%</w:t>
            </w:r>
          </w:p>
        </w:tc>
        <w:tc>
          <w:tcPr>
            <w:tcW w:w="0" w:type="auto"/>
            <w:shd w:val="clear" w:color="auto" w:fill="D9D9D9" w:themeFill="background1" w:themeFillShade="D9"/>
          </w:tcPr>
          <w:p w:rsidR="005F0441" w:rsidRPr="00C806D0" w:rsidRDefault="005F0441" w:rsidP="002A16B4">
            <w:pPr>
              <w:jc w:val="center"/>
            </w:pPr>
            <w:r w:rsidRPr="00C806D0">
              <w:t>54%</w:t>
            </w:r>
          </w:p>
        </w:tc>
        <w:tc>
          <w:tcPr>
            <w:tcW w:w="0" w:type="auto"/>
            <w:shd w:val="clear" w:color="auto" w:fill="D9D9D9" w:themeFill="background1" w:themeFillShade="D9"/>
          </w:tcPr>
          <w:p w:rsidR="005F0441" w:rsidRPr="00C806D0" w:rsidRDefault="005F0441" w:rsidP="002A16B4">
            <w:pPr>
              <w:jc w:val="center"/>
            </w:pPr>
            <w:r w:rsidRPr="00C806D0">
              <w:t>29%</w:t>
            </w:r>
          </w:p>
        </w:tc>
        <w:tc>
          <w:tcPr>
            <w:tcW w:w="0" w:type="auto"/>
            <w:gridSpan w:val="2"/>
            <w:shd w:val="clear" w:color="auto" w:fill="D9D9D9" w:themeFill="background1" w:themeFillShade="D9"/>
          </w:tcPr>
          <w:p w:rsidR="005F0441" w:rsidRPr="00C806D0" w:rsidRDefault="005F0441" w:rsidP="002A16B4">
            <w:pPr>
              <w:jc w:val="center"/>
            </w:pPr>
            <w:r w:rsidRPr="00C806D0">
              <w:t>71%</w:t>
            </w:r>
          </w:p>
        </w:tc>
      </w:tr>
      <w:tr w:rsidR="005F0441" w:rsidRPr="00C806D0" w:rsidTr="002A16B4">
        <w:tc>
          <w:tcPr>
            <w:tcW w:w="0" w:type="auto"/>
          </w:tcPr>
          <w:p w:rsidR="005F0441" w:rsidRPr="00C806D0" w:rsidRDefault="005F0441" w:rsidP="002A16B4">
            <w:r w:rsidRPr="00C806D0">
              <w:t>Inaccurate prehospital triage</w:t>
            </w:r>
          </w:p>
        </w:tc>
        <w:tc>
          <w:tcPr>
            <w:tcW w:w="0" w:type="auto"/>
          </w:tcPr>
          <w:p w:rsidR="005F0441" w:rsidRPr="00C806D0" w:rsidRDefault="005F0441" w:rsidP="002A16B4">
            <w:pPr>
              <w:jc w:val="center"/>
            </w:pPr>
            <w:r w:rsidRPr="00C806D0">
              <w:t>50%</w:t>
            </w:r>
          </w:p>
        </w:tc>
        <w:tc>
          <w:tcPr>
            <w:tcW w:w="0" w:type="auto"/>
          </w:tcPr>
          <w:p w:rsidR="005F0441" w:rsidRPr="00C806D0" w:rsidRDefault="005F0441" w:rsidP="002A16B4">
            <w:pPr>
              <w:jc w:val="center"/>
            </w:pPr>
            <w:r w:rsidRPr="00C806D0">
              <w:t>21%</w:t>
            </w:r>
          </w:p>
        </w:tc>
        <w:tc>
          <w:tcPr>
            <w:tcW w:w="0" w:type="auto"/>
          </w:tcPr>
          <w:p w:rsidR="005F0441" w:rsidRPr="00C806D0" w:rsidRDefault="005F0441" w:rsidP="002A16B4">
            <w:pPr>
              <w:jc w:val="center"/>
            </w:pPr>
            <w:r w:rsidRPr="00C806D0">
              <w:t>57%</w:t>
            </w:r>
          </w:p>
        </w:tc>
        <w:tc>
          <w:tcPr>
            <w:tcW w:w="0" w:type="auto"/>
            <w:gridSpan w:val="2"/>
          </w:tcPr>
          <w:p w:rsidR="005F0441" w:rsidRPr="00C806D0" w:rsidRDefault="005F0441" w:rsidP="002A16B4">
            <w:pPr>
              <w:jc w:val="center"/>
            </w:pPr>
            <w:r w:rsidRPr="00C806D0">
              <w:t>14%</w:t>
            </w:r>
          </w:p>
        </w:tc>
      </w:tr>
      <w:tr w:rsidR="005F0441" w:rsidRPr="00C806D0" w:rsidTr="00480D7C">
        <w:tc>
          <w:tcPr>
            <w:tcW w:w="0" w:type="auto"/>
            <w:shd w:val="clear" w:color="auto" w:fill="D9D9D9" w:themeFill="background1" w:themeFillShade="D9"/>
          </w:tcPr>
          <w:p w:rsidR="005F0441" w:rsidRPr="00C806D0" w:rsidRDefault="005F0441" w:rsidP="002A16B4">
            <w:r w:rsidRPr="00C806D0">
              <w:t>De-skilling in NSAHs</w:t>
            </w:r>
          </w:p>
        </w:tc>
        <w:tc>
          <w:tcPr>
            <w:tcW w:w="0" w:type="auto"/>
            <w:shd w:val="clear" w:color="auto" w:fill="D9D9D9" w:themeFill="background1" w:themeFillShade="D9"/>
          </w:tcPr>
          <w:p w:rsidR="005F0441" w:rsidRPr="00C806D0" w:rsidRDefault="005F0441" w:rsidP="002A16B4">
            <w:pPr>
              <w:jc w:val="center"/>
            </w:pPr>
            <w:r w:rsidRPr="00C806D0">
              <w:t>21%</w:t>
            </w:r>
          </w:p>
        </w:tc>
        <w:tc>
          <w:tcPr>
            <w:tcW w:w="0" w:type="auto"/>
            <w:shd w:val="clear" w:color="auto" w:fill="D9D9D9" w:themeFill="background1" w:themeFillShade="D9"/>
          </w:tcPr>
          <w:p w:rsidR="005F0441" w:rsidRPr="00C806D0" w:rsidRDefault="005F0441" w:rsidP="002A16B4">
            <w:pPr>
              <w:jc w:val="center"/>
            </w:pPr>
            <w:r w:rsidRPr="00C806D0">
              <w:t>64%</w:t>
            </w:r>
          </w:p>
        </w:tc>
        <w:tc>
          <w:tcPr>
            <w:tcW w:w="0" w:type="auto"/>
            <w:shd w:val="clear" w:color="auto" w:fill="D9D9D9" w:themeFill="background1" w:themeFillShade="D9"/>
          </w:tcPr>
          <w:p w:rsidR="005F0441" w:rsidRPr="00C806D0" w:rsidRDefault="005F0441" w:rsidP="002A16B4">
            <w:pPr>
              <w:jc w:val="center"/>
            </w:pPr>
            <w:r w:rsidRPr="00C806D0">
              <w:t>29%</w:t>
            </w:r>
          </w:p>
        </w:tc>
        <w:tc>
          <w:tcPr>
            <w:tcW w:w="0" w:type="auto"/>
            <w:gridSpan w:val="2"/>
            <w:shd w:val="clear" w:color="auto" w:fill="D9D9D9" w:themeFill="background1" w:themeFillShade="D9"/>
          </w:tcPr>
          <w:p w:rsidR="005F0441" w:rsidRPr="00C806D0" w:rsidRDefault="005F0441" w:rsidP="002A16B4">
            <w:pPr>
              <w:jc w:val="center"/>
            </w:pPr>
            <w:r w:rsidRPr="00C806D0">
              <w:t>71%</w:t>
            </w:r>
          </w:p>
        </w:tc>
      </w:tr>
      <w:tr w:rsidR="005F0441" w:rsidRPr="00C806D0" w:rsidTr="002A16B4">
        <w:tc>
          <w:tcPr>
            <w:tcW w:w="0" w:type="auto"/>
            <w:shd w:val="clear" w:color="auto" w:fill="FFFFFF" w:themeFill="background1"/>
          </w:tcPr>
          <w:p w:rsidR="005F0441" w:rsidRPr="00C806D0" w:rsidRDefault="005F0441" w:rsidP="002A16B4"/>
        </w:tc>
        <w:tc>
          <w:tcPr>
            <w:tcW w:w="0" w:type="auto"/>
            <w:shd w:val="clear" w:color="auto" w:fill="FFFFFF" w:themeFill="background1"/>
          </w:tcPr>
          <w:p w:rsidR="005F0441" w:rsidRPr="00C806D0" w:rsidRDefault="005F0441" w:rsidP="002A16B4">
            <w:pPr>
              <w:jc w:val="center"/>
            </w:pPr>
          </w:p>
        </w:tc>
        <w:tc>
          <w:tcPr>
            <w:tcW w:w="0" w:type="auto"/>
            <w:shd w:val="clear" w:color="auto" w:fill="FFFFFF" w:themeFill="background1"/>
          </w:tcPr>
          <w:p w:rsidR="005F0441" w:rsidRPr="00C806D0" w:rsidRDefault="005F0441" w:rsidP="002A16B4">
            <w:pPr>
              <w:jc w:val="center"/>
            </w:pPr>
          </w:p>
        </w:tc>
        <w:tc>
          <w:tcPr>
            <w:tcW w:w="0" w:type="auto"/>
            <w:shd w:val="clear" w:color="auto" w:fill="FFFFFF" w:themeFill="background1"/>
          </w:tcPr>
          <w:p w:rsidR="005F0441" w:rsidRPr="00C806D0" w:rsidRDefault="005F0441" w:rsidP="002A16B4">
            <w:pPr>
              <w:jc w:val="center"/>
            </w:pPr>
          </w:p>
        </w:tc>
        <w:tc>
          <w:tcPr>
            <w:tcW w:w="0" w:type="auto"/>
            <w:gridSpan w:val="2"/>
            <w:shd w:val="clear" w:color="auto" w:fill="FFFFFF" w:themeFill="background1"/>
          </w:tcPr>
          <w:p w:rsidR="005F0441" w:rsidRPr="00C806D0" w:rsidRDefault="005F0441" w:rsidP="002A16B4">
            <w:pPr>
              <w:jc w:val="center"/>
            </w:pPr>
          </w:p>
        </w:tc>
      </w:tr>
    </w:tbl>
    <w:p w:rsidR="005F0441" w:rsidRPr="00C806D0" w:rsidRDefault="005F0441" w:rsidP="005F0441">
      <w:pPr>
        <w:rPr>
          <w:rFonts w:ascii="Calibri" w:hAnsi="Calibri"/>
          <w:sz w:val="20"/>
          <w:szCs w:val="20"/>
        </w:rPr>
      </w:pPr>
      <w:r w:rsidRPr="00C806D0">
        <w:rPr>
          <w:rFonts w:ascii="Calibri" w:hAnsi="Calibri"/>
          <w:sz w:val="20"/>
          <w:szCs w:val="20"/>
        </w:rPr>
        <w:t>* Likert scale scores of strongly agree/agree and strongly disagree/disagree combined to give two result categories. Unsure or neutral results not presented.</w:t>
      </w:r>
    </w:p>
    <w:p w:rsidR="005F0441" w:rsidRPr="00C806D0" w:rsidRDefault="005F0441" w:rsidP="005F0441">
      <w:pPr>
        <w:rPr>
          <w:sz w:val="20"/>
          <w:szCs w:val="20"/>
        </w:rPr>
      </w:pPr>
      <w:r w:rsidRPr="00C806D0">
        <w:rPr>
          <w:sz w:val="20"/>
          <w:szCs w:val="20"/>
        </w:rPr>
        <w:t>Questions on which a consensus was reached are highlighted in grey.</w:t>
      </w:r>
    </w:p>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r w:rsidRPr="00C806D0">
        <w:t xml:space="preserve">A substantial consensus was reached on relevant comparators, with 75% or more of respondents agreeing that </w:t>
      </w:r>
      <w:r w:rsidR="002A16B4" w:rsidRPr="00C806D0">
        <w:t>prehospital</w:t>
      </w:r>
      <w:r w:rsidRPr="00C806D0">
        <w:t xml:space="preserve"> triage and bypass, routine secondary transfer and selective secondary transfer should be included in the model. A clear majority of participants felt that the ‘no secondary transfer’ strategy was not an appropriate or relevant strategy for NHS practice (79% disagreement). However, there was a strong minority view that this comparator should be assessed in the economic model, with comments including:</w:t>
      </w:r>
    </w:p>
    <w:p w:rsidR="005F0441" w:rsidRPr="00C806D0" w:rsidRDefault="005F0441" w:rsidP="005F0441"/>
    <w:p w:rsidR="005F0441" w:rsidRPr="00C806D0" w:rsidRDefault="005F0441" w:rsidP="00550C9C">
      <w:pPr>
        <w:pStyle w:val="ListParagraph"/>
        <w:numPr>
          <w:ilvl w:val="0"/>
          <w:numId w:val="27"/>
        </w:numPr>
        <w:rPr>
          <w:rFonts w:ascii="Calibri" w:eastAsia="Times New Roman" w:hAnsi="Calibri" w:cs="Times New Roman"/>
          <w:i/>
          <w:color w:val="000000"/>
          <w:lang w:eastAsia="en-GB"/>
        </w:rPr>
      </w:pPr>
      <w:r w:rsidRPr="00C806D0">
        <w:rPr>
          <w:i/>
        </w:rPr>
        <w:t>‘</w:t>
      </w:r>
      <w:r w:rsidRPr="00C806D0">
        <w:rPr>
          <w:rFonts w:ascii="Calibri" w:eastAsia="Times New Roman" w:hAnsi="Calibri" w:cs="Times New Roman"/>
          <w:i/>
          <w:color w:val="000000"/>
          <w:lang w:eastAsia="en-GB"/>
        </w:rPr>
        <w:t>I do not believe that this is the most clinically appropriate strategy, but needs to be included in any economic modelling exercise as it still reflects patient pathways in some parts of the country’</w:t>
      </w:r>
    </w:p>
    <w:p w:rsidR="005F0441" w:rsidRPr="00C806D0" w:rsidRDefault="005F0441" w:rsidP="00550C9C">
      <w:pPr>
        <w:pStyle w:val="ListParagraph"/>
        <w:numPr>
          <w:ilvl w:val="0"/>
          <w:numId w:val="27"/>
        </w:numPr>
        <w:rPr>
          <w:rFonts w:ascii="Calibri" w:eastAsia="Times New Roman" w:hAnsi="Calibri" w:cs="Times New Roman"/>
          <w:i/>
          <w:color w:val="000000"/>
          <w:lang w:eastAsia="en-GB"/>
        </w:rPr>
      </w:pPr>
      <w:r w:rsidRPr="00C806D0">
        <w:rPr>
          <w:rFonts w:ascii="Calibri" w:eastAsia="Times New Roman" w:hAnsi="Calibri" w:cs="Times New Roman"/>
          <w:i/>
          <w:color w:val="000000"/>
          <w:lang w:eastAsia="en-GB"/>
        </w:rPr>
        <w:t>‘I strongly agree that you should assess this in your model - but I do not believe it is an appropriate management strategy in the NHS’</w:t>
      </w:r>
    </w:p>
    <w:p w:rsidR="005F0441" w:rsidRPr="00C806D0" w:rsidRDefault="005F0441" w:rsidP="00550C9C">
      <w:pPr>
        <w:pStyle w:val="ListParagraph"/>
        <w:numPr>
          <w:ilvl w:val="0"/>
          <w:numId w:val="27"/>
        </w:numPr>
        <w:rPr>
          <w:rFonts w:ascii="Calibri" w:eastAsia="Times New Roman" w:hAnsi="Calibri" w:cs="Times New Roman"/>
          <w:i/>
          <w:color w:val="000000"/>
          <w:lang w:eastAsia="en-GB"/>
        </w:rPr>
      </w:pPr>
      <w:r w:rsidRPr="00C806D0">
        <w:rPr>
          <w:rFonts w:ascii="Calibri" w:eastAsia="Times New Roman" w:hAnsi="Calibri" w:cs="Times New Roman"/>
          <w:i/>
          <w:color w:val="000000"/>
          <w:lang w:eastAsia="en-GB"/>
        </w:rPr>
        <w:t>‘I still feel there is a role for the local non-specialist hospital if there are adequate facilities’</w:t>
      </w:r>
    </w:p>
    <w:p w:rsidR="005F0441" w:rsidRPr="00C806D0" w:rsidRDefault="005F0441" w:rsidP="005F0441">
      <w:r w:rsidRPr="00C806D0">
        <w:t xml:space="preserve">A further potential management strategy was suggested independently by two different respondents. They proposed the attendance of a specialist in </w:t>
      </w:r>
      <w:r w:rsidR="002A16B4" w:rsidRPr="00C806D0">
        <w:t>prehospital</w:t>
      </w:r>
      <w:r w:rsidRPr="00C806D0">
        <w:t xml:space="preserve"> emergency medicine at the incident scene in cases with ABC instability, with subsequent direct transportation to a SNC. Although this was considered to be a potentially important intervention it was not relevant to the HITSNS decision problem, as by definition only initially stable patients were eligible for inclusion in the study. This strategy was therefore not included in round two.</w:t>
      </w:r>
    </w:p>
    <w:p w:rsidR="005F0441" w:rsidRPr="00C806D0" w:rsidRDefault="005F0441" w:rsidP="005F0441"/>
    <w:p w:rsidR="005F0441" w:rsidRPr="00C806D0" w:rsidRDefault="005F0441" w:rsidP="005F0441">
      <w:r w:rsidRPr="00C806D0">
        <w:t xml:space="preserve">There was a strong consensus evident that decreasing time to neurosurgery and neurocritical care were important determinants influencing the effectiveness of </w:t>
      </w:r>
      <w:r w:rsidR="002A16B4" w:rsidRPr="00C806D0">
        <w:t>prehospital</w:t>
      </w:r>
      <w:r w:rsidRPr="00C806D0">
        <w:t xml:space="preserve"> triage and bypass (≥79% agreement). Conversely, overcrowding in SNC EDs arising from non-specific triage and de-skilling of NSAHs in TBI management were not considered to be detrimental effects of this strategy (71% disagreement). No consensus could be reached on whether increasing the numbers of patients with significant TBI treated in SNCs was an important component contributing to the effectiveness of bypass; or whether secondary insults during prolonged primary transportation, overcrowding in SNC critical care units, or inaccurate </w:t>
      </w:r>
      <w:r w:rsidR="002A16B4" w:rsidRPr="00C806D0">
        <w:t>prehospital</w:t>
      </w:r>
      <w:r w:rsidRPr="00C806D0">
        <w:t xml:space="preserve"> triage would reduce the effectiveness of a bypass strategy. For each of these survey questions approximately one third of respondents were felt neutral or were unsure as to whether these items were important. The setting in which </w:t>
      </w:r>
      <w:r w:rsidR="002A16B4" w:rsidRPr="00C806D0">
        <w:t>prehospital</w:t>
      </w:r>
      <w:r w:rsidRPr="00C806D0">
        <w:t xml:space="preserve"> triage and bypass was implemented was identified as an additional potentially important factor by one expert. Although this was acknowledged to be an important issue, the HITSNS study protocol specifically mentioned that urban conurbations such as London were not under consideration and this item was consequently not added to the round two questionnaires.</w:t>
      </w:r>
    </w:p>
    <w:p w:rsidR="005F0441" w:rsidRPr="00C806D0" w:rsidRDefault="005F0441" w:rsidP="005F0441"/>
    <w:p w:rsidR="005F0441" w:rsidRPr="00C806D0" w:rsidRDefault="005F0441" w:rsidP="005F0441">
      <w:r w:rsidRPr="00C806D0">
        <w:t xml:space="preserve">There was a considerable diversity of opinion on whether subgroups of elderly patients, or cases with </w:t>
      </w:r>
      <w:r w:rsidR="002A16B4" w:rsidRPr="00C806D0">
        <w:t>extracranial</w:t>
      </w:r>
      <w:r w:rsidRPr="00C806D0">
        <w:t xml:space="preserve"> injuries, would be differentially affected by </w:t>
      </w:r>
      <w:r w:rsidR="002A16B4" w:rsidRPr="00C806D0">
        <w:t>prehospital</w:t>
      </w:r>
      <w:r w:rsidRPr="00C806D0">
        <w:t xml:space="preserve"> triage and bypass, </w:t>
      </w:r>
      <w:r w:rsidR="00335B1F" w:rsidRPr="00C806D0">
        <w:t>compared with</w:t>
      </w:r>
      <w:r w:rsidRPr="00C806D0">
        <w:t xml:space="preserve"> other secondary transfer strategies (40-60% disagreement in each survey round). A selection of comments which reflect this divergence of opinion is:</w:t>
      </w:r>
    </w:p>
    <w:p w:rsidR="005F0441" w:rsidRPr="00C806D0" w:rsidRDefault="005F0441" w:rsidP="005F0441"/>
    <w:p w:rsidR="005F0441" w:rsidRPr="00C806D0" w:rsidRDefault="005F0441" w:rsidP="005F0441">
      <w:r w:rsidRPr="00C806D0">
        <w:t>Elderly patients aged &gt;65 years:</w:t>
      </w:r>
    </w:p>
    <w:p w:rsidR="005F0441" w:rsidRPr="00C806D0" w:rsidRDefault="005F0441" w:rsidP="00550C9C">
      <w:pPr>
        <w:pStyle w:val="ListParagraph"/>
        <w:numPr>
          <w:ilvl w:val="0"/>
          <w:numId w:val="28"/>
        </w:numPr>
        <w:rPr>
          <w:rFonts w:ascii="Calibri" w:eastAsia="Times New Roman" w:hAnsi="Calibri" w:cs="Times New Roman"/>
          <w:i/>
          <w:color w:val="000000"/>
          <w:lang w:eastAsia="en-GB"/>
        </w:rPr>
      </w:pPr>
      <w:r w:rsidRPr="00C806D0">
        <w:rPr>
          <w:rFonts w:ascii="Calibri" w:eastAsia="Times New Roman" w:hAnsi="Calibri" w:cs="Times New Roman"/>
          <w:i/>
          <w:color w:val="000000"/>
          <w:lang w:eastAsia="en-GB"/>
        </w:rPr>
        <w:t xml:space="preserve">‘These patients are likely to do badly in any system so the effect of the intervention may not be seen.’ </w:t>
      </w:r>
    </w:p>
    <w:p w:rsidR="005F0441" w:rsidRPr="00C806D0" w:rsidRDefault="005F0441" w:rsidP="00550C9C">
      <w:pPr>
        <w:pStyle w:val="ListParagraph"/>
        <w:numPr>
          <w:ilvl w:val="0"/>
          <w:numId w:val="28"/>
        </w:numPr>
        <w:rPr>
          <w:rFonts w:ascii="Calibri" w:eastAsia="Times New Roman" w:hAnsi="Calibri" w:cs="Times New Roman"/>
          <w:i/>
          <w:color w:val="000000"/>
          <w:lang w:eastAsia="en-GB"/>
        </w:rPr>
      </w:pPr>
      <w:r w:rsidRPr="00C806D0">
        <w:rPr>
          <w:rFonts w:ascii="Calibri" w:eastAsia="Times New Roman" w:hAnsi="Calibri" w:cs="Times New Roman"/>
          <w:i/>
          <w:color w:val="000000"/>
          <w:lang w:eastAsia="en-GB"/>
        </w:rPr>
        <w:t>‘I think that it may be the &gt;75 age group that is different rather than the &gt;65’.</w:t>
      </w:r>
    </w:p>
    <w:p w:rsidR="005F0441" w:rsidRPr="00C806D0" w:rsidRDefault="005F0441" w:rsidP="00550C9C">
      <w:pPr>
        <w:pStyle w:val="ListParagraph"/>
        <w:numPr>
          <w:ilvl w:val="0"/>
          <w:numId w:val="28"/>
        </w:numPr>
        <w:rPr>
          <w:rFonts w:ascii="Calibri" w:eastAsia="Times New Roman" w:hAnsi="Calibri" w:cs="Times New Roman"/>
          <w:i/>
          <w:color w:val="000000"/>
          <w:lang w:eastAsia="en-GB"/>
        </w:rPr>
      </w:pPr>
      <w:r w:rsidRPr="00C806D0">
        <w:rPr>
          <w:i/>
        </w:rPr>
        <w:t xml:space="preserve">‘I </w:t>
      </w:r>
      <w:r w:rsidRPr="00C806D0">
        <w:rPr>
          <w:rFonts w:ascii="Calibri" w:eastAsia="Times New Roman" w:hAnsi="Calibri" w:cs="Times New Roman"/>
          <w:i/>
          <w:color w:val="000000"/>
          <w:lang w:eastAsia="en-GB"/>
        </w:rPr>
        <w:t>had a 97 year old with an acute subdural - did very well.’</w:t>
      </w:r>
    </w:p>
    <w:p w:rsidR="005F0441" w:rsidRPr="00C806D0" w:rsidRDefault="005F0441" w:rsidP="00550C9C">
      <w:pPr>
        <w:pStyle w:val="ListParagraph"/>
        <w:numPr>
          <w:ilvl w:val="0"/>
          <w:numId w:val="28"/>
        </w:numPr>
        <w:rPr>
          <w:rFonts w:ascii="Calibri" w:eastAsia="Times New Roman" w:hAnsi="Calibri" w:cs="Times New Roman"/>
          <w:i/>
          <w:color w:val="000000"/>
          <w:lang w:eastAsia="en-GB"/>
        </w:rPr>
      </w:pPr>
      <w:r w:rsidRPr="00C806D0">
        <w:rPr>
          <w:rFonts w:ascii="Calibri" w:eastAsia="Times New Roman" w:hAnsi="Calibri" w:cs="Times New Roman"/>
          <w:i/>
          <w:color w:val="000000"/>
          <w:lang w:eastAsia="en-GB"/>
        </w:rPr>
        <w:t>‘Every patient needs to be dealt with individually’</w:t>
      </w:r>
    </w:p>
    <w:p w:rsidR="005F0441" w:rsidRPr="00C806D0" w:rsidRDefault="005F0441" w:rsidP="005F0441">
      <w:pPr>
        <w:rPr>
          <w:rFonts w:ascii="Calibri" w:eastAsia="Times New Roman" w:hAnsi="Calibri" w:cs="Times New Roman"/>
          <w:color w:val="000000"/>
          <w:lang w:eastAsia="en-GB"/>
        </w:rPr>
      </w:pPr>
      <w:r w:rsidRPr="00C806D0">
        <w:rPr>
          <w:rFonts w:ascii="Calibri" w:eastAsia="Times New Roman" w:hAnsi="Calibri" w:cs="Times New Roman"/>
          <w:color w:val="000000"/>
          <w:lang w:eastAsia="en-GB"/>
        </w:rPr>
        <w:t xml:space="preserve">Patients with a major </w:t>
      </w:r>
      <w:r w:rsidR="002A16B4" w:rsidRPr="00C806D0">
        <w:rPr>
          <w:rFonts w:ascii="Calibri" w:eastAsia="Times New Roman" w:hAnsi="Calibri" w:cs="Times New Roman"/>
          <w:color w:val="000000"/>
          <w:lang w:eastAsia="en-GB"/>
        </w:rPr>
        <w:t>extracranial</w:t>
      </w:r>
      <w:r w:rsidRPr="00C806D0">
        <w:rPr>
          <w:rFonts w:ascii="Calibri" w:eastAsia="Times New Roman" w:hAnsi="Calibri" w:cs="Times New Roman"/>
          <w:color w:val="000000"/>
          <w:lang w:eastAsia="en-GB"/>
        </w:rPr>
        <w:t xml:space="preserve"> injury:</w:t>
      </w:r>
    </w:p>
    <w:p w:rsidR="005F0441" w:rsidRPr="00C806D0" w:rsidRDefault="005F0441" w:rsidP="00550C9C">
      <w:pPr>
        <w:pStyle w:val="ListParagraph"/>
        <w:numPr>
          <w:ilvl w:val="0"/>
          <w:numId w:val="29"/>
        </w:numPr>
        <w:rPr>
          <w:i/>
        </w:rPr>
      </w:pPr>
      <w:r w:rsidRPr="00C806D0">
        <w:rPr>
          <w:i/>
        </w:rPr>
        <w:t xml:space="preserve">‘Will probably also benefit from bypass, but I don't think that there is great evidence.’ </w:t>
      </w:r>
    </w:p>
    <w:p w:rsidR="005F0441" w:rsidRPr="00C806D0" w:rsidRDefault="005F0441" w:rsidP="00550C9C">
      <w:pPr>
        <w:pStyle w:val="ListParagraph"/>
        <w:numPr>
          <w:ilvl w:val="0"/>
          <w:numId w:val="29"/>
        </w:numPr>
        <w:rPr>
          <w:i/>
        </w:rPr>
      </w:pPr>
      <w:r w:rsidRPr="00C806D0">
        <w:rPr>
          <w:i/>
        </w:rPr>
        <w:t>‘These patients often need ABC stabilising first to prevent early secondary brain insults.’</w:t>
      </w:r>
    </w:p>
    <w:p w:rsidR="005F0441" w:rsidRPr="00C806D0" w:rsidRDefault="005F0441" w:rsidP="00550C9C">
      <w:pPr>
        <w:pStyle w:val="ListParagraph"/>
        <w:numPr>
          <w:ilvl w:val="0"/>
          <w:numId w:val="29"/>
        </w:numPr>
        <w:rPr>
          <w:i/>
        </w:rPr>
      </w:pPr>
      <w:r w:rsidRPr="00C806D0">
        <w:rPr>
          <w:i/>
        </w:rPr>
        <w:t xml:space="preserve">‘Need to be at a centre that can manage all injuries quickly. Only immediate airway concerns should divert to a smaller unit.’ </w:t>
      </w:r>
    </w:p>
    <w:p w:rsidR="005F0441" w:rsidRPr="00C806D0" w:rsidRDefault="005F0441" w:rsidP="00550C9C">
      <w:pPr>
        <w:pStyle w:val="ListParagraph"/>
        <w:numPr>
          <w:ilvl w:val="0"/>
          <w:numId w:val="29"/>
        </w:numPr>
        <w:rPr>
          <w:i/>
        </w:rPr>
      </w:pPr>
      <w:r w:rsidRPr="00C806D0">
        <w:rPr>
          <w:i/>
        </w:rPr>
        <w:t xml:space="preserve">‘This group may have a greater potential for harm from a longer </w:t>
      </w:r>
      <w:r w:rsidR="002A16B4" w:rsidRPr="00C806D0">
        <w:rPr>
          <w:i/>
        </w:rPr>
        <w:t>prehospital</w:t>
      </w:r>
      <w:r w:rsidRPr="00C806D0">
        <w:rPr>
          <w:i/>
        </w:rPr>
        <w:t xml:space="preserve"> phase so I would include them as a specified subgroup.’</w:t>
      </w:r>
    </w:p>
    <w:p w:rsidR="005F0441" w:rsidRPr="00C806D0" w:rsidRDefault="005F0441" w:rsidP="005F0441">
      <w:r w:rsidRPr="00C806D0">
        <w:t>Interestingly, despite the strong majority of experts agreeing that time to neurosurgery was an important factor influencing the effectiveness of bypass (83% agreement), there was no convincing consensus that patients with acute neurosurgical lesions would be differentially affected between bypass and secondary transfer strategies (64% agreement). These conflicting results appeared to suggest that either of these questions may have been misunderstood. However, the inconsistency could be explained when free text comments were examined for respondents registering disagreement with the acute neurosurgical lesion subgroup question. It was then apparent that although time to neurosurgery was felt to be important, experts were registering their concerns over the difficulties in identifying these cases in the field. Representative comments included:</w:t>
      </w:r>
    </w:p>
    <w:p w:rsidR="005F0441" w:rsidRPr="00C806D0" w:rsidRDefault="005F0441" w:rsidP="005F0441"/>
    <w:p w:rsidR="005F0441" w:rsidRPr="00C806D0" w:rsidRDefault="005F0441" w:rsidP="00550C9C">
      <w:pPr>
        <w:pStyle w:val="ListParagraph"/>
        <w:numPr>
          <w:ilvl w:val="0"/>
          <w:numId w:val="30"/>
        </w:numPr>
        <w:rPr>
          <w:i/>
        </w:rPr>
      </w:pPr>
      <w:r w:rsidRPr="00C806D0">
        <w:rPr>
          <w:i/>
        </w:rPr>
        <w:t>‘Much more likely to have a benefit in this group - however this is a retrospective classification.’</w:t>
      </w:r>
    </w:p>
    <w:p w:rsidR="005F0441" w:rsidRPr="00C806D0" w:rsidRDefault="005F0441" w:rsidP="00550C9C">
      <w:pPr>
        <w:pStyle w:val="ListParagraph"/>
        <w:numPr>
          <w:ilvl w:val="0"/>
          <w:numId w:val="30"/>
        </w:numPr>
        <w:rPr>
          <w:i/>
        </w:rPr>
      </w:pPr>
      <w:r w:rsidRPr="00C806D0">
        <w:rPr>
          <w:i/>
        </w:rPr>
        <w:t>‘Difficult to assess on scene.’</w:t>
      </w:r>
    </w:p>
    <w:p w:rsidR="005F0441" w:rsidRPr="00C806D0" w:rsidRDefault="005F0441" w:rsidP="00550C9C">
      <w:pPr>
        <w:pStyle w:val="ListParagraph"/>
        <w:numPr>
          <w:ilvl w:val="0"/>
          <w:numId w:val="30"/>
        </w:numPr>
        <w:rPr>
          <w:i/>
        </w:rPr>
      </w:pPr>
      <w:r w:rsidRPr="00C806D0">
        <w:rPr>
          <w:i/>
        </w:rPr>
        <w:t>‘But we need to be able to identify these patients accurately.’</w:t>
      </w:r>
    </w:p>
    <w:p w:rsidR="005F0441" w:rsidRPr="00C806D0" w:rsidRDefault="005F0441" w:rsidP="00550C9C">
      <w:pPr>
        <w:pStyle w:val="ListParagraph"/>
        <w:numPr>
          <w:ilvl w:val="0"/>
          <w:numId w:val="30"/>
        </w:numPr>
        <w:rPr>
          <w:i/>
        </w:rPr>
      </w:pPr>
      <w:r w:rsidRPr="00C806D0">
        <w:rPr>
          <w:i/>
        </w:rPr>
        <w:t xml:space="preserve">‘Unfortunately this pathology will not be known </w:t>
      </w:r>
      <w:r w:rsidR="002A16B4" w:rsidRPr="00C806D0">
        <w:rPr>
          <w:i/>
        </w:rPr>
        <w:t>prehospital</w:t>
      </w:r>
      <w:r w:rsidRPr="00C806D0">
        <w:rPr>
          <w:i/>
        </w:rPr>
        <w:t>ly [sic] as is CT scan dependent.’</w:t>
      </w:r>
    </w:p>
    <w:p w:rsidR="005F0441" w:rsidRPr="00C806D0" w:rsidRDefault="005F0441" w:rsidP="005F0441">
      <w:r w:rsidRPr="00C806D0">
        <w:t xml:space="preserve">Patients with medical co-morbidities were identified as a further potentially important subgroup by two experts in round one. A further respondent emphasised the importance of anti-coagulated elderly patients as a group which may require separate consideration in the model. After deliberation by the HITNS advisory group it was decided not to include questions regarding such patients in subsequent rounds, because: </w:t>
      </w:r>
      <w:r w:rsidR="002A16B4" w:rsidRPr="00C806D0">
        <w:t>prehospital</w:t>
      </w:r>
      <w:r w:rsidRPr="00C806D0">
        <w:t xml:space="preserve"> triage and bypass is a population level intervention and it would not be feasible to differentially apply this strategy to these subgroups; separately modelling patients with these characteristics would increase the complexity of the model; there is a lack of empirical evidence to allow valid parameterisation; and outcomes would be adequately represented  using average effect estimates.</w:t>
      </w:r>
    </w:p>
    <w:p w:rsidR="005F0441" w:rsidRPr="00C806D0" w:rsidRDefault="005F0441" w:rsidP="005F0441">
      <w:pPr>
        <w:pStyle w:val="Heading2"/>
      </w:pPr>
      <w:r w:rsidRPr="00C806D0">
        <w:t xml:space="preserve">background information on CONCEPTUAL MODELS </w:t>
      </w:r>
    </w:p>
    <w:p w:rsidR="005F0441" w:rsidRPr="00C806D0" w:rsidRDefault="005F0441" w:rsidP="005F0441">
      <w:pPr>
        <w:rPr>
          <w:rFonts w:ascii="Calibri" w:hAnsi="Calibri"/>
          <w:vertAlign w:val="superscript"/>
        </w:rPr>
      </w:pPr>
      <w:r w:rsidRPr="00C806D0">
        <w:rPr>
          <w:rFonts w:ascii="Calibri" w:hAnsi="Calibri"/>
        </w:rPr>
        <w:t>Two categories of conceptual model can inform the characterisation of the implemented decision analysis model: Problem-orientated conceptual models, constituting disease logic and service pathway models; and design-orientated models. Disease logic models conceptualise the natural history of clinical conditions, thus ensuring that all events and outcomes relevant to the decision are considered. Service pathway models describe the treatment routes patients with disease could potentially follow, thus identifying relevant comparators and ensuring the full impact of interventions is captured.</w:t>
      </w:r>
      <w:r w:rsidRPr="00C806D0">
        <w:rPr>
          <w:rFonts w:ascii="Calibri" w:hAnsi="Calibri"/>
          <w:noProof/>
          <w:vertAlign w:val="superscript"/>
        </w:rPr>
        <w:t>[</w:t>
      </w:r>
      <w:r w:rsidR="006D4D62" w:rsidRPr="00C806D0">
        <w:rPr>
          <w:rFonts w:ascii="Calibri" w:hAnsi="Calibri"/>
          <w:noProof/>
          <w:vertAlign w:val="superscript"/>
        </w:rPr>
        <w:t>10</w:t>
      </w:r>
      <w:r w:rsidRPr="00C806D0">
        <w:rPr>
          <w:rFonts w:ascii="Calibri" w:hAnsi="Calibri"/>
          <w:noProof/>
          <w:vertAlign w:val="superscript"/>
        </w:rPr>
        <w:t xml:space="preserve">, </w:t>
      </w:r>
      <w:r w:rsidR="006D4D62" w:rsidRPr="00C806D0">
        <w:rPr>
          <w:rFonts w:ascii="Calibri" w:hAnsi="Calibri"/>
          <w:noProof/>
          <w:vertAlign w:val="superscript"/>
        </w:rPr>
        <w:t>11</w:t>
      </w:r>
      <w:r w:rsidRPr="00C806D0">
        <w:rPr>
          <w:rFonts w:ascii="Calibri" w:hAnsi="Calibri"/>
          <w:noProof/>
          <w:vertAlign w:val="superscript"/>
        </w:rPr>
        <w:t>]</w:t>
      </w:r>
    </w:p>
    <w:p w:rsidR="005F0441" w:rsidRPr="00C806D0" w:rsidRDefault="005F0441" w:rsidP="005F0441">
      <w:pPr>
        <w:rPr>
          <w:rFonts w:ascii="Calibri" w:hAnsi="Calibri"/>
        </w:rPr>
      </w:pPr>
    </w:p>
    <w:p w:rsidR="005F0441" w:rsidRPr="00C806D0" w:rsidRDefault="005F0441" w:rsidP="005F0441">
      <w:r w:rsidRPr="00C806D0">
        <w:t>Design orientated conceptual models build on these theoretical views of disease and treatment pathways to develop a prototype mathematical model design, mediated by availability of evidence and technical constraints. They therefore identify anticipated evidence requirements for parameterisation of the final model, highlight areas of structural uncertainty, provide a platform to debate model assumptions and act as a reference point during model implementation. Alternative structures can subsequently be tested in structural sensitivity analyses or evaluated by model averaging. Overt hierarchical conceptual modelling also allows transparent comparison of the appropriateness of the final implemented model against its theoretical counterparts, aiding model validation. Although developed prior to model implementation, conceptual models may be modified iteratively during model implementation as further evidence becomes available.</w:t>
      </w:r>
      <w:r w:rsidRPr="00C806D0">
        <w:rPr>
          <w:noProof/>
          <w:vertAlign w:val="superscript"/>
        </w:rPr>
        <w:t>[</w:t>
      </w:r>
      <w:r w:rsidR="006D4D62" w:rsidRPr="00C806D0">
        <w:rPr>
          <w:noProof/>
          <w:vertAlign w:val="superscript"/>
        </w:rPr>
        <w:t>10</w:t>
      </w:r>
      <w:r w:rsidRPr="00C806D0">
        <w:rPr>
          <w:noProof/>
          <w:vertAlign w:val="superscript"/>
        </w:rPr>
        <w:t xml:space="preserve">, </w:t>
      </w:r>
      <w:r w:rsidR="006D4D62" w:rsidRPr="00C806D0">
        <w:rPr>
          <w:noProof/>
          <w:vertAlign w:val="superscript"/>
        </w:rPr>
        <w:t>11</w:t>
      </w:r>
      <w:r w:rsidRPr="00C806D0">
        <w:rPr>
          <w:noProof/>
          <w:vertAlign w:val="superscript"/>
        </w:rPr>
        <w:t>]</w:t>
      </w:r>
    </w:p>
    <w:p w:rsidR="005F0441" w:rsidRPr="00C806D0" w:rsidRDefault="005F0441" w:rsidP="005F0441">
      <w:pPr>
        <w:pStyle w:val="Heading2"/>
      </w:pPr>
      <w:r w:rsidRPr="00C806D0">
        <w:t>hitsns conceptual models</w:t>
      </w:r>
    </w:p>
    <w:p w:rsidR="005F0441" w:rsidRPr="00C806D0" w:rsidRDefault="005F0441" w:rsidP="005F0441">
      <w:pPr>
        <w:pStyle w:val="Heading3"/>
        <w:spacing w:before="240"/>
      </w:pPr>
      <w:r w:rsidRPr="00C806D0">
        <w:t>HITSNS decision problem</w:t>
      </w:r>
    </w:p>
    <w:p w:rsidR="005F0441" w:rsidRPr="00C806D0" w:rsidRDefault="005F0441" w:rsidP="005F0441">
      <w:pPr>
        <w:rPr>
          <w:rFonts w:ascii="Calibri" w:hAnsi="Calibri"/>
        </w:rPr>
      </w:pPr>
      <w:r w:rsidRPr="00C806D0">
        <w:rPr>
          <w:rFonts w:ascii="Calibri" w:hAnsi="Calibri"/>
        </w:rPr>
        <w:t>Several alternative management pathways are possible for patients with suspected TBI injured closest to a NSAH. These include initial admission to the NSAH followed by hospital level triage for determining transfers to a SNC; or bypass of the local NSAH with direct transportation of all suspected significant TBI patients to SNCs.  Given that large numbers of patients sustain suspected significant TBI in catchment areas of NSAHs annually the choice of management pathway could have important implications on mortality, morbidity and health care costs. However, there is an absence of head-to-head clinical trials and economic evaluations to determine the clinical and cost-effectiveness of each potential option. Decision analysis modelling is therefore necessary to synthesise available data, calculate incremental costs and benefits of the alternative pathways, identify the optimal management strategy, represent decision uncertainty given existing information, and assess the value of conducting future research in this area.</w:t>
      </w:r>
    </w:p>
    <w:p w:rsidR="005F0441" w:rsidRPr="00C806D0" w:rsidRDefault="005F0441" w:rsidP="005F0441">
      <w:pPr>
        <w:pStyle w:val="Heading3"/>
        <w:spacing w:before="240"/>
      </w:pPr>
      <w:r w:rsidRPr="00C806D0">
        <w:t>Disease logic conceptual model</w:t>
      </w:r>
    </w:p>
    <w:p w:rsidR="005F0441" w:rsidRPr="00C806D0" w:rsidRDefault="005F0441" w:rsidP="005F0441">
      <w:pPr>
        <w:rPr>
          <w:rFonts w:ascii="Calibri" w:hAnsi="Calibri"/>
        </w:rPr>
      </w:pPr>
      <w:r w:rsidRPr="00C806D0">
        <w:rPr>
          <w:rFonts w:ascii="Calibri" w:hAnsi="Calibri"/>
        </w:rPr>
        <w:t>The pathophysiology and prognosis of TBI were de</w:t>
      </w:r>
      <w:r w:rsidR="00ED127C" w:rsidRPr="00C806D0">
        <w:rPr>
          <w:rFonts w:ascii="Calibri" w:hAnsi="Calibri"/>
        </w:rPr>
        <w:t>scribed in detail in Chapter One</w:t>
      </w:r>
      <w:r w:rsidRPr="00C806D0">
        <w:rPr>
          <w:rFonts w:ascii="Calibri" w:hAnsi="Calibri"/>
        </w:rPr>
        <w:t>. Briefly, irreversible structural primary brain damage occurs at the time of injury due to external forces.  These mechanical forces may result in focal lesions or diffuse brain injury.</w:t>
      </w:r>
      <w:r w:rsidRPr="00C806D0">
        <w:rPr>
          <w:rFonts w:ascii="Calibri" w:hAnsi="Calibri"/>
          <w:vertAlign w:val="superscript"/>
        </w:rPr>
        <w:t xml:space="preserve"> </w:t>
      </w:r>
      <w:r w:rsidRPr="00C806D0">
        <w:rPr>
          <w:rFonts w:ascii="Calibri" w:hAnsi="Calibri"/>
        </w:rPr>
        <w:t>Associated intracranial injuries my include brainstem damage, traumatic subarachnoid haemorrhage, or intraventricular haemorrhage. Base of skull or skull vault fracture also frequently accompany TBI. Less severe head impact events may lead to reversible brain dysfunction rather than overt structural damage. Secondary brain injury occurs if neurological damage evolves due to additional insults including hypotension, hypoxia, or raised ICP.</w:t>
      </w:r>
      <w:r w:rsidRPr="00C806D0">
        <w:rPr>
          <w:rFonts w:ascii="Calibri" w:hAnsi="Calibri"/>
          <w:noProof/>
          <w:vertAlign w:val="superscript"/>
        </w:rPr>
        <w:t>[</w:t>
      </w:r>
      <w:r w:rsidR="006D4D62" w:rsidRPr="00C806D0">
        <w:rPr>
          <w:rFonts w:ascii="Calibri" w:hAnsi="Calibri"/>
          <w:noProof/>
          <w:vertAlign w:val="superscript"/>
        </w:rPr>
        <w:t>12</w:t>
      </w:r>
      <w:r w:rsidRPr="00C806D0">
        <w:rPr>
          <w:rFonts w:ascii="Calibri" w:hAnsi="Calibri"/>
          <w:noProof/>
          <w:vertAlign w:val="superscript"/>
        </w:rPr>
        <w:t>]</w:t>
      </w:r>
      <w:r w:rsidRPr="00C806D0">
        <w:rPr>
          <w:rFonts w:ascii="Calibri" w:hAnsi="Calibri"/>
        </w:rPr>
        <w:t xml:space="preserve"> </w:t>
      </w:r>
    </w:p>
    <w:p w:rsidR="005F0441" w:rsidRPr="00C806D0" w:rsidRDefault="005F0441" w:rsidP="005F0441">
      <w:pPr>
        <w:rPr>
          <w:rFonts w:ascii="Calibri" w:hAnsi="Calibri"/>
        </w:rPr>
      </w:pPr>
    </w:p>
    <w:p w:rsidR="005F0441" w:rsidRPr="00C806D0" w:rsidRDefault="005F0441" w:rsidP="005F0441">
      <w:pPr>
        <w:rPr>
          <w:rFonts w:ascii="Calibri" w:hAnsi="Calibri"/>
        </w:rPr>
      </w:pPr>
      <w:r w:rsidRPr="00C806D0">
        <w:rPr>
          <w:rFonts w:ascii="Calibri" w:hAnsi="Calibri"/>
        </w:rPr>
        <w:t>Short term prognosis following severe TBI is dependent on the interaction between patient characteristics, degree of primary brain injury, extent of secondary insults and the effectiveness of treatment received. In the longer term life expectancy in survivors of TBI is reduced in comparison to the general population and incidence of Alzheimer’s disease, Parkinson’s disease, epilepsy and psychiatric disorders may be increased.</w:t>
      </w:r>
      <w:r w:rsidRPr="00C806D0">
        <w:rPr>
          <w:rFonts w:ascii="Calibri" w:hAnsi="Calibri"/>
          <w:noProof/>
          <w:vertAlign w:val="superscript"/>
        </w:rPr>
        <w:t>[</w:t>
      </w:r>
      <w:r w:rsidR="006D4D62" w:rsidRPr="00C806D0">
        <w:rPr>
          <w:rFonts w:ascii="Calibri" w:hAnsi="Calibri"/>
          <w:noProof/>
          <w:vertAlign w:val="superscript"/>
        </w:rPr>
        <w:t>13</w:t>
      </w:r>
      <w:r w:rsidRPr="00C806D0">
        <w:rPr>
          <w:rFonts w:ascii="Calibri" w:hAnsi="Calibri"/>
          <w:noProof/>
          <w:vertAlign w:val="superscript"/>
        </w:rPr>
        <w:t xml:space="preserve">, </w:t>
      </w:r>
      <w:r w:rsidR="006D4D62" w:rsidRPr="00C806D0">
        <w:rPr>
          <w:rFonts w:ascii="Calibri" w:hAnsi="Calibri"/>
          <w:noProof/>
          <w:vertAlign w:val="superscript"/>
        </w:rPr>
        <w:t>14</w:t>
      </w:r>
      <w:r w:rsidRPr="00C806D0">
        <w:rPr>
          <w:rFonts w:ascii="Calibri" w:hAnsi="Calibri"/>
          <w:noProof/>
          <w:vertAlign w:val="superscript"/>
        </w:rPr>
        <w:t>]</w:t>
      </w:r>
      <w:r w:rsidRPr="00C806D0">
        <w:rPr>
          <w:rFonts w:ascii="Calibri" w:hAnsi="Calibri"/>
        </w:rPr>
        <w:t xml:space="preserve"> Figure H1 summarises the conceptual model of primary and secondary brain injury.</w:t>
      </w:r>
    </w:p>
    <w:p w:rsidR="005F0441" w:rsidRPr="00C806D0" w:rsidRDefault="005F0441" w:rsidP="005F0441">
      <w:pPr>
        <w:rPr>
          <w:rFonts w:ascii="Calibri" w:hAnsi="Calibri"/>
        </w:rPr>
      </w:pPr>
    </w:p>
    <w:p w:rsidR="00B87E08" w:rsidRPr="00C806D0" w:rsidRDefault="00B87E08" w:rsidP="005F0441">
      <w:pPr>
        <w:rPr>
          <w:rFonts w:ascii="Calibri" w:hAnsi="Calibri"/>
        </w:rPr>
      </w:pPr>
    </w:p>
    <w:p w:rsidR="005F0441" w:rsidRPr="00C806D0" w:rsidRDefault="005F0441" w:rsidP="005F0441">
      <w:pPr>
        <w:rPr>
          <w:rFonts w:ascii="Calibri" w:hAnsi="Calibri"/>
        </w:rPr>
      </w:pPr>
    </w:p>
    <w:p w:rsidR="005F0441" w:rsidRPr="00C806D0" w:rsidRDefault="005F0441" w:rsidP="00B87E08">
      <w:pPr>
        <w:jc w:val="center"/>
      </w:pPr>
      <w:r w:rsidRPr="00C806D0">
        <w:rPr>
          <w:noProof/>
          <w:lang w:val="en-US"/>
        </w:rPr>
        <w:drawing>
          <wp:inline distT="0" distB="0" distL="0" distR="0">
            <wp:extent cx="4893192" cy="6783572"/>
            <wp:effectExtent l="19050" t="0" r="2658" b="0"/>
            <wp:docPr id="4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20680" cy="8772466"/>
                      <a:chOff x="476672" y="179512"/>
                      <a:chExt cx="6120680" cy="8772466"/>
                    </a:xfrm>
                  </a:grpSpPr>
                  <a:grpSp>
                    <a:nvGrpSpPr>
                      <a:cNvPr id="21" name="Group 20"/>
                      <a:cNvGrpSpPr/>
                    </a:nvGrpSpPr>
                    <a:grpSpPr>
                      <a:xfrm>
                        <a:off x="476672" y="179512"/>
                        <a:ext cx="6120680" cy="8772466"/>
                        <a:chOff x="476672" y="179512"/>
                        <a:chExt cx="6120680" cy="8772466"/>
                      </a:xfrm>
                    </a:grpSpPr>
                    <a:sp>
                      <a:nvSpPr>
                        <a:cNvPr id="6" name="TextBox 5"/>
                        <a:cNvSpPr txBox="1"/>
                      </a:nvSpPr>
                      <a:spPr>
                        <a:xfrm>
                          <a:off x="620688" y="2843808"/>
                          <a:ext cx="2808312" cy="3412569"/>
                        </a:xfrm>
                        <a:prstGeom prst="roundRect">
                          <a:avLst/>
                        </a:prstGeom>
                        <a:noFill/>
                        <a:ln w="15875">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100" b="1" dirty="0" smtClean="0">
                                <a:latin typeface="Calibri" pitchFamily="34" charset="0"/>
                                <a:cs typeface="Arial" pitchFamily="34" charset="0"/>
                              </a:rPr>
                              <a:t>Primary brain injury</a:t>
                            </a:r>
                          </a:p>
                          <a:p>
                            <a:endParaRPr lang="en-GB" sz="1100" dirty="0" smtClean="0">
                              <a:latin typeface="Calibri" pitchFamily="34" charset="0"/>
                              <a:cs typeface="Arial" pitchFamily="34" charset="0"/>
                            </a:endParaRPr>
                          </a:p>
                          <a:p>
                            <a:pPr>
                              <a:buFont typeface="Arial" pitchFamily="34" charset="0"/>
                              <a:buChar char="•"/>
                            </a:pPr>
                            <a:r>
                              <a:rPr lang="en-GB" sz="1100" dirty="0" smtClean="0">
                                <a:latin typeface="Calibri" pitchFamily="34" charset="0"/>
                                <a:cs typeface="Arial" pitchFamily="34" charset="0"/>
                              </a:rPr>
                              <a:t>Focal injuries:</a:t>
                            </a:r>
                          </a:p>
                          <a:p>
                            <a:pPr lvl="1"/>
                            <a:r>
                              <a:rPr lang="en-GB" sz="1100" dirty="0" err="1" smtClean="0">
                                <a:latin typeface="Calibri" pitchFamily="34" charset="0"/>
                                <a:cs typeface="Arial" pitchFamily="34" charset="0"/>
                              </a:rPr>
                              <a:t>Extradural</a:t>
                            </a:r>
                            <a:r>
                              <a:rPr lang="en-GB" sz="1100" dirty="0" smtClean="0">
                                <a:latin typeface="Calibri" pitchFamily="34" charset="0"/>
                                <a:cs typeface="Arial" pitchFamily="34" charset="0"/>
                              </a:rPr>
                              <a:t> haematoma</a:t>
                            </a:r>
                          </a:p>
                          <a:p>
                            <a:pPr lvl="1"/>
                            <a:r>
                              <a:rPr lang="en-GB" sz="1100" dirty="0" smtClean="0">
                                <a:latin typeface="Calibri" pitchFamily="34" charset="0"/>
                                <a:cs typeface="Arial" pitchFamily="34" charset="0"/>
                              </a:rPr>
                              <a:t>Subdural haematoma</a:t>
                            </a:r>
                          </a:p>
                          <a:p>
                            <a:pPr lvl="1"/>
                            <a:r>
                              <a:rPr lang="en-GB" sz="1100" dirty="0" err="1" smtClean="0">
                                <a:latin typeface="Calibri" pitchFamily="34" charset="0"/>
                                <a:cs typeface="Arial" pitchFamily="34" charset="0"/>
                              </a:rPr>
                              <a:t>Intracerebral</a:t>
                            </a:r>
                            <a:r>
                              <a:rPr lang="en-GB" sz="1100" dirty="0" smtClean="0">
                                <a:latin typeface="Calibri" pitchFamily="34" charset="0"/>
                                <a:cs typeface="Arial" pitchFamily="34" charset="0"/>
                              </a:rPr>
                              <a:t> haematoma</a:t>
                            </a:r>
                          </a:p>
                          <a:p>
                            <a:pPr lvl="1"/>
                            <a:r>
                              <a:rPr lang="en-GB" sz="1100" dirty="0" err="1" smtClean="0">
                                <a:latin typeface="Calibri" pitchFamily="34" charset="0"/>
                                <a:cs typeface="Arial" pitchFamily="34" charset="0"/>
                              </a:rPr>
                              <a:t>Intracerebral</a:t>
                            </a:r>
                            <a:r>
                              <a:rPr lang="en-GB" sz="1100" dirty="0" smtClean="0">
                                <a:latin typeface="Calibri" pitchFamily="34" charset="0"/>
                                <a:cs typeface="Arial" pitchFamily="34" charset="0"/>
                              </a:rPr>
                              <a:t> contusion</a:t>
                            </a:r>
                          </a:p>
                          <a:p>
                            <a:pPr lvl="1">
                              <a:buFont typeface="Arial" pitchFamily="34" charset="0"/>
                              <a:buChar char="•"/>
                            </a:pPr>
                            <a:endParaRPr lang="en-GB" sz="1100" dirty="0" smtClean="0">
                              <a:latin typeface="Calibri" pitchFamily="34" charset="0"/>
                              <a:cs typeface="Arial" pitchFamily="34" charset="0"/>
                            </a:endParaRPr>
                          </a:p>
                          <a:p>
                            <a:pPr>
                              <a:buFont typeface="Arial" pitchFamily="34" charset="0"/>
                              <a:buChar char="•"/>
                            </a:pPr>
                            <a:r>
                              <a:rPr lang="en-GB" sz="1100" dirty="0" smtClean="0">
                                <a:latin typeface="Calibri" pitchFamily="34" charset="0"/>
                                <a:cs typeface="Arial" pitchFamily="34" charset="0"/>
                              </a:rPr>
                              <a:t>Diffuse injuries:</a:t>
                            </a:r>
                          </a:p>
                          <a:p>
                            <a:pPr lvl="1"/>
                            <a:r>
                              <a:rPr lang="en-GB" sz="1100" dirty="0" smtClean="0">
                                <a:latin typeface="Calibri" pitchFamily="34" charset="0"/>
                                <a:cs typeface="Arial" pitchFamily="34" charset="0"/>
                              </a:rPr>
                              <a:t>Diffuse axonal injury</a:t>
                            </a:r>
                          </a:p>
                          <a:p>
                            <a:pPr lvl="1"/>
                            <a:r>
                              <a:rPr lang="en-GB" sz="1100" dirty="0" smtClean="0">
                                <a:latin typeface="Calibri" pitchFamily="34" charset="0"/>
                                <a:cs typeface="Arial" pitchFamily="34" charset="0"/>
                              </a:rPr>
                              <a:t>Cerebral oedema</a:t>
                            </a:r>
                          </a:p>
                          <a:p>
                            <a:pPr lvl="1">
                              <a:buFont typeface="Arial" pitchFamily="34" charset="0"/>
                              <a:buChar char="•"/>
                            </a:pPr>
                            <a:endParaRPr lang="en-GB" sz="1100" dirty="0" smtClean="0">
                              <a:latin typeface="Calibri" pitchFamily="34" charset="0"/>
                              <a:cs typeface="Arial" pitchFamily="34" charset="0"/>
                            </a:endParaRPr>
                          </a:p>
                          <a:p>
                            <a:pPr>
                              <a:buFont typeface="Arial" pitchFamily="34" charset="0"/>
                              <a:buChar char="•"/>
                            </a:pPr>
                            <a:r>
                              <a:rPr lang="en-GB" sz="1100" dirty="0" smtClean="0">
                                <a:latin typeface="Calibri" pitchFamily="34" charset="0"/>
                                <a:cs typeface="Arial" pitchFamily="34" charset="0"/>
                              </a:rPr>
                              <a:t>Other intracranial injuries:</a:t>
                            </a:r>
                          </a:p>
                          <a:p>
                            <a:pPr lvl="1"/>
                            <a:r>
                              <a:rPr lang="en-GB" sz="1100" dirty="0" smtClean="0">
                                <a:latin typeface="Calibri" pitchFamily="34" charset="0"/>
                                <a:cs typeface="Arial" pitchFamily="34" charset="0"/>
                              </a:rPr>
                              <a:t>Subarachnoid haemorrhage</a:t>
                            </a:r>
                          </a:p>
                          <a:p>
                            <a:pPr lvl="1"/>
                            <a:r>
                              <a:rPr lang="en-GB" sz="1100" dirty="0" err="1" smtClean="0">
                                <a:latin typeface="Calibri" pitchFamily="34" charset="0"/>
                                <a:cs typeface="Arial" pitchFamily="34" charset="0"/>
                              </a:rPr>
                              <a:t>Intraventricular</a:t>
                            </a:r>
                            <a:r>
                              <a:rPr lang="en-GB" sz="1100" dirty="0" smtClean="0">
                                <a:latin typeface="Calibri" pitchFamily="34" charset="0"/>
                                <a:cs typeface="Arial" pitchFamily="34" charset="0"/>
                              </a:rPr>
                              <a:t> haemorrhage</a:t>
                            </a:r>
                          </a:p>
                          <a:p>
                            <a:pPr lvl="1"/>
                            <a:r>
                              <a:rPr lang="en-GB" sz="1100" dirty="0" smtClean="0">
                                <a:latin typeface="Calibri" pitchFamily="34" charset="0"/>
                                <a:cs typeface="Arial" pitchFamily="34" charset="0"/>
                              </a:rPr>
                              <a:t>Brainstem lesions</a:t>
                            </a:r>
                          </a:p>
                          <a:p>
                            <a:pPr lvl="1"/>
                            <a:r>
                              <a:rPr lang="en-GB" sz="1100" dirty="0" smtClean="0">
                                <a:latin typeface="Calibri" pitchFamily="34" charset="0"/>
                                <a:cs typeface="Arial" pitchFamily="34" charset="0"/>
                              </a:rPr>
                              <a:t>Lacerations</a:t>
                            </a:r>
                          </a:p>
                          <a:p>
                            <a:pPr lvl="1"/>
                            <a:r>
                              <a:rPr lang="en-GB" sz="1100" dirty="0" smtClean="0">
                                <a:latin typeface="Calibri" pitchFamily="34" charset="0"/>
                                <a:cs typeface="Arial" pitchFamily="34" charset="0"/>
                              </a:rPr>
                              <a:t>Infarction</a:t>
                            </a:r>
                            <a:endParaRPr lang="en-GB" sz="1100" dirty="0">
                              <a:latin typeface="Calibri" pitchFamily="34" charset="0"/>
                              <a:cs typeface="Arial" pitchFamily="34" charset="0"/>
                            </a:endParaRPr>
                          </a:p>
                        </a:txBody>
                        <a:useSpRect/>
                      </a:txSp>
                    </a:sp>
                    <a:sp>
                      <a:nvSpPr>
                        <a:cNvPr id="9" name="TextBox 8"/>
                        <a:cNvSpPr txBox="1"/>
                      </a:nvSpPr>
                      <a:spPr>
                        <a:xfrm>
                          <a:off x="1340768" y="6876256"/>
                          <a:ext cx="4536504" cy="664012"/>
                        </a:xfrm>
                        <a:prstGeom prst="roundRect">
                          <a:avLst/>
                        </a:prstGeom>
                        <a:noFill/>
                        <a:ln w="15875">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100" b="1" dirty="0" smtClean="0">
                                <a:latin typeface="Calibri" pitchFamily="34" charset="0"/>
                                <a:cs typeface="Arial" pitchFamily="34" charset="0"/>
                              </a:rPr>
                              <a:t>Short Term Outcome:</a:t>
                            </a:r>
                          </a:p>
                          <a:p>
                            <a:pPr algn="ctr"/>
                            <a:r>
                              <a:rPr lang="en-GB" sz="1100" dirty="0" smtClean="0">
                                <a:latin typeface="Calibri" pitchFamily="34" charset="0"/>
                                <a:cs typeface="Arial" pitchFamily="34" charset="0"/>
                                <a:sym typeface="Wingdings"/>
                              </a:rPr>
                              <a:t></a:t>
                            </a:r>
                            <a:r>
                              <a:rPr lang="en-GB" sz="1100" dirty="0" smtClean="0">
                                <a:latin typeface="Calibri" pitchFamily="34" charset="0"/>
                                <a:cs typeface="Arial" pitchFamily="34" charset="0"/>
                              </a:rPr>
                              <a:t>Death: secondary to </a:t>
                            </a:r>
                            <a:r>
                              <a:rPr lang="en-GB" sz="1100" dirty="0" err="1" smtClean="0">
                                <a:latin typeface="Calibri" pitchFamily="34" charset="0"/>
                                <a:cs typeface="Arial" pitchFamily="34" charset="0"/>
                              </a:rPr>
                              <a:t>TBI</a:t>
                            </a:r>
                            <a:r>
                              <a:rPr lang="en-GB" sz="1100" dirty="0" smtClean="0">
                                <a:latin typeface="Calibri" pitchFamily="34" charset="0"/>
                                <a:cs typeface="Arial" pitchFamily="34" charset="0"/>
                              </a:rPr>
                              <a:t> or its complications</a:t>
                            </a:r>
                          </a:p>
                          <a:p>
                            <a:pPr algn="ctr"/>
                            <a:r>
                              <a:rPr lang="en-GB" sz="1100" dirty="0" smtClean="0">
                                <a:latin typeface="Calibri" pitchFamily="34" charset="0"/>
                                <a:cs typeface="Arial" pitchFamily="34" charset="0"/>
                                <a:sym typeface="Wingdings"/>
                              </a:rPr>
                              <a:t></a:t>
                            </a:r>
                            <a:r>
                              <a:rPr lang="en-GB" sz="1100" dirty="0" smtClean="0">
                                <a:latin typeface="Calibri" pitchFamily="34" charset="0"/>
                                <a:cs typeface="Arial" pitchFamily="34" charset="0"/>
                              </a:rPr>
                              <a:t>Disability: Physical, Social, Cognitive, Psychological</a:t>
                            </a:r>
                            <a:endParaRPr lang="en-GB" sz="1100" b="1" dirty="0" smtClean="0">
                              <a:latin typeface="Calibri" pitchFamily="34" charset="0"/>
                              <a:cs typeface="Arial" pitchFamily="34" charset="0"/>
                            </a:endParaRPr>
                          </a:p>
                        </a:txBody>
                        <a:useSpRect/>
                      </a:txSp>
                    </a:sp>
                    <a:sp>
                      <a:nvSpPr>
                        <a:cNvPr id="10" name="TextBox 9"/>
                        <a:cNvSpPr txBox="1"/>
                      </a:nvSpPr>
                      <a:spPr>
                        <a:xfrm>
                          <a:off x="4149080" y="1842063"/>
                          <a:ext cx="2376264" cy="4602146"/>
                        </a:xfrm>
                        <a:prstGeom prst="roundRect">
                          <a:avLst/>
                        </a:prstGeom>
                        <a:noFill/>
                        <a:ln w="15875">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100" b="1" dirty="0" smtClean="0">
                                <a:latin typeface="Calibri" pitchFamily="34" charset="0"/>
                                <a:cs typeface="Arial" pitchFamily="34" charset="0"/>
                              </a:rPr>
                              <a:t>Secondary brain  injury</a:t>
                            </a:r>
                          </a:p>
                          <a:p>
                            <a:pPr algn="just"/>
                            <a:endParaRPr lang="en-GB" sz="1100" dirty="0" smtClean="0">
                              <a:latin typeface="Calibri" pitchFamily="34" charset="0"/>
                              <a:cs typeface="Arial" pitchFamily="34" charset="0"/>
                            </a:endParaRPr>
                          </a:p>
                          <a:p>
                            <a:pPr algn="just">
                              <a:buFont typeface="Arial" pitchFamily="34" charset="0"/>
                              <a:buChar char="•"/>
                            </a:pPr>
                            <a:r>
                              <a:rPr lang="en-GB" sz="1100" dirty="0" smtClean="0">
                                <a:latin typeface="Calibri" pitchFamily="34" charset="0"/>
                                <a:cs typeface="Arial" pitchFamily="34" charset="0"/>
                              </a:rPr>
                              <a:t>Hypoxia</a:t>
                            </a:r>
                          </a:p>
                          <a:p>
                            <a:pPr algn="just">
                              <a:buFont typeface="Arial" pitchFamily="34" charset="0"/>
                              <a:buChar char="•"/>
                            </a:pPr>
                            <a:r>
                              <a:rPr lang="en-GB" sz="1100" dirty="0" smtClean="0">
                                <a:latin typeface="Calibri" pitchFamily="34" charset="0"/>
                                <a:cs typeface="Arial" pitchFamily="34" charset="0"/>
                              </a:rPr>
                              <a:t>Hypotension</a:t>
                            </a:r>
                          </a:p>
                          <a:p>
                            <a:pPr algn="just">
                              <a:buFont typeface="Arial" pitchFamily="34" charset="0"/>
                              <a:buChar char="•"/>
                            </a:pPr>
                            <a:r>
                              <a:rPr lang="en-GB" sz="1100" dirty="0" smtClean="0">
                                <a:latin typeface="Calibri" pitchFamily="34" charset="0"/>
                                <a:cs typeface="Arial" pitchFamily="34" charset="0"/>
                              </a:rPr>
                              <a:t>Hypoglycaemia</a:t>
                            </a:r>
                          </a:p>
                          <a:p>
                            <a:pPr algn="just">
                              <a:buFont typeface="Arial" pitchFamily="34" charset="0"/>
                              <a:buChar char="•"/>
                            </a:pPr>
                            <a:r>
                              <a:rPr lang="en-GB" sz="1100" dirty="0" smtClean="0">
                                <a:latin typeface="Calibri" pitchFamily="34" charset="0"/>
                                <a:cs typeface="Arial" pitchFamily="34" charset="0"/>
                              </a:rPr>
                              <a:t>Hyperpyrexia</a:t>
                            </a:r>
                          </a:p>
                          <a:p>
                            <a:pPr algn="just">
                              <a:buFont typeface="Arial" pitchFamily="34" charset="0"/>
                              <a:buChar char="•"/>
                            </a:pPr>
                            <a:r>
                              <a:rPr lang="en-GB" sz="1100" dirty="0" smtClean="0">
                                <a:latin typeface="Calibri" pitchFamily="34" charset="0"/>
                                <a:cs typeface="Arial" pitchFamily="34" charset="0"/>
                              </a:rPr>
                              <a:t>Meningitis</a:t>
                            </a:r>
                          </a:p>
                          <a:p>
                            <a:pPr algn="just">
                              <a:buFont typeface="Arial" pitchFamily="34" charset="0"/>
                              <a:buChar char="•"/>
                            </a:pPr>
                            <a:r>
                              <a:rPr lang="en-GB" sz="1100" dirty="0" smtClean="0">
                                <a:latin typeface="Calibri" pitchFamily="34" charset="0"/>
                                <a:cs typeface="Arial" pitchFamily="34" charset="0"/>
                              </a:rPr>
                              <a:t>CNS infection</a:t>
                            </a:r>
                          </a:p>
                          <a:p>
                            <a:pPr algn="just">
                              <a:buFont typeface="Arial" pitchFamily="34" charset="0"/>
                              <a:buChar char="•"/>
                            </a:pPr>
                            <a:r>
                              <a:rPr lang="en-GB" sz="1100" dirty="0" smtClean="0">
                                <a:latin typeface="Calibri" pitchFamily="34" charset="0"/>
                                <a:cs typeface="Arial" pitchFamily="34" charset="0"/>
                              </a:rPr>
                              <a:t>Seizures</a:t>
                            </a:r>
                          </a:p>
                          <a:p>
                            <a:pPr algn="just">
                              <a:buFont typeface="Arial" pitchFamily="34" charset="0"/>
                              <a:buChar char="•"/>
                            </a:pPr>
                            <a:r>
                              <a:rPr lang="en-GB" sz="1100" dirty="0" err="1" smtClean="0">
                                <a:latin typeface="Calibri" pitchFamily="34" charset="0"/>
                                <a:cs typeface="Arial" pitchFamily="34" charset="0"/>
                              </a:rPr>
                              <a:t>Hypocarbia</a:t>
                            </a:r>
                            <a:endParaRPr lang="en-GB" sz="1100" dirty="0" smtClean="0">
                              <a:latin typeface="Calibri" pitchFamily="34" charset="0"/>
                              <a:cs typeface="Arial" pitchFamily="34" charset="0"/>
                            </a:endParaRPr>
                          </a:p>
                          <a:p>
                            <a:pPr algn="just">
                              <a:buFont typeface="Arial" pitchFamily="34" charset="0"/>
                              <a:buChar char="•"/>
                            </a:pPr>
                            <a:r>
                              <a:rPr lang="en-GB" sz="1100" dirty="0" err="1" smtClean="0">
                                <a:latin typeface="Calibri" pitchFamily="34" charset="0"/>
                                <a:cs typeface="Arial" pitchFamily="34" charset="0"/>
                              </a:rPr>
                              <a:t>Coagulopathy</a:t>
                            </a:r>
                            <a:endParaRPr lang="en-GB" sz="1100" dirty="0" smtClean="0">
                              <a:latin typeface="Calibri" pitchFamily="34" charset="0"/>
                              <a:cs typeface="Arial" pitchFamily="34" charset="0"/>
                            </a:endParaRPr>
                          </a:p>
                          <a:p>
                            <a:pPr algn="just">
                              <a:buFont typeface="Arial" pitchFamily="34" charset="0"/>
                              <a:buChar char="•"/>
                            </a:pPr>
                            <a:endParaRPr lang="en-GB" sz="1100" dirty="0" smtClean="0">
                              <a:latin typeface="Calibri" pitchFamily="34" charset="0"/>
                              <a:cs typeface="Arial" pitchFamily="34" charset="0"/>
                            </a:endParaRPr>
                          </a:p>
                          <a:p>
                            <a:pPr>
                              <a:buFont typeface="Arial" pitchFamily="34" charset="0"/>
                              <a:buChar char="•"/>
                            </a:pPr>
                            <a:r>
                              <a:rPr lang="en-GB" sz="1100" dirty="0" smtClean="0">
                                <a:latin typeface="Calibri" pitchFamily="34" charset="0"/>
                                <a:cs typeface="Arial" pitchFamily="34" charset="0"/>
                              </a:rPr>
                              <a:t>Raised intracranial pressure arising                                               from:</a:t>
                            </a:r>
                          </a:p>
                          <a:p>
                            <a:pPr lvl="1" algn="just"/>
                            <a:r>
                              <a:rPr lang="en-GB" sz="1100" dirty="0" smtClean="0">
                                <a:latin typeface="Calibri" pitchFamily="34" charset="0"/>
                                <a:cs typeface="Arial" pitchFamily="34" charset="0"/>
                              </a:rPr>
                              <a:t>Hydrocephalus</a:t>
                            </a:r>
                          </a:p>
                          <a:p>
                            <a:pPr lvl="1" algn="just"/>
                            <a:r>
                              <a:rPr lang="en-GB" sz="1100" dirty="0" smtClean="0">
                                <a:latin typeface="Calibri" pitchFamily="34" charset="0"/>
                                <a:cs typeface="Arial" pitchFamily="34" charset="0"/>
                              </a:rPr>
                              <a:t>Expanding focal brain lesions</a:t>
                            </a:r>
                          </a:p>
                          <a:p>
                            <a:pPr lvl="1" algn="just"/>
                            <a:r>
                              <a:rPr lang="en-GB" sz="1100" dirty="0" smtClean="0">
                                <a:latin typeface="Calibri" pitchFamily="34" charset="0"/>
                                <a:cs typeface="Arial" pitchFamily="34" charset="0"/>
                              </a:rPr>
                              <a:t>Cerebral oedema</a:t>
                            </a:r>
                          </a:p>
                          <a:p>
                            <a:pPr lvl="1" algn="just"/>
                            <a:r>
                              <a:rPr lang="en-GB" sz="1100" dirty="0" err="1" smtClean="0">
                                <a:latin typeface="Calibri" pitchFamily="34" charset="0"/>
                                <a:cs typeface="Arial" pitchFamily="34" charset="0"/>
                              </a:rPr>
                              <a:t>Hypercarbia</a:t>
                            </a:r>
                            <a:endParaRPr lang="en-GB" sz="1100" dirty="0" smtClean="0">
                              <a:latin typeface="Calibri" pitchFamily="34" charset="0"/>
                              <a:cs typeface="Arial" pitchFamily="34" charset="0"/>
                            </a:endParaRPr>
                          </a:p>
                          <a:p>
                            <a:pPr lvl="1" algn="just"/>
                            <a:r>
                              <a:rPr lang="en-GB" sz="1100" dirty="0" smtClean="0">
                                <a:latin typeface="Calibri" pitchFamily="34" charset="0"/>
                                <a:cs typeface="Arial" pitchFamily="34" charset="0"/>
                              </a:rPr>
                              <a:t>Seizures</a:t>
                            </a:r>
                          </a:p>
                          <a:p>
                            <a:pPr lvl="1" algn="just"/>
                            <a:endParaRPr lang="en-GB" sz="1100" dirty="0" smtClean="0">
                              <a:latin typeface="Calibri" pitchFamily="34" charset="0"/>
                              <a:cs typeface="Arial" pitchFamily="34" charset="0"/>
                            </a:endParaRPr>
                          </a:p>
                          <a:p>
                            <a:pPr algn="just"/>
                            <a:r>
                              <a:rPr lang="en-GB" sz="1100" dirty="0" smtClean="0">
                                <a:latin typeface="Calibri" pitchFamily="34" charset="0"/>
                                <a:cs typeface="Arial" pitchFamily="34" charset="0"/>
                              </a:rPr>
                              <a:t> resulting in:</a:t>
                            </a:r>
                          </a:p>
                          <a:p>
                            <a:pPr lvl="1" algn="just"/>
                            <a:r>
                              <a:rPr lang="en-GB" sz="1100" dirty="0" err="1" smtClean="0">
                                <a:latin typeface="Calibri" pitchFamily="34" charset="0"/>
                                <a:cs typeface="Arial" pitchFamily="34" charset="0"/>
                              </a:rPr>
                              <a:t>Herniation</a:t>
                            </a:r>
                            <a:r>
                              <a:rPr lang="en-GB" sz="1100" dirty="0" smtClean="0">
                                <a:latin typeface="Calibri" pitchFamily="34" charset="0"/>
                                <a:cs typeface="Arial" pitchFamily="34" charset="0"/>
                              </a:rPr>
                              <a:t> syndromes</a:t>
                            </a:r>
                          </a:p>
                          <a:p>
                            <a:pPr lvl="1" algn="just"/>
                            <a:r>
                              <a:rPr lang="en-GB" sz="1100" smtClean="0">
                                <a:latin typeface="Calibri" pitchFamily="34" charset="0"/>
                                <a:cs typeface="Arial" pitchFamily="34" charset="0"/>
                              </a:rPr>
                              <a:t>Cerebral </a:t>
                            </a:r>
                            <a:r>
                              <a:rPr lang="en-GB" sz="1100" smtClean="0">
                                <a:latin typeface="Calibri" pitchFamily="34" charset="0"/>
                                <a:cs typeface="Arial" pitchFamily="34" charset="0"/>
                              </a:rPr>
                              <a:t>ischemia</a:t>
                            </a:r>
                            <a:endParaRPr lang="en-GB" sz="1100" dirty="0">
                              <a:latin typeface="Calibri" pitchFamily="34" charset="0"/>
                              <a:cs typeface="Arial" pitchFamily="34" charset="0"/>
                            </a:endParaRPr>
                          </a:p>
                        </a:txBody>
                        <a:useSpRect/>
                      </a:txSp>
                    </a:sp>
                    <a:sp>
                      <a:nvSpPr>
                        <a:cNvPr id="25" name="TextBox 24"/>
                        <a:cNvSpPr txBox="1"/>
                      </a:nvSpPr>
                      <a:spPr>
                        <a:xfrm>
                          <a:off x="476672" y="179512"/>
                          <a:ext cx="3240360" cy="2162294"/>
                        </a:xfrm>
                        <a:prstGeom prst="roundRect">
                          <a:avLst/>
                        </a:prstGeom>
                        <a:noFill/>
                        <a:ln w="15875">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100" b="1" dirty="0" smtClean="0">
                                <a:latin typeface="Calibri" pitchFamily="34" charset="0"/>
                                <a:cs typeface="Arial" pitchFamily="34" charset="0"/>
                              </a:rPr>
                              <a:t>Injury factors</a:t>
                            </a:r>
                          </a:p>
                          <a:p>
                            <a:pPr>
                              <a:buFont typeface="Arial" pitchFamily="34" charset="0"/>
                              <a:buChar char="•"/>
                            </a:pPr>
                            <a:r>
                              <a:rPr lang="en-GB" sz="1100" b="1" dirty="0" smtClean="0">
                                <a:latin typeface="Calibri" pitchFamily="34" charset="0"/>
                                <a:cs typeface="Arial" pitchFamily="34" charset="0"/>
                              </a:rPr>
                              <a:t>  </a:t>
                            </a:r>
                            <a:r>
                              <a:rPr lang="en-GB" sz="1100" dirty="0" smtClean="0">
                                <a:latin typeface="Calibri" pitchFamily="34" charset="0"/>
                                <a:cs typeface="Arial" pitchFamily="34" charset="0"/>
                              </a:rPr>
                              <a:t>Mechanism of injury: Blunt / penetrating / blast / crush</a:t>
                            </a:r>
                          </a:p>
                          <a:p>
                            <a:pPr>
                              <a:buFont typeface="Arial" pitchFamily="34" charset="0"/>
                              <a:buChar char="•"/>
                            </a:pPr>
                            <a:r>
                              <a:rPr lang="en-GB" sz="1100" dirty="0" smtClean="0">
                                <a:latin typeface="Calibri" pitchFamily="34" charset="0"/>
                                <a:cs typeface="Arial" pitchFamily="34" charset="0"/>
                              </a:rPr>
                              <a:t>  Mode of injury: Isolated / multiple trauma</a:t>
                            </a:r>
                          </a:p>
                          <a:p>
                            <a:pPr>
                              <a:buFont typeface="Arial" pitchFamily="34" charset="0"/>
                              <a:buChar char="•"/>
                            </a:pPr>
                            <a:r>
                              <a:rPr lang="en-GB" sz="1100" dirty="0" smtClean="0">
                                <a:latin typeface="Calibri" pitchFamily="34" charset="0"/>
                                <a:cs typeface="Arial" pitchFamily="34" charset="0"/>
                              </a:rPr>
                              <a:t>  Severity of insult</a:t>
                            </a:r>
                          </a:p>
                          <a:p>
                            <a:pPr>
                              <a:buFont typeface="Arial" pitchFamily="34" charset="0"/>
                              <a:buChar char="•"/>
                            </a:pPr>
                            <a:endParaRPr lang="en-GB" sz="1100" dirty="0" smtClean="0">
                              <a:latin typeface="Calibri" pitchFamily="34" charset="0"/>
                              <a:cs typeface="Arial" pitchFamily="34" charset="0"/>
                            </a:endParaRPr>
                          </a:p>
                          <a:p>
                            <a:r>
                              <a:rPr lang="en-GB" sz="1100" b="1" dirty="0" smtClean="0">
                                <a:latin typeface="Calibri" pitchFamily="34" charset="0"/>
                                <a:cs typeface="Arial" pitchFamily="34" charset="0"/>
                              </a:rPr>
                              <a:t>Patient factors</a:t>
                            </a:r>
                          </a:p>
                          <a:p>
                            <a:pPr>
                              <a:buFont typeface="Arial" pitchFamily="34" charset="0"/>
                              <a:buChar char="•"/>
                            </a:pPr>
                            <a:r>
                              <a:rPr lang="en-GB" sz="1100" dirty="0" smtClean="0">
                                <a:latin typeface="Calibri" pitchFamily="34" charset="0"/>
                                <a:cs typeface="Arial" pitchFamily="34" charset="0"/>
                              </a:rPr>
                              <a:t> Age	</a:t>
                            </a:r>
                            <a:r>
                              <a:rPr lang="en-GB" sz="1100" dirty="0" smtClean="0">
                                <a:latin typeface="Calibri" pitchFamily="34" charset="0"/>
                                <a:cs typeface="Arial" pitchFamily="34" charset="0"/>
                                <a:sym typeface="Wingdings"/>
                              </a:rPr>
                              <a:t> </a:t>
                            </a:r>
                            <a:r>
                              <a:rPr lang="en-GB" sz="1100" dirty="0" smtClean="0">
                                <a:latin typeface="Calibri" pitchFamily="34" charset="0"/>
                                <a:cs typeface="Arial" pitchFamily="34" charset="0"/>
                              </a:rPr>
                              <a:t>Co-</a:t>
                            </a:r>
                            <a:r>
                              <a:rPr lang="en-GB" sz="1100" dirty="0" err="1" smtClean="0">
                                <a:latin typeface="Calibri" pitchFamily="34" charset="0"/>
                                <a:cs typeface="Arial" pitchFamily="34" charset="0"/>
                              </a:rPr>
                              <a:t>morbidites</a:t>
                            </a:r>
                            <a:r>
                              <a:rPr lang="en-GB" sz="1100" dirty="0" smtClean="0">
                                <a:latin typeface="Calibri" pitchFamily="34" charset="0"/>
                                <a:cs typeface="Arial" pitchFamily="34" charset="0"/>
                              </a:rPr>
                              <a:t> </a:t>
                            </a:r>
                          </a:p>
                          <a:p>
                            <a:pPr>
                              <a:buFont typeface="Arial" pitchFamily="34" charset="0"/>
                              <a:buChar char="•"/>
                            </a:pPr>
                            <a:r>
                              <a:rPr lang="en-GB" sz="1100" dirty="0" smtClean="0">
                                <a:latin typeface="Calibri" pitchFamily="34" charset="0"/>
                                <a:cs typeface="Arial" pitchFamily="34" charset="0"/>
                              </a:rPr>
                              <a:t> Ethnicity	</a:t>
                            </a:r>
                            <a:r>
                              <a:rPr lang="en-GB" sz="1100" dirty="0" smtClean="0">
                                <a:latin typeface="Calibri" pitchFamily="34" charset="0"/>
                                <a:cs typeface="Arial" pitchFamily="34" charset="0"/>
                                <a:sym typeface="Wingdings"/>
                              </a:rPr>
                              <a:t> </a:t>
                            </a:r>
                            <a:r>
                              <a:rPr lang="en-GB" sz="1100" dirty="0" smtClean="0">
                                <a:latin typeface="Calibri" pitchFamily="34" charset="0"/>
                                <a:cs typeface="Arial" pitchFamily="34" charset="0"/>
                              </a:rPr>
                              <a:t>Genotype</a:t>
                            </a:r>
                          </a:p>
                          <a:p>
                            <a:pPr>
                              <a:buFont typeface="Arial" pitchFamily="34" charset="0"/>
                              <a:buChar char="•"/>
                            </a:pPr>
                            <a:r>
                              <a:rPr lang="en-GB" sz="1100" dirty="0" smtClean="0">
                                <a:latin typeface="Calibri" pitchFamily="34" charset="0"/>
                                <a:cs typeface="Arial" pitchFamily="34" charset="0"/>
                              </a:rPr>
                              <a:t> Medications	</a:t>
                            </a:r>
                            <a:r>
                              <a:rPr lang="en-GB" sz="1100" dirty="0" smtClean="0">
                                <a:latin typeface="Calibri" pitchFamily="34" charset="0"/>
                                <a:cs typeface="Arial" pitchFamily="34" charset="0"/>
                                <a:sym typeface="Wingdings"/>
                              </a:rPr>
                              <a:t> </a:t>
                            </a:r>
                            <a:r>
                              <a:rPr lang="en-GB" sz="1100" dirty="0" err="1" smtClean="0">
                                <a:latin typeface="Calibri" pitchFamily="34" charset="0"/>
                                <a:cs typeface="Arial" pitchFamily="34" charset="0"/>
                              </a:rPr>
                              <a:t>Socieo</a:t>
                            </a:r>
                            <a:r>
                              <a:rPr lang="en-GB" sz="1100" dirty="0" smtClean="0">
                                <a:latin typeface="Calibri" pitchFamily="34" charset="0"/>
                                <a:cs typeface="Arial" pitchFamily="34" charset="0"/>
                              </a:rPr>
                              <a:t>-economic class</a:t>
                            </a:r>
                          </a:p>
                          <a:p>
                            <a:pPr algn="ctr"/>
                            <a:endParaRPr lang="en-GB" sz="1100" dirty="0" smtClean="0">
                              <a:latin typeface="Calibri" pitchFamily="34" charset="0"/>
                              <a:cs typeface="Arial" pitchFamily="34" charset="0"/>
                            </a:endParaRPr>
                          </a:p>
                        </a:txBody>
                        <a:useSpRect/>
                      </a:txSp>
                    </a:sp>
                    <a:sp>
                      <a:nvSpPr>
                        <a:cNvPr id="13" name="Down Arrow 12"/>
                        <a:cNvSpPr/>
                      </a:nvSpPr>
                      <a:spPr>
                        <a:xfrm>
                          <a:off x="1772816" y="6268660"/>
                          <a:ext cx="504056" cy="576064"/>
                        </a:xfrm>
                        <a:prstGeom prst="downArrow">
                          <a:avLst/>
                        </a:prstGeom>
                        <a:noFill/>
                        <a:ln w="158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Left-Right Arrow 13"/>
                        <a:cNvSpPr/>
                      </a:nvSpPr>
                      <a:spPr>
                        <a:xfrm rot="10800000">
                          <a:off x="3429000" y="4211960"/>
                          <a:ext cx="720080" cy="484632"/>
                        </a:xfrm>
                        <a:prstGeom prst="leftRightArrow">
                          <a:avLst/>
                        </a:prstGeom>
                        <a:noFill/>
                        <a:ln w="158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Down Arrow 18"/>
                        <a:cNvSpPr/>
                      </a:nvSpPr>
                      <a:spPr>
                        <a:xfrm>
                          <a:off x="1700808" y="2339752"/>
                          <a:ext cx="504056" cy="504056"/>
                        </a:xfrm>
                        <a:prstGeom prst="downArrow">
                          <a:avLst/>
                        </a:prstGeom>
                        <a:noFill/>
                        <a:ln w="158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Bent Arrow 11"/>
                        <a:cNvSpPr/>
                      </a:nvSpPr>
                      <a:spPr>
                        <a:xfrm rot="5400000">
                          <a:off x="4075820" y="635018"/>
                          <a:ext cx="864096" cy="1555148"/>
                        </a:xfrm>
                        <a:prstGeom prst="bentArrow">
                          <a:avLst/>
                        </a:prstGeom>
                        <a:noFill/>
                        <a:ln w="158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Left Arrow 14"/>
                        <a:cNvSpPr/>
                      </a:nvSpPr>
                      <a:spPr>
                        <a:xfrm rot="16200000">
                          <a:off x="5111476" y="6417916"/>
                          <a:ext cx="432048" cy="484632"/>
                        </a:xfrm>
                        <a:prstGeom prst="leftArrow">
                          <a:avLst/>
                        </a:prstGeom>
                        <a:noFill/>
                        <a:ln w="158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15"/>
                        <a:cNvSpPr txBox="1"/>
                      </a:nvSpPr>
                      <a:spPr>
                        <a:xfrm>
                          <a:off x="476672" y="7913396"/>
                          <a:ext cx="6120680" cy="1038582"/>
                        </a:xfrm>
                        <a:prstGeom prst="roundRect">
                          <a:avLst/>
                        </a:prstGeom>
                        <a:noFill/>
                        <a:ln w="15875">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100" b="1" dirty="0" smtClean="0">
                                <a:latin typeface="Calibri" pitchFamily="34" charset="0"/>
                                <a:cs typeface="Arial" pitchFamily="34" charset="0"/>
                              </a:rPr>
                              <a:t>Long Term Outcome:</a:t>
                            </a:r>
                          </a:p>
                          <a:p>
                            <a:pPr algn="ctr"/>
                            <a:r>
                              <a:rPr lang="en-GB" sz="1100" dirty="0" smtClean="0">
                                <a:latin typeface="Calibri" pitchFamily="34" charset="0"/>
                                <a:cs typeface="Arial" pitchFamily="34" charset="0"/>
                              </a:rPr>
                              <a:t>•Death</a:t>
                            </a:r>
                            <a:r>
                              <a:rPr lang="en-GB" sz="1100" smtClean="0">
                                <a:latin typeface="Calibri" pitchFamily="34" charset="0"/>
                                <a:cs typeface="Arial" pitchFamily="34" charset="0"/>
                              </a:rPr>
                              <a:t>: </a:t>
                            </a:r>
                            <a:r>
                              <a:rPr lang="en-GB" sz="1100" smtClean="0">
                                <a:latin typeface="Calibri" pitchFamily="34" charset="0"/>
                                <a:cs typeface="Arial" pitchFamily="34" charset="0"/>
                              </a:rPr>
                              <a:t>Reduced </a:t>
                            </a:r>
                            <a:r>
                              <a:rPr lang="en-GB" sz="1100" dirty="0" smtClean="0">
                                <a:latin typeface="Calibri" pitchFamily="34" charset="0"/>
                                <a:cs typeface="Arial" pitchFamily="34" charset="0"/>
                              </a:rPr>
                              <a:t>life expectancy secondary to </a:t>
                            </a:r>
                            <a:r>
                              <a:rPr lang="en-GB" sz="1100" dirty="0" err="1" smtClean="0">
                                <a:latin typeface="Calibri" pitchFamily="34" charset="0"/>
                                <a:cs typeface="Arial" pitchFamily="34" charset="0"/>
                              </a:rPr>
                              <a:t>TBI</a:t>
                            </a:r>
                            <a:r>
                              <a:rPr lang="en-GB" sz="1100" dirty="0" smtClean="0">
                                <a:latin typeface="Calibri" pitchFamily="34" charset="0"/>
                                <a:cs typeface="Arial" pitchFamily="34" charset="0"/>
                              </a:rPr>
                              <a:t> or its </a:t>
                            </a:r>
                            <a:r>
                              <a:rPr lang="en-GB" sz="1100" smtClean="0">
                                <a:latin typeface="Calibri" pitchFamily="34" charset="0"/>
                                <a:cs typeface="Arial" pitchFamily="34" charset="0"/>
                              </a:rPr>
                              <a:t>complications</a:t>
                            </a:r>
                            <a:r>
                              <a:rPr lang="en-GB" sz="1100" smtClean="0">
                                <a:latin typeface="Calibri" pitchFamily="34" charset="0"/>
                                <a:cs typeface="Arial" pitchFamily="34" charset="0"/>
                              </a:rPr>
                              <a:t>;?</a:t>
                            </a:r>
                          </a:p>
                          <a:p>
                            <a:pPr algn="ctr"/>
                            <a:r>
                              <a:rPr lang="en-GB" sz="1100" smtClean="0">
                                <a:latin typeface="Calibri" pitchFamily="34" charset="0"/>
                                <a:cs typeface="Arial" pitchFamily="34" charset="0"/>
                              </a:rPr>
                              <a:t> or reduced life expectacny due to characteristics associated with risk of TBI?</a:t>
                            </a:r>
                          </a:p>
                          <a:p>
                            <a:pPr algn="ctr"/>
                            <a:r>
                              <a:rPr lang="en-GB" sz="1100" smtClean="0">
                                <a:latin typeface="Calibri" pitchFamily="34" charset="0"/>
                                <a:cs typeface="Arial" pitchFamily="34" charset="0"/>
                                <a:sym typeface="Wingdings"/>
                              </a:rPr>
                              <a:t></a:t>
                            </a:r>
                            <a:r>
                              <a:rPr lang="en-GB" sz="1100" dirty="0" smtClean="0">
                                <a:latin typeface="Calibri" pitchFamily="34" charset="0"/>
                                <a:cs typeface="Arial" pitchFamily="34" charset="0"/>
                              </a:rPr>
                              <a:t>Associated illnesses: Dementia, epilepsy, depressions</a:t>
                            </a:r>
                          </a:p>
                          <a:p>
                            <a:pPr algn="ctr"/>
                            <a:r>
                              <a:rPr lang="en-GB" sz="1100" dirty="0" smtClean="0">
                                <a:latin typeface="Calibri" pitchFamily="34" charset="0"/>
                                <a:cs typeface="Arial" pitchFamily="34" charset="0"/>
                                <a:sym typeface="Wingdings"/>
                              </a:rPr>
                              <a:t></a:t>
                            </a:r>
                            <a:r>
                              <a:rPr lang="en-GB" sz="1100" dirty="0" smtClean="0">
                                <a:latin typeface="Calibri" pitchFamily="34" charset="0"/>
                                <a:cs typeface="Arial" pitchFamily="34" charset="0"/>
                              </a:rPr>
                              <a:t>Disability: Physical, Social, Cognitive, Psychological</a:t>
                            </a:r>
                          </a:p>
                        </a:txBody>
                        <a:useSpRect/>
                      </a:txSp>
                    </a:sp>
                    <a:sp>
                      <a:nvSpPr>
                        <a:cNvPr id="18" name="Left Arrow 17"/>
                        <a:cNvSpPr/>
                      </a:nvSpPr>
                      <a:spPr>
                        <a:xfrm rot="16200000">
                          <a:off x="3469525" y="7483803"/>
                          <a:ext cx="403582" cy="484632"/>
                        </a:xfrm>
                        <a:prstGeom prst="leftArrow">
                          <a:avLst/>
                        </a:prstGeom>
                        <a:noFill/>
                        <a:ln w="158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5F0441" w:rsidRPr="00C806D0" w:rsidRDefault="005F0441" w:rsidP="005F0441">
      <w:pPr>
        <w:rPr>
          <w:rFonts w:ascii="Calibri" w:hAnsi="Calibri"/>
          <w:b/>
        </w:rPr>
      </w:pPr>
      <w:r w:rsidRPr="00C806D0">
        <w:rPr>
          <w:rFonts w:ascii="Calibri" w:hAnsi="Calibri"/>
          <w:b/>
        </w:rPr>
        <w:t>Figure H1. Pathophysiology of significant TBI</w:t>
      </w:r>
    </w:p>
    <w:p w:rsidR="00B87E08" w:rsidRPr="00C806D0" w:rsidRDefault="00B87E08" w:rsidP="005F0441">
      <w:pPr>
        <w:rPr>
          <w:rFonts w:ascii="Calibri" w:hAnsi="Calibri"/>
          <w:b/>
        </w:rPr>
      </w:pPr>
    </w:p>
    <w:p w:rsidR="00B87E08" w:rsidRPr="00C806D0" w:rsidRDefault="00B87E08" w:rsidP="005F0441">
      <w:pPr>
        <w:rPr>
          <w:rFonts w:ascii="Calibri" w:hAnsi="Calibri"/>
          <w:b/>
        </w:rPr>
      </w:pPr>
    </w:p>
    <w:p w:rsidR="00B87E08" w:rsidRPr="00C806D0" w:rsidRDefault="00B87E08" w:rsidP="005F0441">
      <w:pPr>
        <w:rPr>
          <w:rFonts w:ascii="Calibri" w:hAnsi="Calibri"/>
          <w:b/>
        </w:rPr>
      </w:pPr>
    </w:p>
    <w:p w:rsidR="005F0441" w:rsidRPr="00C806D0" w:rsidRDefault="005F0441" w:rsidP="005F0441">
      <w:pPr>
        <w:pStyle w:val="Heading3"/>
        <w:spacing w:before="240"/>
      </w:pPr>
      <w:r w:rsidRPr="00C806D0">
        <w:t>Treatment pathway conceptual model</w:t>
      </w:r>
    </w:p>
    <w:p w:rsidR="005F0441" w:rsidRPr="00C806D0" w:rsidRDefault="005F0441" w:rsidP="005F0441">
      <w:pPr>
        <w:rPr>
          <w:rFonts w:ascii="Calibri" w:hAnsi="Calibri"/>
        </w:rPr>
      </w:pPr>
      <w:r w:rsidRPr="00C806D0">
        <w:rPr>
          <w:rFonts w:ascii="Calibri" w:hAnsi="Calibri"/>
        </w:rPr>
        <w:t xml:space="preserve">Adults with suspected significant TBI can receive treatment in either SNCs or NSAHs, with the location of the scene of injury, patient characteristics and underlying pathology influencing the potential pathway of care. Potential management pathways were described in detail in Chapter Two. Treatment pathways for patients with significant TBI are shown schematically in Figure H2. </w:t>
      </w:r>
    </w:p>
    <w:p w:rsidR="005F0441" w:rsidRPr="00C806D0" w:rsidRDefault="005F0441" w:rsidP="005F0441">
      <w:pPr>
        <w:rPr>
          <w:rFonts w:ascii="Calibri" w:hAnsi="Calibri"/>
        </w:rPr>
      </w:pPr>
    </w:p>
    <w:p w:rsidR="005F0441" w:rsidRPr="00C806D0" w:rsidRDefault="005F0441" w:rsidP="005F0441">
      <w:pPr>
        <w:rPr>
          <w:rFonts w:ascii="Calibri" w:hAnsi="Calibri"/>
        </w:rPr>
      </w:pPr>
      <w:r w:rsidRPr="00C806D0">
        <w:rPr>
          <w:rFonts w:ascii="Calibri" w:hAnsi="Calibri"/>
        </w:rPr>
        <w:t xml:space="preserve">The factors determining the clinical effectiveness of the competing treatment pathways </w:t>
      </w:r>
      <w:r w:rsidR="00ED127C" w:rsidRPr="00C806D0">
        <w:rPr>
          <w:rFonts w:ascii="Calibri" w:hAnsi="Calibri"/>
        </w:rPr>
        <w:t>were also discussed in Chapter Two</w:t>
      </w:r>
      <w:r w:rsidRPr="00C806D0">
        <w:rPr>
          <w:rFonts w:ascii="Calibri" w:hAnsi="Calibri"/>
        </w:rPr>
        <w:t>. TBI management pathways are complex interventions with several interacting factors influencing clinical effectiveness including: the timeliness of important interventions (initial resuscitation, initiation of specialist intensive care, and operative interventions in cases requiring neurosurgery); the relative efficacy of these interventions when provided in NSAHs and SNCs; the potential for adverse events during primary and secondary EMS transfers; and the potential for affecting patients with non-significant TBI. Moreover, the relative importance of each of these determinants will vary according to the actual underlying injury and the benefit of alternative management pathways could conceivably vary across different TBI subgroups.</w:t>
      </w:r>
      <w:r w:rsidRPr="00C806D0">
        <w:rPr>
          <w:rFonts w:ascii="Calibri" w:hAnsi="Calibri"/>
          <w:noProof/>
          <w:vertAlign w:val="superscript"/>
        </w:rPr>
        <w:t>[</w:t>
      </w:r>
      <w:r w:rsidR="006D4D62" w:rsidRPr="00C806D0">
        <w:rPr>
          <w:rFonts w:ascii="Calibri" w:hAnsi="Calibri"/>
          <w:noProof/>
          <w:vertAlign w:val="superscript"/>
        </w:rPr>
        <w:t>14-16</w:t>
      </w:r>
      <w:r w:rsidRPr="00C806D0">
        <w:rPr>
          <w:rFonts w:ascii="Calibri" w:hAnsi="Calibri"/>
          <w:noProof/>
          <w:vertAlign w:val="superscript"/>
        </w:rPr>
        <w:t>]</w:t>
      </w:r>
      <w:r w:rsidRPr="00C806D0">
        <w:rPr>
          <w:rFonts w:ascii="Calibri" w:hAnsi="Calibri"/>
        </w:rPr>
        <w:t xml:space="preserve"> </w:t>
      </w:r>
    </w:p>
    <w:p w:rsidR="005F0441" w:rsidRPr="00C806D0" w:rsidRDefault="005F0441" w:rsidP="005F0441">
      <w:pPr>
        <w:rPr>
          <w:rFonts w:ascii="Calibri" w:hAnsi="Calibri"/>
        </w:rPr>
      </w:pPr>
    </w:p>
    <w:p w:rsidR="005F0441" w:rsidRPr="00C806D0" w:rsidRDefault="005F0441" w:rsidP="005F0441">
      <w:pPr>
        <w:rPr>
          <w:rFonts w:ascii="Calibri" w:hAnsi="Calibri"/>
        </w:rPr>
      </w:pPr>
    </w:p>
    <w:p w:rsidR="005F0441" w:rsidRPr="00C806D0" w:rsidRDefault="005F0441" w:rsidP="005F0441">
      <w:pPr>
        <w:rPr>
          <w:rFonts w:ascii="Calibri" w:hAnsi="Calibri"/>
        </w:rPr>
      </w:pPr>
    </w:p>
    <w:p w:rsidR="005F0441" w:rsidRPr="00C806D0" w:rsidRDefault="005F0441" w:rsidP="005F0441">
      <w:pPr>
        <w:rPr>
          <w:rFonts w:ascii="Calibri" w:hAnsi="Calibri"/>
        </w:rPr>
      </w:pPr>
    </w:p>
    <w:p w:rsidR="005F0441" w:rsidRPr="00C806D0" w:rsidRDefault="005F0441" w:rsidP="005F0441">
      <w:pPr>
        <w:rPr>
          <w:rFonts w:ascii="Calibri" w:hAnsi="Calibri"/>
        </w:rPr>
      </w:pPr>
    </w:p>
    <w:p w:rsidR="005F0441" w:rsidRPr="00C806D0" w:rsidRDefault="005F0441" w:rsidP="005F0441">
      <w:pPr>
        <w:rPr>
          <w:rFonts w:ascii="Calibri" w:hAnsi="Calibri"/>
        </w:rPr>
      </w:pPr>
    </w:p>
    <w:p w:rsidR="005F0441" w:rsidRPr="00C806D0" w:rsidRDefault="005F0441" w:rsidP="005F0441">
      <w:pPr>
        <w:rPr>
          <w:rFonts w:ascii="Calibri" w:hAnsi="Calibri"/>
        </w:rPr>
      </w:pPr>
    </w:p>
    <w:p w:rsidR="005F0441" w:rsidRPr="00C806D0" w:rsidRDefault="005F0441" w:rsidP="005F0441">
      <w:pPr>
        <w:rPr>
          <w:rFonts w:ascii="Calibri" w:hAnsi="Calibri"/>
        </w:rPr>
      </w:pPr>
    </w:p>
    <w:p w:rsidR="005F0441" w:rsidRPr="00C806D0" w:rsidRDefault="005F0441" w:rsidP="005F0441">
      <w:pPr>
        <w:rPr>
          <w:rFonts w:ascii="Calibri" w:hAnsi="Calibri"/>
        </w:rPr>
      </w:pPr>
    </w:p>
    <w:p w:rsidR="00BF1676" w:rsidRPr="00C806D0" w:rsidRDefault="00BF1676" w:rsidP="005F0441">
      <w:pPr>
        <w:jc w:val="center"/>
        <w:rPr>
          <w:rFonts w:ascii="Calibri" w:hAnsi="Calibri"/>
        </w:rPr>
        <w:sectPr w:rsidR="00BF1676" w:rsidRPr="00C806D0" w:rsidSect="00E31429">
          <w:footerReference w:type="default" r:id="rId45"/>
          <w:pgSz w:w="11906" w:h="16838"/>
          <w:pgMar w:top="1134" w:right="1134" w:bottom="1134" w:left="2268" w:header="709" w:footer="709" w:gutter="0"/>
          <w:cols w:space="708"/>
          <w:docGrid w:linePitch="360"/>
        </w:sectPr>
      </w:pPr>
    </w:p>
    <w:p w:rsidR="005F0441" w:rsidRPr="00C806D0" w:rsidRDefault="005F0441" w:rsidP="005F0441">
      <w:pPr>
        <w:jc w:val="center"/>
        <w:rPr>
          <w:rFonts w:ascii="Calibri" w:hAnsi="Calibri"/>
        </w:rPr>
      </w:pPr>
      <w:r w:rsidRPr="00C806D0">
        <w:rPr>
          <w:rFonts w:ascii="Calibri" w:hAnsi="Calibri"/>
          <w:noProof/>
          <w:lang w:val="en-US"/>
        </w:rPr>
        <w:drawing>
          <wp:inline distT="0" distB="0" distL="0" distR="0">
            <wp:extent cx="6534997" cy="4901610"/>
            <wp:effectExtent l="19050" t="0" r="0" b="0"/>
            <wp:docPr id="46" name="Picture 0" descr="Treatement pat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tement pathways.jpg"/>
                    <pic:cNvPicPr/>
                  </pic:nvPicPr>
                  <pic:blipFill>
                    <a:blip r:embed="rId46" cstate="print"/>
                    <a:stretch>
                      <a:fillRect/>
                    </a:stretch>
                  </pic:blipFill>
                  <pic:spPr>
                    <a:xfrm>
                      <a:off x="0" y="0"/>
                      <a:ext cx="6541653" cy="4906603"/>
                    </a:xfrm>
                    <a:prstGeom prst="rect">
                      <a:avLst/>
                    </a:prstGeom>
                  </pic:spPr>
                </pic:pic>
              </a:graphicData>
            </a:graphic>
          </wp:inline>
        </w:drawing>
      </w:r>
    </w:p>
    <w:p w:rsidR="00D368BB" w:rsidRPr="00C806D0" w:rsidRDefault="005F0441" w:rsidP="005F0441">
      <w:pPr>
        <w:rPr>
          <w:rFonts w:ascii="Calibri" w:hAnsi="Calibri"/>
          <w:b/>
        </w:rPr>
      </w:pPr>
      <w:r w:rsidRPr="00C806D0">
        <w:rPr>
          <w:rFonts w:ascii="Calibri" w:hAnsi="Calibri"/>
          <w:b/>
        </w:rPr>
        <w:t>Figure H2. Alternative management pathways for patients with suspected significant TBI</w:t>
      </w:r>
    </w:p>
    <w:p w:rsidR="00BF1676" w:rsidRPr="00C806D0" w:rsidRDefault="00BF1676" w:rsidP="005F0441">
      <w:pPr>
        <w:rPr>
          <w:rFonts w:ascii="Calibri" w:hAnsi="Calibri"/>
          <w:b/>
        </w:rPr>
        <w:sectPr w:rsidR="00BF1676" w:rsidRPr="00C806D0" w:rsidSect="00BF1676">
          <w:pgSz w:w="16838" w:h="11906" w:orient="landscape"/>
          <w:pgMar w:top="2268" w:right="1134" w:bottom="1134" w:left="1134" w:header="709" w:footer="709" w:gutter="0"/>
          <w:cols w:space="708"/>
          <w:docGrid w:linePitch="360"/>
        </w:sectPr>
      </w:pPr>
    </w:p>
    <w:p w:rsidR="00D368BB" w:rsidRPr="00C806D0" w:rsidRDefault="00D368BB" w:rsidP="005F0441">
      <w:pPr>
        <w:rPr>
          <w:rFonts w:ascii="Calibri" w:hAnsi="Calibri"/>
          <w:b/>
        </w:rPr>
      </w:pPr>
    </w:p>
    <w:p w:rsidR="005F0441" w:rsidRPr="00C806D0" w:rsidRDefault="005F0441" w:rsidP="005F0441">
      <w:pPr>
        <w:pStyle w:val="Heading3"/>
        <w:spacing w:before="240"/>
      </w:pPr>
      <w:r w:rsidRPr="00C806D0">
        <w:t>Design orientated conceptual model</w:t>
      </w:r>
    </w:p>
    <w:p w:rsidR="005F0441" w:rsidRPr="00C806D0" w:rsidRDefault="005F0441" w:rsidP="005F0441">
      <w:r w:rsidRPr="00C806D0">
        <w:t xml:space="preserve">From the disease logic and treatment pathway conceptual models was concluded that bypass may improve outcomes by expediting definitive care for patients with suspected significant TBI, but these benefits could be attenuated by non-compliance with bypass protocols, or offset by a risk of </w:t>
      </w:r>
      <w:r w:rsidR="002A16B4" w:rsidRPr="00C806D0">
        <w:t>prehospital</w:t>
      </w:r>
      <w:r w:rsidRPr="00C806D0">
        <w:t xml:space="preserve"> deterioration and increased costs arising from more expensive specialist management. </w:t>
      </w:r>
    </w:p>
    <w:p w:rsidR="005F0441" w:rsidRPr="00C806D0" w:rsidRDefault="005F0441" w:rsidP="005F0441"/>
    <w:p w:rsidR="005F0441" w:rsidRPr="00C806D0" w:rsidRDefault="005F0441" w:rsidP="005F0441">
      <w:r w:rsidRPr="00C806D0">
        <w:t>Explicit modelling of the effects of time to resuscitation and time to neurosurgery, using prognostic models developed using TARN data, was pre-specified in the HITSNS study protocol. However, during the model development process it was apparent that this was not a credible approach. Literature reviews revealed no convincing evidence of an association between time to treatment and outcome in TBI. Moreover relevant disability endpoints necessary to fully represent outcome following TBI were not available within the TARN registry.</w:t>
      </w:r>
      <w:r w:rsidR="00155D84" w:rsidRPr="00C806D0">
        <w:rPr>
          <w:noProof/>
          <w:vertAlign w:val="superscript"/>
        </w:rPr>
        <w:t>[</w:t>
      </w:r>
      <w:r w:rsidR="006D4D62" w:rsidRPr="00C806D0">
        <w:rPr>
          <w:noProof/>
          <w:vertAlign w:val="superscript"/>
        </w:rPr>
        <w:t>17</w:t>
      </w:r>
      <w:r w:rsidR="00155D84" w:rsidRPr="00C806D0">
        <w:rPr>
          <w:noProof/>
          <w:vertAlign w:val="superscript"/>
        </w:rPr>
        <w:t>]</w:t>
      </w:r>
      <w:r w:rsidRPr="00C806D0">
        <w:t xml:space="preserve">  It had initially been planned to impute GOS outcomes using data from a randomised controlled trial, the </w:t>
      </w:r>
      <w:r w:rsidRPr="00C806D0">
        <w:rPr>
          <w:rFonts w:ascii="Calibri" w:hAnsi="Calibri"/>
          <w:shd w:val="clear" w:color="auto" w:fill="FFFFFF"/>
        </w:rPr>
        <w:t>Corticosteroid Randomisation After Significant Head Injury (CRASH) trial.</w:t>
      </w:r>
      <w:r w:rsidR="00155D84" w:rsidRPr="00C806D0">
        <w:rPr>
          <w:rFonts w:ascii="Calibri" w:hAnsi="Calibri"/>
          <w:noProof/>
          <w:shd w:val="clear" w:color="auto" w:fill="FFFFFF"/>
          <w:vertAlign w:val="superscript"/>
        </w:rPr>
        <w:t>[</w:t>
      </w:r>
      <w:r w:rsidR="006D4D62" w:rsidRPr="00C806D0">
        <w:rPr>
          <w:rFonts w:ascii="Calibri" w:hAnsi="Calibri"/>
          <w:noProof/>
          <w:shd w:val="clear" w:color="auto" w:fill="FFFFFF"/>
          <w:vertAlign w:val="superscript"/>
        </w:rPr>
        <w:t>18</w:t>
      </w:r>
      <w:r w:rsidR="00155D84" w:rsidRPr="00C806D0">
        <w:rPr>
          <w:rFonts w:ascii="Calibri" w:hAnsi="Calibri"/>
          <w:noProof/>
          <w:shd w:val="clear" w:color="auto" w:fill="FFFFFF"/>
          <w:vertAlign w:val="superscript"/>
        </w:rPr>
        <w:t>]</w:t>
      </w:r>
      <w:r w:rsidRPr="00C806D0">
        <w:rPr>
          <w:rFonts w:ascii="Calibri" w:hAnsi="Calibri"/>
          <w:shd w:val="clear" w:color="auto" w:fill="FFFFFF"/>
        </w:rPr>
        <w:t xml:space="preserve"> However, as time to hospital arrival and critical care were not included in this dataset, and due to the limited overlap of other covariates collected in TARN and CRASH, this approach was not feasible.  Furthermore</w:t>
      </w:r>
      <w:r w:rsidRPr="00C806D0">
        <w:t xml:space="preserve">, </w:t>
      </w:r>
      <w:r w:rsidR="00ED127C" w:rsidRPr="00C806D0">
        <w:t>as reported in Chapter Four</w:t>
      </w:r>
      <w:r w:rsidRPr="00C806D0">
        <w:t>, when survival was examined using TARN data there was no association observed between emergency services interval,</w:t>
      </w:r>
      <w:r w:rsidR="00155D84" w:rsidRPr="00C806D0">
        <w:rPr>
          <w:noProof/>
          <w:vertAlign w:val="superscript"/>
        </w:rPr>
        <w:t>[</w:t>
      </w:r>
      <w:r w:rsidR="006D4D62" w:rsidRPr="00C806D0">
        <w:rPr>
          <w:noProof/>
          <w:vertAlign w:val="superscript"/>
        </w:rPr>
        <w:t>19</w:t>
      </w:r>
      <w:r w:rsidR="00155D84" w:rsidRPr="00C806D0">
        <w:rPr>
          <w:noProof/>
          <w:vertAlign w:val="superscript"/>
        </w:rPr>
        <w:t>]</w:t>
      </w:r>
      <w:r w:rsidRPr="00C806D0">
        <w:t xml:space="preserve"> or time to neuroscience centre care, and 30 day mortality; although in common with previously published studies in this area interpretation of these findings is challenging due to high risk of bias. </w:t>
      </w:r>
      <w:r w:rsidRPr="00C806D0">
        <w:rPr>
          <w:rFonts w:ascii="Calibri" w:hAnsi="Calibri"/>
          <w:shd w:val="clear" w:color="auto" w:fill="FFFFFF"/>
        </w:rPr>
        <w:t>Access was requested to other potentially suitable data sets to allow implementation of this approach, including the RAIN study,</w:t>
      </w:r>
      <w:r w:rsidR="00155D84" w:rsidRPr="00C806D0">
        <w:rPr>
          <w:rFonts w:ascii="Calibri" w:hAnsi="Calibri"/>
          <w:noProof/>
          <w:shd w:val="clear" w:color="auto" w:fill="FFFFFF"/>
          <w:vertAlign w:val="superscript"/>
        </w:rPr>
        <w:t>[</w:t>
      </w:r>
      <w:r w:rsidR="006D4D62" w:rsidRPr="00C806D0">
        <w:rPr>
          <w:rFonts w:ascii="Calibri" w:hAnsi="Calibri"/>
          <w:noProof/>
          <w:shd w:val="clear" w:color="auto" w:fill="FFFFFF"/>
          <w:vertAlign w:val="superscript"/>
        </w:rPr>
        <w:t>20</w:t>
      </w:r>
      <w:r w:rsidR="00155D84" w:rsidRPr="00C806D0">
        <w:rPr>
          <w:rFonts w:ascii="Calibri" w:hAnsi="Calibri"/>
          <w:noProof/>
          <w:shd w:val="clear" w:color="auto" w:fill="FFFFFF"/>
          <w:vertAlign w:val="superscript"/>
        </w:rPr>
        <w:t>]</w:t>
      </w:r>
      <w:r w:rsidRPr="00C806D0">
        <w:rPr>
          <w:rFonts w:ascii="Calibri" w:hAnsi="Calibri"/>
          <w:shd w:val="clear" w:color="auto" w:fill="FFFFFF"/>
        </w:rPr>
        <w:t xml:space="preserve"> however no suitable data were available.</w:t>
      </w:r>
    </w:p>
    <w:p w:rsidR="005F0441" w:rsidRPr="00C806D0" w:rsidRDefault="005F0441" w:rsidP="005F0441"/>
    <w:p w:rsidR="005F0441" w:rsidRPr="00C806D0" w:rsidRDefault="005F0441" w:rsidP="005F0441">
      <w:r w:rsidRPr="00C806D0">
        <w:t xml:space="preserve">An analysis using existing data which reported no influence from earlier specialist care would have had obvious results of no apparent difference in effectiveness, dubious face validity, and was consequently redundant. As conceptual models clearly defined a strong theoretical basis for potential differences in outcome between alternative management strategies it was therefore necessary to override the flawed existing evidence in favour of the expert opinion of the clinical community. A range of modelling methodologies and model structure were subsequently carefully considered by the primary modeller and discussed in round table meetings with the HITSNS advisory panel. Major challenges to model structuring that were identified and examined in detail included: the unique HITSNS inclusion criteria with consequent lack of empirical evidence to support model parameterisation; the very heterogeneous population to which </w:t>
      </w:r>
      <w:r w:rsidR="002A16B4" w:rsidRPr="00C806D0">
        <w:t>prehospital</w:t>
      </w:r>
      <w:r w:rsidRPr="00C806D0">
        <w:t xml:space="preserve"> triage and bypass would apply and the subsequent requirement for a wide range of evidence to parameterise any model; the complexity of each management strategy with multiple potential treatment pathways contributing to an overall pooled intervention-level outcome; and the need to model a wide spectrum of potential outcomes ranging from perfect health to severe disability and death. </w:t>
      </w:r>
    </w:p>
    <w:p w:rsidR="005F0441" w:rsidRPr="00C806D0" w:rsidRDefault="005F0441" w:rsidP="005F0441"/>
    <w:p w:rsidR="005F0441" w:rsidRPr="00C806D0" w:rsidRDefault="005F0441" w:rsidP="005F0441">
      <w:r w:rsidRPr="00C806D0">
        <w:t>The possibility of directly modelling the effects of time to resuscitation and ICU treatment, and explicitly including the risks and effects of secondary brain insults during bypass and inter-hospital transfers, within an individual patient sampling model was particularly deliberated. Such an approach, akin to that taken by Stevenson and colleagues (2002),</w:t>
      </w:r>
      <w:r w:rsidR="00155D84" w:rsidRPr="00C806D0">
        <w:rPr>
          <w:noProof/>
          <w:vertAlign w:val="superscript"/>
        </w:rPr>
        <w:t>[</w:t>
      </w:r>
      <w:r w:rsidR="006D4D62" w:rsidRPr="00C806D0">
        <w:rPr>
          <w:noProof/>
          <w:vertAlign w:val="superscript"/>
        </w:rPr>
        <w:t>21</w:t>
      </w:r>
      <w:r w:rsidR="00155D84" w:rsidRPr="00C806D0">
        <w:rPr>
          <w:noProof/>
          <w:vertAlign w:val="superscript"/>
        </w:rPr>
        <w:t>]</w:t>
      </w:r>
      <w:r w:rsidRPr="00C806D0">
        <w:t xml:space="preserve"> would entail extensive elicitation of a large number of abstruse effect estimates, conditional on particular combinations of treatment timings and patient characteristics. In contrast, the relative costs and effectiveness of each management strategy </w:t>
      </w:r>
      <w:r w:rsidR="00335B1F" w:rsidRPr="00C806D0">
        <w:t>compared with</w:t>
      </w:r>
      <w:r w:rsidRPr="00C806D0">
        <w:t xml:space="preserve"> current practice were considered to represent a more manageable number of tangible quantities that could be credibly elicited from clinical experts. It was therefore decided to follow a similar approach to that taken by the 2007 NICE head injury guideline group </w:t>
      </w:r>
      <w:r w:rsidR="00ED127C" w:rsidRPr="00C806D0">
        <w:t xml:space="preserve">TBI economic model </w:t>
      </w:r>
      <w:r w:rsidRPr="00C806D0">
        <w:t>and use cohort methodology to model each intervention at the strategy level.</w:t>
      </w:r>
      <w:r w:rsidR="00155D84" w:rsidRPr="00C806D0">
        <w:rPr>
          <w:noProof/>
          <w:vertAlign w:val="superscript"/>
        </w:rPr>
        <w:t>[</w:t>
      </w:r>
      <w:r w:rsidR="006D4D62" w:rsidRPr="00C806D0">
        <w:rPr>
          <w:noProof/>
          <w:vertAlign w:val="superscript"/>
        </w:rPr>
        <w:t>22</w:t>
      </w:r>
      <w:r w:rsidR="00155D84" w:rsidRPr="00C806D0">
        <w:rPr>
          <w:noProof/>
          <w:vertAlign w:val="superscript"/>
        </w:rPr>
        <w:t>]</w:t>
      </w:r>
    </w:p>
    <w:p w:rsidR="005F0441" w:rsidRPr="00C806D0" w:rsidRDefault="005F0441" w:rsidP="005F0441"/>
    <w:p w:rsidR="005F0441" w:rsidRPr="00C806D0" w:rsidRDefault="005F0441" w:rsidP="005F0441">
      <w:r w:rsidRPr="00C806D0">
        <w:t>A hybrid cohort model was subsequently developed focusing on differences in outcomes and costs with each management strategy for important patient sub-groups.</w:t>
      </w:r>
      <w:r w:rsidR="00155D84" w:rsidRPr="00C806D0">
        <w:rPr>
          <w:noProof/>
          <w:vertAlign w:val="superscript"/>
        </w:rPr>
        <w:t>[</w:t>
      </w:r>
      <w:r w:rsidR="006D4D62" w:rsidRPr="00C806D0">
        <w:rPr>
          <w:noProof/>
          <w:vertAlign w:val="superscript"/>
        </w:rPr>
        <w:t>23</w:t>
      </w:r>
      <w:r w:rsidR="00155D84" w:rsidRPr="00C806D0">
        <w:rPr>
          <w:noProof/>
          <w:vertAlign w:val="superscript"/>
        </w:rPr>
        <w:t>]</w:t>
      </w:r>
      <w:r w:rsidRPr="00C806D0">
        <w:t xml:space="preserve"> This design orientated conceptual model did not differ from the final implemented model which was been</w:t>
      </w:r>
      <w:r w:rsidR="00ED127C" w:rsidRPr="00C806D0">
        <w:t xml:space="preserve"> outlined in detail in Chapter Eight</w:t>
      </w:r>
      <w:r w:rsidRPr="00C806D0">
        <w:t xml:space="preserve">. </w:t>
      </w:r>
    </w:p>
    <w:p w:rsidR="005F0441" w:rsidRPr="00C806D0" w:rsidRDefault="005F0441" w:rsidP="005F0441"/>
    <w:p w:rsidR="005F0441" w:rsidRPr="00C806D0" w:rsidRDefault="005F0441" w:rsidP="005F0441">
      <w:pPr>
        <w:jc w:val="both"/>
        <w:rPr>
          <w:rFonts w:ascii="Arial" w:hAnsi="Arial" w:cs="Arial"/>
        </w:rPr>
      </w:pPr>
    </w:p>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Pr>
        <w:pStyle w:val="Heading2"/>
      </w:pPr>
      <w:r w:rsidRPr="00C806D0">
        <w:t>assumptions of the hitns economic model</w:t>
      </w:r>
    </w:p>
    <w:p w:rsidR="005F0441" w:rsidRPr="00C806D0" w:rsidRDefault="005F0441" w:rsidP="005F0441">
      <w:r w:rsidRPr="00C806D0">
        <w:t>Decision analysis has been defined as ‘a systematic approach to decision making under uncertainty’.</w:t>
      </w:r>
      <w:r w:rsidR="00155D84" w:rsidRPr="00C806D0">
        <w:rPr>
          <w:noProof/>
          <w:vertAlign w:val="superscript"/>
        </w:rPr>
        <w:t>[</w:t>
      </w:r>
      <w:r w:rsidR="006D4D62" w:rsidRPr="00C806D0">
        <w:rPr>
          <w:noProof/>
          <w:vertAlign w:val="superscript"/>
        </w:rPr>
        <w:t>23</w:t>
      </w:r>
      <w:r w:rsidR="00155D84" w:rsidRPr="00C806D0">
        <w:rPr>
          <w:noProof/>
          <w:vertAlign w:val="superscript"/>
        </w:rPr>
        <w:t>]</w:t>
      </w:r>
      <w:r w:rsidRPr="00C806D0">
        <w:t xml:space="preserve"> Models can provide an understandable, helpful and credible representation of a complex and indecipherable reality. However it is important that the assumptions required to achieve the inevitable simplification inherent in decision analysis models are transparent and reasonable. This principle is captured by George Box’s aphorism that ‘essentially, all models are wrong, but some are useful’.</w:t>
      </w:r>
      <w:r w:rsidR="00155D84" w:rsidRPr="00C806D0">
        <w:rPr>
          <w:noProof/>
          <w:vertAlign w:val="superscript"/>
        </w:rPr>
        <w:t>[</w:t>
      </w:r>
      <w:r w:rsidR="006D4D62" w:rsidRPr="00C806D0">
        <w:rPr>
          <w:noProof/>
          <w:vertAlign w:val="superscript"/>
        </w:rPr>
        <w:t>24</w:t>
      </w:r>
      <w:r w:rsidR="00155D84" w:rsidRPr="00C806D0">
        <w:rPr>
          <w:noProof/>
          <w:vertAlign w:val="superscript"/>
        </w:rPr>
        <w:t>]</w:t>
      </w:r>
      <w:r w:rsidRPr="00C806D0">
        <w:t xml:space="preserve"> The structural assumptions of the HITSNS model are summarised in Table H2. </w:t>
      </w:r>
    </w:p>
    <w:p w:rsidR="005F0441" w:rsidRPr="00C806D0" w:rsidRDefault="005F0441" w:rsidP="005F0441">
      <w:pPr>
        <w:rPr>
          <w:b/>
        </w:rPr>
      </w:pPr>
    </w:p>
    <w:p w:rsidR="005F0441" w:rsidRPr="00C806D0" w:rsidRDefault="005F0441" w:rsidP="005F0441">
      <w:pPr>
        <w:rPr>
          <w:b/>
        </w:rPr>
      </w:pPr>
      <w:r w:rsidRPr="00C806D0">
        <w:rPr>
          <w:b/>
        </w:rPr>
        <w:t xml:space="preserve">Table H2. HITSNS model assumptions </w:t>
      </w:r>
    </w:p>
    <w:tbl>
      <w:tblPr>
        <w:tblStyle w:val="LightShading4"/>
        <w:tblW w:w="5000" w:type="pct"/>
        <w:tblLook w:val="0620" w:firstRow="1" w:lastRow="0" w:firstColumn="0" w:lastColumn="0" w:noHBand="1" w:noVBand="1"/>
      </w:tblPr>
      <w:tblGrid>
        <w:gridCol w:w="8720"/>
      </w:tblGrid>
      <w:tr w:rsidR="005F0441" w:rsidRPr="00C806D0" w:rsidTr="002A16B4">
        <w:trPr>
          <w:cnfStyle w:val="100000000000" w:firstRow="1" w:lastRow="0" w:firstColumn="0" w:lastColumn="0" w:oddVBand="0" w:evenVBand="0" w:oddHBand="0" w:evenHBand="0" w:firstRowFirstColumn="0" w:firstRowLastColumn="0" w:lastRowFirstColumn="0" w:lastRowLastColumn="0"/>
        </w:trPr>
        <w:tc>
          <w:tcPr>
            <w:tcW w:w="5000" w:type="pct"/>
          </w:tcPr>
          <w:p w:rsidR="005F0441" w:rsidRPr="00C806D0" w:rsidRDefault="005F0441" w:rsidP="00ED127C">
            <w:pPr>
              <w:rPr>
                <w:rFonts w:ascii="Calibri" w:hAnsi="Calibri"/>
                <w:sz w:val="20"/>
              </w:rPr>
            </w:pPr>
            <w:r w:rsidRPr="00C806D0">
              <w:rPr>
                <w:rFonts w:ascii="Calibri" w:hAnsi="Calibri"/>
                <w:sz w:val="20"/>
              </w:rPr>
              <w:t>Model assumptions</w:t>
            </w:r>
          </w:p>
        </w:tc>
      </w:tr>
      <w:tr w:rsidR="005F0441" w:rsidRPr="00C806D0" w:rsidTr="002A16B4">
        <w:tc>
          <w:tcPr>
            <w:tcW w:w="5000" w:type="pct"/>
          </w:tcPr>
          <w:p w:rsidR="005F0441" w:rsidRPr="00C806D0" w:rsidRDefault="005F0441" w:rsidP="00ED127C">
            <w:pPr>
              <w:rPr>
                <w:rFonts w:ascii="Calibri" w:hAnsi="Calibri"/>
                <w:b/>
                <w:sz w:val="20"/>
              </w:rPr>
            </w:pPr>
            <w:r w:rsidRPr="00C806D0">
              <w:rPr>
                <w:rFonts w:ascii="Calibri" w:hAnsi="Calibri"/>
                <w:b/>
                <w:sz w:val="20"/>
              </w:rPr>
              <w:t>Population</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Adult patients with suspected significant TBI and initially stable </w:t>
            </w:r>
          </w:p>
        </w:tc>
      </w:tr>
      <w:tr w:rsidR="005F0441" w:rsidRPr="00C806D0" w:rsidTr="002A16B4">
        <w:tc>
          <w:tcPr>
            <w:tcW w:w="5000" w:type="pct"/>
          </w:tcPr>
          <w:p w:rsidR="005F0441" w:rsidRPr="00C806D0" w:rsidRDefault="005F0441" w:rsidP="00ED127C">
            <w:pPr>
              <w:rPr>
                <w:rFonts w:ascii="Calibri" w:hAnsi="Calibri"/>
                <w:b/>
                <w:sz w:val="20"/>
              </w:rPr>
            </w:pPr>
            <w:r w:rsidRPr="00C806D0">
              <w:rPr>
                <w:rFonts w:ascii="Calibri" w:hAnsi="Calibri"/>
                <w:b/>
                <w:sz w:val="20"/>
              </w:rPr>
              <w:t>Setting</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Strategies implemented in a geographical setting analogous to the HITSNS study</w:t>
            </w:r>
          </w:p>
        </w:tc>
      </w:tr>
      <w:tr w:rsidR="005F0441" w:rsidRPr="00C806D0" w:rsidTr="002A16B4">
        <w:tc>
          <w:tcPr>
            <w:tcW w:w="5000" w:type="pct"/>
          </w:tcPr>
          <w:p w:rsidR="005F0441" w:rsidRPr="00C806D0" w:rsidRDefault="005F0441" w:rsidP="00ED127C">
            <w:pPr>
              <w:rPr>
                <w:rFonts w:ascii="Calibri" w:hAnsi="Calibri"/>
                <w:b/>
                <w:sz w:val="20"/>
              </w:rPr>
            </w:pPr>
            <w:r w:rsidRPr="00C806D0">
              <w:rPr>
                <w:rFonts w:ascii="Calibri" w:hAnsi="Calibri"/>
                <w:b/>
                <w:sz w:val="20"/>
              </w:rPr>
              <w:t>Perspective</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NHS and personal social services</w:t>
            </w:r>
          </w:p>
        </w:tc>
      </w:tr>
      <w:tr w:rsidR="005F0441" w:rsidRPr="00C806D0" w:rsidTr="002A16B4">
        <w:tc>
          <w:tcPr>
            <w:tcW w:w="5000" w:type="pct"/>
          </w:tcPr>
          <w:p w:rsidR="005F0441" w:rsidRPr="00C806D0" w:rsidRDefault="005F0441" w:rsidP="00ED127C">
            <w:pPr>
              <w:rPr>
                <w:rFonts w:ascii="Calibri" w:hAnsi="Calibri"/>
                <w:b/>
                <w:sz w:val="20"/>
              </w:rPr>
            </w:pPr>
            <w:r w:rsidRPr="00C806D0">
              <w:rPr>
                <w:rFonts w:ascii="Calibri" w:hAnsi="Calibri"/>
                <w:b/>
                <w:sz w:val="20"/>
              </w:rPr>
              <w:t>Treatment pathways</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Outcomes for patients with mild TBI are independent of management strategy</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Capacity in SNCs is unconstrained</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Compliance with bypass is not related to prognosis in patients with mild TBI, expanding intra-cranial haematomas, or TBI requiring ward care.</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Introduction of </w:t>
            </w:r>
            <w:r w:rsidR="002A16B4" w:rsidRPr="00C806D0">
              <w:rPr>
                <w:rFonts w:ascii="Calibri" w:hAnsi="Calibri"/>
                <w:sz w:val="20"/>
              </w:rPr>
              <w:t>prehospital</w:t>
            </w:r>
            <w:r w:rsidRPr="00C806D0">
              <w:rPr>
                <w:rFonts w:ascii="Calibri" w:hAnsi="Calibri"/>
                <w:sz w:val="20"/>
              </w:rPr>
              <w:t xml:space="preserve"> triage and bypass would not result in de-skilling or disinvestment in NSAHs. Patients inadvertently transported to NSAHs in a bypass strategy would therefore receive comparable NSAH treatment as would be expected in secondary transfer strategies. </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There is no correlation between costs and effects</w:t>
            </w:r>
          </w:p>
        </w:tc>
      </w:tr>
      <w:tr w:rsidR="005F0441" w:rsidRPr="00C806D0" w:rsidTr="002A16B4">
        <w:tc>
          <w:tcPr>
            <w:tcW w:w="5000" w:type="pct"/>
          </w:tcPr>
          <w:p w:rsidR="005F0441" w:rsidRPr="00C806D0" w:rsidRDefault="005F0441" w:rsidP="00ED127C">
            <w:pPr>
              <w:rPr>
                <w:rFonts w:ascii="Calibri" w:hAnsi="Calibri"/>
                <w:b/>
                <w:sz w:val="20"/>
              </w:rPr>
            </w:pPr>
            <w:r w:rsidRPr="00C806D0">
              <w:rPr>
                <w:rFonts w:ascii="Calibri" w:hAnsi="Calibri"/>
                <w:b/>
                <w:sz w:val="20"/>
              </w:rPr>
              <w:t>Outcomes</w:t>
            </w:r>
          </w:p>
        </w:tc>
      </w:tr>
      <w:tr w:rsidR="005F0441" w:rsidRPr="00C806D0" w:rsidTr="002A16B4">
        <w:tc>
          <w:tcPr>
            <w:tcW w:w="5000" w:type="pct"/>
          </w:tcPr>
          <w:p w:rsidR="005F0441" w:rsidRPr="00C806D0" w:rsidRDefault="005F0441" w:rsidP="00C54162">
            <w:pPr>
              <w:rPr>
                <w:rFonts w:ascii="Calibri" w:hAnsi="Calibri"/>
                <w:b/>
                <w:sz w:val="20"/>
              </w:rPr>
            </w:pPr>
            <w:r w:rsidRPr="00C806D0">
              <w:rPr>
                <w:rFonts w:ascii="Calibri" w:hAnsi="Calibri"/>
                <w:sz w:val="20"/>
              </w:rPr>
              <w:sym w:font="Wingdings" w:char="F09F"/>
            </w:r>
            <w:r w:rsidR="00C54162" w:rsidRPr="00C806D0">
              <w:rPr>
                <w:rFonts w:ascii="Calibri" w:hAnsi="Calibri"/>
                <w:sz w:val="20"/>
              </w:rPr>
              <w:t xml:space="preserve"> Management strategies have </w:t>
            </w:r>
            <w:r w:rsidRPr="00C806D0">
              <w:rPr>
                <w:rFonts w:ascii="Calibri" w:hAnsi="Calibri"/>
                <w:sz w:val="20"/>
              </w:rPr>
              <w:t xml:space="preserve">no ongoing beneficial or detrimental effects </w:t>
            </w:r>
            <w:r w:rsidR="00C54162" w:rsidRPr="00C806D0">
              <w:rPr>
                <w:rFonts w:ascii="Calibri" w:hAnsi="Calibri"/>
                <w:sz w:val="20"/>
              </w:rPr>
              <w:t xml:space="preserve">on outcome beyond the first year post-injury. </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Long term disability in survivors of TBI remains constant, with no potential for improvement or deterioration.</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w:t>
            </w:r>
            <w:r w:rsidRPr="00C806D0">
              <w:rPr>
                <w:sz w:val="20"/>
                <w:szCs w:val="20"/>
              </w:rPr>
              <w:t>An additional QALY has the same weight regardless of the characteristics of the individuals receiving the health benefit</w:t>
            </w:r>
          </w:p>
        </w:tc>
      </w:tr>
      <w:tr w:rsidR="005F0441" w:rsidRPr="00C806D0" w:rsidTr="002A16B4">
        <w:tc>
          <w:tcPr>
            <w:tcW w:w="5000" w:type="pct"/>
          </w:tcPr>
          <w:p w:rsidR="005F0441" w:rsidRPr="00C806D0" w:rsidRDefault="005F0441" w:rsidP="00ED127C">
            <w:pPr>
              <w:rPr>
                <w:rFonts w:ascii="Calibri" w:hAnsi="Calibri"/>
                <w:b/>
                <w:sz w:val="20"/>
              </w:rPr>
            </w:pPr>
            <w:r w:rsidRPr="00C806D0">
              <w:rPr>
                <w:rFonts w:ascii="Calibri" w:hAnsi="Calibri"/>
                <w:b/>
                <w:sz w:val="20"/>
              </w:rPr>
              <w:t>Markov model</w:t>
            </w:r>
          </w:p>
        </w:tc>
      </w:tr>
      <w:tr w:rsidR="005F0441" w:rsidRPr="00C806D0" w:rsidTr="002A16B4">
        <w:tc>
          <w:tcPr>
            <w:tcW w:w="5000" w:type="pct"/>
          </w:tcPr>
          <w:p w:rsidR="005F0441" w:rsidRPr="00C806D0" w:rsidRDefault="005F0441" w:rsidP="00ED127C">
            <w:pPr>
              <w:rPr>
                <w:rFonts w:ascii="Calibri" w:hAnsi="Calibri"/>
                <w:sz w:val="20"/>
              </w:rPr>
            </w:pPr>
            <w:r w:rsidRPr="00C806D0">
              <w:rPr>
                <w:rFonts w:ascii="Calibri" w:hAnsi="Calibri"/>
                <w:sz w:val="20"/>
              </w:rPr>
              <w:sym w:font="Wingdings" w:char="F09F"/>
            </w:r>
            <w:r w:rsidRPr="00C806D0">
              <w:rPr>
                <w:rFonts w:ascii="Calibri" w:hAnsi="Calibri"/>
                <w:sz w:val="20"/>
              </w:rPr>
              <w:t xml:space="preserve"> The death rate is equal across each year. </w:t>
            </w:r>
          </w:p>
        </w:tc>
      </w:tr>
      <w:tr w:rsidR="005F0441" w:rsidRPr="00C806D0" w:rsidTr="002A16B4">
        <w:tc>
          <w:tcPr>
            <w:tcW w:w="5000" w:type="pct"/>
          </w:tcPr>
          <w:p w:rsidR="005F0441" w:rsidRPr="00C806D0" w:rsidRDefault="005F0441" w:rsidP="00ED127C">
            <w:pPr>
              <w:rPr>
                <w:rFonts w:ascii="Calibri" w:hAnsi="Calibri"/>
                <w:b/>
                <w:sz w:val="20"/>
              </w:rPr>
            </w:pPr>
            <w:r w:rsidRPr="00C806D0">
              <w:rPr>
                <w:rFonts w:ascii="Calibri" w:hAnsi="Calibri"/>
                <w:b/>
                <w:sz w:val="20"/>
              </w:rPr>
              <w:t>Frame of time preference</w:t>
            </w:r>
          </w:p>
        </w:tc>
      </w:tr>
      <w:tr w:rsidR="005F0441" w:rsidRPr="00C806D0" w:rsidTr="002A16B4">
        <w:tc>
          <w:tcPr>
            <w:tcW w:w="5000" w:type="pct"/>
          </w:tcPr>
          <w:p w:rsidR="005F0441" w:rsidRPr="00C806D0" w:rsidRDefault="005F0441" w:rsidP="00ED127C">
            <w:pPr>
              <w:rPr>
                <w:rFonts w:ascii="Calibri" w:hAnsi="Calibri"/>
                <w:b/>
                <w:sz w:val="20"/>
              </w:rPr>
            </w:pPr>
            <w:r w:rsidRPr="00C806D0">
              <w:rPr>
                <w:rFonts w:ascii="Calibri" w:hAnsi="Calibri"/>
                <w:sz w:val="20"/>
              </w:rPr>
              <w:sym w:font="Wingdings" w:char="F09F"/>
            </w:r>
            <w:r w:rsidRPr="00C806D0">
              <w:rPr>
                <w:rFonts w:ascii="Calibri" w:hAnsi="Calibri"/>
                <w:sz w:val="20"/>
              </w:rPr>
              <w:t xml:space="preserve"> Positive frame of time preference with a </w:t>
            </w:r>
            <w:r w:rsidRPr="00C806D0">
              <w:rPr>
                <w:sz w:val="20"/>
                <w:szCs w:val="20"/>
              </w:rPr>
              <w:t>3.5% annual discount rate for costs and health effects</w:t>
            </w:r>
          </w:p>
        </w:tc>
      </w:tr>
    </w:tbl>
    <w:p w:rsidR="00BF1676" w:rsidRPr="00C806D0" w:rsidRDefault="00BF1676" w:rsidP="005F0441">
      <w:pPr>
        <w:pStyle w:val="Heading2"/>
        <w:sectPr w:rsidR="00BF1676" w:rsidRPr="00C806D0" w:rsidSect="00E31429">
          <w:pgSz w:w="11906" w:h="16838"/>
          <w:pgMar w:top="1134" w:right="1134" w:bottom="1134" w:left="2268" w:header="709" w:footer="709" w:gutter="0"/>
          <w:cols w:space="708"/>
          <w:docGrid w:linePitch="360"/>
        </w:sectPr>
      </w:pPr>
    </w:p>
    <w:p w:rsidR="005F0441" w:rsidRPr="00C806D0" w:rsidRDefault="005F0441" w:rsidP="005F0441">
      <w:pPr>
        <w:pStyle w:val="Heading2"/>
      </w:pPr>
      <w:r w:rsidRPr="00C806D0">
        <w:t>Economic model sensitivity analyses</w:t>
      </w:r>
    </w:p>
    <w:p w:rsidR="005F0441" w:rsidRPr="00C806D0" w:rsidRDefault="005F0441" w:rsidP="005F0441">
      <w:pPr>
        <w:rPr>
          <w:b/>
        </w:rPr>
      </w:pPr>
      <w:r w:rsidRPr="00C806D0">
        <w:rPr>
          <w:b/>
        </w:rPr>
        <w:t>Table H3. Summary of sensitivity analyses</w:t>
      </w:r>
    </w:p>
    <w:tbl>
      <w:tblPr>
        <w:tblStyle w:val="LightShading1"/>
        <w:tblW w:w="0" w:type="auto"/>
        <w:tblLook w:val="06A0" w:firstRow="1" w:lastRow="0" w:firstColumn="1" w:lastColumn="0" w:noHBand="1" w:noVBand="1"/>
      </w:tblPr>
      <w:tblGrid>
        <w:gridCol w:w="2085"/>
        <w:gridCol w:w="4242"/>
        <w:gridCol w:w="222"/>
        <w:gridCol w:w="2890"/>
        <w:gridCol w:w="5347"/>
      </w:tblGrid>
      <w:tr w:rsidR="005F0441"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sz w:val="18"/>
                <w:szCs w:val="18"/>
              </w:rPr>
            </w:pPr>
            <w:r w:rsidRPr="00C806D0">
              <w:rPr>
                <w:sz w:val="18"/>
                <w:szCs w:val="18"/>
              </w:rPr>
              <w:t>Sensitivity analysis</w:t>
            </w:r>
          </w:p>
        </w:tc>
        <w:tc>
          <w:tcPr>
            <w:tcW w:w="0" w:type="auto"/>
          </w:tcPr>
          <w:p w:rsidR="005F0441" w:rsidRPr="00C806D0" w:rsidRDefault="005F0441" w:rsidP="002A16B4">
            <w:pPr>
              <w:cnfStyle w:val="100000000000" w:firstRow="1" w:lastRow="0" w:firstColumn="0" w:lastColumn="0" w:oddVBand="0" w:evenVBand="0" w:oddHBand="0" w:evenHBand="0" w:firstRowFirstColumn="0" w:firstRowLastColumn="0" w:lastRowFirstColumn="0" w:lastRowLastColumn="0"/>
              <w:rPr>
                <w:sz w:val="18"/>
                <w:szCs w:val="18"/>
              </w:rPr>
            </w:pPr>
            <w:r w:rsidRPr="00C806D0">
              <w:rPr>
                <w:sz w:val="18"/>
                <w:szCs w:val="18"/>
              </w:rPr>
              <w:t>Description</w:t>
            </w:r>
          </w:p>
          <w:p w:rsidR="005F0441" w:rsidRPr="00C806D0" w:rsidRDefault="005F0441" w:rsidP="002A16B4">
            <w:pPr>
              <w:cnfStyle w:val="100000000000" w:firstRow="1"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100000000000" w:firstRow="1"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100000000000" w:firstRow="1" w:lastRow="0" w:firstColumn="0" w:lastColumn="0" w:oddVBand="0" w:evenVBand="0" w:oddHBand="0" w:evenHBand="0" w:firstRowFirstColumn="0" w:firstRowLastColumn="0" w:lastRowFirstColumn="0" w:lastRowLastColumn="0"/>
              <w:rPr>
                <w:sz w:val="18"/>
                <w:szCs w:val="18"/>
              </w:rPr>
            </w:pPr>
            <w:r w:rsidRPr="00C806D0">
              <w:rPr>
                <w:sz w:val="18"/>
                <w:szCs w:val="18"/>
              </w:rPr>
              <w:t>Key parameters varied</w:t>
            </w:r>
          </w:p>
        </w:tc>
        <w:tc>
          <w:tcPr>
            <w:tcW w:w="0" w:type="auto"/>
          </w:tcPr>
          <w:p w:rsidR="005F0441" w:rsidRPr="00C806D0" w:rsidRDefault="005F0441" w:rsidP="002A16B4">
            <w:pPr>
              <w:cnfStyle w:val="100000000000" w:firstRow="1" w:lastRow="0" w:firstColumn="0" w:lastColumn="0" w:oddVBand="0" w:evenVBand="0" w:oddHBand="0" w:evenHBand="0" w:firstRowFirstColumn="0" w:firstRowLastColumn="0" w:lastRowFirstColumn="0" w:lastRowLastColumn="0"/>
              <w:rPr>
                <w:sz w:val="18"/>
                <w:szCs w:val="18"/>
              </w:rPr>
            </w:pPr>
            <w:r w:rsidRPr="00C806D0">
              <w:rPr>
                <w:sz w:val="18"/>
                <w:szCs w:val="18"/>
              </w:rPr>
              <w:t>Alternative specification of model input*</w:t>
            </w: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gridSpan w:val="2"/>
          </w:tcPr>
          <w:p w:rsidR="005F0441" w:rsidRPr="00C806D0" w:rsidRDefault="005F0441" w:rsidP="002A16B4">
            <w:pPr>
              <w:rPr>
                <w:sz w:val="18"/>
                <w:szCs w:val="18"/>
              </w:rPr>
            </w:pPr>
            <w:r w:rsidRPr="00C806D0">
              <w:rPr>
                <w:sz w:val="18"/>
                <w:szCs w:val="18"/>
              </w:rPr>
              <w:t>Scenario analyses of parameter uncertainty:</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b w:val="0"/>
                <w:sz w:val="18"/>
                <w:szCs w:val="18"/>
              </w:rPr>
            </w:pPr>
            <w:r w:rsidRPr="00C806D0">
              <w:rPr>
                <w:b w:val="0"/>
                <w:sz w:val="18"/>
                <w:szCs w:val="18"/>
              </w:rPr>
              <w:t>Bypass</w:t>
            </w:r>
            <w:r w:rsidR="00C54162" w:rsidRPr="00C806D0">
              <w:rPr>
                <w:b w:val="0"/>
                <w:sz w:val="18"/>
                <w:szCs w:val="18"/>
              </w:rPr>
              <w:t>:</w:t>
            </w:r>
            <w:r w:rsidRPr="00C806D0">
              <w:rPr>
                <w:b w:val="0"/>
                <w:sz w:val="18"/>
                <w:szCs w:val="18"/>
              </w:rPr>
              <w:t xml:space="preserve"> favourble scenario</w:t>
            </w:r>
          </w:p>
          <w:p w:rsidR="005F0441" w:rsidRPr="00C806D0" w:rsidRDefault="005F0441" w:rsidP="002A16B4">
            <w:pPr>
              <w:rPr>
                <w:b w:val="0"/>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Cost-effectiveness of bypass when parameters set to favourable, but still plausible values.</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Merge w:val="restart"/>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Relative effectiveness and incremental costs</w:t>
            </w:r>
            <w:r w:rsidR="00C54162" w:rsidRPr="00C806D0">
              <w:rPr>
                <w:sz w:val="18"/>
                <w:szCs w:val="18"/>
              </w:rPr>
              <w:t xml:space="preserve"> for each patient subgroup</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0.25 and 0.75 quantiles of relevant parameter distributions</w:t>
            </w: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b w:val="0"/>
                <w:sz w:val="18"/>
                <w:szCs w:val="18"/>
              </w:rPr>
            </w:pPr>
            <w:r w:rsidRPr="00C806D0">
              <w:rPr>
                <w:b w:val="0"/>
                <w:sz w:val="18"/>
                <w:szCs w:val="18"/>
              </w:rPr>
              <w:t>Bypass</w:t>
            </w:r>
            <w:r w:rsidR="00C54162" w:rsidRPr="00C806D0">
              <w:rPr>
                <w:b w:val="0"/>
                <w:sz w:val="18"/>
                <w:szCs w:val="18"/>
              </w:rPr>
              <w:t>:</w:t>
            </w:r>
            <w:r w:rsidRPr="00C806D0">
              <w:rPr>
                <w:b w:val="0"/>
                <w:sz w:val="18"/>
                <w:szCs w:val="18"/>
              </w:rPr>
              <w:t xml:space="preserve"> unfavourable scenario</w:t>
            </w:r>
          </w:p>
          <w:p w:rsidR="005F0441" w:rsidRPr="00C806D0" w:rsidRDefault="005F0441" w:rsidP="002A16B4">
            <w:pPr>
              <w:rPr>
                <w:b w:val="0"/>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Cost-effectiveness of bypass when parameters set to unfavourable, but still plausible values.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Merge/>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sz w:val="18"/>
                <w:szCs w:val="18"/>
              </w:rPr>
            </w:pPr>
            <w:r w:rsidRPr="00C806D0">
              <w:rPr>
                <w:sz w:val="18"/>
                <w:szCs w:val="18"/>
              </w:rPr>
              <w:t>Threshold analysis: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b w:val="0"/>
                <w:sz w:val="18"/>
                <w:szCs w:val="18"/>
              </w:rPr>
            </w:pPr>
            <w:r w:rsidRPr="00C806D0">
              <w:rPr>
                <w:b w:val="0"/>
                <w:sz w:val="18"/>
                <w:szCs w:val="18"/>
              </w:rPr>
              <w:t>Bypass threshold analysis</w:t>
            </w:r>
          </w:p>
          <w:p w:rsidR="005F0441" w:rsidRPr="00C806D0" w:rsidRDefault="005F0441" w:rsidP="002A16B4">
            <w:pPr>
              <w:rPr>
                <w:b w:val="0"/>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Incremental costs and relative effectiveness parameters sequentially increased to identify parameter values at which bypass becomes cost-effective at λ=£20,000 and £30,000.</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Relative effectiveness and incremental costs</w:t>
            </w:r>
            <w:r w:rsidR="00C54162" w:rsidRPr="00C806D0">
              <w:rPr>
                <w:sz w:val="18"/>
                <w:szCs w:val="18"/>
              </w:rPr>
              <w:t>s for each patient subgroup</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Increasingly favourable 0.05 quantiles of relevant parameter distributions</w:t>
            </w: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gridSpan w:val="2"/>
          </w:tcPr>
          <w:p w:rsidR="005F0441" w:rsidRPr="00C806D0" w:rsidRDefault="005F0441" w:rsidP="002A16B4">
            <w:pPr>
              <w:rPr>
                <w:sz w:val="18"/>
                <w:szCs w:val="18"/>
              </w:rPr>
            </w:pPr>
            <w:r w:rsidRPr="00C806D0">
              <w:rPr>
                <w:sz w:val="18"/>
                <w:szCs w:val="18"/>
              </w:rPr>
              <w:t>One-way sensitivity analyses of parameter uncertainty:</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b w:val="0"/>
                <w:sz w:val="18"/>
                <w:szCs w:val="18"/>
              </w:rPr>
            </w:pPr>
            <w:r w:rsidRPr="00C806D0">
              <w:rPr>
                <w:b w:val="0"/>
                <w:sz w:val="18"/>
                <w:szCs w:val="18"/>
              </w:rPr>
              <w:t>Population subgroups</w:t>
            </w:r>
          </w:p>
          <w:p w:rsidR="005F0441" w:rsidRPr="00C806D0" w:rsidRDefault="005F0441" w:rsidP="002A16B4">
            <w:pPr>
              <w:rPr>
                <w:b w:val="0"/>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Alternative estimates for population subgroups.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Dirichlet distribution for population subgroups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Estimates used from each trial region, Dirichlet distribtutions:</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NEAS: α</w:t>
            </w:r>
            <w:r w:rsidRPr="00C806D0">
              <w:rPr>
                <w:sz w:val="18"/>
                <w:szCs w:val="18"/>
                <w:vertAlign w:val="subscript"/>
              </w:rPr>
              <w:t>1</w:t>
            </w:r>
            <w:r w:rsidRPr="00C806D0">
              <w:rPr>
                <w:sz w:val="18"/>
                <w:szCs w:val="18"/>
              </w:rPr>
              <w:t>:87  α</w:t>
            </w:r>
            <w:r w:rsidRPr="00C806D0">
              <w:rPr>
                <w:sz w:val="18"/>
                <w:szCs w:val="18"/>
                <w:vertAlign w:val="subscript"/>
              </w:rPr>
              <w:t>2</w:t>
            </w:r>
            <w:r w:rsidRPr="00C806D0">
              <w:rPr>
                <w:sz w:val="18"/>
                <w:szCs w:val="18"/>
              </w:rPr>
              <w:t>:5 α</w:t>
            </w:r>
            <w:r w:rsidRPr="00C806D0">
              <w:rPr>
                <w:sz w:val="18"/>
                <w:szCs w:val="18"/>
                <w:vertAlign w:val="subscript"/>
              </w:rPr>
              <w:t>3</w:t>
            </w:r>
            <w:r w:rsidRPr="00C806D0">
              <w:rPr>
                <w:sz w:val="18"/>
                <w:szCs w:val="18"/>
              </w:rPr>
              <w:t>:16 α</w:t>
            </w:r>
            <w:r w:rsidRPr="00C806D0">
              <w:rPr>
                <w:sz w:val="18"/>
                <w:szCs w:val="18"/>
                <w:vertAlign w:val="subscript"/>
              </w:rPr>
              <w:t>4</w:t>
            </w:r>
            <w:r w:rsidRPr="00C806D0">
              <w:rPr>
                <w:sz w:val="18"/>
                <w:szCs w:val="18"/>
              </w:rPr>
              <w:t>:22 α</w:t>
            </w:r>
            <w:r w:rsidRPr="00C806D0">
              <w:rPr>
                <w:sz w:val="18"/>
                <w:szCs w:val="18"/>
                <w:vertAlign w:val="subscript"/>
              </w:rPr>
              <w:t>5</w:t>
            </w:r>
            <w:r w:rsidRPr="00C806D0">
              <w:rPr>
                <w:sz w:val="18"/>
                <w:szCs w:val="18"/>
              </w:rPr>
              <w:t>:9</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NWAS: α</w:t>
            </w:r>
            <w:r w:rsidRPr="00C806D0">
              <w:rPr>
                <w:sz w:val="18"/>
                <w:szCs w:val="18"/>
                <w:vertAlign w:val="subscript"/>
              </w:rPr>
              <w:t>1</w:t>
            </w:r>
            <w:r w:rsidRPr="00C806D0">
              <w:rPr>
                <w:sz w:val="18"/>
                <w:szCs w:val="18"/>
              </w:rPr>
              <w:t>:8  α</w:t>
            </w:r>
            <w:r w:rsidRPr="00C806D0">
              <w:rPr>
                <w:sz w:val="18"/>
                <w:szCs w:val="18"/>
                <w:vertAlign w:val="subscript"/>
              </w:rPr>
              <w:t>2</w:t>
            </w:r>
            <w:r w:rsidRPr="00C806D0">
              <w:rPr>
                <w:sz w:val="18"/>
                <w:szCs w:val="18"/>
              </w:rPr>
              <w:t>:5 α</w:t>
            </w:r>
            <w:r w:rsidRPr="00C806D0">
              <w:rPr>
                <w:sz w:val="18"/>
                <w:szCs w:val="18"/>
                <w:vertAlign w:val="subscript"/>
              </w:rPr>
              <w:t>3</w:t>
            </w:r>
            <w:r w:rsidRPr="00C806D0">
              <w:rPr>
                <w:sz w:val="18"/>
                <w:szCs w:val="18"/>
              </w:rPr>
              <w:t>:3.5 α</w:t>
            </w:r>
            <w:r w:rsidRPr="00C806D0">
              <w:rPr>
                <w:sz w:val="18"/>
                <w:szCs w:val="18"/>
                <w:vertAlign w:val="subscript"/>
              </w:rPr>
              <w:t>4</w:t>
            </w:r>
            <w:r w:rsidRPr="00C806D0">
              <w:rPr>
                <w:sz w:val="18"/>
                <w:szCs w:val="18"/>
              </w:rPr>
              <w:t>:11 α</w:t>
            </w:r>
            <w:r w:rsidRPr="00C806D0">
              <w:rPr>
                <w:sz w:val="18"/>
                <w:szCs w:val="18"/>
                <w:vertAlign w:val="subscript"/>
              </w:rPr>
              <w:t>5</w:t>
            </w:r>
            <w:r w:rsidRPr="00C806D0">
              <w:rPr>
                <w:sz w:val="18"/>
                <w:szCs w:val="18"/>
              </w:rPr>
              <w:t>:0.5</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b w:val="0"/>
                <w:sz w:val="18"/>
                <w:szCs w:val="18"/>
              </w:rPr>
            </w:pPr>
            <w:r w:rsidRPr="00C806D0">
              <w:rPr>
                <w:b w:val="0"/>
                <w:sz w:val="18"/>
                <w:szCs w:val="18"/>
              </w:rPr>
              <w:t>Acute neurosurgery baseline outcomes</w:t>
            </w:r>
          </w:p>
          <w:p w:rsidR="005F0441" w:rsidRPr="00C806D0" w:rsidRDefault="005F0441" w:rsidP="002A16B4">
            <w:pPr>
              <w:rPr>
                <w:b w:val="0"/>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Alternative estimates for outcomes of patients requiring acute neurosurgery undergoing secondary transfer.</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Dirichlet distribution for acute neurosurgery (secondary transfer)</w:t>
            </w:r>
            <w:r w:rsidR="00C54162" w:rsidRPr="00C806D0">
              <w:rPr>
                <w:sz w:val="18"/>
                <w:szCs w:val="18"/>
              </w:rPr>
              <w:t xml:space="preserve"> outcomes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Dirichlet distribution derived from a published estimate (Taussky 2007)</w:t>
            </w:r>
            <w:r w:rsidR="00155D84" w:rsidRPr="00C806D0">
              <w:rPr>
                <w:noProof/>
                <w:sz w:val="18"/>
                <w:szCs w:val="18"/>
                <w:vertAlign w:val="superscript"/>
              </w:rPr>
              <w:t>[</w:t>
            </w:r>
            <w:r w:rsidR="006D4D62" w:rsidRPr="00C806D0">
              <w:rPr>
                <w:noProof/>
                <w:sz w:val="18"/>
                <w:szCs w:val="18"/>
                <w:vertAlign w:val="superscript"/>
              </w:rPr>
              <w:t>25</w:t>
            </w:r>
            <w:r w:rsidR="00155D84" w:rsidRPr="00C806D0">
              <w:rPr>
                <w:noProof/>
                <w:sz w:val="18"/>
                <w:szCs w:val="18"/>
                <w:vertAlign w:val="superscript"/>
              </w:rPr>
              <w:t>]</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1</w:t>
            </w:r>
            <w:r w:rsidRPr="00C806D0">
              <w:rPr>
                <w:sz w:val="18"/>
                <w:szCs w:val="18"/>
              </w:rPr>
              <w:t>:18  α</w:t>
            </w:r>
            <w:r w:rsidRPr="00C806D0">
              <w:rPr>
                <w:sz w:val="18"/>
                <w:szCs w:val="18"/>
                <w:vertAlign w:val="subscript"/>
              </w:rPr>
              <w:t>2</w:t>
            </w:r>
            <w:r w:rsidRPr="00C806D0">
              <w:rPr>
                <w:sz w:val="18"/>
                <w:szCs w:val="18"/>
              </w:rPr>
              <w:t>:9 α</w:t>
            </w:r>
            <w:r w:rsidRPr="00C806D0">
              <w:rPr>
                <w:sz w:val="18"/>
                <w:szCs w:val="18"/>
                <w:vertAlign w:val="subscript"/>
              </w:rPr>
              <w:t>3</w:t>
            </w:r>
            <w:r w:rsidRPr="00C806D0">
              <w:rPr>
                <w:sz w:val="18"/>
                <w:szCs w:val="18"/>
              </w:rPr>
              <w:t>:27 α</w:t>
            </w:r>
            <w:r w:rsidRPr="00C806D0">
              <w:rPr>
                <w:sz w:val="18"/>
                <w:szCs w:val="18"/>
                <w:vertAlign w:val="subscript"/>
              </w:rPr>
              <w:t>4</w:t>
            </w:r>
            <w:r w:rsidRPr="00C806D0">
              <w:rPr>
                <w:sz w:val="18"/>
                <w:szCs w:val="18"/>
              </w:rPr>
              <w:t xml:space="preserve">:22 </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(posterior distribution after external bias adjustment)</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b w:val="0"/>
                <w:sz w:val="18"/>
                <w:szCs w:val="18"/>
              </w:rPr>
            </w:pPr>
            <w:r w:rsidRPr="00C806D0">
              <w:rPr>
                <w:b w:val="0"/>
                <w:sz w:val="18"/>
                <w:szCs w:val="18"/>
              </w:rPr>
              <w:t>Acute neurosurgery costs</w:t>
            </w:r>
          </w:p>
          <w:p w:rsidR="005F0441" w:rsidRPr="00C806D0" w:rsidRDefault="005F0441" w:rsidP="002A16B4">
            <w:pPr>
              <w:rPr>
                <w:b w:val="0"/>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Alternative estimates for incremental costs of patients requiring acute neurosurgery undergoing bypass.</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Normal distribution for mean incremental costs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No difference in costs except fixed transfer costs: -£200</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Probabilistic analysis using published estimate (Fuller 2010),</w:t>
            </w:r>
            <w:r w:rsidR="00155D84" w:rsidRPr="00C806D0">
              <w:rPr>
                <w:noProof/>
                <w:sz w:val="18"/>
                <w:szCs w:val="18"/>
                <w:vertAlign w:val="superscript"/>
              </w:rPr>
              <w:t>[</w:t>
            </w:r>
            <w:r w:rsidR="006D4D62" w:rsidRPr="00C806D0">
              <w:rPr>
                <w:noProof/>
                <w:sz w:val="18"/>
                <w:szCs w:val="18"/>
                <w:vertAlign w:val="superscript"/>
              </w:rPr>
              <w:t>26</w:t>
            </w:r>
            <w:r w:rsidR="00155D84" w:rsidRPr="00C806D0">
              <w:rPr>
                <w:noProof/>
                <w:sz w:val="18"/>
                <w:szCs w:val="18"/>
                <w:vertAlign w:val="superscript"/>
              </w:rPr>
              <w:t>]</w:t>
            </w:r>
            <w:r w:rsidRPr="00C806D0">
              <w:rPr>
                <w:sz w:val="18"/>
                <w:szCs w:val="18"/>
              </w:rPr>
              <w:t xml:space="preserve"> Normal distribution: </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μ:9,880  SE:3,607</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b w:val="0"/>
                <w:sz w:val="18"/>
                <w:szCs w:val="18"/>
              </w:rPr>
            </w:pPr>
            <w:r w:rsidRPr="00C806D0">
              <w:rPr>
                <w:b w:val="0"/>
                <w:sz w:val="18"/>
                <w:szCs w:val="18"/>
              </w:rPr>
              <w:t>Incremental inpatient costs for bypass</w:t>
            </w:r>
          </w:p>
          <w:p w:rsidR="005F0441" w:rsidRPr="00C806D0" w:rsidRDefault="005F0441" w:rsidP="002A16B4">
            <w:pPr>
              <w:rPr>
                <w:b w:val="0"/>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Alternative estimates for incremental inpatient costs associated with bypass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Normal distribution for mean incremental costs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Normal distributions elicited from clinical experts:</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 xml:space="preserve"> Mild TBI: μ:66  SE:8.6</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 xml:space="preserve"> TBI requiring ward care: μ:122  SE:250</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 xml:space="preserve"> TBI requiring critical care: μ:4000  SE:1200</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 xml:space="preserve"> TBI requiring acute neurosurgery: μ:3000  SE:1200</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 xml:space="preserve">Major </w:t>
            </w:r>
            <w:r w:rsidR="002A16B4" w:rsidRPr="00C806D0">
              <w:rPr>
                <w:sz w:val="18"/>
                <w:szCs w:val="18"/>
              </w:rPr>
              <w:t>extracranial</w:t>
            </w:r>
            <w:r w:rsidRPr="00C806D0">
              <w:rPr>
                <w:sz w:val="18"/>
                <w:szCs w:val="18"/>
              </w:rPr>
              <w:t xml:space="preserve"> injury: μ:3120  SE:1260</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b w:val="0"/>
                <w:sz w:val="18"/>
                <w:szCs w:val="18"/>
              </w:rPr>
            </w:pPr>
            <w:r w:rsidRPr="00C806D0">
              <w:rPr>
                <w:b w:val="0"/>
                <w:sz w:val="18"/>
                <w:szCs w:val="18"/>
              </w:rPr>
              <w:t xml:space="preserve">Relative effectiveness for major </w:t>
            </w:r>
            <w:r w:rsidR="002A16B4" w:rsidRPr="00C806D0">
              <w:rPr>
                <w:b w:val="0"/>
                <w:sz w:val="18"/>
                <w:szCs w:val="18"/>
              </w:rPr>
              <w:t>extracranial</w:t>
            </w:r>
            <w:r w:rsidRPr="00C806D0">
              <w:rPr>
                <w:b w:val="0"/>
                <w:sz w:val="18"/>
                <w:szCs w:val="18"/>
              </w:rPr>
              <w:t xml:space="preserve"> injury patients</w:t>
            </w:r>
          </w:p>
          <w:p w:rsidR="005F0441" w:rsidRPr="00C806D0" w:rsidRDefault="005F0441" w:rsidP="002A16B4">
            <w:pPr>
              <w:rPr>
                <w:b w:val="0"/>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 xml:space="preserve">Alternative estimates for odds ratio for survival following major </w:t>
            </w:r>
            <w:r w:rsidR="002A16B4" w:rsidRPr="00C806D0">
              <w:rPr>
                <w:sz w:val="18"/>
                <w:szCs w:val="18"/>
              </w:rPr>
              <w:t>extracranial</w:t>
            </w:r>
            <w:r w:rsidRPr="00C806D0">
              <w:rPr>
                <w:sz w:val="18"/>
                <w:szCs w:val="18"/>
              </w:rPr>
              <w:t xml:space="preserve"> injury associated with bypass strategy</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Normal distribution for log odds ratio</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Normal distribution elicited from clinical experts:</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μ:-0.18 SD:0.05</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b w:val="0"/>
                <w:color w:val="000000" w:themeColor="text1"/>
                <w:sz w:val="18"/>
                <w:szCs w:val="18"/>
              </w:rPr>
            </w:pPr>
            <w:r w:rsidRPr="00C806D0">
              <w:rPr>
                <w:b w:val="0"/>
                <w:color w:val="000000" w:themeColor="text1"/>
                <w:sz w:val="18"/>
                <w:szCs w:val="18"/>
              </w:rPr>
              <w:t>GOS utilities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806D0">
              <w:rPr>
                <w:color w:val="000000" w:themeColor="text1"/>
                <w:sz w:val="18"/>
                <w:szCs w:val="18"/>
              </w:rPr>
              <w:t>Alternative estimates for utility values for GOS health states based on published estimate</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806D0">
              <w:rPr>
                <w:color w:val="000000" w:themeColor="text1"/>
                <w:sz w:val="18"/>
                <w:szCs w:val="18"/>
              </w:rPr>
              <w:t>GOS utility values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Alternative health states measured using scenarios and valued using the standard gamble (Aoki 1998).</w:t>
            </w:r>
            <w:r w:rsidR="00155D84" w:rsidRPr="00C806D0">
              <w:rPr>
                <w:noProof/>
                <w:sz w:val="18"/>
                <w:szCs w:val="18"/>
                <w:vertAlign w:val="superscript"/>
              </w:rPr>
              <w:t>[</w:t>
            </w:r>
            <w:r w:rsidR="006D4D62" w:rsidRPr="00C806D0">
              <w:rPr>
                <w:noProof/>
                <w:sz w:val="18"/>
                <w:szCs w:val="18"/>
                <w:vertAlign w:val="superscript"/>
              </w:rPr>
              <w:t>27</w:t>
            </w:r>
            <w:r w:rsidR="00155D84" w:rsidRPr="00C806D0">
              <w:rPr>
                <w:noProof/>
                <w:sz w:val="18"/>
                <w:szCs w:val="18"/>
                <w:vertAlign w:val="superscript"/>
              </w:rPr>
              <w:t>]</w:t>
            </w:r>
            <w:r w:rsidRPr="00C806D0">
              <w:rPr>
                <w:sz w:val="18"/>
                <w:szCs w:val="18"/>
              </w:rPr>
              <w:t xml:space="preserve"> Utility decrement from perfect health, Gamma distributions:</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Dead: 1</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Severe disability: α:33.1  β:0.03</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Moderate disability: α:1.8  β:0.2</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Good recovery: α:0.6  β:0.2</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Alternative estimates for utility values for GOS health states based on estimates derived using VSTR data</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GOS utility values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Alternative health states measured from patients with significant TBI using the EQ5D and UK</w:t>
            </w:r>
            <w:r w:rsidR="005C1B95" w:rsidRPr="00C806D0">
              <w:rPr>
                <w:sz w:val="18"/>
                <w:szCs w:val="18"/>
              </w:rPr>
              <w:t xml:space="preserve"> preference tariff: [Chapter 6</w:t>
            </w:r>
            <w:r w:rsidRPr="00C806D0">
              <w:rPr>
                <w:sz w:val="18"/>
                <w:szCs w:val="18"/>
              </w:rPr>
              <w:t>]. Beta distributions:</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Dead: 1</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Severe disability: α:594  β:939</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Moderate disability: α:2437  β:1202</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sym w:font="Wingdings" w:char="F09F"/>
            </w:r>
            <w:r w:rsidRPr="00C806D0">
              <w:rPr>
                <w:sz w:val="18"/>
                <w:szCs w:val="18"/>
              </w:rPr>
              <w:t>Good recovery: α:4496  β:534</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rPr>
          <w:trHeight w:val="510"/>
        </w:trPr>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b w:val="0"/>
                <w:sz w:val="18"/>
                <w:szCs w:val="18"/>
              </w:rPr>
            </w:pPr>
            <w:r w:rsidRPr="00C806D0">
              <w:rPr>
                <w:b w:val="0"/>
                <w:sz w:val="18"/>
                <w:szCs w:val="18"/>
              </w:rPr>
              <w:t>Post discharge costs</w:t>
            </w:r>
          </w:p>
          <w:p w:rsidR="005F0441" w:rsidRPr="00C806D0" w:rsidRDefault="005F0441" w:rsidP="002A16B4">
            <w:pPr>
              <w:rPr>
                <w:b w:val="0"/>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Elicited long term head injury costs evaluated.</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Post discharge costs for GOS states</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0.25 quantiles of relevant distribution</w:t>
            </w:r>
          </w:p>
        </w:tc>
      </w:tr>
      <w:tr w:rsidR="005F0441" w:rsidRPr="00C806D0" w:rsidTr="002A16B4">
        <w:trPr>
          <w:trHeight w:val="119"/>
        </w:trPr>
        <w:tc>
          <w:tcPr>
            <w:cnfStyle w:val="001000000000" w:firstRow="0" w:lastRow="0" w:firstColumn="1" w:lastColumn="0" w:oddVBand="0" w:evenVBand="0" w:oddHBand="0" w:evenHBand="0" w:firstRowFirstColumn="0" w:firstRowLastColumn="0" w:lastRowFirstColumn="0" w:lastRowLastColumn="0"/>
            <w:tcW w:w="0" w:type="auto"/>
          </w:tcPr>
          <w:p w:rsidR="005F0441" w:rsidRPr="00C806D0" w:rsidRDefault="005F0441" w:rsidP="002A16B4">
            <w:pPr>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0" w:type="auto"/>
            <w:gridSpan w:val="2"/>
          </w:tcPr>
          <w:p w:rsidR="005F0441" w:rsidRPr="00C806D0" w:rsidRDefault="005F0441" w:rsidP="002A16B4">
            <w:pPr>
              <w:rPr>
                <w:sz w:val="18"/>
                <w:szCs w:val="18"/>
              </w:rPr>
            </w:pPr>
            <w:r w:rsidRPr="00C806D0">
              <w:rPr>
                <w:sz w:val="18"/>
                <w:szCs w:val="18"/>
              </w:rPr>
              <w:t>One-way sensitivity analyses of structural uncertainty:</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2085" w:type="dxa"/>
          </w:tcPr>
          <w:p w:rsidR="005F0441" w:rsidRPr="00C806D0" w:rsidRDefault="005F0441" w:rsidP="002A16B4">
            <w:pPr>
              <w:rPr>
                <w:b w:val="0"/>
                <w:sz w:val="18"/>
                <w:szCs w:val="18"/>
              </w:rPr>
            </w:pPr>
            <w:r w:rsidRPr="00C806D0">
              <w:rPr>
                <w:b w:val="0"/>
                <w:sz w:val="18"/>
                <w:szCs w:val="18"/>
              </w:rPr>
              <w:t>Alternative comparators</w:t>
            </w:r>
          </w:p>
          <w:p w:rsidR="005F0441" w:rsidRPr="00C806D0" w:rsidRDefault="005F0441" w:rsidP="002A16B4">
            <w:pPr>
              <w:rPr>
                <w:b w:val="0"/>
                <w:sz w:val="18"/>
                <w:szCs w:val="18"/>
              </w:rPr>
            </w:pPr>
          </w:p>
        </w:tc>
        <w:tc>
          <w:tcPr>
            <w:tcW w:w="4242" w:type="dxa"/>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Bypass with full compliance and no transfer (including no transfer of patients requiring acute neurosurgery) examined as potential strategies</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Relative effectiveness and incremental costs for TBI bypass and no transfer strategies modified.</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Normal distributions elicited from clinical experts for log proportional odds/odds ratios:</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pPr>
            <w:r w:rsidRPr="00C806D0">
              <w:rPr>
                <w:sz w:val="18"/>
                <w:szCs w:val="18"/>
              </w:rPr>
              <w:t>Bypass -  TBI requiring critical care: μ:-0.05 SE:0.41</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pPr>
            <w:r w:rsidRPr="00C806D0">
              <w:rPr>
                <w:sz w:val="18"/>
                <w:szCs w:val="18"/>
              </w:rPr>
              <w:t xml:space="preserve">Bypass - Major </w:t>
            </w:r>
            <w:r w:rsidR="002A16B4" w:rsidRPr="00C806D0">
              <w:rPr>
                <w:sz w:val="18"/>
                <w:szCs w:val="18"/>
              </w:rPr>
              <w:t>extracranial</w:t>
            </w:r>
            <w:r w:rsidRPr="00C806D0">
              <w:rPr>
                <w:sz w:val="18"/>
                <w:szCs w:val="18"/>
              </w:rPr>
              <w:t xml:space="preserve"> injury: μ:-0.30 SE:0.15</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No transfer - TBI requiring neurosurgery: μ:1.0 SE:0.4 (applied to baseline outcomes for delayed neurosurgery)</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2085" w:type="dxa"/>
          </w:tcPr>
          <w:p w:rsidR="005F0441" w:rsidRPr="00C806D0" w:rsidRDefault="005F0441" w:rsidP="002A16B4">
            <w:pPr>
              <w:rPr>
                <w:b w:val="0"/>
                <w:sz w:val="18"/>
                <w:szCs w:val="18"/>
              </w:rPr>
            </w:pPr>
            <w:r w:rsidRPr="00C806D0">
              <w:rPr>
                <w:b w:val="0"/>
                <w:sz w:val="18"/>
                <w:szCs w:val="18"/>
              </w:rPr>
              <w:t>Discount rate</w:t>
            </w:r>
          </w:p>
          <w:p w:rsidR="005F0441" w:rsidRPr="00C806D0" w:rsidRDefault="005F0441" w:rsidP="002A16B4">
            <w:pPr>
              <w:rPr>
                <w:b w:val="0"/>
                <w:sz w:val="18"/>
                <w:szCs w:val="18"/>
              </w:rPr>
            </w:pPr>
          </w:p>
        </w:tc>
        <w:tc>
          <w:tcPr>
            <w:tcW w:w="4242" w:type="dxa"/>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Discount rates changed to explore different frames of time preference</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Discount rate</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Discount rate= 1.5% and Discount rate=6.0%</w:t>
            </w:r>
          </w:p>
        </w:tc>
      </w:tr>
      <w:tr w:rsidR="005F0441" w:rsidRPr="00C806D0" w:rsidTr="002A16B4">
        <w:trPr>
          <w:trHeight w:val="1559"/>
        </w:trPr>
        <w:tc>
          <w:tcPr>
            <w:cnfStyle w:val="001000000000" w:firstRow="0" w:lastRow="0" w:firstColumn="1" w:lastColumn="0" w:oddVBand="0" w:evenVBand="0" w:oddHBand="0" w:evenHBand="0" w:firstRowFirstColumn="0" w:firstRowLastColumn="0" w:lastRowFirstColumn="0" w:lastRowLastColumn="0"/>
            <w:tcW w:w="2085" w:type="dxa"/>
          </w:tcPr>
          <w:p w:rsidR="005F0441" w:rsidRPr="00C806D0" w:rsidRDefault="005F0441" w:rsidP="002A16B4">
            <w:pPr>
              <w:rPr>
                <w:b w:val="0"/>
                <w:sz w:val="18"/>
                <w:szCs w:val="18"/>
              </w:rPr>
            </w:pPr>
            <w:r w:rsidRPr="00C806D0">
              <w:rPr>
                <w:b w:val="0"/>
                <w:sz w:val="18"/>
                <w:szCs w:val="18"/>
              </w:rPr>
              <w:t>Proportional odds ratio</w:t>
            </w:r>
          </w:p>
          <w:p w:rsidR="005F0441" w:rsidRPr="00C806D0" w:rsidRDefault="005F0441" w:rsidP="002A16B4">
            <w:pPr>
              <w:rPr>
                <w:b w:val="0"/>
                <w:sz w:val="18"/>
                <w:szCs w:val="18"/>
              </w:rPr>
            </w:pPr>
          </w:p>
        </w:tc>
        <w:tc>
          <w:tcPr>
            <w:tcW w:w="4242" w:type="dxa"/>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Assumption of proportional odds effect on relative outcomes removed.</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 xml:space="preserve">Relative effectiveness </w:t>
            </w:r>
            <w:r w:rsidR="00C54162" w:rsidRPr="00C806D0">
              <w:rPr>
                <w:sz w:val="18"/>
                <w:szCs w:val="18"/>
              </w:rPr>
              <w:t xml:space="preserve"> for patient subgroups of</w:t>
            </w:r>
            <w:r w:rsidRPr="00C806D0">
              <w:rPr>
                <w:sz w:val="18"/>
                <w:szCs w:val="18"/>
              </w:rPr>
              <w:t>:</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Acute neurosurgery</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 xml:space="preserve">TBI requiring critical care </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TBI requiring ward care</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Odds ratio for unfavourable outcome applied, but the proportions of patients in each constituent GOS category of the dichotomised outcome group is equivalent to that observed in the baseline outcome strategy.</w:t>
            </w:r>
          </w:p>
        </w:tc>
      </w:tr>
      <w:tr w:rsidR="005F0441" w:rsidRPr="00C806D0" w:rsidTr="002A16B4">
        <w:trPr>
          <w:trHeight w:val="1559"/>
        </w:trPr>
        <w:tc>
          <w:tcPr>
            <w:cnfStyle w:val="001000000000" w:firstRow="0" w:lastRow="0" w:firstColumn="1" w:lastColumn="0" w:oddVBand="0" w:evenVBand="0" w:oddHBand="0" w:evenHBand="0" w:firstRowFirstColumn="0" w:firstRowLastColumn="0" w:lastRowFirstColumn="0" w:lastRowLastColumn="0"/>
            <w:tcW w:w="2085" w:type="dxa"/>
          </w:tcPr>
          <w:p w:rsidR="005F0441" w:rsidRPr="00C806D0" w:rsidRDefault="005F0441" w:rsidP="002A16B4">
            <w:pPr>
              <w:rPr>
                <w:b w:val="0"/>
                <w:sz w:val="18"/>
                <w:szCs w:val="18"/>
              </w:rPr>
            </w:pPr>
            <w:r w:rsidRPr="00C806D0">
              <w:rPr>
                <w:b w:val="0"/>
                <w:sz w:val="18"/>
                <w:szCs w:val="18"/>
              </w:rPr>
              <w:t>Long term disability</w:t>
            </w:r>
          </w:p>
        </w:tc>
        <w:tc>
          <w:tcPr>
            <w:tcW w:w="4242" w:type="dxa"/>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Assumption of static long term disability relaxed to allow changes between GOS disability states post-discharge</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Distribution of GOS disability health states in state transition model</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rFonts w:ascii="Calibri" w:hAnsi="Calibri" w:cs="Arial"/>
                <w:sz w:val="18"/>
                <w:szCs w:val="18"/>
              </w:rPr>
              <w:t xml:space="preserve">Health state distribution modified at 6 and 12 years according to the findings of Whitnall (2006) and </w:t>
            </w:r>
            <w:r w:rsidR="00BE1FEF" w:rsidRPr="00C806D0">
              <w:rPr>
                <w:rFonts w:ascii="Calibri" w:hAnsi="Calibri" w:cs="Arial"/>
                <w:sz w:val="18"/>
                <w:szCs w:val="18"/>
              </w:rPr>
              <w:t>McMillan</w:t>
            </w:r>
            <w:r w:rsidRPr="00C806D0">
              <w:rPr>
                <w:rFonts w:ascii="Calibri" w:hAnsi="Calibri" w:cs="Arial"/>
                <w:sz w:val="18"/>
                <w:szCs w:val="18"/>
              </w:rPr>
              <w:t xml:space="preserve"> (2012). Thereafter the disability level is unchanged until death.  </w:t>
            </w: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2085" w:type="dxa"/>
          </w:tcPr>
          <w:p w:rsidR="005F0441" w:rsidRPr="00C806D0" w:rsidRDefault="005F0441" w:rsidP="002A16B4">
            <w:pPr>
              <w:rPr>
                <w:b w:val="0"/>
                <w:sz w:val="18"/>
                <w:szCs w:val="18"/>
              </w:rPr>
            </w:pPr>
            <w:r w:rsidRPr="00C806D0">
              <w:rPr>
                <w:b w:val="0"/>
                <w:sz w:val="18"/>
                <w:szCs w:val="18"/>
              </w:rPr>
              <w:t>Long term survival</w:t>
            </w:r>
          </w:p>
          <w:p w:rsidR="005F0441" w:rsidRPr="00C806D0" w:rsidRDefault="005F0441" w:rsidP="002A16B4">
            <w:pPr>
              <w:rPr>
                <w:b w:val="0"/>
                <w:sz w:val="18"/>
                <w:szCs w:val="18"/>
              </w:rPr>
            </w:pPr>
          </w:p>
        </w:tc>
        <w:tc>
          <w:tcPr>
            <w:tcW w:w="4242" w:type="dxa"/>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 xml:space="preserve">Increased mortality in survivors of TBI and major </w:t>
            </w:r>
            <w:r w:rsidR="002A16B4" w:rsidRPr="00C806D0">
              <w:rPr>
                <w:sz w:val="18"/>
                <w:szCs w:val="18"/>
              </w:rPr>
              <w:t>extracranial</w:t>
            </w:r>
            <w:r w:rsidRPr="00C806D0">
              <w:rPr>
                <w:sz w:val="18"/>
                <w:szCs w:val="18"/>
              </w:rPr>
              <w:t xml:space="preserve"> injury modelled.</w:t>
            </w:r>
          </w:p>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Time dependency in state transition model</w:t>
            </w:r>
          </w:p>
        </w:tc>
        <w:tc>
          <w:tcPr>
            <w:tcW w:w="0" w:type="auto"/>
          </w:tcPr>
          <w:p w:rsidR="005F0441" w:rsidRPr="00C806D0" w:rsidRDefault="005F0441" w:rsidP="006D4D62">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Relative risk applied from literature applied to general population life tables (</w:t>
            </w:r>
            <w:r w:rsidR="00BE1FEF" w:rsidRPr="00C806D0">
              <w:rPr>
                <w:sz w:val="18"/>
                <w:szCs w:val="18"/>
              </w:rPr>
              <w:t>McMillan</w:t>
            </w:r>
            <w:r w:rsidRPr="00C806D0">
              <w:rPr>
                <w:sz w:val="18"/>
                <w:szCs w:val="18"/>
              </w:rPr>
              <w:t xml:space="preserve"> 2011, Cameron 2005).</w:t>
            </w:r>
            <w:r w:rsidR="00155D84" w:rsidRPr="00C806D0">
              <w:rPr>
                <w:noProof/>
                <w:sz w:val="18"/>
                <w:szCs w:val="18"/>
                <w:vertAlign w:val="superscript"/>
              </w:rPr>
              <w:t>[</w:t>
            </w:r>
            <w:r w:rsidR="006D4D62" w:rsidRPr="00C806D0">
              <w:rPr>
                <w:noProof/>
                <w:sz w:val="18"/>
                <w:szCs w:val="18"/>
                <w:vertAlign w:val="superscript"/>
              </w:rPr>
              <w:t>28</w:t>
            </w:r>
            <w:r w:rsidR="00155D84" w:rsidRPr="00C806D0">
              <w:rPr>
                <w:noProof/>
                <w:sz w:val="18"/>
                <w:szCs w:val="18"/>
                <w:vertAlign w:val="superscript"/>
              </w:rPr>
              <w:t xml:space="preserve">, </w:t>
            </w:r>
            <w:r w:rsidR="006D4D62" w:rsidRPr="00C806D0">
              <w:rPr>
                <w:noProof/>
                <w:sz w:val="18"/>
                <w:szCs w:val="18"/>
                <w:vertAlign w:val="superscript"/>
              </w:rPr>
              <w:t>29</w:t>
            </w:r>
            <w:r w:rsidR="00155D84" w:rsidRPr="00C806D0">
              <w:rPr>
                <w:noProof/>
                <w:sz w:val="18"/>
                <w:szCs w:val="18"/>
                <w:vertAlign w:val="superscript"/>
              </w:rPr>
              <w:t>]</w:t>
            </w: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2085" w:type="dxa"/>
          </w:tcPr>
          <w:p w:rsidR="005F0441" w:rsidRPr="00C806D0" w:rsidRDefault="005F0441" w:rsidP="002A16B4">
            <w:pPr>
              <w:rPr>
                <w:sz w:val="18"/>
                <w:szCs w:val="18"/>
              </w:rPr>
            </w:pPr>
          </w:p>
        </w:tc>
        <w:tc>
          <w:tcPr>
            <w:tcW w:w="4242" w:type="dxa"/>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 xml:space="preserve">Increased mortality in survivors of TBI </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Time dependency in state transition model</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Transition probabilities derived from  R</w:t>
            </w:r>
            <w:r w:rsidR="005C1B95" w:rsidRPr="00C806D0">
              <w:rPr>
                <w:sz w:val="18"/>
                <w:szCs w:val="18"/>
              </w:rPr>
              <w:t>EP Gompertz model (Chapter 7</w:t>
            </w:r>
            <w:r w:rsidRPr="00C806D0">
              <w:rPr>
                <w:sz w:val="18"/>
                <w:szCs w:val="18"/>
              </w:rPr>
              <w:t>)</w:t>
            </w: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2085" w:type="dxa"/>
          </w:tcPr>
          <w:p w:rsidR="005F0441" w:rsidRPr="00C806D0" w:rsidRDefault="005F0441" w:rsidP="002A16B4">
            <w:pPr>
              <w:rPr>
                <w:b w:val="0"/>
                <w:sz w:val="18"/>
                <w:szCs w:val="18"/>
              </w:rPr>
            </w:pPr>
          </w:p>
        </w:tc>
        <w:tc>
          <w:tcPr>
            <w:tcW w:w="4242" w:type="dxa"/>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r>
      <w:tr w:rsidR="005F0441" w:rsidRPr="00C806D0" w:rsidTr="002A16B4">
        <w:tc>
          <w:tcPr>
            <w:cnfStyle w:val="001000000000" w:firstRow="0" w:lastRow="0" w:firstColumn="1" w:lastColumn="0" w:oddVBand="0" w:evenVBand="0" w:oddHBand="0" w:evenHBand="0" w:firstRowFirstColumn="0" w:firstRowLastColumn="0" w:lastRowFirstColumn="0" w:lastRowLastColumn="0"/>
            <w:tcW w:w="2085" w:type="dxa"/>
          </w:tcPr>
          <w:p w:rsidR="005F0441" w:rsidRPr="00C806D0" w:rsidRDefault="005F0441" w:rsidP="002A16B4">
            <w:pPr>
              <w:rPr>
                <w:b w:val="0"/>
                <w:sz w:val="18"/>
                <w:szCs w:val="18"/>
              </w:rPr>
            </w:pPr>
            <w:r w:rsidRPr="00C806D0">
              <w:rPr>
                <w:b w:val="0"/>
                <w:sz w:val="18"/>
                <w:szCs w:val="18"/>
              </w:rPr>
              <w:t>Consideration of non-health effects</w:t>
            </w:r>
          </w:p>
        </w:tc>
        <w:tc>
          <w:tcPr>
            <w:tcW w:w="4242" w:type="dxa"/>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 xml:space="preserve">Utility decrement applied to bypassed mild TBI patients to account for inconvenience of  unnecessary transport to a distant hospital </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 xml:space="preserve">Mild TBI outcomes in bypass strategy </w:t>
            </w:r>
          </w:p>
        </w:tc>
        <w:tc>
          <w:tcPr>
            <w:tcW w:w="0" w:type="auto"/>
          </w:tcPr>
          <w:p w:rsidR="005F0441" w:rsidRPr="00C806D0" w:rsidRDefault="005F0441" w:rsidP="002A16B4">
            <w:pPr>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 xml:space="preserve">Utility decrement of 0.001 </w:t>
            </w:r>
          </w:p>
        </w:tc>
      </w:tr>
    </w:tbl>
    <w:p w:rsidR="005F0441" w:rsidRPr="00C806D0" w:rsidRDefault="005F0441" w:rsidP="005F0441">
      <w:pPr>
        <w:rPr>
          <w:rFonts w:ascii="Calibri" w:hAnsi="Calibri"/>
          <w:sz w:val="18"/>
          <w:szCs w:val="18"/>
        </w:rPr>
      </w:pPr>
      <w:r w:rsidRPr="00C806D0">
        <w:rPr>
          <w:rFonts w:ascii="Calibri" w:hAnsi="Calibri"/>
          <w:sz w:val="18"/>
          <w:szCs w:val="18"/>
        </w:rPr>
        <w:t>*All parameters treated probabilistically unless stated</w:t>
      </w:r>
    </w:p>
    <w:p w:rsidR="00BF1676" w:rsidRPr="00C806D0" w:rsidRDefault="00BF1676" w:rsidP="005F0441">
      <w:pPr>
        <w:sectPr w:rsidR="00BF1676" w:rsidRPr="00C806D0" w:rsidSect="00BF1676">
          <w:pgSz w:w="16838" w:h="11906" w:orient="landscape"/>
          <w:pgMar w:top="2268" w:right="1134" w:bottom="1134" w:left="1134" w:header="709" w:footer="709" w:gutter="0"/>
          <w:cols w:space="708"/>
          <w:docGrid w:linePitch="360"/>
        </w:sectPr>
      </w:pPr>
    </w:p>
    <w:p w:rsidR="005F0441" w:rsidRPr="00C806D0" w:rsidRDefault="005F0441" w:rsidP="005F0441">
      <w:pPr>
        <w:pStyle w:val="Heading2"/>
      </w:pPr>
      <w:r w:rsidRPr="00C806D0">
        <w:t>expected value of information</w:t>
      </w:r>
    </w:p>
    <w:p w:rsidR="005F0441" w:rsidRPr="00C806D0" w:rsidRDefault="005F0441" w:rsidP="005F0441">
      <w:pPr>
        <w:pStyle w:val="Heading3"/>
        <w:spacing w:before="240"/>
      </w:pPr>
      <w:r w:rsidRPr="00C806D0">
        <w:t>Background information on expected value of information analyses</w:t>
      </w:r>
    </w:p>
    <w:p w:rsidR="005F0441" w:rsidRPr="00C806D0" w:rsidRDefault="005F0441" w:rsidP="005F0441">
      <w:pPr>
        <w:rPr>
          <w:rFonts w:ascii="Calibri" w:hAnsi="Calibri"/>
        </w:rPr>
      </w:pPr>
      <w:r w:rsidRPr="00C806D0">
        <w:rPr>
          <w:rFonts w:ascii="Calibri" w:hAnsi="Calibri"/>
        </w:rPr>
        <w:t>To avoid potential opportunity costs health care systems should typically choose interventions with the highest expected net monetary benefit, regardless of statistical uncertainty.</w:t>
      </w:r>
      <w:r w:rsidR="00155D84" w:rsidRPr="00C806D0">
        <w:rPr>
          <w:rFonts w:ascii="Calibri" w:hAnsi="Calibri"/>
          <w:noProof/>
          <w:vertAlign w:val="superscript"/>
        </w:rPr>
        <w:t>[</w:t>
      </w:r>
      <w:r w:rsidR="006D4D62" w:rsidRPr="00C806D0">
        <w:rPr>
          <w:rFonts w:ascii="Calibri" w:hAnsi="Calibri"/>
          <w:noProof/>
          <w:vertAlign w:val="superscript"/>
        </w:rPr>
        <w:t>30</w:t>
      </w:r>
      <w:r w:rsidR="00155D84" w:rsidRPr="00C806D0">
        <w:rPr>
          <w:rFonts w:ascii="Calibri" w:hAnsi="Calibri"/>
          <w:noProof/>
          <w:vertAlign w:val="superscript"/>
        </w:rPr>
        <w:t xml:space="preserve">, </w:t>
      </w:r>
      <w:r w:rsidR="006D4D62" w:rsidRPr="00C806D0">
        <w:rPr>
          <w:rFonts w:ascii="Calibri" w:hAnsi="Calibri"/>
          <w:noProof/>
          <w:vertAlign w:val="superscript"/>
        </w:rPr>
        <w:t>31</w:t>
      </w:r>
      <w:r w:rsidR="00155D84" w:rsidRPr="00C806D0">
        <w:rPr>
          <w:rFonts w:ascii="Calibri" w:hAnsi="Calibri"/>
          <w:noProof/>
          <w:vertAlign w:val="superscript"/>
        </w:rPr>
        <w:t>]</w:t>
      </w:r>
      <w:r w:rsidRPr="00C806D0">
        <w:rPr>
          <w:rFonts w:ascii="Calibri" w:hAnsi="Calibri"/>
        </w:rPr>
        <w:t xml:space="preserve"> This approach will maximise health gains from available resources, and result in correct decision making based on current evidence. However there is often considerable uncertainty in model inputs and the optimal management strategy could differ if the true parameter values were known with certainty. Any errors in the adoption decision will consequently result in forfeited health benefits and wasted resources. </w:t>
      </w:r>
    </w:p>
    <w:p w:rsidR="005F0441" w:rsidRPr="00C806D0" w:rsidRDefault="005F0441" w:rsidP="005F0441">
      <w:pPr>
        <w:rPr>
          <w:rFonts w:ascii="Calibri" w:hAnsi="Calibri"/>
        </w:rPr>
      </w:pPr>
    </w:p>
    <w:p w:rsidR="005F0441" w:rsidRPr="00C806D0" w:rsidRDefault="005F0441" w:rsidP="005F0441">
      <w:pPr>
        <w:rPr>
          <w:rFonts w:ascii="Calibri" w:hAnsi="Calibri" w:cs="ArialNarrow"/>
          <w:color w:val="000000" w:themeColor="text1"/>
        </w:rPr>
      </w:pPr>
      <w:r w:rsidRPr="00C806D0">
        <w:rPr>
          <w:rFonts w:ascii="Calibri" w:hAnsi="Calibri"/>
        </w:rPr>
        <w:t>Economic models use probability distributions to reflect the uncertainty of a decision problem and can simulate the entire spectrum of cost-effectiveness results that are possible given potential realisations of parameter values. Assuming that these parameter distributions are correctly specified, the probability of making the wrong adoption decision and the resulting effects on costs and QALYs will therefore be available from implementing a probabilistic sensitivity analysis. The opportunity losses surrounding a decision can consequently be calculated for each patient by subtracting the</w:t>
      </w:r>
      <w:r w:rsidRPr="00C806D0">
        <w:rPr>
          <w:rFonts w:ascii="Calibri" w:hAnsi="Calibri" w:cs="ArialNarrow"/>
          <w:color w:val="000000" w:themeColor="text1"/>
        </w:rPr>
        <w:t xml:space="preserve"> maximum NMB resulting from a particular set of parameter values from the mean expected NMB for the optimal strategy over the joint distribution of all possible parameter values. As it is impossible to know exactly how the true parameter values will resolve, it is necessary to average this calculation over all potential resolutions of model inputs, by undertaking sufficient PSA runs.</w:t>
      </w:r>
      <w:r w:rsidR="00155D84" w:rsidRPr="00C806D0">
        <w:rPr>
          <w:rFonts w:ascii="Calibri" w:hAnsi="Calibri" w:cs="ArialNarrow"/>
          <w:noProof/>
          <w:color w:val="000000" w:themeColor="text1"/>
          <w:vertAlign w:val="superscript"/>
        </w:rPr>
        <w:t>[</w:t>
      </w:r>
      <w:r w:rsidR="006D4D62" w:rsidRPr="00C806D0">
        <w:rPr>
          <w:rFonts w:ascii="Calibri" w:hAnsi="Calibri" w:cs="ArialNarrow"/>
          <w:noProof/>
          <w:color w:val="000000" w:themeColor="text1"/>
          <w:vertAlign w:val="superscript"/>
        </w:rPr>
        <w:t>23</w:t>
      </w:r>
      <w:r w:rsidR="00155D84" w:rsidRPr="00C806D0">
        <w:rPr>
          <w:rFonts w:ascii="Calibri" w:hAnsi="Calibri" w:cs="ArialNarrow"/>
          <w:noProof/>
          <w:color w:val="000000" w:themeColor="text1"/>
          <w:vertAlign w:val="superscript"/>
        </w:rPr>
        <w:t xml:space="preserve">, </w:t>
      </w:r>
      <w:r w:rsidR="006D4D62" w:rsidRPr="00C806D0">
        <w:rPr>
          <w:rFonts w:ascii="Calibri" w:hAnsi="Calibri" w:cs="ArialNarrow"/>
          <w:noProof/>
          <w:color w:val="000000" w:themeColor="text1"/>
          <w:vertAlign w:val="superscript"/>
        </w:rPr>
        <w:t>32</w:t>
      </w:r>
      <w:r w:rsidR="00155D84" w:rsidRPr="00C806D0">
        <w:rPr>
          <w:rFonts w:ascii="Calibri" w:hAnsi="Calibri" w:cs="ArialNarrow"/>
          <w:noProof/>
          <w:color w:val="000000" w:themeColor="text1"/>
          <w:vertAlign w:val="superscript"/>
        </w:rPr>
        <w:t>]</w:t>
      </w:r>
      <w:r w:rsidRPr="00C806D0">
        <w:rPr>
          <w:rFonts w:ascii="Calibri" w:hAnsi="Calibri" w:cs="ArialNarrow"/>
          <w:color w:val="000000" w:themeColor="text1"/>
        </w:rPr>
        <w:t xml:space="preserve"> </w:t>
      </w:r>
      <w:r w:rsidRPr="00C806D0">
        <w:rPr>
          <w:rFonts w:ascii="Calibri" w:hAnsi="Calibri"/>
        </w:rPr>
        <w:t xml:space="preserve">The resulting value is termed the individual expected value of perfect information (EVPI), </w:t>
      </w:r>
      <w:r w:rsidRPr="00C806D0">
        <w:rPr>
          <w:rFonts w:ascii="Calibri" w:eastAsia="MinionPro-Regular" w:hAnsi="Calibri"/>
        </w:rPr>
        <w:t>measuring the expected cost of current uncertainty for each patient by accounting for both the probability that a decision based on existing evidence is wrong and for the magnitude of the consequences of making the wrong decision.</w:t>
      </w:r>
      <w:r w:rsidR="00155D84" w:rsidRPr="00C806D0">
        <w:rPr>
          <w:rFonts w:ascii="Calibri" w:eastAsia="MinionPro-Regular" w:hAnsi="Calibri"/>
          <w:noProof/>
          <w:vertAlign w:val="superscript"/>
        </w:rPr>
        <w:t>[</w:t>
      </w:r>
      <w:r w:rsidR="006D4D62" w:rsidRPr="00C806D0">
        <w:rPr>
          <w:rFonts w:ascii="Calibri" w:eastAsia="MinionPro-Regular" w:hAnsi="Calibri"/>
          <w:noProof/>
          <w:vertAlign w:val="superscript"/>
        </w:rPr>
        <w:t>33</w:t>
      </w:r>
      <w:r w:rsidR="00155D84" w:rsidRPr="00C806D0">
        <w:rPr>
          <w:rFonts w:ascii="Calibri" w:eastAsia="MinionPro-Regular" w:hAnsi="Calibri"/>
          <w:noProof/>
          <w:vertAlign w:val="superscript"/>
        </w:rPr>
        <w:t>]</w:t>
      </w:r>
      <w:r w:rsidRPr="00C806D0">
        <w:rPr>
          <w:rFonts w:ascii="Calibri" w:hAnsi="Calibri"/>
        </w:rPr>
        <w:t xml:space="preserve"> A rational decision maker should be willing to pay for additional perfect evidence up to this level of expected opportunity loss, for the total population of patients who may benefit from additional research evidence over the lifespan the technology, a value known as the population EVPI.</w:t>
      </w:r>
      <w:r w:rsidR="00155D84" w:rsidRPr="00C806D0">
        <w:rPr>
          <w:rFonts w:ascii="Calibri" w:hAnsi="Calibri"/>
          <w:noProof/>
          <w:vertAlign w:val="superscript"/>
        </w:rPr>
        <w:t>[</w:t>
      </w:r>
      <w:r w:rsidR="006D4D62" w:rsidRPr="00C806D0">
        <w:rPr>
          <w:rFonts w:ascii="Calibri" w:hAnsi="Calibri"/>
          <w:noProof/>
          <w:vertAlign w:val="superscript"/>
        </w:rPr>
        <w:t>33</w:t>
      </w:r>
      <w:r w:rsidR="00155D84" w:rsidRPr="00C806D0">
        <w:rPr>
          <w:rFonts w:ascii="Calibri" w:hAnsi="Calibri"/>
          <w:noProof/>
          <w:vertAlign w:val="superscript"/>
        </w:rPr>
        <w:t>]</w:t>
      </w:r>
    </w:p>
    <w:p w:rsidR="005F0441" w:rsidRPr="00C806D0" w:rsidRDefault="005F0441" w:rsidP="005F0441">
      <w:pPr>
        <w:rPr>
          <w:rFonts w:ascii="Calibri" w:hAnsi="Calibri"/>
        </w:rPr>
      </w:pPr>
    </w:p>
    <w:p w:rsidR="005F0441" w:rsidRPr="00C806D0" w:rsidRDefault="005F0441" w:rsidP="005F0441">
      <w:pPr>
        <w:rPr>
          <w:rFonts w:ascii="Calibri" w:hAnsi="Calibri"/>
        </w:rPr>
      </w:pPr>
      <w:r w:rsidRPr="00C806D0">
        <w:rPr>
          <w:rFonts w:ascii="Calibri" w:hAnsi="Calibri"/>
        </w:rPr>
        <w:t>Population EVPI places an upper bound on any investment in future research, but does not indicate what type of evidence would be valuable. By focusing attention on eliminating the potential opportunity costs arising from uncertainty in particular model inputs expected value of partial perfect information (EVPPI) can indicate research into which parameters would be most valuable.</w:t>
      </w:r>
      <w:r w:rsidR="00155D84" w:rsidRPr="00C806D0">
        <w:rPr>
          <w:rFonts w:ascii="Calibri" w:hAnsi="Calibri"/>
          <w:noProof/>
          <w:vertAlign w:val="superscript"/>
        </w:rPr>
        <w:t>[</w:t>
      </w:r>
      <w:r w:rsidR="006D4D62" w:rsidRPr="00C806D0">
        <w:rPr>
          <w:rFonts w:ascii="Calibri" w:hAnsi="Calibri"/>
          <w:noProof/>
          <w:vertAlign w:val="superscript"/>
        </w:rPr>
        <w:t>23</w:t>
      </w:r>
      <w:r w:rsidR="00155D84" w:rsidRPr="00C806D0">
        <w:rPr>
          <w:rFonts w:ascii="Calibri" w:hAnsi="Calibri"/>
          <w:noProof/>
          <w:vertAlign w:val="superscript"/>
        </w:rPr>
        <w:t xml:space="preserve">, </w:t>
      </w:r>
      <w:r w:rsidR="006D4D62" w:rsidRPr="00C806D0">
        <w:rPr>
          <w:rFonts w:ascii="Calibri" w:hAnsi="Calibri"/>
          <w:noProof/>
          <w:vertAlign w:val="superscript"/>
        </w:rPr>
        <w:t>34</w:t>
      </w:r>
      <w:r w:rsidR="00155D84" w:rsidRPr="00C806D0">
        <w:rPr>
          <w:rFonts w:ascii="Calibri" w:hAnsi="Calibri"/>
          <w:noProof/>
          <w:vertAlign w:val="superscript"/>
        </w:rPr>
        <w:t>]</w:t>
      </w:r>
      <w:r w:rsidRPr="00C806D0">
        <w:rPr>
          <w:rFonts w:ascii="Calibri" w:hAnsi="Calibri"/>
        </w:rPr>
        <w:t xml:space="preserve"> Identification of variables where precise estimates would be most important will indicate where research funds should be focused and may suggest appropriate research designs. For example, a large EVPPI value for an estimate of relative effectiveness would suggest a future randomised controlled trial is potentially useful; while a high EVPPI for the prevalence of a disease subgroup could indicate an epidemiological cohort study. Individual EVPPI, defined analogously to EVPI, is the expected net monetary benefit given perfect information about the parameter of interest minus the expected NMB with current information. Population EVPPI is similarly derived by multiplying the individual EVPPI by the population of patients that would potentially benefit from additional information. Extension of this technique to groups of parameters is possible using the same principles.</w:t>
      </w:r>
      <w:r w:rsidR="00155D84" w:rsidRPr="00C806D0">
        <w:rPr>
          <w:rFonts w:ascii="Calibri" w:hAnsi="Calibri"/>
          <w:noProof/>
          <w:vertAlign w:val="superscript"/>
        </w:rPr>
        <w:t>[</w:t>
      </w:r>
      <w:r w:rsidR="006D4D62" w:rsidRPr="00C806D0">
        <w:rPr>
          <w:rFonts w:ascii="Calibri" w:hAnsi="Calibri"/>
          <w:noProof/>
          <w:vertAlign w:val="superscript"/>
        </w:rPr>
        <w:t>23</w:t>
      </w:r>
      <w:r w:rsidR="00155D84" w:rsidRPr="00C806D0">
        <w:rPr>
          <w:rFonts w:ascii="Calibri" w:hAnsi="Calibri"/>
          <w:noProof/>
          <w:vertAlign w:val="superscript"/>
        </w:rPr>
        <w:t>]</w:t>
      </w:r>
    </w:p>
    <w:p w:rsidR="005F0441" w:rsidRPr="00C806D0" w:rsidRDefault="005F0441" w:rsidP="005F0441">
      <w:pPr>
        <w:rPr>
          <w:rFonts w:ascii="Calibri" w:hAnsi="Calibri"/>
        </w:rPr>
      </w:pPr>
    </w:p>
    <w:p w:rsidR="005F0441" w:rsidRPr="00C806D0" w:rsidRDefault="005F0441" w:rsidP="005F0441">
      <w:pPr>
        <w:rPr>
          <w:rFonts w:ascii="Calibri" w:hAnsi="Calibri"/>
        </w:rPr>
      </w:pPr>
      <w:r w:rsidRPr="00C806D0">
        <w:rPr>
          <w:rFonts w:ascii="Calibri" w:hAnsi="Calibri"/>
        </w:rPr>
        <w:t>Comparing the costs of future research studies against population EVPI and EVPPI provides a necessary condition for future research: study costs must not exceed these values to be cost-effective. However, they do not provide a sufficient condition that any future research study will be helpful and cost-effective, and make the implausible assumption that all uncertainty can be removed from a parameter value. Expected value of sample information (EVSI) extends the value of information methodological framework to establish the expected value of conducting studies with different designs and sample sizes.</w:t>
      </w:r>
      <w:r w:rsidR="00155D84" w:rsidRPr="00C806D0">
        <w:rPr>
          <w:rFonts w:ascii="Calibri" w:hAnsi="Calibri"/>
          <w:noProof/>
          <w:vertAlign w:val="superscript"/>
        </w:rPr>
        <w:t>[</w:t>
      </w:r>
      <w:r w:rsidR="006D4D62" w:rsidRPr="00C806D0">
        <w:rPr>
          <w:rFonts w:ascii="Calibri" w:hAnsi="Calibri"/>
          <w:noProof/>
          <w:vertAlign w:val="superscript"/>
        </w:rPr>
        <w:t>34</w:t>
      </w:r>
      <w:r w:rsidR="00155D84" w:rsidRPr="00C806D0">
        <w:rPr>
          <w:rFonts w:ascii="Calibri" w:hAnsi="Calibri"/>
          <w:noProof/>
          <w:vertAlign w:val="superscript"/>
        </w:rPr>
        <w:t xml:space="preserve">, </w:t>
      </w:r>
      <w:r w:rsidR="006D4D62" w:rsidRPr="00C806D0">
        <w:rPr>
          <w:rFonts w:ascii="Calibri" w:hAnsi="Calibri"/>
          <w:noProof/>
          <w:vertAlign w:val="superscript"/>
        </w:rPr>
        <w:t>35</w:t>
      </w:r>
      <w:r w:rsidR="00155D84" w:rsidRPr="00C806D0">
        <w:rPr>
          <w:rFonts w:ascii="Calibri" w:hAnsi="Calibri"/>
          <w:noProof/>
          <w:vertAlign w:val="superscript"/>
        </w:rPr>
        <w:t>]</w:t>
      </w:r>
      <w:r w:rsidRPr="00C806D0">
        <w:rPr>
          <w:rFonts w:ascii="Calibri" w:hAnsi="Calibri"/>
        </w:rPr>
        <w:t xml:space="preserve"> Individual EVSI is mathematically defined as the expected difference between the value of the optimal decision based on a sample of data, informative for certain model parameters, minus the value of information based on existing evidence.</w:t>
      </w:r>
      <w:r w:rsidR="00155D84" w:rsidRPr="00C806D0">
        <w:rPr>
          <w:rFonts w:ascii="Calibri" w:hAnsi="Calibri"/>
          <w:noProof/>
          <w:vertAlign w:val="superscript"/>
        </w:rPr>
        <w:t>[</w:t>
      </w:r>
      <w:r w:rsidR="006D4D62" w:rsidRPr="00C806D0">
        <w:rPr>
          <w:rFonts w:ascii="Calibri" w:hAnsi="Calibri"/>
          <w:noProof/>
          <w:vertAlign w:val="superscript"/>
        </w:rPr>
        <w:t>35</w:t>
      </w:r>
      <w:r w:rsidR="00155D84" w:rsidRPr="00C806D0">
        <w:rPr>
          <w:rFonts w:ascii="Calibri" w:hAnsi="Calibri"/>
          <w:noProof/>
          <w:vertAlign w:val="superscript"/>
        </w:rPr>
        <w:t>]</w:t>
      </w:r>
      <w:r w:rsidRPr="00C806D0">
        <w:rPr>
          <w:rFonts w:ascii="Calibri" w:hAnsi="Calibri"/>
        </w:rPr>
        <w:t xml:space="preserve"> P</w:t>
      </w:r>
      <w:r w:rsidRPr="00C806D0">
        <w:rPr>
          <w:rFonts w:ascii="Calibri" w:hAnsi="Calibri"/>
          <w:color w:val="000000" w:themeColor="text1"/>
        </w:rPr>
        <w:t>opulation EVSI is computed equivalently to population EVPI and EVPPI, but should account of the fact that patients recruited into a study are ‘used up’ and cannot benefit from a study’s results, and that the length of a study may reduce the time period an intervention is applicable.</w:t>
      </w:r>
    </w:p>
    <w:p w:rsidR="005F0441" w:rsidRPr="00C806D0" w:rsidRDefault="005F0441" w:rsidP="005F0441">
      <w:pPr>
        <w:rPr>
          <w:rFonts w:ascii="Calibri" w:hAnsi="Calibri"/>
        </w:rPr>
      </w:pPr>
    </w:p>
    <w:p w:rsidR="005F0441" w:rsidRPr="00C806D0" w:rsidRDefault="005F0441" w:rsidP="005F0441">
      <w:pPr>
        <w:rPr>
          <w:rFonts w:ascii="Calibri" w:hAnsi="Calibri"/>
        </w:rPr>
      </w:pPr>
      <w:r w:rsidRPr="00C806D0">
        <w:rPr>
          <w:rFonts w:ascii="Calibri" w:hAnsi="Calibri"/>
        </w:rPr>
        <w:t xml:space="preserve">The expected benefits of a given study sample (the population EVSI) can be </w:t>
      </w:r>
      <w:r w:rsidR="00335B1F" w:rsidRPr="00C806D0">
        <w:rPr>
          <w:rFonts w:ascii="Calibri" w:hAnsi="Calibri"/>
        </w:rPr>
        <w:t>compared with</w:t>
      </w:r>
      <w:r w:rsidRPr="00C806D0">
        <w:rPr>
          <w:rFonts w:ascii="Calibri" w:hAnsi="Calibri"/>
        </w:rPr>
        <w:t xml:space="preserve"> the expected costs of collecting this data, with the difference denoting the expected net benefit of sampling (ENBS). ENBS measures the societal reward from conducting additional research, with ENBS greater than zero demonstrating that the marginal benefits of gathering further evidence exceeds the marginal costs; and higher ENBS values representing more efficient study designs. Optimal study designs can then be identified by choosing the largest ENBS from different options with varying sample sizes, follow up periods, and study endpoints.</w:t>
      </w:r>
      <w:r w:rsidR="00155D84" w:rsidRPr="00C806D0">
        <w:rPr>
          <w:rFonts w:ascii="Calibri" w:hAnsi="Calibri"/>
          <w:noProof/>
          <w:vertAlign w:val="superscript"/>
        </w:rPr>
        <w:t>[</w:t>
      </w:r>
      <w:r w:rsidR="006D4D62" w:rsidRPr="00C806D0">
        <w:rPr>
          <w:rFonts w:ascii="Calibri" w:hAnsi="Calibri"/>
          <w:noProof/>
          <w:vertAlign w:val="superscript"/>
        </w:rPr>
        <w:t>23</w:t>
      </w:r>
      <w:r w:rsidR="00155D84" w:rsidRPr="00C806D0">
        <w:rPr>
          <w:rFonts w:ascii="Calibri" w:hAnsi="Calibri"/>
          <w:noProof/>
          <w:vertAlign w:val="superscript"/>
        </w:rPr>
        <w:t>]</w:t>
      </w:r>
      <w:r w:rsidRPr="00C806D0">
        <w:rPr>
          <w:rFonts w:ascii="Calibri" w:hAnsi="Calibri"/>
        </w:rPr>
        <w:t xml:space="preserve"> </w:t>
      </w:r>
    </w:p>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 w:rsidR="005F0441" w:rsidRPr="00C806D0" w:rsidRDefault="005F0441" w:rsidP="005F0441">
      <w:pPr>
        <w:pStyle w:val="Heading3"/>
        <w:spacing w:before="240"/>
      </w:pPr>
      <w:r w:rsidRPr="00C806D0">
        <w:t>Fixed and variable costs for a definitive HITSNS trial used in EVSI sensitivity analys</w:t>
      </w:r>
      <w:r w:rsidR="00880978" w:rsidRPr="00C806D0">
        <w:t>e</w:t>
      </w:r>
      <w:r w:rsidRPr="00C806D0">
        <w:t>s</w:t>
      </w:r>
    </w:p>
    <w:p w:rsidR="00D4001F" w:rsidRPr="00C806D0" w:rsidRDefault="00C4679C" w:rsidP="00D4001F">
      <w:pPr>
        <w:rPr>
          <w:b/>
        </w:rPr>
      </w:pPr>
      <w:r w:rsidRPr="00C806D0">
        <w:rPr>
          <w:b/>
        </w:rPr>
        <w:t>Table H4</w:t>
      </w:r>
      <w:r w:rsidR="00D4001F" w:rsidRPr="00C806D0">
        <w:rPr>
          <w:b/>
        </w:rPr>
        <w:t>. Assumptions for costs of a definitive HITNS trial used in ENBS sensitivity analyses</w:t>
      </w:r>
    </w:p>
    <w:tbl>
      <w:tblPr>
        <w:tblStyle w:val="LightShading1"/>
        <w:tblW w:w="0" w:type="auto"/>
        <w:tblLook w:val="06A0" w:firstRow="1" w:lastRow="0" w:firstColumn="1" w:lastColumn="0" w:noHBand="1" w:noVBand="1"/>
      </w:tblPr>
      <w:tblGrid>
        <w:gridCol w:w="1288"/>
        <w:gridCol w:w="773"/>
        <w:gridCol w:w="1311"/>
        <w:gridCol w:w="1388"/>
        <w:gridCol w:w="1132"/>
        <w:gridCol w:w="2828"/>
      </w:tblGrid>
      <w:tr w:rsidR="00D4001F" w:rsidRPr="00C806D0" w:rsidTr="00D4001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D4001F" w:rsidRPr="00C806D0" w:rsidRDefault="00D4001F" w:rsidP="00350265">
            <w:pPr>
              <w:spacing w:line="276" w:lineRule="auto"/>
              <w:rPr>
                <w:rFonts w:ascii="Calibri" w:hAnsi="Calibri"/>
                <w:sz w:val="20"/>
                <w:szCs w:val="20"/>
              </w:rPr>
            </w:pPr>
            <w:r w:rsidRPr="00C806D0">
              <w:rPr>
                <w:rFonts w:ascii="Calibri" w:hAnsi="Calibri"/>
                <w:sz w:val="20"/>
                <w:szCs w:val="20"/>
              </w:rPr>
              <w:t>Assumptions in ENBS analysis</w:t>
            </w:r>
          </w:p>
        </w:tc>
        <w:tc>
          <w:tcPr>
            <w:tcW w:w="0" w:type="auto"/>
            <w:shd w:val="clear" w:color="auto" w:fill="FFFFFF" w:themeFill="background1"/>
          </w:tcPr>
          <w:p w:rsidR="00D4001F" w:rsidRPr="00C806D0" w:rsidRDefault="00D4001F" w:rsidP="0035026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Base case value</w:t>
            </w:r>
          </w:p>
        </w:tc>
        <w:tc>
          <w:tcPr>
            <w:tcW w:w="1363" w:type="dxa"/>
            <w:shd w:val="clear" w:color="auto" w:fill="FFFFFF" w:themeFill="background1"/>
          </w:tcPr>
          <w:p w:rsidR="00D4001F" w:rsidRPr="00C806D0" w:rsidRDefault="00D4001F" w:rsidP="0035026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Optimistic sensitivity analysis</w:t>
            </w:r>
          </w:p>
        </w:tc>
        <w:tc>
          <w:tcPr>
            <w:tcW w:w="1445" w:type="dxa"/>
            <w:shd w:val="clear" w:color="auto" w:fill="FFFFFF" w:themeFill="background1"/>
          </w:tcPr>
          <w:p w:rsidR="00D4001F" w:rsidRPr="00C806D0" w:rsidRDefault="00D4001F" w:rsidP="0035026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Pessimistic sensitivity analysis</w:t>
            </w:r>
          </w:p>
        </w:tc>
        <w:tc>
          <w:tcPr>
            <w:tcW w:w="1151" w:type="dxa"/>
            <w:shd w:val="clear" w:color="auto" w:fill="FFFFFF" w:themeFill="background1"/>
          </w:tcPr>
          <w:p w:rsidR="00D4001F" w:rsidRPr="00C806D0" w:rsidRDefault="00D4001F" w:rsidP="0035026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Envisaged HITSNS trial*</w:t>
            </w:r>
          </w:p>
        </w:tc>
        <w:tc>
          <w:tcPr>
            <w:tcW w:w="3154" w:type="dxa"/>
            <w:shd w:val="clear" w:color="auto" w:fill="FFFFFF" w:themeFill="background1"/>
          </w:tcPr>
          <w:p w:rsidR="00D4001F" w:rsidRPr="00C806D0" w:rsidRDefault="00D4001F" w:rsidP="00350265">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Information sources</w:t>
            </w:r>
          </w:p>
        </w:tc>
      </w:tr>
      <w:tr w:rsidR="00D4001F" w:rsidRPr="00C806D0" w:rsidTr="00D4001F">
        <w:trPr>
          <w:trHeigh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D4001F" w:rsidRPr="00C806D0" w:rsidRDefault="00D4001F" w:rsidP="00350265">
            <w:pPr>
              <w:spacing w:line="276" w:lineRule="auto"/>
              <w:rPr>
                <w:rFonts w:ascii="Calibri" w:hAnsi="Calibri"/>
                <w:b w:val="0"/>
                <w:sz w:val="20"/>
                <w:szCs w:val="20"/>
              </w:rPr>
            </w:pPr>
            <w:r w:rsidRPr="00C806D0">
              <w:rPr>
                <w:rFonts w:ascii="Calibri" w:hAnsi="Calibri"/>
                <w:b w:val="0"/>
                <w:sz w:val="20"/>
                <w:szCs w:val="20"/>
              </w:rPr>
              <w:t>Cost per recruited patient per year</w:t>
            </w:r>
          </w:p>
        </w:tc>
        <w:tc>
          <w:tcPr>
            <w:tcW w:w="0" w:type="auto"/>
            <w:shd w:val="clear" w:color="auto" w:fill="FFFFFF" w:themeFill="background1"/>
          </w:tcPr>
          <w:p w:rsidR="00D4001F" w:rsidRPr="00C806D0" w:rsidRDefault="00D4001F" w:rsidP="003502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£1,000</w:t>
            </w:r>
          </w:p>
        </w:tc>
        <w:tc>
          <w:tcPr>
            <w:tcW w:w="1363" w:type="dxa"/>
            <w:shd w:val="clear" w:color="auto" w:fill="FFFFFF" w:themeFill="background1"/>
          </w:tcPr>
          <w:p w:rsidR="00D4001F" w:rsidRPr="00C806D0" w:rsidRDefault="00D4001F" w:rsidP="003502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£500</w:t>
            </w:r>
          </w:p>
        </w:tc>
        <w:tc>
          <w:tcPr>
            <w:tcW w:w="1445" w:type="dxa"/>
            <w:shd w:val="clear" w:color="auto" w:fill="FFFFFF" w:themeFill="background1"/>
          </w:tcPr>
          <w:p w:rsidR="00D4001F" w:rsidRPr="00C806D0" w:rsidRDefault="00D4001F" w:rsidP="003502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£2,000</w:t>
            </w:r>
          </w:p>
        </w:tc>
        <w:tc>
          <w:tcPr>
            <w:tcW w:w="1151" w:type="dxa"/>
            <w:shd w:val="clear" w:color="auto" w:fill="FFFFFF" w:themeFill="background1"/>
          </w:tcPr>
          <w:p w:rsidR="00D4001F" w:rsidRPr="00C806D0" w:rsidRDefault="00D4001F" w:rsidP="0035026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Fixed and variable trial costs†</w:t>
            </w:r>
          </w:p>
        </w:tc>
        <w:tc>
          <w:tcPr>
            <w:tcW w:w="3154" w:type="dxa"/>
            <w:shd w:val="clear" w:color="auto" w:fill="FFFFFF" w:themeFill="background1"/>
          </w:tcPr>
          <w:p w:rsidR="00D4001F" w:rsidRPr="00C806D0" w:rsidRDefault="00D4001F" w:rsidP="006D4D6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University of Sheffield CTRU, HITSNS grant application</w:t>
            </w:r>
            <w:r w:rsidR="00155D84" w:rsidRPr="00C806D0">
              <w:rPr>
                <w:rFonts w:ascii="Calibri" w:hAnsi="Calibri"/>
                <w:noProof/>
                <w:sz w:val="20"/>
                <w:szCs w:val="20"/>
                <w:vertAlign w:val="superscript"/>
              </w:rPr>
              <w:t>[</w:t>
            </w:r>
            <w:r w:rsidR="006D4D62" w:rsidRPr="00C806D0">
              <w:rPr>
                <w:rFonts w:ascii="Calibri" w:hAnsi="Calibri"/>
                <w:noProof/>
                <w:sz w:val="20"/>
                <w:szCs w:val="20"/>
                <w:vertAlign w:val="superscript"/>
              </w:rPr>
              <w:t>36</w:t>
            </w:r>
            <w:r w:rsidR="00155D84" w:rsidRPr="00C806D0">
              <w:rPr>
                <w:rFonts w:ascii="Calibri" w:hAnsi="Calibri"/>
                <w:noProof/>
                <w:sz w:val="20"/>
                <w:szCs w:val="20"/>
                <w:vertAlign w:val="superscript"/>
              </w:rPr>
              <w:t>]</w:t>
            </w:r>
          </w:p>
        </w:tc>
      </w:tr>
    </w:tbl>
    <w:p w:rsidR="00D4001F" w:rsidRPr="00C806D0" w:rsidRDefault="00D4001F" w:rsidP="00D4001F">
      <w:pPr>
        <w:rPr>
          <w:sz w:val="20"/>
          <w:szCs w:val="20"/>
        </w:rPr>
      </w:pPr>
      <w:r w:rsidRPr="00C806D0">
        <w:rPr>
          <w:sz w:val="20"/>
          <w:szCs w:val="20"/>
        </w:rPr>
        <w:t>†Detailed in Table H</w:t>
      </w:r>
      <w:r w:rsidR="00C4679C" w:rsidRPr="00C806D0">
        <w:rPr>
          <w:sz w:val="20"/>
          <w:szCs w:val="20"/>
        </w:rPr>
        <w:t>5</w:t>
      </w:r>
      <w:r w:rsidRPr="00C806D0">
        <w:rPr>
          <w:sz w:val="20"/>
          <w:szCs w:val="20"/>
        </w:rPr>
        <w:t>.</w:t>
      </w:r>
    </w:p>
    <w:p w:rsidR="006F296F" w:rsidRPr="00C806D0" w:rsidRDefault="006F296F" w:rsidP="005F0441">
      <w:pPr>
        <w:rPr>
          <w:b/>
        </w:rPr>
      </w:pPr>
    </w:p>
    <w:p w:rsidR="005F0441" w:rsidRPr="00C806D0" w:rsidRDefault="00C4679C" w:rsidP="005F0441">
      <w:pPr>
        <w:rPr>
          <w:b/>
        </w:rPr>
      </w:pPr>
      <w:r w:rsidRPr="00C806D0">
        <w:rPr>
          <w:b/>
        </w:rPr>
        <w:t>Table H5</w:t>
      </w:r>
      <w:r w:rsidR="005F0441" w:rsidRPr="00C806D0">
        <w:rPr>
          <w:b/>
        </w:rPr>
        <w:t>. Estimated fixed and variable trial costs for a definitive HITSNS trial based on the HITSNS pilot study funding grant.</w:t>
      </w:r>
    </w:p>
    <w:tbl>
      <w:tblPr>
        <w:tblStyle w:val="LightShading1"/>
        <w:tblW w:w="0" w:type="auto"/>
        <w:tblLook w:val="04A0" w:firstRow="1" w:lastRow="0" w:firstColumn="1" w:lastColumn="0" w:noHBand="0" w:noVBand="1"/>
      </w:tblPr>
      <w:tblGrid>
        <w:gridCol w:w="4361"/>
        <w:gridCol w:w="1276"/>
        <w:gridCol w:w="3083"/>
      </w:tblGrid>
      <w:tr w:rsidR="005F0441" w:rsidRPr="00C806D0" w:rsidTr="006F296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tcPr>
          <w:p w:rsidR="005F0441" w:rsidRPr="00C806D0" w:rsidRDefault="005F0441" w:rsidP="00C4679C">
            <w:pPr>
              <w:spacing w:line="240" w:lineRule="auto"/>
              <w:rPr>
                <w:rFonts w:ascii="Calibri" w:hAnsi="Calibri"/>
                <w:sz w:val="20"/>
                <w:szCs w:val="20"/>
              </w:rPr>
            </w:pPr>
            <w:r w:rsidRPr="00C806D0">
              <w:rPr>
                <w:rFonts w:ascii="Calibri" w:hAnsi="Calibri"/>
                <w:sz w:val="20"/>
                <w:szCs w:val="20"/>
              </w:rPr>
              <w:t>Trial resource</w:t>
            </w:r>
          </w:p>
        </w:tc>
        <w:tc>
          <w:tcPr>
            <w:tcW w:w="1276" w:type="dxa"/>
          </w:tcPr>
          <w:p w:rsidR="005F0441" w:rsidRPr="00C806D0" w:rsidRDefault="005F0441" w:rsidP="00C4679C">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Unit Cost</w:t>
            </w:r>
          </w:p>
        </w:tc>
        <w:tc>
          <w:tcPr>
            <w:tcW w:w="3083" w:type="dxa"/>
          </w:tcPr>
          <w:p w:rsidR="005F0441" w:rsidRPr="00C806D0" w:rsidRDefault="005F0441" w:rsidP="00C4679C">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Horizon</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sz w:val="20"/>
                <w:szCs w:val="20"/>
              </w:rPr>
            </w:pPr>
            <w:r w:rsidRPr="00C806D0">
              <w:rPr>
                <w:rFonts w:ascii="Calibri" w:hAnsi="Calibri"/>
                <w:sz w:val="20"/>
                <w:szCs w:val="20"/>
              </w:rPr>
              <w:t>Fixed costs:</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University estate costs</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£43,000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Other university indirect charges</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£125,000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w:t>
            </w: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Office consumables</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£4,000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Project manager IT equipment</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£1,000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w:t>
            </w: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PR company to advertise trial</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£7,500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Conference attendance to promote trial and disseminate results</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£5,000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w:t>
            </w: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Data management and security</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£15,000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sz w:val="20"/>
                <w:szCs w:val="20"/>
              </w:rPr>
            </w:pPr>
            <w:r w:rsidRPr="00C806D0">
              <w:rPr>
                <w:rFonts w:ascii="Calibri" w:hAnsi="Calibri"/>
                <w:sz w:val="20"/>
                <w:szCs w:val="20"/>
              </w:rPr>
              <w:t>Variable costs:</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Principle investigator</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£12,000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per year</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Trial manager</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£50,000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per year</w:t>
            </w: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Research paramedic</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£42,000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per ambulance service per year</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 xml:space="preserve">Statistician </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£4,250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per year</w:t>
            </w: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Ambulance service advisor</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£2,500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per year</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Other trial management group advisors</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£25,000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per year</w:t>
            </w: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Lease car</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£14,000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per research paramedic per year</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IT equipment</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£850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per research paramedic</w:t>
            </w: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PR company to advertise trial</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£2,500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per ambulance service</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Ambulance service training</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£12,500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per ambulance service</w:t>
            </w: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Ambulance service administrative support</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 xml:space="preserve">£750 </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per ambulance service per year</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 xml:space="preserve">Trial manager travel and subsistence </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£1,000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per ambulance service per year</w:t>
            </w: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Trial management and other meetings</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£10,000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per year</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Additional journey times for ambulances</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£100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per patient in intervention arm</w:t>
            </w:r>
          </w:p>
        </w:tc>
      </w:tr>
      <w:tr w:rsidR="005F0441" w:rsidRPr="00C806D0" w:rsidTr="006F296F">
        <w:trPr>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Accessing patient notes</w:t>
            </w:r>
          </w:p>
        </w:tc>
        <w:tc>
          <w:tcPr>
            <w:tcW w:w="1276"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£60</w:t>
            </w:r>
          </w:p>
        </w:tc>
        <w:tc>
          <w:tcPr>
            <w:tcW w:w="3083" w:type="dxa"/>
            <w:shd w:val="clear" w:color="auto" w:fill="auto"/>
          </w:tcPr>
          <w:p w:rsidR="005F0441" w:rsidRPr="00C806D0" w:rsidRDefault="005F0441" w:rsidP="00C4679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806D0">
              <w:rPr>
                <w:rFonts w:ascii="Calibri" w:hAnsi="Calibri"/>
                <w:sz w:val="20"/>
                <w:szCs w:val="20"/>
              </w:rPr>
              <w:t>per patient</w:t>
            </w:r>
          </w:p>
        </w:tc>
      </w:tr>
      <w:tr w:rsidR="005F0441" w:rsidRPr="00C806D0" w:rsidTr="006F296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tcPr>
          <w:p w:rsidR="005F0441" w:rsidRPr="00C806D0" w:rsidRDefault="005F0441" w:rsidP="00C4679C">
            <w:pPr>
              <w:spacing w:line="240" w:lineRule="auto"/>
              <w:rPr>
                <w:rFonts w:ascii="Calibri" w:hAnsi="Calibri"/>
                <w:b w:val="0"/>
                <w:sz w:val="20"/>
                <w:szCs w:val="20"/>
              </w:rPr>
            </w:pPr>
            <w:r w:rsidRPr="00C806D0">
              <w:rPr>
                <w:rFonts w:ascii="Calibri" w:hAnsi="Calibri"/>
                <w:b w:val="0"/>
                <w:sz w:val="20"/>
                <w:szCs w:val="20"/>
              </w:rPr>
              <w:t>Patient leaflets, questionnaires and mailing costs</w:t>
            </w:r>
          </w:p>
        </w:tc>
        <w:tc>
          <w:tcPr>
            <w:tcW w:w="1276"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£20</w:t>
            </w:r>
          </w:p>
        </w:tc>
        <w:tc>
          <w:tcPr>
            <w:tcW w:w="3083" w:type="dxa"/>
            <w:shd w:val="clear" w:color="auto" w:fill="auto"/>
          </w:tcPr>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806D0">
              <w:rPr>
                <w:rFonts w:ascii="Calibri" w:hAnsi="Calibri"/>
                <w:sz w:val="20"/>
                <w:szCs w:val="20"/>
              </w:rPr>
              <w:t>per patient</w:t>
            </w:r>
          </w:p>
          <w:p w:rsidR="005F0441" w:rsidRPr="00C806D0" w:rsidRDefault="005F0441" w:rsidP="00C4679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bl>
    <w:p w:rsidR="005F0441" w:rsidRPr="00C806D0" w:rsidRDefault="005F0441" w:rsidP="005F0441">
      <w:pPr>
        <w:pStyle w:val="Heading2"/>
      </w:pPr>
      <w:r w:rsidRPr="00C806D0">
        <w:t>references</w:t>
      </w:r>
    </w:p>
    <w:p w:rsidR="006D4D62" w:rsidRPr="00C806D0" w:rsidRDefault="006D4D62" w:rsidP="006D4D62">
      <w:pPr>
        <w:spacing w:line="240" w:lineRule="auto"/>
        <w:ind w:left="720" w:hanging="720"/>
        <w:rPr>
          <w:rFonts w:ascii="Calibri" w:hAnsi="Calibri"/>
          <w:noProof/>
        </w:rPr>
      </w:pPr>
      <w:bookmarkStart w:id="209" w:name="_ENREF_8_1"/>
      <w:r w:rsidRPr="00C806D0">
        <w:rPr>
          <w:rFonts w:ascii="Calibri" w:hAnsi="Calibri"/>
          <w:noProof/>
        </w:rPr>
        <w:t>1.</w:t>
      </w:r>
      <w:r w:rsidRPr="00C806D0">
        <w:rPr>
          <w:rFonts w:ascii="Calibri" w:hAnsi="Calibri"/>
          <w:noProof/>
        </w:rPr>
        <w:tab/>
        <w:t xml:space="preserve">Simoens S: </w:t>
      </w:r>
      <w:r w:rsidRPr="00C806D0">
        <w:rPr>
          <w:rFonts w:ascii="Calibri" w:hAnsi="Calibri"/>
          <w:b/>
          <w:noProof/>
        </w:rPr>
        <w:t>Using the Delphi technique in economic evaluation: time to revisit the oracle?</w:t>
      </w:r>
      <w:r w:rsidRPr="00C806D0">
        <w:rPr>
          <w:rFonts w:ascii="Calibri" w:hAnsi="Calibri"/>
          <w:noProof/>
        </w:rPr>
        <w:t xml:space="preserve"> </w:t>
      </w:r>
      <w:r w:rsidRPr="00C806D0">
        <w:rPr>
          <w:rFonts w:ascii="Calibri" w:hAnsi="Calibri"/>
          <w:i/>
          <w:noProof/>
        </w:rPr>
        <w:t xml:space="preserve">Journal of clinical pharmacy and therapeutics </w:t>
      </w:r>
      <w:r w:rsidRPr="00C806D0">
        <w:rPr>
          <w:rFonts w:ascii="Calibri" w:hAnsi="Calibri"/>
          <w:noProof/>
        </w:rPr>
        <w:t xml:space="preserve">2006, </w:t>
      </w:r>
      <w:r w:rsidRPr="00C806D0">
        <w:rPr>
          <w:rFonts w:ascii="Calibri" w:hAnsi="Calibri"/>
          <w:b/>
          <w:noProof/>
        </w:rPr>
        <w:t>31</w:t>
      </w:r>
      <w:r w:rsidRPr="00C806D0">
        <w:rPr>
          <w:rFonts w:ascii="Calibri" w:hAnsi="Calibri"/>
          <w:noProof/>
        </w:rPr>
        <w:t>(6):519-522.</w:t>
      </w:r>
      <w:bookmarkEnd w:id="209"/>
    </w:p>
    <w:p w:rsidR="006D4D62" w:rsidRPr="00C806D0" w:rsidRDefault="006D4D62" w:rsidP="006D4D62">
      <w:pPr>
        <w:spacing w:line="240" w:lineRule="auto"/>
        <w:ind w:left="720" w:hanging="720"/>
        <w:rPr>
          <w:rFonts w:ascii="Calibri" w:hAnsi="Calibri"/>
          <w:noProof/>
        </w:rPr>
      </w:pPr>
      <w:bookmarkStart w:id="210" w:name="_ENREF_8_2"/>
      <w:r w:rsidRPr="00C806D0">
        <w:rPr>
          <w:rFonts w:ascii="Calibri" w:hAnsi="Calibri"/>
          <w:noProof/>
        </w:rPr>
        <w:t>2.</w:t>
      </w:r>
      <w:r w:rsidRPr="00C806D0">
        <w:rPr>
          <w:rFonts w:ascii="Calibri" w:hAnsi="Calibri"/>
          <w:noProof/>
        </w:rPr>
        <w:tab/>
        <w:t xml:space="preserve">Dalkey NC, Brown BB, Cochran S: </w:t>
      </w:r>
      <w:r w:rsidRPr="00C806D0">
        <w:rPr>
          <w:rFonts w:ascii="Calibri" w:hAnsi="Calibri"/>
          <w:b/>
          <w:noProof/>
        </w:rPr>
        <w:t>The Delphi method</w:t>
      </w:r>
      <w:r w:rsidRPr="00C806D0">
        <w:rPr>
          <w:rFonts w:ascii="Calibri" w:hAnsi="Calibri"/>
          <w:noProof/>
        </w:rPr>
        <w:t>. Santa Monica, Calif.,: Rand Corp.; 1969.</w:t>
      </w:r>
      <w:bookmarkEnd w:id="210"/>
    </w:p>
    <w:p w:rsidR="006D4D62" w:rsidRPr="00C806D0" w:rsidRDefault="006D4D62" w:rsidP="006D4D62">
      <w:pPr>
        <w:spacing w:line="240" w:lineRule="auto"/>
        <w:ind w:left="720" w:hanging="720"/>
        <w:rPr>
          <w:rFonts w:ascii="Calibri" w:hAnsi="Calibri"/>
          <w:noProof/>
        </w:rPr>
      </w:pPr>
      <w:bookmarkStart w:id="211" w:name="_ENREF_8_3"/>
      <w:r w:rsidRPr="00C806D0">
        <w:rPr>
          <w:rFonts w:ascii="Calibri" w:hAnsi="Calibri"/>
          <w:noProof/>
        </w:rPr>
        <w:t>3.</w:t>
      </w:r>
      <w:r w:rsidRPr="00C806D0">
        <w:rPr>
          <w:rFonts w:ascii="Calibri" w:hAnsi="Calibri"/>
          <w:noProof/>
        </w:rPr>
        <w:tab/>
        <w:t xml:space="preserve">Jones J, Hunter D: </w:t>
      </w:r>
      <w:r w:rsidRPr="00C806D0">
        <w:rPr>
          <w:rFonts w:ascii="Calibri" w:hAnsi="Calibri"/>
          <w:b/>
          <w:noProof/>
        </w:rPr>
        <w:t>Consensus methods for medical and health services research</w:t>
      </w:r>
      <w:r w:rsidRPr="00C806D0">
        <w:rPr>
          <w:rFonts w:ascii="Calibri" w:hAnsi="Calibri"/>
          <w:noProof/>
        </w:rPr>
        <w:t xml:space="preserve">. </w:t>
      </w:r>
      <w:r w:rsidRPr="00C806D0">
        <w:rPr>
          <w:rFonts w:ascii="Calibri" w:hAnsi="Calibri"/>
          <w:i/>
          <w:noProof/>
        </w:rPr>
        <w:t xml:space="preserve">BMJ (Clinical research ed) </w:t>
      </w:r>
      <w:r w:rsidRPr="00C806D0">
        <w:rPr>
          <w:rFonts w:ascii="Calibri" w:hAnsi="Calibri"/>
          <w:noProof/>
        </w:rPr>
        <w:t xml:space="preserve">1995, </w:t>
      </w:r>
      <w:r w:rsidRPr="00C806D0">
        <w:rPr>
          <w:rFonts w:ascii="Calibri" w:hAnsi="Calibri"/>
          <w:b/>
          <w:noProof/>
        </w:rPr>
        <w:t>311</w:t>
      </w:r>
      <w:r w:rsidRPr="00C806D0">
        <w:rPr>
          <w:rFonts w:ascii="Calibri" w:hAnsi="Calibri"/>
          <w:noProof/>
        </w:rPr>
        <w:t>(7001):376-380.</w:t>
      </w:r>
      <w:bookmarkEnd w:id="211"/>
    </w:p>
    <w:p w:rsidR="006D4D62" w:rsidRPr="00C806D0" w:rsidRDefault="006D4D62" w:rsidP="006D4D62">
      <w:pPr>
        <w:spacing w:line="240" w:lineRule="auto"/>
        <w:ind w:left="720" w:hanging="720"/>
        <w:rPr>
          <w:rFonts w:ascii="Calibri" w:hAnsi="Calibri"/>
          <w:noProof/>
        </w:rPr>
      </w:pPr>
      <w:bookmarkStart w:id="212" w:name="_ENREF_8_4"/>
      <w:r w:rsidRPr="00C806D0">
        <w:rPr>
          <w:rFonts w:ascii="Calibri" w:hAnsi="Calibri"/>
          <w:noProof/>
        </w:rPr>
        <w:t>4.</w:t>
      </w:r>
      <w:r w:rsidRPr="00C806D0">
        <w:rPr>
          <w:rFonts w:ascii="Calibri" w:hAnsi="Calibri"/>
          <w:noProof/>
        </w:rPr>
        <w:tab/>
        <w:t xml:space="preserve">Linstone HA, Turoff M: </w:t>
      </w:r>
      <w:r w:rsidRPr="00C806D0">
        <w:rPr>
          <w:rFonts w:ascii="Calibri" w:hAnsi="Calibri"/>
          <w:b/>
          <w:noProof/>
        </w:rPr>
        <w:t>The Delphi method : techniques and applications</w:t>
      </w:r>
      <w:r w:rsidRPr="00C806D0">
        <w:rPr>
          <w:rFonts w:ascii="Calibri" w:hAnsi="Calibri"/>
          <w:noProof/>
        </w:rPr>
        <w:t>. Reading, Mass. ; London: Addison-Wesley; 1975.</w:t>
      </w:r>
      <w:bookmarkEnd w:id="212"/>
    </w:p>
    <w:p w:rsidR="006D4D62" w:rsidRPr="00C806D0" w:rsidRDefault="006D4D62" w:rsidP="006D4D62">
      <w:pPr>
        <w:spacing w:line="240" w:lineRule="auto"/>
        <w:ind w:left="720" w:hanging="720"/>
        <w:rPr>
          <w:rFonts w:ascii="Calibri" w:hAnsi="Calibri"/>
          <w:noProof/>
        </w:rPr>
      </w:pPr>
      <w:bookmarkStart w:id="213" w:name="_ENREF_8_5"/>
      <w:r w:rsidRPr="00C806D0">
        <w:rPr>
          <w:rFonts w:ascii="Calibri" w:hAnsi="Calibri"/>
          <w:noProof/>
        </w:rPr>
        <w:t>5.</w:t>
      </w:r>
      <w:r w:rsidRPr="00C806D0">
        <w:rPr>
          <w:rFonts w:ascii="Calibri" w:hAnsi="Calibri"/>
          <w:noProof/>
        </w:rPr>
        <w:tab/>
        <w:t xml:space="preserve">Okoli C, Pawlowski SD: </w:t>
      </w:r>
      <w:r w:rsidRPr="00C806D0">
        <w:rPr>
          <w:rFonts w:ascii="Calibri" w:hAnsi="Calibri"/>
          <w:b/>
          <w:noProof/>
        </w:rPr>
        <w:t>The Delphi method as a research tool: an example, design considerations and applications</w:t>
      </w:r>
      <w:r w:rsidRPr="00C806D0">
        <w:rPr>
          <w:rFonts w:ascii="Calibri" w:hAnsi="Calibri"/>
          <w:noProof/>
        </w:rPr>
        <w:t xml:space="preserve">. </w:t>
      </w:r>
      <w:r w:rsidRPr="00C806D0">
        <w:rPr>
          <w:rFonts w:ascii="Calibri" w:hAnsi="Calibri"/>
          <w:i/>
          <w:noProof/>
        </w:rPr>
        <w:t xml:space="preserve">Information &amp; Management </w:t>
      </w:r>
      <w:r w:rsidRPr="00C806D0">
        <w:rPr>
          <w:rFonts w:ascii="Calibri" w:hAnsi="Calibri"/>
          <w:noProof/>
        </w:rPr>
        <w:t xml:space="preserve">2004, </w:t>
      </w:r>
      <w:r w:rsidRPr="00C806D0">
        <w:rPr>
          <w:rFonts w:ascii="Calibri" w:hAnsi="Calibri"/>
          <w:b/>
          <w:noProof/>
        </w:rPr>
        <w:t>42</w:t>
      </w:r>
      <w:r w:rsidRPr="00C806D0">
        <w:rPr>
          <w:rFonts w:ascii="Calibri" w:hAnsi="Calibri"/>
          <w:noProof/>
        </w:rPr>
        <w:t>(1):15-29.</w:t>
      </w:r>
      <w:bookmarkEnd w:id="213"/>
    </w:p>
    <w:p w:rsidR="006D4D62" w:rsidRPr="00C806D0" w:rsidRDefault="006D4D62" w:rsidP="006D4D62">
      <w:pPr>
        <w:spacing w:line="240" w:lineRule="auto"/>
        <w:ind w:left="720" w:hanging="720"/>
        <w:rPr>
          <w:rFonts w:ascii="Calibri" w:hAnsi="Calibri"/>
          <w:noProof/>
        </w:rPr>
      </w:pPr>
      <w:bookmarkStart w:id="214" w:name="_ENREF_8_6"/>
      <w:r w:rsidRPr="00C806D0">
        <w:rPr>
          <w:rFonts w:ascii="Calibri" w:hAnsi="Calibri"/>
          <w:noProof/>
        </w:rPr>
        <w:t>6.</w:t>
      </w:r>
      <w:r w:rsidRPr="00C806D0">
        <w:rPr>
          <w:rFonts w:ascii="Calibri" w:hAnsi="Calibri"/>
          <w:noProof/>
        </w:rPr>
        <w:tab/>
        <w:t xml:space="preserve">Powell C: </w:t>
      </w:r>
      <w:r w:rsidRPr="00C806D0">
        <w:rPr>
          <w:rFonts w:ascii="Calibri" w:hAnsi="Calibri"/>
          <w:b/>
          <w:noProof/>
        </w:rPr>
        <w:t>The Delphi technique: myths and realities</w:t>
      </w:r>
      <w:r w:rsidRPr="00C806D0">
        <w:rPr>
          <w:rFonts w:ascii="Calibri" w:hAnsi="Calibri"/>
          <w:noProof/>
        </w:rPr>
        <w:t xml:space="preserve">. </w:t>
      </w:r>
      <w:r w:rsidRPr="00C806D0">
        <w:rPr>
          <w:rFonts w:ascii="Calibri" w:hAnsi="Calibri"/>
          <w:i/>
          <w:noProof/>
        </w:rPr>
        <w:t xml:space="preserve">Journal of advanced nursing </w:t>
      </w:r>
      <w:r w:rsidRPr="00C806D0">
        <w:rPr>
          <w:rFonts w:ascii="Calibri" w:hAnsi="Calibri"/>
          <w:noProof/>
        </w:rPr>
        <w:t xml:space="preserve">2003, </w:t>
      </w:r>
      <w:r w:rsidRPr="00C806D0">
        <w:rPr>
          <w:rFonts w:ascii="Calibri" w:hAnsi="Calibri"/>
          <w:b/>
          <w:noProof/>
        </w:rPr>
        <w:t>41</w:t>
      </w:r>
      <w:r w:rsidRPr="00C806D0">
        <w:rPr>
          <w:rFonts w:ascii="Calibri" w:hAnsi="Calibri"/>
          <w:noProof/>
        </w:rPr>
        <w:t>(4):376-382.</w:t>
      </w:r>
      <w:bookmarkEnd w:id="214"/>
    </w:p>
    <w:p w:rsidR="006D4D62" w:rsidRPr="00C806D0" w:rsidRDefault="006D4D62" w:rsidP="006D4D62">
      <w:pPr>
        <w:spacing w:line="240" w:lineRule="auto"/>
        <w:ind w:left="720" w:hanging="720"/>
        <w:rPr>
          <w:rFonts w:ascii="Calibri" w:hAnsi="Calibri"/>
          <w:noProof/>
        </w:rPr>
      </w:pPr>
      <w:bookmarkStart w:id="215" w:name="_ENREF_8_7"/>
      <w:r w:rsidRPr="00C806D0">
        <w:rPr>
          <w:rFonts w:ascii="Calibri" w:hAnsi="Calibri"/>
          <w:noProof/>
        </w:rPr>
        <w:t>7.</w:t>
      </w:r>
      <w:r w:rsidRPr="00C806D0">
        <w:rPr>
          <w:rFonts w:ascii="Calibri" w:hAnsi="Calibri"/>
          <w:noProof/>
        </w:rPr>
        <w:tab/>
        <w:t xml:space="preserve">Steurer J: </w:t>
      </w:r>
      <w:r w:rsidRPr="00C806D0">
        <w:rPr>
          <w:rFonts w:ascii="Calibri" w:hAnsi="Calibri"/>
          <w:b/>
          <w:noProof/>
        </w:rPr>
        <w:t>The Delphi method: an efficient procedure to generate knowledge</w:t>
      </w:r>
      <w:r w:rsidRPr="00C806D0">
        <w:rPr>
          <w:rFonts w:ascii="Calibri" w:hAnsi="Calibri"/>
          <w:noProof/>
        </w:rPr>
        <w:t xml:space="preserve">. </w:t>
      </w:r>
      <w:r w:rsidRPr="00C806D0">
        <w:rPr>
          <w:rFonts w:ascii="Calibri" w:hAnsi="Calibri"/>
          <w:i/>
          <w:noProof/>
        </w:rPr>
        <w:t xml:space="preserve">Skeletal radiology </w:t>
      </w:r>
      <w:r w:rsidRPr="00C806D0">
        <w:rPr>
          <w:rFonts w:ascii="Calibri" w:hAnsi="Calibri"/>
          <w:noProof/>
        </w:rPr>
        <w:t xml:space="preserve">2011, </w:t>
      </w:r>
      <w:r w:rsidRPr="00C806D0">
        <w:rPr>
          <w:rFonts w:ascii="Calibri" w:hAnsi="Calibri"/>
          <w:b/>
          <w:noProof/>
        </w:rPr>
        <w:t>40</w:t>
      </w:r>
      <w:r w:rsidRPr="00C806D0">
        <w:rPr>
          <w:rFonts w:ascii="Calibri" w:hAnsi="Calibri"/>
          <w:noProof/>
        </w:rPr>
        <w:t>(8):959-961.</w:t>
      </w:r>
      <w:bookmarkEnd w:id="215"/>
    </w:p>
    <w:p w:rsidR="006D4D62" w:rsidRPr="00C806D0" w:rsidRDefault="006D4D62" w:rsidP="006D4D62">
      <w:pPr>
        <w:spacing w:line="240" w:lineRule="auto"/>
        <w:ind w:left="720" w:hanging="720"/>
        <w:rPr>
          <w:rFonts w:ascii="Calibri" w:hAnsi="Calibri"/>
          <w:noProof/>
        </w:rPr>
      </w:pPr>
      <w:bookmarkStart w:id="216" w:name="_ENREF_8_8"/>
      <w:r w:rsidRPr="00C806D0">
        <w:rPr>
          <w:rFonts w:ascii="Calibri" w:hAnsi="Calibri"/>
          <w:noProof/>
        </w:rPr>
        <w:t>8.</w:t>
      </w:r>
      <w:r w:rsidRPr="00C806D0">
        <w:rPr>
          <w:rFonts w:ascii="Calibri" w:hAnsi="Calibri"/>
          <w:noProof/>
        </w:rPr>
        <w:tab/>
        <w:t xml:space="preserve">Muthuri Kirigia J: </w:t>
      </w:r>
      <w:r w:rsidRPr="00C806D0">
        <w:rPr>
          <w:rFonts w:ascii="Calibri" w:hAnsi="Calibri"/>
          <w:b/>
          <w:noProof/>
        </w:rPr>
        <w:t>Economic evaluation in schistosomiasis: using the delphi technique to assess effectiveness</w:t>
      </w:r>
      <w:r w:rsidRPr="00C806D0">
        <w:rPr>
          <w:rFonts w:ascii="Calibri" w:hAnsi="Calibri"/>
          <w:noProof/>
        </w:rPr>
        <w:t xml:space="preserve">. </w:t>
      </w:r>
      <w:r w:rsidRPr="00C806D0">
        <w:rPr>
          <w:rFonts w:ascii="Calibri" w:hAnsi="Calibri"/>
          <w:i/>
          <w:noProof/>
        </w:rPr>
        <w:t xml:space="preserve">Acta Tropica </w:t>
      </w:r>
      <w:r w:rsidRPr="00C806D0">
        <w:rPr>
          <w:rFonts w:ascii="Calibri" w:hAnsi="Calibri"/>
          <w:noProof/>
        </w:rPr>
        <w:t xml:space="preserve">1997, </w:t>
      </w:r>
      <w:r w:rsidRPr="00C806D0">
        <w:rPr>
          <w:rFonts w:ascii="Calibri" w:hAnsi="Calibri"/>
          <w:b/>
          <w:noProof/>
        </w:rPr>
        <w:t>64</w:t>
      </w:r>
      <w:r w:rsidRPr="00C806D0">
        <w:rPr>
          <w:rFonts w:ascii="Calibri" w:hAnsi="Calibri"/>
          <w:noProof/>
        </w:rPr>
        <w:t>(3–4):175-190.</w:t>
      </w:r>
      <w:bookmarkEnd w:id="216"/>
    </w:p>
    <w:p w:rsidR="006D4D62" w:rsidRPr="00C806D0" w:rsidRDefault="006D4D62" w:rsidP="006D4D62">
      <w:pPr>
        <w:spacing w:line="240" w:lineRule="auto"/>
        <w:ind w:left="720" w:hanging="720"/>
        <w:rPr>
          <w:rFonts w:ascii="Calibri" w:hAnsi="Calibri"/>
          <w:noProof/>
        </w:rPr>
      </w:pPr>
      <w:bookmarkStart w:id="217" w:name="_ENREF_8_9"/>
      <w:r w:rsidRPr="00C806D0">
        <w:rPr>
          <w:rFonts w:ascii="Calibri" w:hAnsi="Calibri"/>
          <w:noProof/>
        </w:rPr>
        <w:t>9.</w:t>
      </w:r>
      <w:r w:rsidRPr="00C806D0">
        <w:rPr>
          <w:rFonts w:ascii="Calibri" w:hAnsi="Calibri"/>
          <w:noProof/>
        </w:rPr>
        <w:tab/>
      </w:r>
      <w:r w:rsidRPr="00C806D0">
        <w:rPr>
          <w:rFonts w:ascii="Calibri" w:hAnsi="Calibri"/>
          <w:b/>
          <w:noProof/>
        </w:rPr>
        <w:t xml:space="preserve">SmartSurvey </w:t>
      </w:r>
      <w:r w:rsidRPr="00C806D0">
        <w:rPr>
          <w:rFonts w:ascii="Calibri" w:hAnsi="Calibri"/>
          <w:noProof/>
        </w:rPr>
        <w:t>[http://www.smartsurvey.co.uk/]</w:t>
      </w:r>
      <w:bookmarkEnd w:id="217"/>
    </w:p>
    <w:p w:rsidR="006D4D62" w:rsidRPr="00C806D0" w:rsidRDefault="006D4D62" w:rsidP="006D4D62">
      <w:pPr>
        <w:spacing w:line="240" w:lineRule="auto"/>
        <w:ind w:left="720" w:hanging="720"/>
        <w:rPr>
          <w:rFonts w:ascii="Calibri" w:hAnsi="Calibri"/>
          <w:noProof/>
        </w:rPr>
      </w:pPr>
      <w:bookmarkStart w:id="218" w:name="_ENREF_8_10"/>
      <w:r w:rsidRPr="00C806D0">
        <w:rPr>
          <w:rFonts w:ascii="Calibri" w:hAnsi="Calibri"/>
          <w:noProof/>
        </w:rPr>
        <w:t>10.</w:t>
      </w:r>
      <w:r w:rsidRPr="00C806D0">
        <w:rPr>
          <w:rFonts w:ascii="Calibri" w:hAnsi="Calibri"/>
          <w:noProof/>
        </w:rPr>
        <w:tab/>
        <w:t xml:space="preserve">Robinson S: </w:t>
      </w:r>
      <w:r w:rsidRPr="00C806D0">
        <w:rPr>
          <w:rFonts w:ascii="Calibri" w:hAnsi="Calibri"/>
          <w:b/>
          <w:noProof/>
        </w:rPr>
        <w:t xml:space="preserve">Conceptual modelling for simulation Part I: definition and requirements. </w:t>
      </w:r>
      <w:r w:rsidRPr="00C806D0">
        <w:rPr>
          <w:rFonts w:ascii="Calibri" w:hAnsi="Calibri"/>
          <w:noProof/>
        </w:rPr>
        <w:t xml:space="preserve">. </w:t>
      </w:r>
      <w:r w:rsidRPr="00C806D0">
        <w:rPr>
          <w:rFonts w:ascii="Calibri" w:hAnsi="Calibri"/>
          <w:i/>
          <w:noProof/>
        </w:rPr>
        <w:t xml:space="preserve">Journal of the Operational Research Society </w:t>
      </w:r>
      <w:r w:rsidRPr="00C806D0">
        <w:rPr>
          <w:rFonts w:ascii="Calibri" w:hAnsi="Calibri"/>
          <w:noProof/>
        </w:rPr>
        <w:t xml:space="preserve">2008, </w:t>
      </w:r>
      <w:r w:rsidRPr="00C806D0">
        <w:rPr>
          <w:rFonts w:ascii="Calibri" w:hAnsi="Calibri"/>
          <w:b/>
          <w:noProof/>
        </w:rPr>
        <w:t>59</w:t>
      </w:r>
      <w:r w:rsidRPr="00C806D0">
        <w:rPr>
          <w:rFonts w:ascii="Calibri" w:hAnsi="Calibri"/>
          <w:noProof/>
        </w:rPr>
        <w:t>:278-290.</w:t>
      </w:r>
      <w:bookmarkEnd w:id="218"/>
    </w:p>
    <w:p w:rsidR="006D4D62" w:rsidRPr="00C806D0" w:rsidRDefault="006D4D62" w:rsidP="006D4D62">
      <w:pPr>
        <w:spacing w:line="240" w:lineRule="auto"/>
        <w:ind w:left="720" w:hanging="720"/>
        <w:rPr>
          <w:rFonts w:ascii="Calibri" w:hAnsi="Calibri"/>
          <w:noProof/>
        </w:rPr>
      </w:pPr>
      <w:bookmarkStart w:id="219" w:name="_ENREF_8_11"/>
      <w:r w:rsidRPr="00C806D0">
        <w:rPr>
          <w:rFonts w:ascii="Calibri" w:hAnsi="Calibri"/>
          <w:noProof/>
        </w:rPr>
        <w:t>11.</w:t>
      </w:r>
      <w:r w:rsidRPr="00C806D0">
        <w:rPr>
          <w:rFonts w:ascii="Calibri" w:hAnsi="Calibri"/>
          <w:noProof/>
        </w:rPr>
        <w:tab/>
        <w:t xml:space="preserve">Kaltenthaler E, Tappenden, P., Paisley, S., Squires, H.: </w:t>
      </w:r>
      <w:r w:rsidRPr="00C806D0">
        <w:rPr>
          <w:rFonts w:ascii="Calibri" w:hAnsi="Calibri"/>
          <w:b/>
          <w:noProof/>
        </w:rPr>
        <w:t xml:space="preserve">Identifying and reviewing evidence to inform the conceptualisation and population of cost-effectiveness models. </w:t>
      </w:r>
      <w:r w:rsidRPr="00C806D0">
        <w:rPr>
          <w:rFonts w:ascii="Calibri" w:hAnsi="Calibri"/>
          <w:noProof/>
        </w:rPr>
        <w:t xml:space="preserve">. In: </w:t>
      </w:r>
      <w:r w:rsidRPr="00C806D0">
        <w:rPr>
          <w:rFonts w:ascii="Calibri" w:hAnsi="Calibri"/>
          <w:i/>
          <w:noProof/>
        </w:rPr>
        <w:t>DSU Technical Support Documents.</w:t>
      </w:r>
      <w:r w:rsidRPr="00C806D0">
        <w:rPr>
          <w:rFonts w:ascii="Calibri" w:hAnsi="Calibri"/>
          <w:noProof/>
        </w:rPr>
        <w:t xml:space="preserve"> London: NICE 2011.</w:t>
      </w:r>
      <w:bookmarkEnd w:id="219"/>
    </w:p>
    <w:p w:rsidR="006D4D62" w:rsidRPr="00C806D0" w:rsidRDefault="006D4D62" w:rsidP="006D4D62">
      <w:pPr>
        <w:spacing w:line="240" w:lineRule="auto"/>
        <w:ind w:left="720" w:hanging="720"/>
        <w:rPr>
          <w:rFonts w:ascii="Calibri" w:hAnsi="Calibri"/>
          <w:noProof/>
        </w:rPr>
      </w:pPr>
      <w:bookmarkStart w:id="220" w:name="_ENREF_8_12"/>
      <w:r w:rsidRPr="00C806D0">
        <w:rPr>
          <w:rFonts w:ascii="Calibri" w:hAnsi="Calibri"/>
          <w:noProof/>
        </w:rPr>
        <w:t>12.</w:t>
      </w:r>
      <w:r w:rsidRPr="00C806D0">
        <w:rPr>
          <w:rFonts w:ascii="Calibri" w:hAnsi="Calibri"/>
          <w:noProof/>
        </w:rPr>
        <w:tab/>
        <w:t xml:space="preserve">Werner C, Engelhard K: </w:t>
      </w:r>
      <w:r w:rsidRPr="00C806D0">
        <w:rPr>
          <w:rFonts w:ascii="Calibri" w:hAnsi="Calibri"/>
          <w:b/>
          <w:noProof/>
        </w:rPr>
        <w:t>Pathophysiology of traumatic brain injury</w:t>
      </w:r>
      <w:r w:rsidRPr="00C806D0">
        <w:rPr>
          <w:rFonts w:ascii="Calibri" w:hAnsi="Calibri"/>
          <w:noProof/>
        </w:rPr>
        <w:t xml:space="preserve">. </w:t>
      </w:r>
      <w:r w:rsidRPr="00C806D0">
        <w:rPr>
          <w:rFonts w:ascii="Calibri" w:hAnsi="Calibri"/>
          <w:i/>
          <w:noProof/>
        </w:rPr>
        <w:t xml:space="preserve">British journal of anaesthesia </w:t>
      </w:r>
      <w:r w:rsidRPr="00C806D0">
        <w:rPr>
          <w:rFonts w:ascii="Calibri" w:hAnsi="Calibri"/>
          <w:noProof/>
        </w:rPr>
        <w:t xml:space="preserve">2007, </w:t>
      </w:r>
      <w:r w:rsidRPr="00C806D0">
        <w:rPr>
          <w:rFonts w:ascii="Calibri" w:hAnsi="Calibri"/>
          <w:b/>
          <w:noProof/>
        </w:rPr>
        <w:t>99</w:t>
      </w:r>
      <w:r w:rsidRPr="00C806D0">
        <w:rPr>
          <w:rFonts w:ascii="Calibri" w:hAnsi="Calibri"/>
          <w:noProof/>
        </w:rPr>
        <w:t>(1):4-9.</w:t>
      </w:r>
      <w:bookmarkEnd w:id="220"/>
    </w:p>
    <w:p w:rsidR="006D4D62" w:rsidRPr="00C806D0" w:rsidRDefault="006D4D62" w:rsidP="006D4D62">
      <w:pPr>
        <w:spacing w:line="240" w:lineRule="auto"/>
        <w:ind w:left="720" w:hanging="720"/>
        <w:rPr>
          <w:rFonts w:ascii="Calibri" w:hAnsi="Calibri"/>
          <w:noProof/>
        </w:rPr>
      </w:pPr>
      <w:bookmarkStart w:id="221" w:name="_ENREF_8_13"/>
      <w:r w:rsidRPr="00C806D0">
        <w:rPr>
          <w:rFonts w:ascii="Calibri" w:hAnsi="Calibri"/>
          <w:noProof/>
        </w:rPr>
        <w:t>13.</w:t>
      </w:r>
      <w:r w:rsidRPr="00C806D0">
        <w:rPr>
          <w:rFonts w:ascii="Calibri" w:hAnsi="Calibri"/>
          <w:noProof/>
        </w:rPr>
        <w:tab/>
        <w:t xml:space="preserve">Maas AI, Stocchetti N, Bullock R: </w:t>
      </w:r>
      <w:r w:rsidRPr="00C806D0">
        <w:rPr>
          <w:rFonts w:ascii="Calibri" w:hAnsi="Calibri"/>
          <w:b/>
          <w:noProof/>
        </w:rPr>
        <w:t>Moderate and severe traumatic brain injury in adults</w:t>
      </w:r>
      <w:r w:rsidRPr="00C806D0">
        <w:rPr>
          <w:rFonts w:ascii="Calibri" w:hAnsi="Calibri"/>
          <w:noProof/>
        </w:rPr>
        <w:t xml:space="preserve">. </w:t>
      </w:r>
      <w:r w:rsidRPr="00C806D0">
        <w:rPr>
          <w:rFonts w:ascii="Calibri" w:hAnsi="Calibri"/>
          <w:i/>
          <w:noProof/>
        </w:rPr>
        <w:t xml:space="preserve">The Lancet Neurology </w:t>
      </w:r>
      <w:r w:rsidRPr="00C806D0">
        <w:rPr>
          <w:rFonts w:ascii="Calibri" w:hAnsi="Calibri"/>
          <w:noProof/>
        </w:rPr>
        <w:t xml:space="preserve">2008, </w:t>
      </w:r>
      <w:r w:rsidRPr="00C806D0">
        <w:rPr>
          <w:rFonts w:ascii="Calibri" w:hAnsi="Calibri"/>
          <w:b/>
          <w:noProof/>
        </w:rPr>
        <w:t>7</w:t>
      </w:r>
      <w:r w:rsidRPr="00C806D0">
        <w:rPr>
          <w:rFonts w:ascii="Calibri" w:hAnsi="Calibri"/>
          <w:noProof/>
        </w:rPr>
        <w:t>(8):728-741.</w:t>
      </w:r>
      <w:bookmarkEnd w:id="221"/>
    </w:p>
    <w:p w:rsidR="006D4D62" w:rsidRPr="00C806D0" w:rsidRDefault="006D4D62" w:rsidP="006D4D62">
      <w:pPr>
        <w:spacing w:line="240" w:lineRule="auto"/>
        <w:ind w:left="720" w:hanging="720"/>
        <w:rPr>
          <w:rFonts w:ascii="Calibri" w:hAnsi="Calibri"/>
          <w:noProof/>
        </w:rPr>
      </w:pPr>
      <w:bookmarkStart w:id="222" w:name="_ENREF_8_14"/>
      <w:r w:rsidRPr="00C806D0">
        <w:rPr>
          <w:rFonts w:ascii="Calibri" w:hAnsi="Calibri"/>
          <w:noProof/>
        </w:rPr>
        <w:t>14.</w:t>
      </w:r>
      <w:r w:rsidRPr="00C806D0">
        <w:rPr>
          <w:rFonts w:ascii="Calibri" w:hAnsi="Calibri"/>
          <w:noProof/>
        </w:rPr>
        <w:tab/>
        <w:t xml:space="preserve">Silver JM, McAllister TW, Yudofsky SC: </w:t>
      </w:r>
      <w:r w:rsidRPr="00C806D0">
        <w:rPr>
          <w:rFonts w:ascii="Calibri" w:hAnsi="Calibri"/>
          <w:b/>
          <w:noProof/>
        </w:rPr>
        <w:t>Textbook of traumatic brain injury</w:t>
      </w:r>
      <w:r w:rsidRPr="00C806D0">
        <w:rPr>
          <w:rFonts w:ascii="Calibri" w:hAnsi="Calibri"/>
          <w:noProof/>
        </w:rPr>
        <w:t>, 1st ed. edn. Washington, DC: American Psychiatric Pub.; 2005.</w:t>
      </w:r>
      <w:bookmarkEnd w:id="222"/>
    </w:p>
    <w:p w:rsidR="006D4D62" w:rsidRPr="00C806D0" w:rsidRDefault="006D4D62" w:rsidP="006D4D62">
      <w:pPr>
        <w:spacing w:line="240" w:lineRule="auto"/>
        <w:ind w:left="720" w:hanging="720"/>
        <w:rPr>
          <w:rFonts w:ascii="Calibri" w:hAnsi="Calibri"/>
          <w:noProof/>
        </w:rPr>
      </w:pPr>
      <w:bookmarkStart w:id="223" w:name="_ENREF_8_15"/>
      <w:r w:rsidRPr="00C806D0">
        <w:rPr>
          <w:rFonts w:ascii="Calibri" w:hAnsi="Calibri"/>
          <w:noProof/>
        </w:rPr>
        <w:t>15.</w:t>
      </w:r>
      <w:r w:rsidRPr="00C806D0">
        <w:rPr>
          <w:rFonts w:ascii="Calibri" w:hAnsi="Calibri"/>
          <w:noProof/>
        </w:rPr>
        <w:tab/>
        <w:t xml:space="preserve">Maas AIR, Stocchetti N, Bullock R: </w:t>
      </w:r>
      <w:r w:rsidRPr="00C806D0">
        <w:rPr>
          <w:rFonts w:ascii="Calibri" w:hAnsi="Calibri"/>
          <w:b/>
          <w:noProof/>
        </w:rPr>
        <w:t>Moderate and severe traumatic brain injury in adults</w:t>
      </w:r>
      <w:r w:rsidRPr="00C806D0">
        <w:rPr>
          <w:rFonts w:ascii="Calibri" w:hAnsi="Calibri"/>
          <w:noProof/>
        </w:rPr>
        <w:t xml:space="preserve">. </w:t>
      </w:r>
      <w:r w:rsidRPr="00C806D0">
        <w:rPr>
          <w:rFonts w:ascii="Calibri" w:hAnsi="Calibri"/>
          <w:i/>
          <w:noProof/>
        </w:rPr>
        <w:t xml:space="preserve">Lancet Neurology </w:t>
      </w:r>
      <w:r w:rsidRPr="00C806D0">
        <w:rPr>
          <w:rFonts w:ascii="Calibri" w:hAnsi="Calibri"/>
          <w:noProof/>
        </w:rPr>
        <w:t xml:space="preserve">2008, </w:t>
      </w:r>
      <w:r w:rsidRPr="00C806D0">
        <w:rPr>
          <w:rFonts w:ascii="Calibri" w:hAnsi="Calibri"/>
          <w:b/>
          <w:noProof/>
        </w:rPr>
        <w:t>7</w:t>
      </w:r>
      <w:r w:rsidRPr="00C806D0">
        <w:rPr>
          <w:rFonts w:ascii="Calibri" w:hAnsi="Calibri"/>
          <w:noProof/>
        </w:rPr>
        <w:t>(8):728-741.</w:t>
      </w:r>
      <w:bookmarkEnd w:id="223"/>
    </w:p>
    <w:p w:rsidR="006D4D62" w:rsidRPr="00C806D0" w:rsidRDefault="006D4D62" w:rsidP="006D4D62">
      <w:pPr>
        <w:spacing w:line="240" w:lineRule="auto"/>
        <w:ind w:left="720" w:hanging="720"/>
        <w:rPr>
          <w:rFonts w:ascii="Calibri" w:hAnsi="Calibri"/>
          <w:noProof/>
        </w:rPr>
      </w:pPr>
      <w:bookmarkStart w:id="224" w:name="_ENREF_8_16"/>
      <w:r w:rsidRPr="00C806D0">
        <w:rPr>
          <w:rFonts w:ascii="Calibri" w:hAnsi="Calibri"/>
          <w:noProof/>
        </w:rPr>
        <w:t>16.</w:t>
      </w:r>
      <w:r w:rsidRPr="00C806D0">
        <w:rPr>
          <w:rFonts w:ascii="Calibri" w:hAnsi="Calibri"/>
          <w:noProof/>
        </w:rPr>
        <w:tab/>
        <w:t xml:space="preserve">Moppett IK: </w:t>
      </w:r>
      <w:r w:rsidRPr="00C806D0">
        <w:rPr>
          <w:rFonts w:ascii="Calibri" w:hAnsi="Calibri"/>
          <w:b/>
          <w:noProof/>
        </w:rPr>
        <w:t>Traumatic brain injury: assessment, resuscitation and early management</w:t>
      </w:r>
      <w:r w:rsidRPr="00C806D0">
        <w:rPr>
          <w:rFonts w:ascii="Calibri" w:hAnsi="Calibri"/>
          <w:noProof/>
        </w:rPr>
        <w:t xml:space="preserve">. </w:t>
      </w:r>
      <w:r w:rsidRPr="00C806D0">
        <w:rPr>
          <w:rFonts w:ascii="Calibri" w:hAnsi="Calibri"/>
          <w:i/>
          <w:noProof/>
        </w:rPr>
        <w:t xml:space="preserve">British journal of anaesthesia </w:t>
      </w:r>
      <w:r w:rsidRPr="00C806D0">
        <w:rPr>
          <w:rFonts w:ascii="Calibri" w:hAnsi="Calibri"/>
          <w:noProof/>
        </w:rPr>
        <w:t xml:space="preserve">2007, </w:t>
      </w:r>
      <w:r w:rsidRPr="00C806D0">
        <w:rPr>
          <w:rFonts w:ascii="Calibri" w:hAnsi="Calibri"/>
          <w:b/>
          <w:noProof/>
        </w:rPr>
        <w:t>99</w:t>
      </w:r>
      <w:r w:rsidRPr="00C806D0">
        <w:rPr>
          <w:rFonts w:ascii="Calibri" w:hAnsi="Calibri"/>
          <w:noProof/>
        </w:rPr>
        <w:t>(1):18-31.</w:t>
      </w:r>
      <w:bookmarkEnd w:id="224"/>
    </w:p>
    <w:p w:rsidR="006D4D62" w:rsidRPr="00C806D0" w:rsidRDefault="006D4D62" w:rsidP="006D4D62">
      <w:pPr>
        <w:spacing w:line="240" w:lineRule="auto"/>
        <w:ind w:left="720" w:hanging="720"/>
        <w:rPr>
          <w:rFonts w:ascii="Calibri" w:hAnsi="Calibri"/>
          <w:noProof/>
        </w:rPr>
      </w:pPr>
      <w:bookmarkStart w:id="225" w:name="_ENREF_8_17"/>
      <w:r w:rsidRPr="00C806D0">
        <w:rPr>
          <w:rFonts w:ascii="Calibri" w:hAnsi="Calibri"/>
          <w:noProof/>
        </w:rPr>
        <w:t>17.</w:t>
      </w:r>
      <w:r w:rsidRPr="00C806D0">
        <w:rPr>
          <w:rFonts w:ascii="Calibri" w:hAnsi="Calibri"/>
          <w:noProof/>
        </w:rPr>
        <w:tab/>
      </w:r>
      <w:r w:rsidRPr="00C806D0">
        <w:rPr>
          <w:rFonts w:ascii="Calibri" w:hAnsi="Calibri"/>
          <w:b/>
          <w:noProof/>
        </w:rPr>
        <w:t xml:space="preserve">Trauma Audit and Research Network </w:t>
      </w:r>
      <w:r w:rsidRPr="00C806D0">
        <w:rPr>
          <w:rFonts w:ascii="Calibri" w:hAnsi="Calibri"/>
          <w:noProof/>
        </w:rPr>
        <w:t>[www.tarn.ac.uk]</w:t>
      </w:r>
      <w:bookmarkEnd w:id="225"/>
    </w:p>
    <w:p w:rsidR="006D4D62" w:rsidRPr="00C806D0" w:rsidRDefault="006D4D62" w:rsidP="006D4D62">
      <w:pPr>
        <w:spacing w:line="240" w:lineRule="auto"/>
        <w:ind w:left="720" w:hanging="720"/>
        <w:rPr>
          <w:rFonts w:ascii="Calibri" w:hAnsi="Calibri"/>
          <w:noProof/>
        </w:rPr>
      </w:pPr>
      <w:bookmarkStart w:id="226" w:name="_ENREF_8_18"/>
      <w:r w:rsidRPr="00C806D0">
        <w:rPr>
          <w:rFonts w:ascii="Calibri" w:hAnsi="Calibri"/>
          <w:noProof/>
        </w:rPr>
        <w:t>18.</w:t>
      </w:r>
      <w:r w:rsidRPr="00C806D0">
        <w:rPr>
          <w:rFonts w:ascii="Calibri" w:hAnsi="Calibri"/>
          <w:noProof/>
        </w:rPr>
        <w:tab/>
        <w:t>Edwards P, Arango M, Balica L, Cottingham R, El-Sayed H, Farrell B, Fernandes J, Gogichaisvili T, Golden N, Hartzenberg B</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Final results of MRC CRASH, a randomised placebo-controlled trial of intravenous corticosteroid in adults with head injury-outcomes at 6 months</w:t>
      </w:r>
      <w:r w:rsidRPr="00C806D0">
        <w:rPr>
          <w:rFonts w:ascii="Calibri" w:hAnsi="Calibri"/>
          <w:noProof/>
        </w:rPr>
        <w:t xml:space="preserve">. </w:t>
      </w:r>
      <w:r w:rsidRPr="00C806D0">
        <w:rPr>
          <w:rFonts w:ascii="Calibri" w:hAnsi="Calibri"/>
          <w:i/>
          <w:noProof/>
        </w:rPr>
        <w:t xml:space="preserve">Lancet </w:t>
      </w:r>
      <w:r w:rsidRPr="00C806D0">
        <w:rPr>
          <w:rFonts w:ascii="Calibri" w:hAnsi="Calibri"/>
          <w:noProof/>
        </w:rPr>
        <w:t xml:space="preserve">2005, </w:t>
      </w:r>
      <w:r w:rsidRPr="00C806D0">
        <w:rPr>
          <w:rFonts w:ascii="Calibri" w:hAnsi="Calibri"/>
          <w:b/>
          <w:noProof/>
        </w:rPr>
        <w:t>365</w:t>
      </w:r>
      <w:r w:rsidRPr="00C806D0">
        <w:rPr>
          <w:rFonts w:ascii="Calibri" w:hAnsi="Calibri"/>
          <w:noProof/>
        </w:rPr>
        <w:t>(9475):1957-1959.</w:t>
      </w:r>
      <w:bookmarkEnd w:id="226"/>
    </w:p>
    <w:p w:rsidR="006D4D62" w:rsidRPr="00C806D0" w:rsidRDefault="006D4D62" w:rsidP="006D4D62">
      <w:pPr>
        <w:spacing w:line="240" w:lineRule="auto"/>
        <w:ind w:left="720" w:hanging="720"/>
        <w:rPr>
          <w:rFonts w:ascii="Calibri" w:hAnsi="Calibri"/>
          <w:noProof/>
        </w:rPr>
      </w:pPr>
      <w:bookmarkStart w:id="227" w:name="_ENREF_8_19"/>
      <w:r w:rsidRPr="00C806D0">
        <w:rPr>
          <w:rFonts w:ascii="Calibri" w:hAnsi="Calibri"/>
          <w:noProof/>
        </w:rPr>
        <w:t>19.</w:t>
      </w:r>
      <w:r w:rsidRPr="00C806D0">
        <w:rPr>
          <w:rFonts w:ascii="Calibri" w:hAnsi="Calibri"/>
          <w:noProof/>
        </w:rPr>
        <w:tab/>
        <w:t xml:space="preserve">Fuller G, Lawrence T, Woodford M, Coats T, Lecky F: </w:t>
      </w:r>
      <w:r w:rsidRPr="00C806D0">
        <w:rPr>
          <w:rFonts w:ascii="Calibri" w:hAnsi="Calibri"/>
          <w:b/>
          <w:noProof/>
        </w:rPr>
        <w:t>Emergency medical services interval and mortality in significant head injury: a retrospective cohort study</w:t>
      </w:r>
      <w:r w:rsidRPr="00C806D0">
        <w:rPr>
          <w:rFonts w:ascii="Calibri" w:hAnsi="Calibri"/>
          <w:noProof/>
        </w:rPr>
        <w:t xml:space="preserve">. </w:t>
      </w:r>
      <w:r w:rsidRPr="00C806D0">
        <w:rPr>
          <w:rFonts w:ascii="Calibri" w:hAnsi="Calibri"/>
          <w:i/>
          <w:noProof/>
        </w:rPr>
        <w:t xml:space="preserve">European journal of emergency medicine : official journal of the European Society for Emergency Medicine </w:t>
      </w:r>
      <w:r w:rsidRPr="00C806D0">
        <w:rPr>
          <w:rFonts w:ascii="Calibri" w:hAnsi="Calibri"/>
          <w:noProof/>
        </w:rPr>
        <w:t>2014.</w:t>
      </w:r>
      <w:bookmarkEnd w:id="227"/>
    </w:p>
    <w:p w:rsidR="006D4D62" w:rsidRPr="00C806D0" w:rsidRDefault="006D4D62" w:rsidP="006D4D62">
      <w:pPr>
        <w:spacing w:line="240" w:lineRule="auto"/>
        <w:ind w:left="720" w:hanging="720"/>
        <w:rPr>
          <w:rFonts w:ascii="Calibri" w:hAnsi="Calibri"/>
          <w:noProof/>
        </w:rPr>
      </w:pPr>
      <w:bookmarkStart w:id="228" w:name="_ENREF_8_20"/>
      <w:r w:rsidRPr="00C806D0">
        <w:rPr>
          <w:rFonts w:ascii="Calibri" w:hAnsi="Calibri"/>
          <w:noProof/>
        </w:rPr>
        <w:t>20.</w:t>
      </w:r>
      <w:r w:rsidRPr="00C806D0">
        <w:rPr>
          <w:rFonts w:ascii="Calibri" w:hAnsi="Calibri"/>
          <w:noProof/>
        </w:rPr>
        <w:tab/>
        <w:t>Harrison DA, Prabhu G, Grieve R, Harvey SE, Sadique MZ, Gomes M, Griggs KA, Walmsley E, Smith M, Yeoman P</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Risk Adjustment In Neurocritical care (RAIN)--prospective validation of risk prediction models for adult patients with acute traumatic brain injury to use to evaluate the optimum location and comparative costs of neurocritical care: a cohort study</w:t>
      </w:r>
      <w:r w:rsidRPr="00C806D0">
        <w:rPr>
          <w:rFonts w:ascii="Calibri" w:hAnsi="Calibri"/>
          <w:noProof/>
        </w:rPr>
        <w:t xml:space="preserve">. </w:t>
      </w:r>
      <w:r w:rsidRPr="00C806D0">
        <w:rPr>
          <w:rFonts w:ascii="Calibri" w:hAnsi="Calibri"/>
          <w:i/>
          <w:noProof/>
        </w:rPr>
        <w:t xml:space="preserve">Health technology assessment (Winchester, England) </w:t>
      </w:r>
      <w:r w:rsidRPr="00C806D0">
        <w:rPr>
          <w:rFonts w:ascii="Calibri" w:hAnsi="Calibri"/>
          <w:noProof/>
        </w:rPr>
        <w:t xml:space="preserve">2013, </w:t>
      </w:r>
      <w:r w:rsidRPr="00C806D0">
        <w:rPr>
          <w:rFonts w:ascii="Calibri" w:hAnsi="Calibri"/>
          <w:b/>
          <w:noProof/>
        </w:rPr>
        <w:t>17</w:t>
      </w:r>
      <w:r w:rsidRPr="00C806D0">
        <w:rPr>
          <w:rFonts w:ascii="Calibri" w:hAnsi="Calibri"/>
          <w:noProof/>
        </w:rPr>
        <w:t>(23):vii-viii, 1-350.</w:t>
      </w:r>
      <w:bookmarkEnd w:id="228"/>
    </w:p>
    <w:p w:rsidR="006D4D62" w:rsidRPr="00C806D0" w:rsidRDefault="006D4D62" w:rsidP="006D4D62">
      <w:pPr>
        <w:spacing w:line="240" w:lineRule="auto"/>
        <w:ind w:left="720" w:hanging="720"/>
        <w:rPr>
          <w:rFonts w:ascii="Calibri" w:hAnsi="Calibri"/>
          <w:noProof/>
        </w:rPr>
      </w:pPr>
      <w:bookmarkStart w:id="229" w:name="_ENREF_8_21"/>
      <w:r w:rsidRPr="00C806D0">
        <w:rPr>
          <w:rFonts w:ascii="Calibri" w:hAnsi="Calibri"/>
          <w:noProof/>
        </w:rPr>
        <w:t>21.</w:t>
      </w:r>
      <w:r w:rsidRPr="00C806D0">
        <w:rPr>
          <w:rFonts w:ascii="Calibri" w:hAnsi="Calibri"/>
          <w:noProof/>
        </w:rPr>
        <w:tab/>
        <w:t xml:space="preserve">Stevenson MD, Oakley PA, Beard SM, Brennan A, Cook AL: </w:t>
      </w:r>
      <w:r w:rsidRPr="00C806D0">
        <w:rPr>
          <w:rFonts w:ascii="Calibri" w:hAnsi="Calibri"/>
          <w:b/>
          <w:noProof/>
        </w:rPr>
        <w:t>Triaging patients with serious head injury: results of a simulation evaluating strategies to bypass hospitals without neurosurgical facilities</w:t>
      </w:r>
      <w:r w:rsidRPr="00C806D0">
        <w:rPr>
          <w:rFonts w:ascii="Calibri" w:hAnsi="Calibri"/>
          <w:noProof/>
        </w:rPr>
        <w:t xml:space="preserve">. </w:t>
      </w:r>
      <w:r w:rsidRPr="00C806D0">
        <w:rPr>
          <w:rFonts w:ascii="Calibri" w:hAnsi="Calibri"/>
          <w:i/>
          <w:noProof/>
        </w:rPr>
        <w:t xml:space="preserve">Injury </w:t>
      </w:r>
      <w:r w:rsidRPr="00C806D0">
        <w:rPr>
          <w:rFonts w:ascii="Calibri" w:hAnsi="Calibri"/>
          <w:noProof/>
        </w:rPr>
        <w:t xml:space="preserve">2001, </w:t>
      </w:r>
      <w:r w:rsidRPr="00C806D0">
        <w:rPr>
          <w:rFonts w:ascii="Calibri" w:hAnsi="Calibri"/>
          <w:b/>
          <w:noProof/>
        </w:rPr>
        <w:t>32</w:t>
      </w:r>
      <w:r w:rsidRPr="00C806D0">
        <w:rPr>
          <w:rFonts w:ascii="Calibri" w:hAnsi="Calibri"/>
          <w:noProof/>
        </w:rPr>
        <w:t>(4):267-274.</w:t>
      </w:r>
      <w:bookmarkEnd w:id="229"/>
    </w:p>
    <w:p w:rsidR="006D4D62" w:rsidRPr="00C806D0" w:rsidRDefault="006D4D62" w:rsidP="006D4D62">
      <w:pPr>
        <w:spacing w:line="240" w:lineRule="auto"/>
        <w:ind w:left="720" w:hanging="720"/>
        <w:rPr>
          <w:rFonts w:ascii="Calibri" w:hAnsi="Calibri"/>
          <w:noProof/>
        </w:rPr>
      </w:pPr>
      <w:bookmarkStart w:id="230" w:name="_ENREF_8_22"/>
      <w:r w:rsidRPr="00C806D0">
        <w:rPr>
          <w:rFonts w:ascii="Calibri" w:hAnsi="Calibri"/>
          <w:noProof/>
        </w:rPr>
        <w:t>22.</w:t>
      </w:r>
      <w:r w:rsidRPr="00C806D0">
        <w:rPr>
          <w:rFonts w:ascii="Calibri" w:hAnsi="Calibri"/>
          <w:noProof/>
        </w:rPr>
        <w:tab/>
        <w:t xml:space="preserve">Yates D, Aktar R, Hill J, Guideline Dev G: </w:t>
      </w:r>
      <w:r w:rsidRPr="00C806D0">
        <w:rPr>
          <w:rFonts w:ascii="Calibri" w:hAnsi="Calibri"/>
          <w:b/>
          <w:noProof/>
        </w:rPr>
        <w:t>Guidelines - Assessment, investigation, and early management of head injury: summary of NICE guidance</w:t>
      </w:r>
      <w:r w:rsidRPr="00C806D0">
        <w:rPr>
          <w:rFonts w:ascii="Calibri" w:hAnsi="Calibri"/>
          <w:noProof/>
        </w:rPr>
        <w:t xml:space="preserve">. </w:t>
      </w:r>
      <w:r w:rsidRPr="00C806D0">
        <w:rPr>
          <w:rFonts w:ascii="Calibri" w:hAnsi="Calibri"/>
          <w:i/>
          <w:noProof/>
        </w:rPr>
        <w:t xml:space="preserve">Br Med J </w:t>
      </w:r>
      <w:r w:rsidRPr="00C806D0">
        <w:rPr>
          <w:rFonts w:ascii="Calibri" w:hAnsi="Calibri"/>
          <w:noProof/>
        </w:rPr>
        <w:t xml:space="preserve">2007, </w:t>
      </w:r>
      <w:r w:rsidRPr="00C806D0">
        <w:rPr>
          <w:rFonts w:ascii="Calibri" w:hAnsi="Calibri"/>
          <w:b/>
          <w:noProof/>
        </w:rPr>
        <w:t>335</w:t>
      </w:r>
      <w:r w:rsidRPr="00C806D0">
        <w:rPr>
          <w:rFonts w:ascii="Calibri" w:hAnsi="Calibri"/>
          <w:noProof/>
        </w:rPr>
        <w:t>(7622):719-720.</w:t>
      </w:r>
      <w:bookmarkEnd w:id="230"/>
    </w:p>
    <w:p w:rsidR="006D4D62" w:rsidRPr="00C806D0" w:rsidRDefault="006D4D62" w:rsidP="006D4D62">
      <w:pPr>
        <w:spacing w:line="240" w:lineRule="auto"/>
        <w:ind w:left="720" w:hanging="720"/>
        <w:rPr>
          <w:rFonts w:ascii="Calibri" w:hAnsi="Calibri"/>
          <w:noProof/>
        </w:rPr>
      </w:pPr>
      <w:bookmarkStart w:id="231" w:name="_ENREF_8_23"/>
      <w:r w:rsidRPr="00C806D0">
        <w:rPr>
          <w:rFonts w:ascii="Calibri" w:hAnsi="Calibri"/>
          <w:noProof/>
        </w:rPr>
        <w:t>23.</w:t>
      </w:r>
      <w:r w:rsidRPr="00C806D0">
        <w:rPr>
          <w:rFonts w:ascii="Calibri" w:hAnsi="Calibri"/>
          <w:noProof/>
        </w:rPr>
        <w:tab/>
        <w:t xml:space="preserve">Briggs AH, Claxton K, Sculpher MJ: </w:t>
      </w:r>
      <w:r w:rsidRPr="00C806D0">
        <w:rPr>
          <w:rFonts w:ascii="Calibri" w:hAnsi="Calibri"/>
          <w:b/>
          <w:noProof/>
        </w:rPr>
        <w:t>Decision modelling for health economic evaluation</w:t>
      </w:r>
      <w:r w:rsidRPr="00C806D0">
        <w:rPr>
          <w:rFonts w:ascii="Calibri" w:hAnsi="Calibri"/>
          <w:noProof/>
        </w:rPr>
        <w:t>. Oxford: Oxford University Press; 2006.</w:t>
      </w:r>
      <w:bookmarkEnd w:id="231"/>
    </w:p>
    <w:p w:rsidR="006D4D62" w:rsidRPr="00C806D0" w:rsidRDefault="006D4D62" w:rsidP="006D4D62">
      <w:pPr>
        <w:spacing w:line="240" w:lineRule="auto"/>
        <w:ind w:left="720" w:hanging="720"/>
        <w:rPr>
          <w:rFonts w:ascii="Calibri" w:hAnsi="Calibri"/>
          <w:noProof/>
        </w:rPr>
      </w:pPr>
      <w:bookmarkStart w:id="232" w:name="_ENREF_8_24"/>
      <w:r w:rsidRPr="00C806D0">
        <w:rPr>
          <w:rFonts w:ascii="Calibri" w:hAnsi="Calibri"/>
          <w:noProof/>
        </w:rPr>
        <w:t>24.</w:t>
      </w:r>
      <w:r w:rsidRPr="00C806D0">
        <w:rPr>
          <w:rFonts w:ascii="Calibri" w:hAnsi="Calibri"/>
          <w:noProof/>
        </w:rPr>
        <w:tab/>
        <w:t xml:space="preserve">Box GEP, Draper NR: </w:t>
      </w:r>
      <w:r w:rsidRPr="00C806D0">
        <w:rPr>
          <w:rFonts w:ascii="Calibri" w:hAnsi="Calibri"/>
          <w:b/>
          <w:noProof/>
        </w:rPr>
        <w:t>Empirical model-building and response surfaces</w:t>
      </w:r>
      <w:r w:rsidRPr="00C806D0">
        <w:rPr>
          <w:rFonts w:ascii="Calibri" w:hAnsi="Calibri"/>
          <w:noProof/>
        </w:rPr>
        <w:t>. New York ; Chichester: Wiley; 1987.</w:t>
      </w:r>
      <w:bookmarkEnd w:id="232"/>
    </w:p>
    <w:p w:rsidR="006D4D62" w:rsidRPr="00C806D0" w:rsidRDefault="006D4D62" w:rsidP="006D4D62">
      <w:pPr>
        <w:spacing w:line="240" w:lineRule="auto"/>
        <w:ind w:left="720" w:hanging="720"/>
        <w:rPr>
          <w:rFonts w:ascii="Calibri" w:hAnsi="Calibri"/>
          <w:noProof/>
        </w:rPr>
      </w:pPr>
      <w:bookmarkStart w:id="233" w:name="_ENREF_8_25"/>
      <w:r w:rsidRPr="00C806D0">
        <w:rPr>
          <w:rFonts w:ascii="Calibri" w:hAnsi="Calibri"/>
          <w:noProof/>
        </w:rPr>
        <w:t>25.</w:t>
      </w:r>
      <w:r w:rsidRPr="00C806D0">
        <w:rPr>
          <w:rFonts w:ascii="Calibri" w:hAnsi="Calibri"/>
          <w:noProof/>
        </w:rPr>
        <w:tab/>
        <w:t xml:space="preserve">Taussky P, Widmer HR, Takala J, Fandino J: </w:t>
      </w:r>
      <w:r w:rsidRPr="00C806D0">
        <w:rPr>
          <w:rFonts w:ascii="Calibri" w:hAnsi="Calibri"/>
          <w:b/>
          <w:noProof/>
        </w:rPr>
        <w:t>Outcome after acute traumatic subdural and epidural haematoma in Switzerland: a single-centre experience</w:t>
      </w:r>
      <w:r w:rsidRPr="00C806D0">
        <w:rPr>
          <w:rFonts w:ascii="Calibri" w:hAnsi="Calibri"/>
          <w:noProof/>
        </w:rPr>
        <w:t xml:space="preserve">. </w:t>
      </w:r>
      <w:r w:rsidRPr="00C806D0">
        <w:rPr>
          <w:rFonts w:ascii="Calibri" w:hAnsi="Calibri"/>
          <w:i/>
          <w:noProof/>
        </w:rPr>
        <w:t xml:space="preserve">Swiss medical weekly </w:t>
      </w:r>
      <w:r w:rsidRPr="00C806D0">
        <w:rPr>
          <w:rFonts w:ascii="Calibri" w:hAnsi="Calibri"/>
          <w:noProof/>
        </w:rPr>
        <w:t xml:space="preserve">2008, </w:t>
      </w:r>
      <w:r w:rsidRPr="00C806D0">
        <w:rPr>
          <w:rFonts w:ascii="Calibri" w:hAnsi="Calibri"/>
          <w:b/>
          <w:noProof/>
        </w:rPr>
        <w:t>138</w:t>
      </w:r>
      <w:r w:rsidRPr="00C806D0">
        <w:rPr>
          <w:rFonts w:ascii="Calibri" w:hAnsi="Calibri"/>
          <w:noProof/>
        </w:rPr>
        <w:t>(19-20):281-285.</w:t>
      </w:r>
      <w:bookmarkEnd w:id="233"/>
    </w:p>
    <w:p w:rsidR="006D4D62" w:rsidRPr="00C806D0" w:rsidRDefault="006D4D62" w:rsidP="006D4D62">
      <w:pPr>
        <w:spacing w:line="240" w:lineRule="auto"/>
        <w:ind w:left="720" w:hanging="720"/>
        <w:rPr>
          <w:rFonts w:ascii="Calibri" w:hAnsi="Calibri"/>
          <w:noProof/>
        </w:rPr>
      </w:pPr>
      <w:bookmarkStart w:id="234" w:name="_ENREF_8_26"/>
      <w:r w:rsidRPr="00C806D0">
        <w:rPr>
          <w:rFonts w:ascii="Calibri" w:hAnsi="Calibri"/>
          <w:noProof/>
        </w:rPr>
        <w:t>26.</w:t>
      </w:r>
      <w:r w:rsidRPr="00C806D0">
        <w:rPr>
          <w:rFonts w:ascii="Calibri" w:hAnsi="Calibri"/>
          <w:noProof/>
        </w:rPr>
        <w:tab/>
        <w:t xml:space="preserve">Fuller G, Pattani H, Yeoman P: </w:t>
      </w:r>
      <w:r w:rsidRPr="00C806D0">
        <w:rPr>
          <w:rFonts w:ascii="Calibri" w:hAnsi="Calibri"/>
          <w:b/>
          <w:noProof/>
        </w:rPr>
        <w:t>The Nottingham head injury register: A survey of 1,276 adult cases of moderate and severe traumatic brain injury in a British neurosurgery centre</w:t>
      </w:r>
      <w:r w:rsidRPr="00C806D0">
        <w:rPr>
          <w:rFonts w:ascii="Calibri" w:hAnsi="Calibri"/>
          <w:noProof/>
        </w:rPr>
        <w:t xml:space="preserve">. </w:t>
      </w:r>
      <w:r w:rsidRPr="00C806D0">
        <w:rPr>
          <w:rFonts w:ascii="Calibri" w:hAnsi="Calibri"/>
          <w:i/>
          <w:noProof/>
        </w:rPr>
        <w:t xml:space="preserve">Journal of the Intensive Care Society </w:t>
      </w:r>
      <w:r w:rsidRPr="00C806D0">
        <w:rPr>
          <w:rFonts w:ascii="Calibri" w:hAnsi="Calibri"/>
          <w:noProof/>
        </w:rPr>
        <w:t>2011(of Publication: January 2011):12 (11) (pp 29-36), 2011.</w:t>
      </w:r>
      <w:bookmarkEnd w:id="234"/>
    </w:p>
    <w:p w:rsidR="006D4D62" w:rsidRPr="00C806D0" w:rsidRDefault="006D4D62" w:rsidP="006D4D62">
      <w:pPr>
        <w:spacing w:line="240" w:lineRule="auto"/>
        <w:ind w:left="720" w:hanging="720"/>
        <w:rPr>
          <w:rFonts w:ascii="Calibri" w:hAnsi="Calibri"/>
          <w:noProof/>
        </w:rPr>
      </w:pPr>
      <w:bookmarkStart w:id="235" w:name="_ENREF_8_27"/>
      <w:r w:rsidRPr="00C806D0">
        <w:rPr>
          <w:rFonts w:ascii="Calibri" w:hAnsi="Calibri"/>
          <w:noProof/>
        </w:rPr>
        <w:t>27.</w:t>
      </w:r>
      <w:r w:rsidRPr="00C806D0">
        <w:rPr>
          <w:rFonts w:ascii="Calibri" w:hAnsi="Calibri"/>
          <w:noProof/>
        </w:rPr>
        <w:tab/>
        <w:t xml:space="preserve">Aoki N, Kitahara T, Fukui T, Beck JR, Soma K, Yamamoto W, Kamae I, Ohwada T: </w:t>
      </w:r>
      <w:r w:rsidRPr="00C806D0">
        <w:rPr>
          <w:rFonts w:ascii="Calibri" w:hAnsi="Calibri"/>
          <w:b/>
          <w:noProof/>
        </w:rPr>
        <w:t>Management of unruptured intracranial aneurysm in Japan: a Markovian decision analysis with utility measurements based on the Glasgow Outcome Scale</w:t>
      </w:r>
      <w:r w:rsidRPr="00C806D0">
        <w:rPr>
          <w:rFonts w:ascii="Calibri" w:hAnsi="Calibri"/>
          <w:noProof/>
        </w:rPr>
        <w:t xml:space="preserve">. </w:t>
      </w:r>
      <w:r w:rsidRPr="00C806D0">
        <w:rPr>
          <w:rFonts w:ascii="Calibri" w:hAnsi="Calibri"/>
          <w:i/>
          <w:noProof/>
        </w:rPr>
        <w:t xml:space="preserve">Medical decision making : an international journal of the Society for Medical Decision Making </w:t>
      </w:r>
      <w:r w:rsidRPr="00C806D0">
        <w:rPr>
          <w:rFonts w:ascii="Calibri" w:hAnsi="Calibri"/>
          <w:noProof/>
        </w:rPr>
        <w:t xml:space="preserve">1998, </w:t>
      </w:r>
      <w:r w:rsidRPr="00C806D0">
        <w:rPr>
          <w:rFonts w:ascii="Calibri" w:hAnsi="Calibri"/>
          <w:b/>
          <w:noProof/>
        </w:rPr>
        <w:t>18</w:t>
      </w:r>
      <w:r w:rsidRPr="00C806D0">
        <w:rPr>
          <w:rFonts w:ascii="Calibri" w:hAnsi="Calibri"/>
          <w:noProof/>
        </w:rPr>
        <w:t>(4):357-364.</w:t>
      </w:r>
      <w:bookmarkEnd w:id="235"/>
    </w:p>
    <w:p w:rsidR="006D4D62" w:rsidRPr="00C806D0" w:rsidRDefault="006D4D62" w:rsidP="006D4D62">
      <w:pPr>
        <w:spacing w:line="240" w:lineRule="auto"/>
        <w:ind w:left="720" w:hanging="720"/>
        <w:rPr>
          <w:rFonts w:ascii="Calibri" w:hAnsi="Calibri"/>
          <w:noProof/>
        </w:rPr>
      </w:pPr>
      <w:bookmarkStart w:id="236" w:name="_ENREF_8_28"/>
      <w:r w:rsidRPr="00C806D0">
        <w:rPr>
          <w:rFonts w:ascii="Calibri" w:hAnsi="Calibri"/>
          <w:noProof/>
        </w:rPr>
        <w:t>28.</w:t>
      </w:r>
      <w:r w:rsidRPr="00C806D0">
        <w:rPr>
          <w:rFonts w:ascii="Calibri" w:hAnsi="Calibri"/>
          <w:noProof/>
        </w:rPr>
        <w:tab/>
        <w:t xml:space="preserve">McMillan TM, Teasdale GM, Weir CJ, Stewart E: </w:t>
      </w:r>
      <w:r w:rsidRPr="00C806D0">
        <w:rPr>
          <w:rFonts w:ascii="Calibri" w:hAnsi="Calibri"/>
          <w:b/>
          <w:noProof/>
        </w:rPr>
        <w:t>Death after head injury: the 13 year outcome of a case control study</w:t>
      </w:r>
      <w:r w:rsidRPr="00C806D0">
        <w:rPr>
          <w:rFonts w:ascii="Calibri" w:hAnsi="Calibri"/>
          <w:noProof/>
        </w:rPr>
        <w:t xml:space="preserve">. </w:t>
      </w:r>
      <w:r w:rsidRPr="00C806D0">
        <w:rPr>
          <w:rFonts w:ascii="Calibri" w:hAnsi="Calibri"/>
          <w:i/>
          <w:noProof/>
        </w:rPr>
        <w:t xml:space="preserve">Journal of neurology, neurosurgery, and psychiatry </w:t>
      </w:r>
      <w:r w:rsidRPr="00C806D0">
        <w:rPr>
          <w:rFonts w:ascii="Calibri" w:hAnsi="Calibri"/>
          <w:noProof/>
        </w:rPr>
        <w:t xml:space="preserve">2011, </w:t>
      </w:r>
      <w:r w:rsidRPr="00C806D0">
        <w:rPr>
          <w:rFonts w:ascii="Calibri" w:hAnsi="Calibri"/>
          <w:b/>
          <w:noProof/>
        </w:rPr>
        <w:t>82</w:t>
      </w:r>
      <w:r w:rsidRPr="00C806D0">
        <w:rPr>
          <w:rFonts w:ascii="Calibri" w:hAnsi="Calibri"/>
          <w:noProof/>
        </w:rPr>
        <w:t>(8):931-935.</w:t>
      </w:r>
      <w:bookmarkEnd w:id="236"/>
    </w:p>
    <w:p w:rsidR="006D4D62" w:rsidRPr="00C806D0" w:rsidRDefault="006D4D62" w:rsidP="006D4D62">
      <w:pPr>
        <w:spacing w:line="240" w:lineRule="auto"/>
        <w:ind w:left="720" w:hanging="720"/>
        <w:rPr>
          <w:rFonts w:ascii="Calibri" w:hAnsi="Calibri"/>
          <w:noProof/>
        </w:rPr>
      </w:pPr>
      <w:bookmarkStart w:id="237" w:name="_ENREF_8_29"/>
      <w:r w:rsidRPr="00C806D0">
        <w:rPr>
          <w:rFonts w:ascii="Calibri" w:hAnsi="Calibri"/>
          <w:noProof/>
        </w:rPr>
        <w:t>29.</w:t>
      </w:r>
      <w:r w:rsidRPr="00C806D0">
        <w:rPr>
          <w:rFonts w:ascii="Calibri" w:hAnsi="Calibri"/>
          <w:noProof/>
        </w:rPr>
        <w:tab/>
        <w:t xml:space="preserve">Cameron CM, Purdie DM, Kliewer EV, McClure RJ: </w:t>
      </w:r>
      <w:r w:rsidRPr="00C806D0">
        <w:rPr>
          <w:rFonts w:ascii="Calibri" w:hAnsi="Calibri"/>
          <w:b/>
          <w:noProof/>
        </w:rPr>
        <w:t>Long-term mortality following trauma: 10 year follow-up in a population-based sample of injured adults</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2005, </w:t>
      </w:r>
      <w:r w:rsidRPr="00C806D0">
        <w:rPr>
          <w:rFonts w:ascii="Calibri" w:hAnsi="Calibri"/>
          <w:b/>
          <w:noProof/>
        </w:rPr>
        <w:t>59</w:t>
      </w:r>
      <w:r w:rsidRPr="00C806D0">
        <w:rPr>
          <w:rFonts w:ascii="Calibri" w:hAnsi="Calibri"/>
          <w:noProof/>
        </w:rPr>
        <w:t>(3):639-646.</w:t>
      </w:r>
      <w:bookmarkEnd w:id="237"/>
    </w:p>
    <w:p w:rsidR="006D4D62" w:rsidRPr="00C806D0" w:rsidRDefault="006D4D62" w:rsidP="006D4D62">
      <w:pPr>
        <w:spacing w:line="240" w:lineRule="auto"/>
        <w:ind w:left="720" w:hanging="720"/>
        <w:rPr>
          <w:rFonts w:ascii="Calibri" w:hAnsi="Calibri"/>
          <w:noProof/>
        </w:rPr>
      </w:pPr>
      <w:bookmarkStart w:id="238" w:name="_ENREF_8_30"/>
      <w:r w:rsidRPr="00C806D0">
        <w:rPr>
          <w:rFonts w:ascii="Calibri" w:hAnsi="Calibri"/>
          <w:noProof/>
        </w:rPr>
        <w:t>30.</w:t>
      </w:r>
      <w:r w:rsidRPr="00C806D0">
        <w:rPr>
          <w:rFonts w:ascii="Calibri" w:hAnsi="Calibri"/>
          <w:noProof/>
        </w:rPr>
        <w:tab/>
        <w:t xml:space="preserve">Claxton K: </w:t>
      </w:r>
      <w:r w:rsidRPr="00C806D0">
        <w:rPr>
          <w:rFonts w:ascii="Calibri" w:hAnsi="Calibri"/>
          <w:b/>
          <w:noProof/>
        </w:rPr>
        <w:t>The irrelevance of inference: a decision-making approach to the stochastic evaluation of health care technologies</w:t>
      </w:r>
      <w:r w:rsidRPr="00C806D0">
        <w:rPr>
          <w:rFonts w:ascii="Calibri" w:hAnsi="Calibri"/>
          <w:noProof/>
        </w:rPr>
        <w:t xml:space="preserve">. </w:t>
      </w:r>
      <w:r w:rsidRPr="00C806D0">
        <w:rPr>
          <w:rFonts w:ascii="Calibri" w:hAnsi="Calibri"/>
          <w:i/>
          <w:noProof/>
        </w:rPr>
        <w:t xml:space="preserve">Journal of health economics </w:t>
      </w:r>
      <w:r w:rsidRPr="00C806D0">
        <w:rPr>
          <w:rFonts w:ascii="Calibri" w:hAnsi="Calibri"/>
          <w:noProof/>
        </w:rPr>
        <w:t xml:space="preserve">1999, </w:t>
      </w:r>
      <w:r w:rsidRPr="00C806D0">
        <w:rPr>
          <w:rFonts w:ascii="Calibri" w:hAnsi="Calibri"/>
          <w:b/>
          <w:noProof/>
        </w:rPr>
        <w:t>18</w:t>
      </w:r>
      <w:r w:rsidRPr="00C806D0">
        <w:rPr>
          <w:rFonts w:ascii="Calibri" w:hAnsi="Calibri"/>
          <w:noProof/>
        </w:rPr>
        <w:t>(3):341-364.</w:t>
      </w:r>
      <w:bookmarkEnd w:id="238"/>
    </w:p>
    <w:p w:rsidR="006D4D62" w:rsidRPr="00C806D0" w:rsidRDefault="006D4D62" w:rsidP="006D4D62">
      <w:pPr>
        <w:spacing w:line="240" w:lineRule="auto"/>
        <w:ind w:left="720" w:hanging="720"/>
        <w:rPr>
          <w:rFonts w:ascii="Calibri" w:hAnsi="Calibri"/>
          <w:noProof/>
        </w:rPr>
      </w:pPr>
      <w:bookmarkStart w:id="239" w:name="_ENREF_8_31"/>
      <w:r w:rsidRPr="00C806D0">
        <w:rPr>
          <w:rFonts w:ascii="Calibri" w:hAnsi="Calibri"/>
          <w:noProof/>
        </w:rPr>
        <w:t>31.</w:t>
      </w:r>
      <w:r w:rsidRPr="00C806D0">
        <w:rPr>
          <w:rFonts w:ascii="Calibri" w:hAnsi="Calibri"/>
          <w:noProof/>
        </w:rPr>
        <w:tab/>
        <w:t xml:space="preserve">Stinnett AA, Mullahy J: </w:t>
      </w:r>
      <w:r w:rsidRPr="00C806D0">
        <w:rPr>
          <w:rFonts w:ascii="Calibri" w:hAnsi="Calibri"/>
          <w:b/>
          <w:noProof/>
        </w:rPr>
        <w:t>Net health benefits: a new framework for the analysis of uncertainty in cost-effectiveness analysis</w:t>
      </w:r>
      <w:r w:rsidRPr="00C806D0">
        <w:rPr>
          <w:rFonts w:ascii="Calibri" w:hAnsi="Calibri"/>
          <w:noProof/>
        </w:rPr>
        <w:t xml:space="preserve">. </w:t>
      </w:r>
      <w:r w:rsidRPr="00C806D0">
        <w:rPr>
          <w:rFonts w:ascii="Calibri" w:hAnsi="Calibri"/>
          <w:i/>
          <w:noProof/>
        </w:rPr>
        <w:t xml:space="preserve">Medical decision making : an international journal of the Society for Medical Decision Making </w:t>
      </w:r>
      <w:r w:rsidRPr="00C806D0">
        <w:rPr>
          <w:rFonts w:ascii="Calibri" w:hAnsi="Calibri"/>
          <w:noProof/>
        </w:rPr>
        <w:t xml:space="preserve">1998, </w:t>
      </w:r>
      <w:r w:rsidRPr="00C806D0">
        <w:rPr>
          <w:rFonts w:ascii="Calibri" w:hAnsi="Calibri"/>
          <w:b/>
          <w:noProof/>
        </w:rPr>
        <w:t>18</w:t>
      </w:r>
      <w:r w:rsidRPr="00C806D0">
        <w:rPr>
          <w:rFonts w:ascii="Calibri" w:hAnsi="Calibri"/>
          <w:noProof/>
        </w:rPr>
        <w:t>(2 Suppl):S68-80.</w:t>
      </w:r>
      <w:bookmarkEnd w:id="239"/>
    </w:p>
    <w:p w:rsidR="006D4D62" w:rsidRPr="00C806D0" w:rsidRDefault="006D4D62" w:rsidP="006D4D62">
      <w:pPr>
        <w:spacing w:line="240" w:lineRule="auto"/>
        <w:ind w:left="720" w:hanging="720"/>
        <w:rPr>
          <w:rFonts w:ascii="Calibri" w:hAnsi="Calibri"/>
          <w:noProof/>
        </w:rPr>
      </w:pPr>
      <w:bookmarkStart w:id="240" w:name="_ENREF_8_32"/>
      <w:r w:rsidRPr="00C806D0">
        <w:rPr>
          <w:rFonts w:ascii="Calibri" w:hAnsi="Calibri"/>
          <w:noProof/>
        </w:rPr>
        <w:t>32.</w:t>
      </w:r>
      <w:r w:rsidRPr="00C806D0">
        <w:rPr>
          <w:rFonts w:ascii="Calibri" w:hAnsi="Calibri"/>
          <w:noProof/>
        </w:rPr>
        <w:tab/>
        <w:t xml:space="preserve">Claxton K, Sculpher M, McCabe C, Briggs A, Akehurst R, Buxton M, Brazier J, O'Hagan T: </w:t>
      </w:r>
      <w:r w:rsidRPr="00C806D0">
        <w:rPr>
          <w:rFonts w:ascii="Calibri" w:hAnsi="Calibri"/>
          <w:b/>
          <w:noProof/>
        </w:rPr>
        <w:t>Probabilistic sensitivity analysis for NICE technology assessment: not an optional extra</w:t>
      </w:r>
      <w:r w:rsidRPr="00C806D0">
        <w:rPr>
          <w:rFonts w:ascii="Calibri" w:hAnsi="Calibri"/>
          <w:noProof/>
        </w:rPr>
        <w:t xml:space="preserve">. </w:t>
      </w:r>
      <w:r w:rsidRPr="00C806D0">
        <w:rPr>
          <w:rFonts w:ascii="Calibri" w:hAnsi="Calibri"/>
          <w:i/>
          <w:noProof/>
        </w:rPr>
        <w:t xml:space="preserve">Health economics </w:t>
      </w:r>
      <w:r w:rsidRPr="00C806D0">
        <w:rPr>
          <w:rFonts w:ascii="Calibri" w:hAnsi="Calibri"/>
          <w:noProof/>
        </w:rPr>
        <w:t xml:space="preserve">2005, </w:t>
      </w:r>
      <w:r w:rsidRPr="00C806D0">
        <w:rPr>
          <w:rFonts w:ascii="Calibri" w:hAnsi="Calibri"/>
          <w:b/>
          <w:noProof/>
        </w:rPr>
        <w:t>14</w:t>
      </w:r>
      <w:r w:rsidRPr="00C806D0">
        <w:rPr>
          <w:rFonts w:ascii="Calibri" w:hAnsi="Calibri"/>
          <w:noProof/>
        </w:rPr>
        <w:t>(4):339-347.</w:t>
      </w:r>
      <w:bookmarkEnd w:id="240"/>
    </w:p>
    <w:p w:rsidR="006D4D62" w:rsidRPr="00C806D0" w:rsidRDefault="006D4D62" w:rsidP="006D4D62">
      <w:pPr>
        <w:spacing w:line="240" w:lineRule="auto"/>
        <w:ind w:left="720" w:hanging="720"/>
        <w:rPr>
          <w:rFonts w:ascii="Calibri" w:hAnsi="Calibri"/>
          <w:noProof/>
        </w:rPr>
      </w:pPr>
      <w:bookmarkStart w:id="241" w:name="_ENREF_8_33"/>
      <w:r w:rsidRPr="00C806D0">
        <w:rPr>
          <w:rFonts w:ascii="Calibri" w:hAnsi="Calibri"/>
          <w:noProof/>
        </w:rPr>
        <w:t>33.</w:t>
      </w:r>
      <w:r w:rsidRPr="00C806D0">
        <w:rPr>
          <w:rFonts w:ascii="Calibri" w:hAnsi="Calibri"/>
          <w:noProof/>
        </w:rPr>
        <w:tab/>
        <w:t xml:space="preserve">Eckermann S, Willan AR: </w:t>
      </w:r>
      <w:r w:rsidRPr="00C806D0">
        <w:rPr>
          <w:rFonts w:ascii="Calibri" w:hAnsi="Calibri"/>
          <w:b/>
          <w:noProof/>
        </w:rPr>
        <w:t>Expected value of information and decision making in HTA</w:t>
      </w:r>
      <w:r w:rsidRPr="00C806D0">
        <w:rPr>
          <w:rFonts w:ascii="Calibri" w:hAnsi="Calibri"/>
          <w:noProof/>
        </w:rPr>
        <w:t xml:space="preserve">. </w:t>
      </w:r>
      <w:r w:rsidRPr="00C806D0">
        <w:rPr>
          <w:rFonts w:ascii="Calibri" w:hAnsi="Calibri"/>
          <w:i/>
          <w:noProof/>
        </w:rPr>
        <w:t xml:space="preserve">Health economics </w:t>
      </w:r>
      <w:r w:rsidRPr="00C806D0">
        <w:rPr>
          <w:rFonts w:ascii="Calibri" w:hAnsi="Calibri"/>
          <w:noProof/>
        </w:rPr>
        <w:t xml:space="preserve">2007, </w:t>
      </w:r>
      <w:r w:rsidRPr="00C806D0">
        <w:rPr>
          <w:rFonts w:ascii="Calibri" w:hAnsi="Calibri"/>
          <w:b/>
          <w:noProof/>
        </w:rPr>
        <w:t>16</w:t>
      </w:r>
      <w:r w:rsidRPr="00C806D0">
        <w:rPr>
          <w:rFonts w:ascii="Calibri" w:hAnsi="Calibri"/>
          <w:noProof/>
        </w:rPr>
        <w:t>(2):195-209.</w:t>
      </w:r>
      <w:bookmarkEnd w:id="241"/>
    </w:p>
    <w:p w:rsidR="006D4D62" w:rsidRPr="00C806D0" w:rsidRDefault="006D4D62" w:rsidP="006D4D62">
      <w:pPr>
        <w:spacing w:line="240" w:lineRule="auto"/>
        <w:ind w:left="720" w:hanging="720"/>
        <w:rPr>
          <w:rFonts w:ascii="Calibri" w:hAnsi="Calibri"/>
          <w:noProof/>
        </w:rPr>
      </w:pPr>
      <w:bookmarkStart w:id="242" w:name="_ENREF_8_34"/>
      <w:r w:rsidRPr="00C806D0">
        <w:rPr>
          <w:rFonts w:ascii="Calibri" w:hAnsi="Calibri"/>
          <w:noProof/>
        </w:rPr>
        <w:t>34.</w:t>
      </w:r>
      <w:r w:rsidRPr="00C806D0">
        <w:rPr>
          <w:rFonts w:ascii="Calibri" w:hAnsi="Calibri"/>
          <w:noProof/>
        </w:rPr>
        <w:tab/>
        <w:t xml:space="preserve">Claxton K, Posnett J: </w:t>
      </w:r>
      <w:r w:rsidRPr="00C806D0">
        <w:rPr>
          <w:rFonts w:ascii="Calibri" w:hAnsi="Calibri"/>
          <w:b/>
          <w:noProof/>
        </w:rPr>
        <w:t>An economic approach to clinical trial design and research priority-setting</w:t>
      </w:r>
      <w:r w:rsidRPr="00C806D0">
        <w:rPr>
          <w:rFonts w:ascii="Calibri" w:hAnsi="Calibri"/>
          <w:noProof/>
        </w:rPr>
        <w:t xml:space="preserve">. </w:t>
      </w:r>
      <w:r w:rsidRPr="00C806D0">
        <w:rPr>
          <w:rFonts w:ascii="Calibri" w:hAnsi="Calibri"/>
          <w:i/>
          <w:noProof/>
        </w:rPr>
        <w:t xml:space="preserve">Health economics </w:t>
      </w:r>
      <w:r w:rsidRPr="00C806D0">
        <w:rPr>
          <w:rFonts w:ascii="Calibri" w:hAnsi="Calibri"/>
          <w:noProof/>
        </w:rPr>
        <w:t xml:space="preserve">1996, </w:t>
      </w:r>
      <w:r w:rsidRPr="00C806D0">
        <w:rPr>
          <w:rFonts w:ascii="Calibri" w:hAnsi="Calibri"/>
          <w:b/>
          <w:noProof/>
        </w:rPr>
        <w:t>5</w:t>
      </w:r>
      <w:r w:rsidRPr="00C806D0">
        <w:rPr>
          <w:rFonts w:ascii="Calibri" w:hAnsi="Calibri"/>
          <w:noProof/>
        </w:rPr>
        <w:t>(6):513-524.</w:t>
      </w:r>
      <w:bookmarkEnd w:id="242"/>
    </w:p>
    <w:p w:rsidR="006D4D62" w:rsidRPr="00C806D0" w:rsidRDefault="006D4D62" w:rsidP="006D4D62">
      <w:pPr>
        <w:spacing w:line="240" w:lineRule="auto"/>
        <w:ind w:left="720" w:hanging="720"/>
        <w:rPr>
          <w:rFonts w:ascii="Calibri" w:hAnsi="Calibri"/>
          <w:noProof/>
        </w:rPr>
      </w:pPr>
      <w:bookmarkStart w:id="243" w:name="_ENREF_8_35"/>
      <w:r w:rsidRPr="00C806D0">
        <w:rPr>
          <w:rFonts w:ascii="Calibri" w:hAnsi="Calibri"/>
          <w:noProof/>
        </w:rPr>
        <w:t>35.</w:t>
      </w:r>
      <w:r w:rsidRPr="00C806D0">
        <w:rPr>
          <w:rFonts w:ascii="Calibri" w:hAnsi="Calibri"/>
          <w:noProof/>
        </w:rPr>
        <w:tab/>
        <w:t xml:space="preserve">Ades AE, Lu G, Claxton K: </w:t>
      </w:r>
      <w:r w:rsidRPr="00C806D0">
        <w:rPr>
          <w:rFonts w:ascii="Calibri" w:hAnsi="Calibri"/>
          <w:b/>
          <w:noProof/>
        </w:rPr>
        <w:t>Expected value of sample information calculations in medical decision modeling</w:t>
      </w:r>
      <w:r w:rsidRPr="00C806D0">
        <w:rPr>
          <w:rFonts w:ascii="Calibri" w:hAnsi="Calibri"/>
          <w:noProof/>
        </w:rPr>
        <w:t xml:space="preserve">. </w:t>
      </w:r>
      <w:r w:rsidRPr="00C806D0">
        <w:rPr>
          <w:rFonts w:ascii="Calibri" w:hAnsi="Calibri"/>
          <w:i/>
          <w:noProof/>
        </w:rPr>
        <w:t xml:space="preserve">Medical decision making : an international journal of the Society for Medical Decision Making </w:t>
      </w:r>
      <w:r w:rsidRPr="00C806D0">
        <w:rPr>
          <w:rFonts w:ascii="Calibri" w:hAnsi="Calibri"/>
          <w:noProof/>
        </w:rPr>
        <w:t xml:space="preserve">2004, </w:t>
      </w:r>
      <w:r w:rsidRPr="00C806D0">
        <w:rPr>
          <w:rFonts w:ascii="Calibri" w:hAnsi="Calibri"/>
          <w:b/>
          <w:noProof/>
        </w:rPr>
        <w:t>24</w:t>
      </w:r>
      <w:r w:rsidRPr="00C806D0">
        <w:rPr>
          <w:rFonts w:ascii="Calibri" w:hAnsi="Calibri"/>
          <w:noProof/>
        </w:rPr>
        <w:t>(2):207-227.</w:t>
      </w:r>
      <w:bookmarkEnd w:id="243"/>
    </w:p>
    <w:p w:rsidR="006D4D62" w:rsidRPr="00C806D0" w:rsidRDefault="006D4D62" w:rsidP="006D4D62">
      <w:pPr>
        <w:spacing w:line="240" w:lineRule="auto"/>
        <w:ind w:left="720" w:hanging="720"/>
        <w:rPr>
          <w:rFonts w:ascii="Calibri" w:hAnsi="Calibri"/>
          <w:noProof/>
        </w:rPr>
      </w:pPr>
      <w:bookmarkStart w:id="244" w:name="_ENREF_8_36"/>
      <w:r w:rsidRPr="00C806D0">
        <w:rPr>
          <w:rFonts w:ascii="Calibri" w:hAnsi="Calibri"/>
          <w:noProof/>
        </w:rPr>
        <w:t>36.</w:t>
      </w:r>
      <w:r w:rsidRPr="00C806D0">
        <w:rPr>
          <w:rFonts w:ascii="Calibri" w:hAnsi="Calibri"/>
          <w:noProof/>
        </w:rPr>
        <w:tab/>
      </w:r>
      <w:r w:rsidRPr="00C806D0">
        <w:rPr>
          <w:rFonts w:ascii="Calibri" w:hAnsi="Calibri"/>
          <w:b/>
          <w:noProof/>
        </w:rPr>
        <w:t xml:space="preserve">Head Injury Straight to Neurosurgery Trial </w:t>
      </w:r>
      <w:r w:rsidRPr="00C806D0">
        <w:rPr>
          <w:rFonts w:ascii="Calibri" w:hAnsi="Calibri"/>
          <w:noProof/>
        </w:rPr>
        <w:t>[http://www.hits-ns.tarn.ac.uk/]</w:t>
      </w:r>
      <w:bookmarkEnd w:id="244"/>
    </w:p>
    <w:p w:rsidR="006D4D62" w:rsidRPr="00C806D0" w:rsidRDefault="006D4D62" w:rsidP="006D4D62">
      <w:pPr>
        <w:spacing w:line="240" w:lineRule="auto"/>
        <w:rPr>
          <w:noProof/>
        </w:rPr>
      </w:pPr>
    </w:p>
    <w:p w:rsidR="00105532" w:rsidRPr="00C806D0" w:rsidRDefault="00105532" w:rsidP="005F0441"/>
    <w:p w:rsidR="004442E4" w:rsidRPr="00C806D0" w:rsidRDefault="004442E4" w:rsidP="004442E4">
      <w:pPr>
        <w:sectPr w:rsidR="004442E4" w:rsidRPr="00C806D0" w:rsidSect="00E31429">
          <w:pgSz w:w="11906" w:h="16838"/>
          <w:pgMar w:top="1134" w:right="1134" w:bottom="1134" w:left="2268" w:header="709" w:footer="709" w:gutter="0"/>
          <w:cols w:space="708"/>
          <w:docGrid w:linePitch="360"/>
        </w:sectPr>
      </w:pPr>
    </w:p>
    <w:p w:rsidR="00003A24" w:rsidRPr="00C806D0" w:rsidRDefault="00003A24" w:rsidP="00003A24">
      <w:pPr>
        <w:pStyle w:val="Heading1"/>
      </w:pPr>
      <w:r w:rsidRPr="00C806D0">
        <w:rPr>
          <w:noProof/>
        </w:rPr>
        <w:t xml:space="preserve"> </w:t>
      </w:r>
      <w:r w:rsidRPr="00C806D0">
        <w:t>Appendix I: model inputs for ECONOMIC model EVALUATIng alternative MANAGEMENT PATHWAYS FOR ADULT PATIENTS WITH STABLE SUSPECTED SIGNIFICANT tbi</w:t>
      </w:r>
    </w:p>
    <w:p w:rsidR="00003A24" w:rsidRPr="00C806D0" w:rsidRDefault="00003A24" w:rsidP="00003A24">
      <w:pPr>
        <w:pStyle w:val="Heading2"/>
      </w:pPr>
      <w:r w:rsidRPr="00C806D0">
        <w:t>Introduction</w:t>
      </w:r>
    </w:p>
    <w:p w:rsidR="00003A24" w:rsidRPr="00C806D0" w:rsidRDefault="00003A24" w:rsidP="00003A24">
      <w:pPr>
        <w:rPr>
          <w:bCs/>
        </w:rPr>
      </w:pPr>
      <w:r w:rsidRPr="00C806D0">
        <w:rPr>
          <w:bCs/>
        </w:rPr>
        <w:t>Parameterisation with unbiased model inputs is vital to ensure the validity of cost-effectiveness models. NICE offers best practice guidance on the use of evidence to inform health economic evaluations,</w:t>
      </w:r>
      <w:r w:rsidRPr="00C806D0">
        <w:rPr>
          <w:bCs/>
          <w:noProof/>
          <w:vertAlign w:val="superscript"/>
        </w:rPr>
        <w:t>[</w:t>
      </w:r>
      <w:r w:rsidR="006D4D62" w:rsidRPr="00C806D0">
        <w:rPr>
          <w:bCs/>
          <w:noProof/>
          <w:vertAlign w:val="superscript"/>
        </w:rPr>
        <w:t>1</w:t>
      </w:r>
      <w:r w:rsidRPr="00C806D0">
        <w:rPr>
          <w:bCs/>
          <w:noProof/>
          <w:vertAlign w:val="superscript"/>
        </w:rPr>
        <w:t xml:space="preserve">, </w:t>
      </w:r>
      <w:r w:rsidR="006D4D62" w:rsidRPr="00C806D0">
        <w:rPr>
          <w:bCs/>
          <w:noProof/>
          <w:vertAlign w:val="superscript"/>
        </w:rPr>
        <w:t>2</w:t>
      </w:r>
      <w:r w:rsidRPr="00C806D0">
        <w:rPr>
          <w:bCs/>
          <w:noProof/>
          <w:vertAlign w:val="superscript"/>
        </w:rPr>
        <w:t>]</w:t>
      </w:r>
      <w:r w:rsidRPr="00C806D0">
        <w:rPr>
          <w:bCs/>
        </w:rPr>
        <w:t xml:space="preserve"> recommending  systematic reviews  to identify relative effectiveness estimates; and using systematic, reproducible and transparent methods for other variables. </w:t>
      </w:r>
    </w:p>
    <w:p w:rsidR="00003A24" w:rsidRPr="00C806D0" w:rsidRDefault="00003A24" w:rsidP="00003A24">
      <w:pPr>
        <w:rPr>
          <w:bCs/>
        </w:rPr>
      </w:pPr>
    </w:p>
    <w:p w:rsidR="00003A24" w:rsidRPr="00C806D0" w:rsidRDefault="00003A24" w:rsidP="00003A24">
      <w:pPr>
        <w:rPr>
          <w:bCs/>
        </w:rPr>
      </w:pPr>
      <w:r w:rsidRPr="00C806D0">
        <w:rPr>
          <w:bCs/>
        </w:rPr>
        <w:t xml:space="preserve">A wide variety of information sources were used for the parameterisation of the HITSNS model including published and unpublished research, official reference sources, HITSNS pilot data, trauma registry data, and expert opinion. Where relevant, findings from sub-studies conducted during this PhD, and described in preceding chapters, have been used to specify mean values and distributions for variables. </w:t>
      </w:r>
    </w:p>
    <w:p w:rsidR="00003A24" w:rsidRPr="00C806D0" w:rsidRDefault="00003A24" w:rsidP="00003A24">
      <w:pPr>
        <w:pStyle w:val="Heading2"/>
      </w:pPr>
      <w:r w:rsidRPr="00C806D0">
        <w:t>Methods</w:t>
      </w:r>
    </w:p>
    <w:p w:rsidR="00003A24" w:rsidRPr="00C806D0" w:rsidRDefault="00003A24" w:rsidP="002A360F">
      <w:pPr>
        <w:pStyle w:val="Heading3"/>
      </w:pPr>
      <w:r w:rsidRPr="00C806D0">
        <w:t>Systematic reviews</w:t>
      </w:r>
    </w:p>
    <w:p w:rsidR="00003A24" w:rsidRPr="00C806D0" w:rsidRDefault="00003A24" w:rsidP="00003A24">
      <w:pPr>
        <w:rPr>
          <w:bCs/>
        </w:rPr>
      </w:pPr>
      <w:r w:rsidRPr="00C806D0">
        <w:rPr>
          <w:bCs/>
        </w:rPr>
        <w:t xml:space="preserve">Systematic review evidence was assessed to parameterise estimates of relative clinical effectiveness between comparators for sub-groups of: i) patients with TBI requiring critical care; and ii) patients with major </w:t>
      </w:r>
      <w:r w:rsidR="002A16B4" w:rsidRPr="00C806D0">
        <w:rPr>
          <w:bCs/>
        </w:rPr>
        <w:t>extracranial</w:t>
      </w:r>
      <w:r w:rsidRPr="00C806D0">
        <w:rPr>
          <w:bCs/>
        </w:rPr>
        <w:t xml:space="preserve"> injury. Selective secondary transfer was chosen as the reference management pathway as this was current NHS practice when HITSNS was conceived and had the greatest availability of baseline outcome data. </w:t>
      </w:r>
    </w:p>
    <w:p w:rsidR="00003A24" w:rsidRPr="00C806D0" w:rsidRDefault="00003A24" w:rsidP="00003A24">
      <w:pPr>
        <w:rPr>
          <w:bCs/>
        </w:rPr>
      </w:pPr>
    </w:p>
    <w:p w:rsidR="00003A24" w:rsidRPr="00C806D0" w:rsidRDefault="00003A24" w:rsidP="00003A24">
      <w:pPr>
        <w:rPr>
          <w:bCs/>
        </w:rPr>
      </w:pPr>
      <w:r w:rsidRPr="00C806D0">
        <w:rPr>
          <w:bCs/>
        </w:rPr>
        <w:t xml:space="preserve">The systematic review evidence examining comparative effectiveness for patients with TBI requiring critical care is described in Chapter Two. An additional search using identical principles was performed to identify systematic reviews investigating patients with major </w:t>
      </w:r>
      <w:r w:rsidR="002A16B4" w:rsidRPr="00C806D0">
        <w:rPr>
          <w:bCs/>
        </w:rPr>
        <w:t>extracranial</w:t>
      </w:r>
      <w:r w:rsidRPr="00C806D0">
        <w:rPr>
          <w:bCs/>
        </w:rPr>
        <w:t xml:space="preserve"> injury.</w:t>
      </w:r>
    </w:p>
    <w:p w:rsidR="00003A24" w:rsidRPr="00C806D0" w:rsidRDefault="00003A24" w:rsidP="002A360F">
      <w:pPr>
        <w:pStyle w:val="Heading3"/>
      </w:pPr>
      <w:r w:rsidRPr="00C806D0">
        <w:t>Literature reviews</w:t>
      </w:r>
    </w:p>
    <w:p w:rsidR="00003A24" w:rsidRPr="00C806D0" w:rsidRDefault="00003A24" w:rsidP="00003A24">
      <w:r w:rsidRPr="00C806D0">
        <w:t>NICE Decision Support Unit technical guidance on model parameterisation recognises that, aside from clinical effectiveness data, formal systematic review methods are not feasible and may be inappropriate for many model inputs.</w:t>
      </w:r>
      <w:r w:rsidRPr="00C806D0">
        <w:rPr>
          <w:noProof/>
          <w:vertAlign w:val="superscript"/>
        </w:rPr>
        <w:t>[</w:t>
      </w:r>
      <w:r w:rsidR="006D4D62" w:rsidRPr="00C806D0">
        <w:rPr>
          <w:noProof/>
          <w:vertAlign w:val="superscript"/>
        </w:rPr>
        <w:t>2</w:t>
      </w:r>
      <w:r w:rsidRPr="00C806D0">
        <w:rPr>
          <w:noProof/>
          <w:vertAlign w:val="superscript"/>
        </w:rPr>
        <w:t xml:space="preserve">, </w:t>
      </w:r>
      <w:r w:rsidR="006D4D62" w:rsidRPr="00C806D0">
        <w:rPr>
          <w:noProof/>
          <w:vertAlign w:val="superscript"/>
        </w:rPr>
        <w:t>3</w:t>
      </w:r>
      <w:r w:rsidRPr="00C806D0">
        <w:rPr>
          <w:noProof/>
          <w:vertAlign w:val="superscript"/>
        </w:rPr>
        <w:t>]</w:t>
      </w:r>
      <w:r w:rsidRPr="00C806D0">
        <w:t xml:space="preserve"> It acknowledges that search activities should instead be tailored to the specific model parameter and focus on credibly populating the economic model. Separate ‘rapid’ reviews were therefore performed to inform non-effectiveness model inputs.</w:t>
      </w:r>
      <w:r w:rsidRPr="00C806D0">
        <w:rPr>
          <w:noProof/>
          <w:vertAlign w:val="superscript"/>
        </w:rPr>
        <w:t>[</w:t>
      </w:r>
      <w:r w:rsidR="006D4D62" w:rsidRPr="00C806D0">
        <w:rPr>
          <w:noProof/>
          <w:vertAlign w:val="superscript"/>
        </w:rPr>
        <w:t>4</w:t>
      </w:r>
      <w:r w:rsidRPr="00C806D0">
        <w:rPr>
          <w:noProof/>
          <w:vertAlign w:val="superscript"/>
        </w:rPr>
        <w:t>]</w:t>
      </w:r>
      <w:r w:rsidRPr="00C806D0">
        <w:t xml:space="preserve"> Searches aimed to identify sufficient evidence to achieve information saturation, such that further efforts to identify more information would add nothing to the analysis; and were based on the following principles:</w:t>
      </w:r>
    </w:p>
    <w:p w:rsidR="00003A24" w:rsidRPr="00C806D0" w:rsidRDefault="00003A24" w:rsidP="00003A24">
      <w:pPr>
        <w:rPr>
          <w:bCs/>
        </w:rPr>
      </w:pPr>
    </w:p>
    <w:p w:rsidR="00003A24" w:rsidRPr="00C806D0" w:rsidRDefault="00003A24" w:rsidP="00550C9C">
      <w:pPr>
        <w:pStyle w:val="ListParagraph"/>
        <w:numPr>
          <w:ilvl w:val="0"/>
          <w:numId w:val="31"/>
        </w:numPr>
        <w:rPr>
          <w:bCs/>
        </w:rPr>
      </w:pPr>
      <w:r w:rsidRPr="00C806D0">
        <w:rPr>
          <w:bCs/>
        </w:rPr>
        <w:t>A ‘systematic’ organised approach to identifying evidence</w:t>
      </w:r>
    </w:p>
    <w:p w:rsidR="00003A24" w:rsidRPr="00C806D0" w:rsidRDefault="00003A24" w:rsidP="00550C9C">
      <w:pPr>
        <w:pStyle w:val="ListParagraph"/>
        <w:numPr>
          <w:ilvl w:val="0"/>
          <w:numId w:val="31"/>
        </w:numPr>
        <w:rPr>
          <w:bCs/>
        </w:rPr>
      </w:pPr>
      <w:r w:rsidRPr="00C806D0">
        <w:rPr>
          <w:bCs/>
        </w:rPr>
        <w:t>Transparency</w:t>
      </w:r>
    </w:p>
    <w:p w:rsidR="00003A24" w:rsidRPr="00C806D0" w:rsidRDefault="00003A24" w:rsidP="00550C9C">
      <w:pPr>
        <w:pStyle w:val="ListParagraph"/>
        <w:numPr>
          <w:ilvl w:val="0"/>
          <w:numId w:val="31"/>
        </w:numPr>
        <w:rPr>
          <w:bCs/>
        </w:rPr>
      </w:pPr>
      <w:r w:rsidRPr="00C806D0">
        <w:rPr>
          <w:bCs/>
        </w:rPr>
        <w:t>Optimisation of searches for individual parameters</w:t>
      </w:r>
    </w:p>
    <w:p w:rsidR="00003A24" w:rsidRPr="00C806D0" w:rsidRDefault="00003A24" w:rsidP="00550C9C">
      <w:pPr>
        <w:pStyle w:val="ListParagraph"/>
        <w:numPr>
          <w:ilvl w:val="0"/>
          <w:numId w:val="31"/>
        </w:numPr>
        <w:rPr>
          <w:bCs/>
        </w:rPr>
      </w:pPr>
      <w:r w:rsidRPr="00C806D0">
        <w:rPr>
          <w:bCs/>
        </w:rPr>
        <w:t>Balancing sensitivity with specificity and efficiency.</w:t>
      </w:r>
    </w:p>
    <w:p w:rsidR="00003A24" w:rsidRPr="00C806D0" w:rsidRDefault="00003A24" w:rsidP="00003A24">
      <w:pPr>
        <w:rPr>
          <w:bCs/>
        </w:rPr>
      </w:pPr>
      <w:r w:rsidRPr="00C806D0">
        <w:rPr>
          <w:bCs/>
        </w:rPr>
        <w:t xml:space="preserve">The primary information sources were established bibliographic databases (MEDLINE, EMBASE and the Cochrane Library). Directed searching within these information sources promoted satisfactory sensitivity.  Additional high yield searching techniques were employed to increase precision, including: </w:t>
      </w:r>
    </w:p>
    <w:p w:rsidR="00003A24" w:rsidRPr="00C806D0" w:rsidRDefault="00003A24" w:rsidP="00003A24">
      <w:pPr>
        <w:rPr>
          <w:bCs/>
        </w:rPr>
      </w:pPr>
    </w:p>
    <w:p w:rsidR="00003A24" w:rsidRPr="00C806D0" w:rsidRDefault="00003A24" w:rsidP="00550C9C">
      <w:pPr>
        <w:pStyle w:val="ListParagraph"/>
        <w:numPr>
          <w:ilvl w:val="0"/>
          <w:numId w:val="32"/>
        </w:numPr>
      </w:pPr>
      <w:r w:rsidRPr="00C806D0">
        <w:rPr>
          <w:bCs/>
        </w:rPr>
        <w:t>Utilisation of ‘rich patches’ including clinical experts, existing head injury economic evaluations, established trauma registries, clinical guidelines, PubMed ‘Related Citations’ and systematic reviews.</w:t>
      </w:r>
    </w:p>
    <w:p w:rsidR="00003A24" w:rsidRPr="00C806D0" w:rsidRDefault="00003A24" w:rsidP="00550C9C">
      <w:pPr>
        <w:pStyle w:val="ListParagraph"/>
        <w:numPr>
          <w:ilvl w:val="0"/>
          <w:numId w:val="32"/>
        </w:numPr>
        <w:rPr>
          <w:bCs/>
        </w:rPr>
      </w:pPr>
      <w:r w:rsidRPr="00C806D0">
        <w:rPr>
          <w:bCs/>
        </w:rPr>
        <w:t>‘Snowballing’ with</w:t>
      </w:r>
      <w:r w:rsidRPr="00C806D0">
        <w:t xml:space="preserve"> trails of cited references followed prospectively and retrospectively from index sources.</w:t>
      </w:r>
      <w:r w:rsidRPr="00C806D0">
        <w:rPr>
          <w:noProof/>
          <w:vertAlign w:val="superscript"/>
        </w:rPr>
        <w:t>[</w:t>
      </w:r>
      <w:r w:rsidR="006D4D62" w:rsidRPr="00C806D0">
        <w:rPr>
          <w:noProof/>
          <w:vertAlign w:val="superscript"/>
        </w:rPr>
        <w:t>5</w:t>
      </w:r>
      <w:r w:rsidRPr="00C806D0">
        <w:rPr>
          <w:noProof/>
          <w:vertAlign w:val="superscript"/>
        </w:rPr>
        <w:t>]</w:t>
      </w:r>
    </w:p>
    <w:p w:rsidR="00003A24" w:rsidRPr="00C806D0" w:rsidRDefault="00003A24" w:rsidP="00550C9C">
      <w:pPr>
        <w:pStyle w:val="ListParagraph"/>
        <w:numPr>
          <w:ilvl w:val="0"/>
          <w:numId w:val="32"/>
        </w:numPr>
        <w:rPr>
          <w:bCs/>
        </w:rPr>
      </w:pPr>
      <w:r w:rsidRPr="00C806D0">
        <w:rPr>
          <w:bCs/>
        </w:rPr>
        <w:t xml:space="preserve">Internet searching </w:t>
      </w:r>
      <w:r w:rsidRPr="00C806D0">
        <w:t>using broad keyword strategies.</w:t>
      </w:r>
    </w:p>
    <w:p w:rsidR="00003A24" w:rsidRPr="00C806D0" w:rsidRDefault="00003A24" w:rsidP="00550C9C">
      <w:pPr>
        <w:pStyle w:val="ListParagraph"/>
        <w:numPr>
          <w:ilvl w:val="0"/>
          <w:numId w:val="32"/>
        </w:numPr>
        <w:rPr>
          <w:bCs/>
        </w:rPr>
      </w:pPr>
      <w:r w:rsidRPr="00C806D0">
        <w:rPr>
          <w:bCs/>
        </w:rPr>
        <w:t xml:space="preserve">Inclusion of evidence indirectly retrieved in searches for related model parameters. </w:t>
      </w:r>
    </w:p>
    <w:p w:rsidR="00003A24" w:rsidRPr="00C806D0" w:rsidRDefault="00003A24" w:rsidP="00003A24">
      <w:pPr>
        <w:rPr>
          <w:bCs/>
        </w:rPr>
      </w:pPr>
      <w:r w:rsidRPr="00C806D0">
        <w:rPr>
          <w:bCs/>
        </w:rPr>
        <w:t xml:space="preserve">Identified evidence was reviewed for applicability to the HITSNS decision problem. Potentially relevant </w:t>
      </w:r>
      <w:r w:rsidR="00335B1F" w:rsidRPr="00C806D0">
        <w:rPr>
          <w:bCs/>
        </w:rPr>
        <w:t>data were</w:t>
      </w:r>
      <w:r w:rsidRPr="00C806D0">
        <w:rPr>
          <w:bCs/>
        </w:rPr>
        <w:t xml:space="preserve"> then assessed for risk of bias using hierarchies of evidence,</w:t>
      </w:r>
      <w:r w:rsidRPr="00C806D0">
        <w:rPr>
          <w:bCs/>
          <w:noProof/>
          <w:vertAlign w:val="superscript"/>
        </w:rPr>
        <w:t>[</w:t>
      </w:r>
      <w:r w:rsidR="006D4D62" w:rsidRPr="00C806D0">
        <w:rPr>
          <w:bCs/>
          <w:noProof/>
          <w:vertAlign w:val="superscript"/>
        </w:rPr>
        <w:t>6</w:t>
      </w:r>
      <w:r w:rsidRPr="00C806D0">
        <w:rPr>
          <w:bCs/>
          <w:noProof/>
          <w:vertAlign w:val="superscript"/>
        </w:rPr>
        <w:t>]</w:t>
      </w:r>
      <w:r w:rsidRPr="00C806D0">
        <w:rPr>
          <w:bCs/>
        </w:rPr>
        <w:t xml:space="preserve"> appropriate critical appraisal instruments,</w:t>
      </w:r>
      <w:r w:rsidRPr="00C806D0">
        <w:rPr>
          <w:bCs/>
          <w:noProof/>
          <w:vertAlign w:val="superscript"/>
        </w:rPr>
        <w:t>[</w:t>
      </w:r>
      <w:r w:rsidR="006D4D62" w:rsidRPr="00C806D0">
        <w:rPr>
          <w:bCs/>
          <w:noProof/>
          <w:vertAlign w:val="superscript"/>
        </w:rPr>
        <w:t>7</w:t>
      </w:r>
      <w:r w:rsidRPr="00C806D0">
        <w:rPr>
          <w:bCs/>
          <w:noProof/>
          <w:vertAlign w:val="superscript"/>
        </w:rPr>
        <w:t xml:space="preserve">, </w:t>
      </w:r>
      <w:r w:rsidR="006D4D62" w:rsidRPr="00C806D0">
        <w:rPr>
          <w:bCs/>
          <w:noProof/>
          <w:vertAlign w:val="superscript"/>
        </w:rPr>
        <w:t>8</w:t>
      </w:r>
      <w:r w:rsidRPr="00C806D0">
        <w:rPr>
          <w:bCs/>
          <w:noProof/>
          <w:vertAlign w:val="superscript"/>
        </w:rPr>
        <w:t>]</w:t>
      </w:r>
      <w:r w:rsidRPr="00C806D0">
        <w:rPr>
          <w:bCs/>
        </w:rPr>
        <w:t xml:space="preserve"> and theoretical considerations.</w:t>
      </w:r>
      <w:r w:rsidRPr="00C806D0">
        <w:rPr>
          <w:bCs/>
          <w:noProof/>
          <w:vertAlign w:val="superscript"/>
        </w:rPr>
        <w:t>[</w:t>
      </w:r>
      <w:r w:rsidR="006D4D62" w:rsidRPr="00C806D0">
        <w:rPr>
          <w:bCs/>
          <w:noProof/>
          <w:vertAlign w:val="superscript"/>
        </w:rPr>
        <w:t>9-11</w:t>
      </w:r>
      <w:r w:rsidRPr="00C806D0">
        <w:rPr>
          <w:bCs/>
          <w:noProof/>
          <w:vertAlign w:val="superscript"/>
        </w:rPr>
        <w:t>]</w:t>
      </w:r>
      <w:r w:rsidRPr="00C806D0">
        <w:rPr>
          <w:bCs/>
        </w:rPr>
        <w:t xml:space="preserve"> Only studies at low risk of bias were considered to have met the minimum standard for inclusion in the model. </w:t>
      </w:r>
    </w:p>
    <w:p w:rsidR="00003A24" w:rsidRPr="00C806D0" w:rsidRDefault="00003A24" w:rsidP="00003A24">
      <w:pPr>
        <w:rPr>
          <w:bCs/>
        </w:rPr>
      </w:pPr>
    </w:p>
    <w:p w:rsidR="00003A24" w:rsidRPr="00C806D0" w:rsidRDefault="00003A24" w:rsidP="00003A24">
      <w:pPr>
        <w:rPr>
          <w:bCs/>
        </w:rPr>
      </w:pPr>
      <w:r w:rsidRPr="00C806D0">
        <w:rPr>
          <w:bCs/>
        </w:rPr>
        <w:t xml:space="preserve">Searches were developed and performed by the primary modeller (GF). Assessment of relevance and critical appraisal were also completed by the same investigator. </w:t>
      </w:r>
      <w:r w:rsidR="00335B1F" w:rsidRPr="00C806D0">
        <w:rPr>
          <w:bCs/>
        </w:rPr>
        <w:t>Data were</w:t>
      </w:r>
      <w:r w:rsidRPr="00C806D0">
        <w:rPr>
          <w:bCs/>
        </w:rPr>
        <w:t xml:space="preserve"> collected for all potentially relevant studies using a generic form customised from the Cochrane Collaboration.</w:t>
      </w:r>
      <w:r w:rsidRPr="00C806D0">
        <w:rPr>
          <w:bCs/>
          <w:noProof/>
          <w:vertAlign w:val="superscript"/>
        </w:rPr>
        <w:t>[</w:t>
      </w:r>
      <w:r w:rsidR="006D4D62" w:rsidRPr="00C806D0">
        <w:rPr>
          <w:bCs/>
          <w:noProof/>
          <w:vertAlign w:val="superscript"/>
        </w:rPr>
        <w:t>12</w:t>
      </w:r>
      <w:r w:rsidRPr="00C806D0">
        <w:rPr>
          <w:bCs/>
          <w:noProof/>
          <w:vertAlign w:val="superscript"/>
        </w:rPr>
        <w:t>]</w:t>
      </w:r>
      <w:r w:rsidRPr="00C806D0">
        <w:rPr>
          <w:bCs/>
        </w:rPr>
        <w:t xml:space="preserve"> Selected evidence was then additionally checked for appropriateness by clinical experts in the HITSNS trial management group.</w:t>
      </w:r>
    </w:p>
    <w:p w:rsidR="00003A24" w:rsidRPr="00C806D0" w:rsidRDefault="00003A24" w:rsidP="002A360F">
      <w:pPr>
        <w:pStyle w:val="Heading3"/>
      </w:pPr>
      <w:r w:rsidRPr="00C806D0">
        <w:t>Expert elicitation</w:t>
      </w:r>
    </w:p>
    <w:p w:rsidR="00003A24" w:rsidRPr="00C806D0" w:rsidRDefault="00003A24" w:rsidP="00003A24">
      <w:r w:rsidRPr="00C806D0">
        <w:rPr>
          <w:bCs/>
        </w:rPr>
        <w:t xml:space="preserve">During evidence searching it was apparent that there were model inputs where no valid or applicable </w:t>
      </w:r>
      <w:r w:rsidR="00335B1F" w:rsidRPr="00C806D0">
        <w:rPr>
          <w:bCs/>
        </w:rPr>
        <w:t>data were</w:t>
      </w:r>
      <w:r w:rsidRPr="00C806D0">
        <w:rPr>
          <w:bCs/>
        </w:rPr>
        <w:t xml:space="preserve"> available. </w:t>
      </w:r>
      <w:r w:rsidRPr="00C806D0">
        <w:t>Despite such weaknesses in the evidence base, a decision is still necessary on which head injury management pathway to adopt. Clinical experts were therefore asked to provide their beliefs on plausible values for parameters in formal elicitation exercises.</w:t>
      </w:r>
    </w:p>
    <w:p w:rsidR="00003A24" w:rsidRPr="00C806D0" w:rsidRDefault="00003A24" w:rsidP="00003A24"/>
    <w:p w:rsidR="00003A24" w:rsidRPr="00C806D0" w:rsidRDefault="00003A24" w:rsidP="00003A24">
      <w:r w:rsidRPr="00C806D0">
        <w:t>Elicitation was performed using the Sheffield Elicitation Framework (SHELF),</w:t>
      </w:r>
      <w:r w:rsidRPr="00C806D0">
        <w:rPr>
          <w:noProof/>
          <w:vertAlign w:val="superscript"/>
        </w:rPr>
        <w:t>[</w:t>
      </w:r>
      <w:r w:rsidR="006D4D62" w:rsidRPr="00C806D0">
        <w:rPr>
          <w:noProof/>
          <w:vertAlign w:val="superscript"/>
        </w:rPr>
        <w:t>13</w:t>
      </w:r>
      <w:r w:rsidRPr="00C806D0">
        <w:rPr>
          <w:noProof/>
          <w:vertAlign w:val="superscript"/>
        </w:rPr>
        <w:t xml:space="preserve">, </w:t>
      </w:r>
      <w:r w:rsidR="006D4D62" w:rsidRPr="00C806D0">
        <w:rPr>
          <w:noProof/>
          <w:vertAlign w:val="superscript"/>
        </w:rPr>
        <w:t>14</w:t>
      </w:r>
      <w:r w:rsidRPr="00C806D0">
        <w:rPr>
          <w:noProof/>
          <w:vertAlign w:val="superscript"/>
        </w:rPr>
        <w:t>]</w:t>
      </w:r>
      <w:r w:rsidRPr="00C806D0">
        <w:t xml:space="preserve"> an established methodology used in previous health technology assessments which includes standardised documentation and computer software for distribution fitting. Ten out of a possible 14 neuro-intensive care consultants at a regional UK SNC participated in elicitation of relative effectiveness estimates for acute neurosurgery and patients with TBI requiring critical care subgroups. The study sample was determined by experts’ availability on the day of the elicitation exercise. All participants were sent comprehensive briefing material prior to the elicitation session which included background information on: the HITSNS study; alternative management strategies for suspected TBI; expert elicitation; and the SHELF framework. References for further reading, and a contact telephone number and email address, were also supplied to provide further information. For non-effectiveness variables where no valid </w:t>
      </w:r>
      <w:r w:rsidR="00335B1F" w:rsidRPr="00C806D0">
        <w:t>data were</w:t>
      </w:r>
      <w:r w:rsidRPr="00C806D0">
        <w:t xml:space="preserve"> available, and for adjustment of indirectly relevant evidence, elicitation was performed within the HITSNS trial management group.</w:t>
      </w:r>
    </w:p>
    <w:p w:rsidR="00003A24" w:rsidRPr="00C806D0" w:rsidRDefault="00003A24" w:rsidP="00003A24"/>
    <w:p w:rsidR="00003A24" w:rsidRPr="00C806D0" w:rsidRDefault="00003A24" w:rsidP="00003A24">
      <w:r w:rsidRPr="00C806D0">
        <w:t>The elicitation proceeded in five steps. Firstly, a detailed introductory session familiarised experts with health economic modelling, probability distributions and expert elicitation. Secondly, training exercises were performed where the elicitation of unrelated quantities was practiced. Thirdly, background information and evidence relevant to each model input was comprehensively reviewed and discussed. Fourthly, experts individually recorded their beliefs on each parameter of interest. Finally, experts were provided with feedback on their chosen probability distributions and a final consensus distribution was fitted following a group discussion.</w:t>
      </w:r>
    </w:p>
    <w:p w:rsidR="00003A24" w:rsidRPr="00C806D0" w:rsidRDefault="00003A24" w:rsidP="00003A24"/>
    <w:p w:rsidR="00003A24" w:rsidRPr="00C806D0" w:rsidRDefault="00003A24" w:rsidP="00003A24">
      <w:r w:rsidRPr="00C806D0">
        <w:t>A probability histogram method was used by experts to represent their beliefs. The most extreme plausible parameter limits were identified through group discussion and this range was then divided into 10 equal intervals. Experts then distributed 20 ‘chips’, each indicating 5% probability, across intervals to reflect their beliefs on the likelihood of alternative values. Feedback was provided to each expert by presenting median values and 95% credible intervals for the best fitting distribution to their probability histogram. A group distribution was then fitted using the MATCH-2 internet application, summarising the responses of all 10 experts, and presented to the group to provide a visual representation of collective opinion.</w:t>
      </w:r>
      <w:r w:rsidRPr="00C806D0">
        <w:rPr>
          <w:noProof/>
          <w:vertAlign w:val="superscript"/>
        </w:rPr>
        <w:t>[</w:t>
      </w:r>
      <w:r w:rsidR="006D4D62" w:rsidRPr="00C806D0">
        <w:rPr>
          <w:noProof/>
          <w:vertAlign w:val="superscript"/>
        </w:rPr>
        <w:t>15</w:t>
      </w:r>
      <w:r w:rsidRPr="00C806D0">
        <w:rPr>
          <w:noProof/>
          <w:vertAlign w:val="superscript"/>
        </w:rPr>
        <w:t>]</w:t>
      </w:r>
      <w:r w:rsidRPr="00C806D0">
        <w:t xml:space="preserve"> This distribution was modified if necessary, informed by instant real-time modification of the displayed distribution, after a round table group discussion. A final consensus distribution was then confirmed with the group. </w:t>
      </w:r>
    </w:p>
    <w:p w:rsidR="00003A24" w:rsidRPr="00C806D0" w:rsidRDefault="00003A24" w:rsidP="002A360F">
      <w:pPr>
        <w:pStyle w:val="Heading3"/>
      </w:pPr>
      <w:r w:rsidRPr="00C806D0">
        <w:t>Incremental hospital costs</w:t>
      </w:r>
    </w:p>
    <w:p w:rsidR="00003A24" w:rsidRPr="00C806D0" w:rsidRDefault="00003A24" w:rsidP="00003A24">
      <w:r w:rsidRPr="00C806D0">
        <w:t xml:space="preserve">Representative patient level </w:t>
      </w:r>
      <w:r w:rsidR="00335B1F" w:rsidRPr="00C806D0">
        <w:t>data were</w:t>
      </w:r>
      <w:r w:rsidRPr="00C806D0">
        <w:t xml:space="preserve"> available for hospital resource use in each model sub-group from HITSNS pilot study data. Incremental costs between patients initially transported to NSAHs and SNC were subsequently calculated for each model population sub-group. The study population comprised all eligible patients in the HITSNS trial with a prehospital GCS≤12, with the subsequent study sample excluding patients with missing resource data due to lack of identification, or refusal of consent. The HITSNS study protocol was modified prior to commencement of recruitment with eligibility criteria in the NEAS region widened to a </w:t>
      </w:r>
      <w:r w:rsidR="002A16B4" w:rsidRPr="00C806D0">
        <w:t>prehospital</w:t>
      </w:r>
      <w:r w:rsidRPr="00C806D0">
        <w:t xml:space="preserve"> GCS of ≤ 13 to give consistency with the coincidently introduced major trauma bypass protocol. NEAS patients with GCS of 13 were excluded from the incremental cost analysis to maintain compatibility with the modelled population.</w:t>
      </w:r>
    </w:p>
    <w:p w:rsidR="00003A24" w:rsidRPr="00C806D0" w:rsidRDefault="00003A24" w:rsidP="00003A24"/>
    <w:p w:rsidR="00003A24" w:rsidRPr="00C806D0" w:rsidRDefault="00003A24" w:rsidP="00003A24">
      <w:r w:rsidRPr="00C806D0">
        <w:t xml:space="preserve">Relevant </w:t>
      </w:r>
      <w:r w:rsidR="00335B1F" w:rsidRPr="00C806D0">
        <w:t>data were</w:t>
      </w:r>
      <w:r w:rsidRPr="00C806D0">
        <w:t xml:space="preserve"> collected for all major resource use categories, including transportation, emergency department treatment, intensive care and ward admissions, operative procedures, and inter-hospital transfers. Resources were valued in Pounds Sterling using NHS reference costs and health care currencies.</w:t>
      </w:r>
      <w:r w:rsidRPr="00C806D0">
        <w:rPr>
          <w:noProof/>
          <w:vertAlign w:val="superscript"/>
        </w:rPr>
        <w:t>[</w:t>
      </w:r>
      <w:r w:rsidR="006D4D62" w:rsidRPr="00C806D0">
        <w:rPr>
          <w:noProof/>
          <w:vertAlign w:val="superscript"/>
        </w:rPr>
        <w:t>16-19</w:t>
      </w:r>
      <w:r w:rsidRPr="00C806D0">
        <w:rPr>
          <w:noProof/>
          <w:vertAlign w:val="superscript"/>
        </w:rPr>
        <w:t>]</w:t>
      </w:r>
      <w:r w:rsidRPr="00C806D0">
        <w:t xml:space="preserve"> Sub-classification of intensive care management by the number of organ systems supported, as categorised in NHS reference costs, was not available, and intensive care admissions were therefore assumed to correspond to the tariff for 3 organs supported. The price base was 2012, with prices inflated to current values using Bank of England consumer price index data where necessary.</w:t>
      </w:r>
      <w:r w:rsidRPr="00C806D0">
        <w:rPr>
          <w:noProof/>
          <w:vertAlign w:val="superscript"/>
        </w:rPr>
        <w:t>[</w:t>
      </w:r>
      <w:r w:rsidR="006D4D62" w:rsidRPr="00C806D0">
        <w:rPr>
          <w:noProof/>
          <w:vertAlign w:val="superscript"/>
        </w:rPr>
        <w:t>20</w:t>
      </w:r>
      <w:r w:rsidRPr="00C806D0">
        <w:rPr>
          <w:noProof/>
          <w:vertAlign w:val="superscript"/>
        </w:rPr>
        <w:t>]</w:t>
      </w:r>
      <w:r w:rsidRPr="00C806D0">
        <w:t xml:space="preserve"> Best practice trauma care tariffs were applied for specialist care in patients with head injury requiring critical care, acute neurosurgery and major </w:t>
      </w:r>
      <w:r w:rsidR="002A16B4" w:rsidRPr="00C806D0">
        <w:t>extracranial</w:t>
      </w:r>
      <w:r w:rsidRPr="00C806D0">
        <w:t xml:space="preserve"> injury.</w:t>
      </w:r>
      <w:r w:rsidRPr="00C806D0">
        <w:rPr>
          <w:noProof/>
          <w:vertAlign w:val="superscript"/>
        </w:rPr>
        <w:t>[</w:t>
      </w:r>
      <w:r w:rsidR="006D4D62" w:rsidRPr="00C806D0">
        <w:rPr>
          <w:noProof/>
          <w:vertAlign w:val="superscript"/>
        </w:rPr>
        <w:t>19</w:t>
      </w:r>
      <w:r w:rsidRPr="00C806D0">
        <w:rPr>
          <w:noProof/>
          <w:vertAlign w:val="superscript"/>
        </w:rPr>
        <w:t>]</w:t>
      </w:r>
      <w:r w:rsidRPr="00C806D0">
        <w:t xml:space="preserve"> Tariff increases associated with the provision of specialist neuroscience care were also included for patients with significant TBI treated in SNCs. Unit costs are presented in Table I1.</w:t>
      </w:r>
    </w:p>
    <w:p w:rsidR="00003A24" w:rsidRPr="00C806D0" w:rsidRDefault="00003A24" w:rsidP="00003A24"/>
    <w:p w:rsidR="00003A24" w:rsidRPr="00C806D0" w:rsidRDefault="00003A24" w:rsidP="00003A24">
      <w:r w:rsidRPr="00C806D0">
        <w:t>The distributions of cost data within each sub-group were initially assessed for normality by visual inspection of frequency histograms. ‘As-treated’ complete case analyses of difference in mean costs were then calculated. For sub-groups with low sample sizes (n&lt;50) and non-normal data non-parametric sampling with replacement</w:t>
      </w:r>
      <w:r w:rsidR="00BD4490" w:rsidRPr="00C806D0">
        <w:t xml:space="preserve"> was conducted</w:t>
      </w:r>
      <w:r w:rsidRPr="00C806D0">
        <w:t>,</w:t>
      </w:r>
      <w:r w:rsidRPr="00C806D0">
        <w:rPr>
          <w:noProof/>
          <w:vertAlign w:val="superscript"/>
        </w:rPr>
        <w:t>[</w:t>
      </w:r>
      <w:r w:rsidR="006D4D62" w:rsidRPr="00C806D0">
        <w:rPr>
          <w:noProof/>
          <w:vertAlign w:val="superscript"/>
        </w:rPr>
        <w:t>21</w:t>
      </w:r>
      <w:r w:rsidRPr="00C806D0">
        <w:rPr>
          <w:noProof/>
          <w:vertAlign w:val="superscript"/>
        </w:rPr>
        <w:t>]</w:t>
      </w:r>
      <w:r w:rsidRPr="00C806D0">
        <w:t xml:space="preserve"> using 2,000 bootstrap replicates  to determine the unadjusted mean incremental cost difference and associated standard error between bypassed patients and those initially transported to NSAHs. In samples with multiple patients from the same ambulance station, bootstrapped standard error estimates were calculated accounting for clustering.</w:t>
      </w:r>
    </w:p>
    <w:p w:rsidR="00003A24" w:rsidRPr="00C806D0" w:rsidRDefault="00003A24" w:rsidP="00003A24"/>
    <w:p w:rsidR="002F1C02" w:rsidRPr="00C806D0" w:rsidRDefault="00003A24" w:rsidP="002F1C02">
      <w:pPr>
        <w:rPr>
          <w:rFonts w:ascii="Calibri" w:hAnsi="Calibri"/>
        </w:rPr>
      </w:pPr>
      <w:r w:rsidRPr="00C806D0">
        <w:t>For sub-groups with larger sample sizes multi-level, random intercept, generalised linear models were developed.</w:t>
      </w:r>
      <w:r w:rsidRPr="00C806D0">
        <w:rPr>
          <w:noProof/>
          <w:vertAlign w:val="superscript"/>
        </w:rPr>
        <w:t>[</w:t>
      </w:r>
      <w:r w:rsidR="006D4D62" w:rsidRPr="00C806D0">
        <w:rPr>
          <w:noProof/>
          <w:vertAlign w:val="superscript"/>
        </w:rPr>
        <w:t>22</w:t>
      </w:r>
      <w:r w:rsidRPr="00C806D0">
        <w:rPr>
          <w:noProof/>
          <w:vertAlign w:val="superscript"/>
        </w:rPr>
        <w:t>]</w:t>
      </w:r>
      <w:r w:rsidRPr="00C806D0">
        <w:t xml:space="preserve"> These models adjusted the mean incremental cost difference for the potential confounders of age, </w:t>
      </w:r>
      <w:r w:rsidR="002A16B4" w:rsidRPr="00C806D0">
        <w:t>prehospital</w:t>
      </w:r>
      <w:r w:rsidRPr="00C806D0">
        <w:t xml:space="preserve"> GCS and injury severity score; and accounted for clustering of cases within ambulance stations. Models were iteratively developed using the Modified Park Test to assess the suitability of candidate families describing mean-variance relationships; and goodness of fit statistics (Pearson’s correlation test and the Pregibon Link Test) to tune the model link function.</w:t>
      </w:r>
      <w:r w:rsidRPr="00C806D0">
        <w:rPr>
          <w:noProof/>
          <w:vertAlign w:val="superscript"/>
        </w:rPr>
        <w:t>[</w:t>
      </w:r>
      <w:r w:rsidR="006D4D62" w:rsidRPr="00C806D0">
        <w:rPr>
          <w:noProof/>
          <w:vertAlign w:val="superscript"/>
        </w:rPr>
        <w:t>23</w:t>
      </w:r>
      <w:r w:rsidRPr="00C806D0">
        <w:rPr>
          <w:noProof/>
          <w:vertAlign w:val="superscript"/>
        </w:rPr>
        <w:t xml:space="preserve">, </w:t>
      </w:r>
      <w:r w:rsidR="006D4D62" w:rsidRPr="00C806D0">
        <w:rPr>
          <w:noProof/>
          <w:vertAlign w:val="superscript"/>
        </w:rPr>
        <w:t>24</w:t>
      </w:r>
      <w:r w:rsidRPr="00C806D0">
        <w:rPr>
          <w:noProof/>
          <w:vertAlign w:val="superscript"/>
        </w:rPr>
        <w:t>]</w:t>
      </w:r>
      <w:r w:rsidRPr="00C806D0">
        <w:t xml:space="preserve"> </w:t>
      </w:r>
      <w:r w:rsidR="002F1C02" w:rsidRPr="00C806D0">
        <w:rPr>
          <w:rFonts w:ascii="Calibri" w:hAnsi="Calibri"/>
        </w:rPr>
        <w:t>Mean incremental costs difference, with the associated standard error and 95% confidence interval, were computed using the method of recycled predictions and non-parametric bootstrapping.</w:t>
      </w:r>
      <w:r w:rsidR="002F1C02" w:rsidRPr="00C806D0">
        <w:rPr>
          <w:rFonts w:ascii="Calibri" w:hAnsi="Calibri"/>
          <w:noProof/>
          <w:vertAlign w:val="superscript"/>
        </w:rPr>
        <w:t>[</w:t>
      </w:r>
      <w:r w:rsidR="006D4D62" w:rsidRPr="00C806D0">
        <w:rPr>
          <w:rFonts w:ascii="Calibri" w:hAnsi="Calibri"/>
          <w:noProof/>
          <w:vertAlign w:val="superscript"/>
        </w:rPr>
        <w:t>23</w:t>
      </w:r>
      <w:r w:rsidR="002F1C02" w:rsidRPr="00C806D0">
        <w:rPr>
          <w:rFonts w:ascii="Calibri" w:hAnsi="Calibri"/>
          <w:noProof/>
          <w:vertAlign w:val="superscript"/>
        </w:rPr>
        <w:t>]</w:t>
      </w:r>
    </w:p>
    <w:p w:rsidR="00003A24" w:rsidRPr="00C806D0" w:rsidRDefault="00003A24" w:rsidP="00003A24"/>
    <w:p w:rsidR="00003A24" w:rsidRPr="00C806D0" w:rsidRDefault="00003A24" w:rsidP="00003A24">
      <w:r w:rsidRPr="00C806D0">
        <w:t xml:space="preserve">Analyses were performed in Stata version 12.1 (StataCorp, College Station, USA).  The </w:t>
      </w:r>
      <w:r w:rsidRPr="00C806D0">
        <w:rPr>
          <w:i/>
        </w:rPr>
        <w:t>cluster</w:t>
      </w:r>
      <w:r w:rsidRPr="00C806D0">
        <w:t xml:space="preserve"> and</w:t>
      </w:r>
      <w:r w:rsidRPr="00C806D0">
        <w:rPr>
          <w:i/>
        </w:rPr>
        <w:t xml:space="preserve"> strata </w:t>
      </w:r>
      <w:r w:rsidRPr="00C806D0">
        <w:t xml:space="preserve">options of the Stata bootstrapping command were used to account for clustering where necessary. Multi-level models were implemented with maximum likelihood estimation using the native </w:t>
      </w:r>
      <w:r w:rsidRPr="00C806D0">
        <w:rPr>
          <w:i/>
        </w:rPr>
        <w:t>xtmixed,</w:t>
      </w:r>
      <w:r w:rsidRPr="00C806D0">
        <w:t xml:space="preserve"> and user written </w:t>
      </w:r>
      <w:r w:rsidRPr="00C806D0">
        <w:rPr>
          <w:i/>
        </w:rPr>
        <w:t>gllamm</w:t>
      </w:r>
      <w:r w:rsidRPr="00C806D0">
        <w:t xml:space="preserve"> and </w:t>
      </w:r>
      <w:r w:rsidRPr="00C806D0">
        <w:rPr>
          <w:i/>
        </w:rPr>
        <w:t xml:space="preserve">glmdiag </w:t>
      </w:r>
      <w:r w:rsidRPr="00C806D0">
        <w:t>commands.</w:t>
      </w:r>
      <w:r w:rsidRPr="00C806D0">
        <w:rPr>
          <w:noProof/>
          <w:vertAlign w:val="superscript"/>
        </w:rPr>
        <w:t>[</w:t>
      </w:r>
      <w:r w:rsidR="006D4D62" w:rsidRPr="00C806D0">
        <w:rPr>
          <w:noProof/>
          <w:vertAlign w:val="superscript"/>
        </w:rPr>
        <w:t>23</w:t>
      </w:r>
      <w:r w:rsidRPr="00C806D0">
        <w:rPr>
          <w:noProof/>
          <w:vertAlign w:val="superscript"/>
        </w:rPr>
        <w:t xml:space="preserve">, </w:t>
      </w:r>
      <w:r w:rsidR="006D4D62" w:rsidRPr="00C806D0">
        <w:rPr>
          <w:noProof/>
          <w:vertAlign w:val="superscript"/>
        </w:rPr>
        <w:t>25</w:t>
      </w:r>
      <w:r w:rsidRPr="00C806D0">
        <w:rPr>
          <w:noProof/>
          <w:vertAlign w:val="superscript"/>
        </w:rPr>
        <w:t>]</w:t>
      </w:r>
      <w:r w:rsidRPr="00C806D0">
        <w:t xml:space="preserve"> Appropriate regression diagnostics were performed to ensure the assumptions inherent in model specifications were met. These included testing the distribution of random intercepts for normality, assessing goodness of fit and examination of residuals.</w:t>
      </w:r>
    </w:p>
    <w:p w:rsidR="00155D84" w:rsidRPr="00C806D0" w:rsidRDefault="00155D84" w:rsidP="00003A24">
      <w:pPr>
        <w:rPr>
          <w:bCs/>
        </w:rPr>
      </w:pPr>
    </w:p>
    <w:p w:rsidR="00BF1676" w:rsidRPr="00C806D0" w:rsidRDefault="00BF1676" w:rsidP="00003A24">
      <w:pPr>
        <w:rPr>
          <w:bCs/>
        </w:rPr>
        <w:sectPr w:rsidR="00BF1676" w:rsidRPr="00C806D0" w:rsidSect="00E31429">
          <w:footerReference w:type="default" r:id="rId47"/>
          <w:pgSz w:w="11906" w:h="16838"/>
          <w:pgMar w:top="1134" w:right="1134" w:bottom="1134" w:left="2268" w:header="709" w:footer="709" w:gutter="0"/>
          <w:cols w:space="708"/>
          <w:docGrid w:linePitch="360"/>
        </w:sectPr>
      </w:pPr>
    </w:p>
    <w:p w:rsidR="00003A24" w:rsidRPr="00C806D0" w:rsidRDefault="00003A24" w:rsidP="00003A24">
      <w:pPr>
        <w:rPr>
          <w:b/>
        </w:rPr>
      </w:pPr>
      <w:r w:rsidRPr="00C806D0">
        <w:rPr>
          <w:b/>
        </w:rPr>
        <w:t>Table I1. Inpatient unit costs for short term model</w:t>
      </w:r>
    </w:p>
    <w:tbl>
      <w:tblPr>
        <w:tblStyle w:val="LightShading1"/>
        <w:tblW w:w="5000" w:type="pct"/>
        <w:tblLook w:val="06A0" w:firstRow="1" w:lastRow="0" w:firstColumn="1" w:lastColumn="0" w:noHBand="1" w:noVBand="1"/>
      </w:tblPr>
      <w:tblGrid>
        <w:gridCol w:w="2331"/>
        <w:gridCol w:w="5324"/>
        <w:gridCol w:w="2582"/>
        <w:gridCol w:w="1411"/>
        <w:gridCol w:w="3138"/>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r w:rsidRPr="00C806D0">
              <w:rPr>
                <w:sz w:val="20"/>
                <w:szCs w:val="20"/>
              </w:rPr>
              <w:t>Cost Group</w:t>
            </w:r>
          </w:p>
        </w:tc>
        <w:tc>
          <w:tcPr>
            <w:tcW w:w="1800" w:type="pct"/>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806D0">
              <w:rPr>
                <w:sz w:val="20"/>
                <w:szCs w:val="20"/>
              </w:rPr>
              <w:t>Resource</w:t>
            </w:r>
          </w:p>
        </w:tc>
        <w:tc>
          <w:tcPr>
            <w:tcW w:w="873" w:type="pct"/>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806D0">
              <w:rPr>
                <w:sz w:val="20"/>
                <w:szCs w:val="20"/>
              </w:rPr>
              <w:t>Measurement unit</w:t>
            </w:r>
          </w:p>
        </w:tc>
        <w:tc>
          <w:tcPr>
            <w:tcW w:w="477" w:type="pct"/>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806D0">
              <w:rPr>
                <w:sz w:val="20"/>
                <w:szCs w:val="20"/>
              </w:rPr>
              <w:t>Price weight*</w:t>
            </w:r>
          </w:p>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806D0">
              <w:rPr>
                <w:sz w:val="20"/>
                <w:szCs w:val="20"/>
              </w:rPr>
              <w:t>(2012 price base)</w:t>
            </w:r>
          </w:p>
        </w:tc>
        <w:tc>
          <w:tcPr>
            <w:tcW w:w="1061" w:type="pct"/>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C806D0">
              <w:rPr>
                <w:sz w:val="20"/>
                <w:szCs w:val="20"/>
              </w:rPr>
              <w:t>Source</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r w:rsidRPr="00C806D0">
              <w:rPr>
                <w:sz w:val="20"/>
                <w:szCs w:val="20"/>
              </w:rPr>
              <w:t>Transport</w:t>
            </w: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Transportation to NSAH</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Single EMS transfer</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£316</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Healthcare Financial Management Association</w:t>
            </w:r>
            <w:r w:rsidR="00105532" w:rsidRPr="00C806D0">
              <w:rPr>
                <w:noProof/>
                <w:sz w:val="20"/>
                <w:szCs w:val="20"/>
                <w:vertAlign w:val="superscript"/>
              </w:rPr>
              <w:t>[</w:t>
            </w:r>
            <w:r w:rsidR="006D4D62" w:rsidRPr="00C806D0">
              <w:rPr>
                <w:noProof/>
                <w:sz w:val="20"/>
                <w:szCs w:val="20"/>
                <w:vertAlign w:val="superscript"/>
              </w:rPr>
              <w:t>18</w:t>
            </w:r>
            <w:r w:rsidR="00105532" w:rsidRPr="00C806D0">
              <w:rPr>
                <w:noProof/>
                <w:sz w:val="20"/>
                <w:szCs w:val="20"/>
                <w:vertAlign w:val="superscript"/>
              </w:rPr>
              <w:t>]</w:t>
            </w:r>
            <w:r w:rsidRPr="00C806D0">
              <w:rPr>
                <w:sz w:val="20"/>
                <w:szCs w:val="20"/>
              </w:rPr>
              <w:t xml:space="preserve">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Transportation to SNC</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Single EMS transfer</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£390</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Healthcare Financial Management Association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003A24" w:rsidRPr="00C806D0" w:rsidTr="002A16B4">
        <w:trPr>
          <w:trHeight w:val="247"/>
        </w:trPr>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Inter-hospital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Single EMS transfer</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£275</w:t>
            </w:r>
          </w:p>
        </w:tc>
        <w:tc>
          <w:tcPr>
            <w:tcW w:w="1061" w:type="pct"/>
          </w:tcPr>
          <w:p w:rsidR="00003A24" w:rsidRPr="00C806D0" w:rsidRDefault="00003A24" w:rsidP="006D4D62">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r w:rsidR="00105532" w:rsidRPr="00C806D0">
              <w:rPr>
                <w:noProof/>
                <w:sz w:val="20"/>
                <w:szCs w:val="20"/>
                <w:vertAlign w:val="superscript"/>
              </w:rPr>
              <w:t>[</w:t>
            </w:r>
            <w:r w:rsidR="006D4D62" w:rsidRPr="00C806D0">
              <w:rPr>
                <w:noProof/>
                <w:sz w:val="20"/>
                <w:szCs w:val="20"/>
                <w:vertAlign w:val="superscript"/>
              </w:rPr>
              <w:t>16</w:t>
            </w:r>
            <w:r w:rsidR="00105532" w:rsidRPr="00C806D0">
              <w:rPr>
                <w:noProof/>
                <w:sz w:val="20"/>
                <w:szCs w:val="20"/>
                <w:vertAlign w:val="superscript"/>
              </w:rPr>
              <w:t xml:space="preserve">, </w:t>
            </w:r>
            <w:r w:rsidR="006D4D62" w:rsidRPr="00C806D0">
              <w:rPr>
                <w:noProof/>
                <w:sz w:val="20"/>
                <w:szCs w:val="20"/>
                <w:vertAlign w:val="superscript"/>
              </w:rPr>
              <w:t>19</w:t>
            </w:r>
            <w:r w:rsidR="00105532" w:rsidRPr="00C806D0">
              <w:rPr>
                <w:noProof/>
                <w:sz w:val="20"/>
                <w:szCs w:val="20"/>
                <w:vertAlign w:val="superscript"/>
              </w:rPr>
              <w:t>]</w:t>
            </w:r>
            <w:r w:rsidRPr="00C806D0">
              <w:rPr>
                <w:sz w:val="20"/>
                <w:szCs w:val="20"/>
              </w:rPr>
              <w:t xml:space="preserve"> </w:t>
            </w:r>
          </w:p>
        </w:tc>
      </w:tr>
      <w:tr w:rsidR="00003A24" w:rsidRPr="00C806D0" w:rsidTr="002A16B4">
        <w:trPr>
          <w:trHeight w:val="309"/>
        </w:trPr>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r w:rsidRPr="00C806D0">
              <w:rPr>
                <w:sz w:val="20"/>
                <w:szCs w:val="20"/>
              </w:rPr>
              <w:t>Emergency department care</w:t>
            </w: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 xml:space="preserve">ED payment by results tariff 1 </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Treatment episode</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£235</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rPr>
          <w:trHeight w:val="357"/>
        </w:trPr>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 xml:space="preserve">ED payment by results tariff 2 </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Treatment episode</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£151</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ED payment by results tariff 3</w:t>
            </w:r>
          </w:p>
        </w:tc>
        <w:tc>
          <w:tcPr>
            <w:tcW w:w="873" w:type="pct"/>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Treatment episode</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477" w:type="pct"/>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w:t>
            </w:r>
            <w:r w:rsidRPr="00C806D0">
              <w:rPr>
                <w:sz w:val="20"/>
                <w:szCs w:val="20"/>
                <w:shd w:val="clear" w:color="auto" w:fill="FFFFFF" w:themeFill="background1"/>
              </w:rPr>
              <w:t>81</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ED payment by results tariff 4</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Treatment episode</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477" w:type="pct"/>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£112</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ED payment by results tariff 5</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Treatment episode</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477" w:type="pct"/>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£54</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r w:rsidRPr="00C806D0">
              <w:rPr>
                <w:sz w:val="20"/>
                <w:szCs w:val="20"/>
              </w:rPr>
              <w:t>Neurosurgical operations</w:t>
            </w:r>
          </w:p>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 xml:space="preserve">Intracranial procedures for trauma with diagnosis of head injury or skull fracture, with co-morbidities or complications </w:t>
            </w:r>
          </w:p>
          <w:p w:rsidR="00BD4490" w:rsidRPr="00C806D0" w:rsidRDefault="00BD4490"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procedure</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£7,3836</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r w:rsidRPr="00C806D0">
              <w:rPr>
                <w:sz w:val="20"/>
                <w:szCs w:val="20"/>
              </w:rPr>
              <w:t>Non-Neurosurgical operations</w:t>
            </w:r>
            <w:r w:rsidRPr="00C806D0">
              <w:rPr>
                <w:sz w:val="20"/>
                <w:szCs w:val="20"/>
                <w:vertAlign w:val="superscript"/>
              </w:rPr>
              <w:t>†</w:t>
            </w: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Coronary artery bypass grafting</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procedure</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£7,358</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Intermediate elbow and low arm procedure for trauma</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procedure</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£2,412</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Major skin procedure category 1</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procedure</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£1,881</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Facial bones –plate</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procedure</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£1,973</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Endscopic or intermediate general abdominal procedure</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procedure</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£1,462</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Exteriorisation of trachea without co-morbidity or complications</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procedure</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£2,332</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Intermediate Orbits procedure</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procedure</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£1,478</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r w:rsidRPr="00C806D0">
              <w:rPr>
                <w:sz w:val="20"/>
                <w:szCs w:val="20"/>
              </w:rPr>
              <w:t>Overnight admission for observation</w:t>
            </w:r>
          </w:p>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Overnight admission from ED for head injury observation</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admission</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£291</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r w:rsidRPr="00C806D0">
              <w:rPr>
                <w:sz w:val="20"/>
                <w:szCs w:val="20"/>
              </w:rPr>
              <w:t>General ward admission**</w:t>
            </w:r>
          </w:p>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General medical bed day</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day</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£252</w:t>
            </w:r>
          </w:p>
        </w:tc>
        <w:tc>
          <w:tcPr>
            <w:tcW w:w="1061" w:type="pct"/>
          </w:tcPr>
          <w:p w:rsidR="00003A24" w:rsidRPr="00C806D0" w:rsidRDefault="00003A24" w:rsidP="006D4D62">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RAIN study</w:t>
            </w:r>
            <w:r w:rsidR="00105532" w:rsidRPr="00C806D0">
              <w:rPr>
                <w:noProof/>
                <w:sz w:val="20"/>
                <w:szCs w:val="20"/>
                <w:vertAlign w:val="superscript"/>
              </w:rPr>
              <w:t>[</w:t>
            </w:r>
            <w:r w:rsidR="006D4D62" w:rsidRPr="00C806D0">
              <w:rPr>
                <w:noProof/>
                <w:sz w:val="20"/>
                <w:szCs w:val="20"/>
                <w:vertAlign w:val="superscript"/>
              </w:rPr>
              <w:t>26</w:t>
            </w:r>
            <w:r w:rsidR="00105532" w:rsidRPr="00C806D0">
              <w:rPr>
                <w:noProof/>
                <w:sz w:val="20"/>
                <w:szCs w:val="20"/>
                <w:vertAlign w:val="superscript"/>
              </w:rPr>
              <w:t>]</w:t>
            </w:r>
            <w:r w:rsidRPr="00C806D0">
              <w:rPr>
                <w:sz w:val="20"/>
                <w:szCs w:val="20"/>
              </w:rPr>
              <w:t xml:space="preserve"> / NHS reference costs </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r w:rsidRPr="00C806D0">
              <w:rPr>
                <w:sz w:val="20"/>
                <w:szCs w:val="20"/>
              </w:rPr>
              <w:t>Intensive care admission (</w:t>
            </w:r>
            <w:r w:rsidR="00BD4490" w:rsidRPr="00C806D0">
              <w:rPr>
                <w:sz w:val="20"/>
                <w:szCs w:val="20"/>
              </w:rPr>
              <w:t>S</w:t>
            </w:r>
            <w:r w:rsidRPr="00C806D0">
              <w:rPr>
                <w:sz w:val="20"/>
                <w:szCs w:val="20"/>
              </w:rPr>
              <w:t>NC)</w:t>
            </w:r>
            <w:r w:rsidRPr="00C806D0">
              <w:rPr>
                <w:sz w:val="20"/>
                <w:szCs w:val="20"/>
                <w:vertAlign w:val="superscript"/>
              </w:rPr>
              <w:t>‡</w:t>
            </w:r>
          </w:p>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Specialist intensive care bed day with 3 organs supported</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day</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£1470</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RAIN study/ 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r w:rsidRPr="00C806D0">
              <w:rPr>
                <w:sz w:val="20"/>
                <w:szCs w:val="20"/>
              </w:rPr>
              <w:t>Intensive care admission (NSAH)</w:t>
            </w:r>
            <w:r w:rsidRPr="00C806D0">
              <w:rPr>
                <w:sz w:val="20"/>
                <w:szCs w:val="20"/>
                <w:vertAlign w:val="superscript"/>
              </w:rPr>
              <w:t>‡</w:t>
            </w:r>
          </w:p>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Non-specialist intensive care bed day with 3 organs supported</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Per day</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£1464</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RAIN study/ 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r w:rsidRPr="00C806D0">
              <w:rPr>
                <w:sz w:val="20"/>
                <w:szCs w:val="20"/>
              </w:rPr>
              <w:t>‘Top up’ payments</w:t>
            </w: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Trauma best practice tariff: ISS&gt;15</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One-off payment</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£2,875</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Trauma best practice tariff: ISS 9-15</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One-off payment</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£1,495</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788" w:type="pct"/>
          </w:tcPr>
          <w:p w:rsidR="00003A24" w:rsidRPr="00C806D0" w:rsidRDefault="00003A24" w:rsidP="002A16B4">
            <w:pPr>
              <w:pStyle w:val="NoSpacing"/>
              <w:rPr>
                <w:sz w:val="20"/>
                <w:szCs w:val="20"/>
              </w:rPr>
            </w:pPr>
          </w:p>
        </w:tc>
        <w:tc>
          <w:tcPr>
            <w:tcW w:w="1800"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Specialist neuroscience care uplift</w:t>
            </w:r>
          </w:p>
        </w:tc>
        <w:tc>
          <w:tcPr>
            <w:tcW w:w="873"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One-off payment</w:t>
            </w:r>
          </w:p>
        </w:tc>
        <w:tc>
          <w:tcPr>
            <w:tcW w:w="477"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1.28 cost multiplier</w:t>
            </w:r>
          </w:p>
        </w:tc>
        <w:tc>
          <w:tcPr>
            <w:tcW w:w="1061" w:type="pct"/>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806D0">
              <w:rPr>
                <w:sz w:val="20"/>
                <w:szCs w:val="20"/>
              </w:rPr>
              <w:t>NHS reference costs</w:t>
            </w:r>
          </w:p>
        </w:tc>
      </w:tr>
    </w:tbl>
    <w:p w:rsidR="00003A24" w:rsidRPr="00C806D0" w:rsidRDefault="00003A24" w:rsidP="00003A24">
      <w:pPr>
        <w:rPr>
          <w:rFonts w:ascii="Calibri" w:hAnsi="Calibri"/>
          <w:sz w:val="20"/>
          <w:szCs w:val="20"/>
        </w:rPr>
      </w:pPr>
      <w:r w:rsidRPr="00C806D0">
        <w:rPr>
          <w:rFonts w:ascii="Calibri" w:hAnsi="Calibri"/>
          <w:sz w:val="20"/>
          <w:szCs w:val="20"/>
        </w:rPr>
        <w:t>*All unit costs inflated to a 2012 price base using Bank of England CPI data</w:t>
      </w:r>
    </w:p>
    <w:p w:rsidR="00003A24" w:rsidRPr="00C806D0" w:rsidRDefault="00003A24" w:rsidP="00003A24">
      <w:pPr>
        <w:rPr>
          <w:rFonts w:ascii="Calibri" w:hAnsi="Calibri" w:cs="Arial"/>
          <w:sz w:val="20"/>
          <w:szCs w:val="20"/>
        </w:rPr>
      </w:pPr>
      <w:r w:rsidRPr="00C806D0">
        <w:rPr>
          <w:rFonts w:ascii="Calibri" w:hAnsi="Calibri" w:cs="Arial"/>
          <w:sz w:val="20"/>
          <w:szCs w:val="20"/>
        </w:rPr>
        <w:t xml:space="preserve">† Some patients in the TBI requiring critical care, TBI requiring ward care and major </w:t>
      </w:r>
      <w:r w:rsidR="002A16B4" w:rsidRPr="00C806D0">
        <w:rPr>
          <w:rFonts w:ascii="Calibri" w:hAnsi="Calibri" w:cs="Arial"/>
          <w:sz w:val="20"/>
          <w:szCs w:val="20"/>
        </w:rPr>
        <w:t>extracranial</w:t>
      </w:r>
      <w:r w:rsidR="00BD4490" w:rsidRPr="00C806D0">
        <w:rPr>
          <w:rFonts w:ascii="Calibri" w:hAnsi="Calibri" w:cs="Arial"/>
          <w:sz w:val="20"/>
          <w:szCs w:val="20"/>
        </w:rPr>
        <w:t xml:space="preserve"> subgroups </w:t>
      </w:r>
      <w:r w:rsidRPr="00C806D0">
        <w:rPr>
          <w:rFonts w:ascii="Calibri" w:hAnsi="Calibri" w:cs="Arial"/>
          <w:sz w:val="20"/>
          <w:szCs w:val="20"/>
        </w:rPr>
        <w:t>had non-neurosurgical operations</w:t>
      </w:r>
    </w:p>
    <w:p w:rsidR="00003A24" w:rsidRPr="00C806D0" w:rsidRDefault="00003A24" w:rsidP="00003A24">
      <w:pPr>
        <w:rPr>
          <w:rFonts w:ascii="Calibri" w:hAnsi="Calibri" w:cs="Arial"/>
          <w:sz w:val="20"/>
          <w:szCs w:val="20"/>
        </w:rPr>
      </w:pPr>
      <w:r w:rsidRPr="00C806D0">
        <w:rPr>
          <w:rFonts w:ascii="Calibri" w:hAnsi="Calibri" w:cs="Arial"/>
          <w:sz w:val="20"/>
          <w:szCs w:val="20"/>
        </w:rPr>
        <w:t>** Weighted average of all categories of elective excess bed days.</w:t>
      </w:r>
    </w:p>
    <w:p w:rsidR="00003A24" w:rsidRPr="00C806D0" w:rsidRDefault="00003A24" w:rsidP="00003A24">
      <w:r w:rsidRPr="00C806D0">
        <w:rPr>
          <w:rFonts w:ascii="Calibri" w:hAnsi="Calibri" w:cs="Arial"/>
          <w:sz w:val="20"/>
          <w:szCs w:val="20"/>
        </w:rPr>
        <w:t>‡ Separate unit costs extracted from payment by results database for NSAH and SNC critical care bed days (averaged over hospitals included in RAIN study).</w:t>
      </w:r>
    </w:p>
    <w:p w:rsidR="00BF1676" w:rsidRPr="00C806D0" w:rsidRDefault="00BF1676" w:rsidP="00003A24">
      <w:pPr>
        <w:sectPr w:rsidR="00BF1676" w:rsidRPr="00C806D0" w:rsidSect="00BF1676">
          <w:pgSz w:w="16838" w:h="11906" w:orient="landscape"/>
          <w:pgMar w:top="2268" w:right="1134" w:bottom="1134" w:left="1134" w:header="709" w:footer="709" w:gutter="0"/>
          <w:cols w:space="708"/>
          <w:docGrid w:linePitch="360"/>
        </w:sectPr>
      </w:pPr>
    </w:p>
    <w:p w:rsidR="00003A24" w:rsidRPr="00C806D0" w:rsidRDefault="00003A24" w:rsidP="00550C9C">
      <w:pPr>
        <w:pStyle w:val="Heading3"/>
        <w:numPr>
          <w:ilvl w:val="2"/>
          <w:numId w:val="10"/>
        </w:numPr>
        <w:spacing w:before="240"/>
      </w:pPr>
      <w:r w:rsidRPr="00C806D0">
        <w:t>Evidence synthesis</w:t>
      </w:r>
    </w:p>
    <w:p w:rsidR="00003A24" w:rsidRPr="00C806D0" w:rsidRDefault="00003A24" w:rsidP="00003A24">
      <w:pPr>
        <w:rPr>
          <w:bCs/>
        </w:rPr>
      </w:pPr>
      <w:r w:rsidRPr="00C806D0">
        <w:rPr>
          <w:bCs/>
        </w:rPr>
        <w:t>The identified evidence could be categorised into four groups. Firstly model inputs where a single internally valid, directly relevant data source was available. This evidence was applicable to the HITSNS decision problem in terms of patient groups and interventions, and could be immediately applied in the model. Secondly, parameters where a single internally valid evidence source was identified which was not directly applicable. Given the narrow and unique inclusion criteria of the HITSNS study, adjustment to published estimates was necessary for certain model inputs to allow generalisation to the modelled population. Beliefs about the direction and magnitude of such ‘external biases’ were formally elicited and used to update the prior evidence.</w:t>
      </w:r>
      <w:r w:rsidR="00105532" w:rsidRPr="00C806D0">
        <w:rPr>
          <w:bCs/>
          <w:noProof/>
          <w:vertAlign w:val="superscript"/>
        </w:rPr>
        <w:t>[</w:t>
      </w:r>
      <w:r w:rsidR="006D4D62" w:rsidRPr="00C806D0">
        <w:rPr>
          <w:bCs/>
          <w:noProof/>
          <w:vertAlign w:val="superscript"/>
        </w:rPr>
        <w:t>27</w:t>
      </w:r>
      <w:r w:rsidR="00105532" w:rsidRPr="00C806D0">
        <w:rPr>
          <w:bCs/>
          <w:noProof/>
          <w:vertAlign w:val="superscript"/>
        </w:rPr>
        <w:t>]</w:t>
      </w:r>
      <w:r w:rsidRPr="00C806D0">
        <w:rPr>
          <w:bCs/>
        </w:rPr>
        <w:t xml:space="preserve"> Thirdly, in cases where no valid or applicable evidence was available e</w:t>
      </w:r>
      <w:r w:rsidRPr="00C806D0">
        <w:t>licited expert opinion was used to indicate the relative likelihood of plausible parameter values. Finally, i</w:t>
      </w:r>
      <w:r w:rsidRPr="00C806D0">
        <w:rPr>
          <w:bCs/>
        </w:rPr>
        <w:t xml:space="preserve">n the event of multiple eligible sources of evidence the final choice of base case model input was based on weighing internal and external validity across available options, with </w:t>
      </w:r>
      <w:r w:rsidRPr="00C806D0">
        <w:t>e</w:t>
      </w:r>
      <w:r w:rsidRPr="00C806D0">
        <w:rPr>
          <w:bCs/>
        </w:rPr>
        <w:t>xploration of alternative input specifications in sensitivity analyses. Pooling of data was also envisaged if homogenous data at low risk of bias was available.</w:t>
      </w:r>
      <w:r w:rsidRPr="00C806D0">
        <w:t xml:space="preserve"> </w:t>
      </w:r>
      <w:r w:rsidRPr="00C806D0">
        <w:rPr>
          <w:bCs/>
        </w:rPr>
        <w:t xml:space="preserve">The evidence selected for each model input is detailed and justified in the following sections. Further details on information sources, search strategies, study details, critical appraisal and assessment of applicability of evidence are available on request.  </w:t>
      </w:r>
    </w:p>
    <w:p w:rsidR="00003A24" w:rsidRPr="00C806D0" w:rsidRDefault="00003A24" w:rsidP="00003A24">
      <w:pPr>
        <w:pStyle w:val="Heading2"/>
      </w:pPr>
      <w:r w:rsidRPr="00C806D0">
        <w:t>Evidence for Model Inputs</w:t>
      </w:r>
    </w:p>
    <w:p w:rsidR="00003A24" w:rsidRPr="00C806D0" w:rsidRDefault="00003A24" w:rsidP="002A360F">
      <w:pPr>
        <w:pStyle w:val="Heading3"/>
      </w:pPr>
      <w:r w:rsidRPr="00C806D0">
        <w:t>Population sub-groups</w:t>
      </w:r>
    </w:p>
    <w:p w:rsidR="00003A24" w:rsidRPr="00C806D0" w:rsidRDefault="00003A24" w:rsidP="00003A24">
      <w:pPr>
        <w:rPr>
          <w:rFonts w:ascii="Calibri" w:hAnsi="Calibri"/>
        </w:rPr>
      </w:pPr>
      <w:r w:rsidRPr="00C806D0">
        <w:rPr>
          <w:rFonts w:ascii="Calibri" w:hAnsi="Calibri"/>
        </w:rPr>
        <w:t xml:space="preserve">During the literature searches no studies were found with inclusion criteria consistent with the HITSNS population.  Estimates of the proportions of patients in each patient sub-group were therefore based on a complete case analysis of HITSNS pilot study data, excluding non-TBI patients with medical diagnoses. Each eligible patient with </w:t>
      </w:r>
      <w:r w:rsidR="002A16B4" w:rsidRPr="00C806D0">
        <w:rPr>
          <w:rFonts w:ascii="Calibri" w:hAnsi="Calibri"/>
        </w:rPr>
        <w:t>prehospital</w:t>
      </w:r>
      <w:r w:rsidRPr="00C806D0">
        <w:rPr>
          <w:rFonts w:ascii="Calibri" w:hAnsi="Calibri"/>
        </w:rPr>
        <w:t xml:space="preserve"> GCS≤12 was coded according to injury, admission, treatment and neurosurgical characteristics and categorised into one of the model’s five mutually exclusive sub-groups. Marked differences in the composition of participants w</w:t>
      </w:r>
      <w:r w:rsidR="00E2794C" w:rsidRPr="00C806D0">
        <w:rPr>
          <w:rFonts w:ascii="Calibri" w:hAnsi="Calibri"/>
        </w:rPr>
        <w:t xml:space="preserve">ere evident between each HITSNS </w:t>
      </w:r>
      <w:r w:rsidRPr="00C806D0">
        <w:rPr>
          <w:rFonts w:ascii="Calibri" w:hAnsi="Calibri"/>
        </w:rPr>
        <w:t>study region. A sensitivity analysis was therefore performed using these separate estimates to investigate the influence of case-mix on cost-effectiveness. Table I2 details the numbers of patients within each sub-group.</w:t>
      </w:r>
    </w:p>
    <w:p w:rsidR="00003A24" w:rsidRPr="00C806D0" w:rsidRDefault="00003A24" w:rsidP="00003A24">
      <w:pPr>
        <w:rPr>
          <w:rFonts w:ascii="Calibri" w:hAnsi="Calibri"/>
        </w:rPr>
      </w:pPr>
    </w:p>
    <w:p w:rsidR="00003A24" w:rsidRPr="00C806D0" w:rsidRDefault="00003A24" w:rsidP="00003A24">
      <w:pPr>
        <w:rPr>
          <w:rFonts w:ascii="Calibri" w:hAnsi="Calibri"/>
        </w:rPr>
      </w:pPr>
    </w:p>
    <w:p w:rsidR="00003A24" w:rsidRPr="00C806D0" w:rsidRDefault="00003A24" w:rsidP="00003A24">
      <w:pPr>
        <w:rPr>
          <w:rFonts w:ascii="Calibri" w:hAnsi="Calibri"/>
        </w:rPr>
      </w:pPr>
    </w:p>
    <w:p w:rsidR="00003A24" w:rsidRPr="00C806D0" w:rsidRDefault="00003A24" w:rsidP="00003A24">
      <w:pPr>
        <w:rPr>
          <w:b/>
        </w:rPr>
      </w:pPr>
      <w:r w:rsidRPr="00C806D0">
        <w:rPr>
          <w:b/>
        </w:rPr>
        <w:t xml:space="preserve">Table I2. Proportion of patients within each modelled sub-group </w:t>
      </w:r>
    </w:p>
    <w:tbl>
      <w:tblPr>
        <w:tblStyle w:val="LightShading1"/>
        <w:tblW w:w="0" w:type="auto"/>
        <w:tblLook w:val="06A0" w:firstRow="1" w:lastRow="0" w:firstColumn="1" w:lastColumn="0" w:noHBand="1" w:noVBand="1"/>
      </w:tblPr>
      <w:tblGrid>
        <w:gridCol w:w="1754"/>
        <w:gridCol w:w="419"/>
        <w:gridCol w:w="1681"/>
        <w:gridCol w:w="222"/>
        <w:gridCol w:w="419"/>
        <w:gridCol w:w="1681"/>
        <w:gridCol w:w="222"/>
        <w:gridCol w:w="419"/>
        <w:gridCol w:w="1681"/>
        <w:gridCol w:w="222"/>
      </w:tblGrid>
      <w:tr w:rsidR="00003A24" w:rsidRPr="00C806D0" w:rsidTr="002A16B4">
        <w:trPr>
          <w:gridAfter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rsidR="00003A24" w:rsidRPr="00C806D0" w:rsidRDefault="00003A24" w:rsidP="003B086D">
            <w:pPr>
              <w:spacing w:line="276" w:lineRule="auto"/>
              <w:rPr>
                <w:rFonts w:ascii="Calibri" w:hAnsi="Calibri" w:cs="Arial"/>
                <w:sz w:val="20"/>
                <w:szCs w:val="20"/>
              </w:rPr>
            </w:pPr>
          </w:p>
        </w:tc>
        <w:tc>
          <w:tcPr>
            <w:tcW w:w="0" w:type="auto"/>
            <w:gridSpan w:val="2"/>
            <w:tcBorders>
              <w:bottom w:val="nil"/>
            </w:tcBorders>
          </w:tcPr>
          <w:p w:rsidR="00003A24" w:rsidRPr="00C806D0" w:rsidRDefault="00003A24" w:rsidP="003B086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Overall</w:t>
            </w:r>
          </w:p>
        </w:tc>
        <w:tc>
          <w:tcPr>
            <w:tcW w:w="0" w:type="auto"/>
            <w:tcBorders>
              <w:bottom w:val="nil"/>
            </w:tcBorders>
          </w:tcPr>
          <w:p w:rsidR="00003A24" w:rsidRPr="00C806D0" w:rsidRDefault="00003A24" w:rsidP="003B086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2"/>
            <w:tcBorders>
              <w:bottom w:val="nil"/>
            </w:tcBorders>
          </w:tcPr>
          <w:p w:rsidR="00003A24" w:rsidRPr="00C806D0" w:rsidRDefault="00003A24" w:rsidP="003B086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NEAS</w:t>
            </w:r>
          </w:p>
        </w:tc>
        <w:tc>
          <w:tcPr>
            <w:tcW w:w="0" w:type="auto"/>
            <w:tcBorders>
              <w:bottom w:val="nil"/>
            </w:tcBorders>
          </w:tcPr>
          <w:p w:rsidR="00003A24" w:rsidRPr="00C806D0" w:rsidRDefault="00003A24" w:rsidP="003B086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2"/>
            <w:tcBorders>
              <w:bottom w:val="nil"/>
            </w:tcBorders>
          </w:tcPr>
          <w:p w:rsidR="00003A24" w:rsidRPr="00C806D0" w:rsidRDefault="00003A24" w:rsidP="003B086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NWAS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rsidR="00003A24" w:rsidRPr="00C806D0" w:rsidRDefault="00003A24" w:rsidP="003B086D">
            <w:pPr>
              <w:spacing w:line="276" w:lineRule="auto"/>
              <w:rPr>
                <w:rFonts w:ascii="Calibri" w:hAnsi="Calibri" w:cs="Arial"/>
                <w:sz w:val="20"/>
                <w:szCs w:val="20"/>
              </w:rPr>
            </w:pPr>
            <w:r w:rsidRPr="00C806D0">
              <w:rPr>
                <w:rFonts w:ascii="Calibri" w:hAnsi="Calibri" w:cs="Arial"/>
                <w:sz w:val="20"/>
                <w:szCs w:val="20"/>
              </w:rPr>
              <w:t>Patient subgroup</w:t>
            </w:r>
          </w:p>
        </w:tc>
        <w:tc>
          <w:tcPr>
            <w:tcW w:w="0" w:type="auto"/>
            <w:tcBorders>
              <w:top w:val="nil"/>
              <w:bottom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n</w:t>
            </w:r>
          </w:p>
        </w:tc>
        <w:tc>
          <w:tcPr>
            <w:tcW w:w="0" w:type="auto"/>
            <w:tcBorders>
              <w:top w:val="nil"/>
              <w:bottom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Proportion point estimate (95% CI)</w:t>
            </w:r>
          </w:p>
        </w:tc>
        <w:tc>
          <w:tcPr>
            <w:tcW w:w="0" w:type="auto"/>
            <w:tcBorders>
              <w:top w:val="nil"/>
              <w:bottom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nil"/>
              <w:bottom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n</w:t>
            </w:r>
          </w:p>
        </w:tc>
        <w:tc>
          <w:tcPr>
            <w:tcW w:w="0" w:type="auto"/>
            <w:tcBorders>
              <w:top w:val="nil"/>
              <w:bottom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Proportion point estimate (95% CI)</w:t>
            </w:r>
          </w:p>
        </w:tc>
        <w:tc>
          <w:tcPr>
            <w:tcW w:w="0" w:type="auto"/>
            <w:tcBorders>
              <w:top w:val="nil"/>
              <w:bottom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nil"/>
              <w:bottom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n</w:t>
            </w:r>
          </w:p>
        </w:tc>
        <w:tc>
          <w:tcPr>
            <w:tcW w:w="0" w:type="auto"/>
            <w:tcBorders>
              <w:top w:val="nil"/>
              <w:bottom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Proportion point estimate (95% CI)</w:t>
            </w:r>
          </w:p>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003A24" w:rsidRPr="00C806D0" w:rsidRDefault="00003A24" w:rsidP="003B086D">
            <w:pPr>
              <w:spacing w:line="276" w:lineRule="auto"/>
              <w:rPr>
                <w:rFonts w:ascii="Calibri" w:hAnsi="Calibri" w:cs="Arial"/>
                <w:b w:val="0"/>
                <w:bCs w:val="0"/>
                <w:sz w:val="20"/>
                <w:szCs w:val="20"/>
              </w:rPr>
            </w:pPr>
            <w:r w:rsidRPr="00C806D0">
              <w:rPr>
                <w:rFonts w:ascii="Calibri" w:hAnsi="Calibri" w:cs="Arial"/>
                <w:b w:val="0"/>
                <w:bCs w:val="0"/>
                <w:sz w:val="20"/>
                <w:szCs w:val="20"/>
              </w:rPr>
              <w:t>Mild TBI</w:t>
            </w:r>
          </w:p>
          <w:p w:rsidR="00003A24" w:rsidRPr="00C806D0" w:rsidRDefault="00003A24" w:rsidP="003B086D">
            <w:pPr>
              <w:spacing w:line="276" w:lineRule="auto"/>
              <w:rPr>
                <w:rFonts w:ascii="Calibri" w:hAnsi="Calibri" w:cs="Arial"/>
                <w:b w:val="0"/>
                <w:bCs w:val="0"/>
                <w:sz w:val="20"/>
                <w:szCs w:val="20"/>
              </w:rPr>
            </w:pPr>
          </w:p>
        </w:tc>
        <w:tc>
          <w:tcPr>
            <w:tcW w:w="0" w:type="auto"/>
            <w:tcBorders>
              <w:top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95</w:t>
            </w:r>
          </w:p>
        </w:tc>
        <w:tc>
          <w:tcPr>
            <w:tcW w:w="0" w:type="auto"/>
            <w:tcBorders>
              <w:top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0.57 (0.49-0.65)</w:t>
            </w:r>
          </w:p>
        </w:tc>
        <w:tc>
          <w:tcPr>
            <w:tcW w:w="0" w:type="auto"/>
            <w:tcBorders>
              <w:top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87</w:t>
            </w:r>
          </w:p>
        </w:tc>
        <w:tc>
          <w:tcPr>
            <w:tcW w:w="0" w:type="auto"/>
            <w:tcBorders>
              <w:top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0.63 (0.54-0.71)</w:t>
            </w:r>
          </w:p>
        </w:tc>
        <w:tc>
          <w:tcPr>
            <w:tcW w:w="0" w:type="auto"/>
            <w:tcBorders>
              <w:top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8</w:t>
            </w:r>
          </w:p>
        </w:tc>
        <w:tc>
          <w:tcPr>
            <w:tcW w:w="0" w:type="auto"/>
            <w:tcBorders>
              <w:top w:val="single" w:sz="4" w:space="0" w:color="auto"/>
            </w:tcBorders>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0.30 (0.14-0.50)</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3B086D">
            <w:pPr>
              <w:spacing w:line="276" w:lineRule="auto"/>
              <w:rPr>
                <w:rFonts w:ascii="Calibri" w:hAnsi="Calibri" w:cs="Arial"/>
                <w:b w:val="0"/>
                <w:bCs w:val="0"/>
                <w:sz w:val="20"/>
                <w:szCs w:val="20"/>
              </w:rPr>
            </w:pPr>
            <w:r w:rsidRPr="00C806D0">
              <w:rPr>
                <w:rFonts w:ascii="Calibri" w:hAnsi="Calibri" w:cs="Arial"/>
                <w:b w:val="0"/>
                <w:bCs w:val="0"/>
                <w:sz w:val="20"/>
                <w:szCs w:val="20"/>
              </w:rPr>
              <w:t>TBI requiring ward admission</w:t>
            </w:r>
          </w:p>
          <w:p w:rsidR="00003A24" w:rsidRPr="00C806D0" w:rsidRDefault="00003A24" w:rsidP="003B086D">
            <w:pPr>
              <w:spacing w:line="276" w:lineRule="auto"/>
              <w:rPr>
                <w:rFonts w:ascii="Calibri" w:hAnsi="Calibri" w:cs="Arial"/>
                <w:b w:val="0"/>
                <w:bCs w:val="0"/>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33</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0.20 (0.14-0.27)</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22</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0.16 (0.10-0.23)</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11</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0.41 (0.22-0.61)</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3B086D">
            <w:pPr>
              <w:spacing w:line="276" w:lineRule="auto"/>
              <w:rPr>
                <w:rFonts w:ascii="Calibri" w:hAnsi="Calibri" w:cs="Arial"/>
                <w:b w:val="0"/>
                <w:sz w:val="20"/>
                <w:szCs w:val="20"/>
              </w:rPr>
            </w:pPr>
            <w:r w:rsidRPr="00C806D0">
              <w:rPr>
                <w:rFonts w:ascii="Calibri" w:hAnsi="Calibri" w:cs="Arial"/>
                <w:b w:val="0"/>
                <w:sz w:val="20"/>
                <w:szCs w:val="20"/>
              </w:rPr>
              <w:t>TBI requiring critical care</w:t>
            </w:r>
          </w:p>
          <w:p w:rsidR="00003A24" w:rsidRPr="00C806D0" w:rsidRDefault="00003A24" w:rsidP="003B086D">
            <w:pPr>
              <w:spacing w:line="276" w:lineRule="auto"/>
              <w:rPr>
                <w:rFonts w:ascii="Calibri" w:hAnsi="Calibri" w:cs="Arial"/>
                <w:b w:val="0"/>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19</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0.11 (0.07-0.17)</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16</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0.12 (0.07-0.18)</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3</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0.11 (0.02-0.29)</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3B086D">
            <w:pPr>
              <w:spacing w:line="276" w:lineRule="auto"/>
              <w:rPr>
                <w:rFonts w:ascii="Calibri" w:hAnsi="Calibri" w:cs="Arial"/>
                <w:b w:val="0"/>
                <w:sz w:val="20"/>
                <w:szCs w:val="20"/>
              </w:rPr>
            </w:pPr>
            <w:r w:rsidRPr="00C806D0">
              <w:rPr>
                <w:rFonts w:ascii="Calibri" w:hAnsi="Calibri" w:cs="Arial"/>
                <w:b w:val="0"/>
                <w:sz w:val="20"/>
                <w:szCs w:val="20"/>
              </w:rPr>
              <w:t>TBI requiring acute neurosurgery</w:t>
            </w:r>
          </w:p>
          <w:p w:rsidR="00003A24" w:rsidRPr="00C806D0" w:rsidRDefault="00003A24" w:rsidP="003B086D">
            <w:pPr>
              <w:spacing w:line="276" w:lineRule="auto"/>
              <w:rPr>
                <w:rFonts w:ascii="Calibri" w:hAnsi="Calibri" w:cs="Arial"/>
                <w:b w:val="0"/>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10</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0.06 (0.03-0.11)</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5</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0.04 (0.01-0.08)</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5</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0.19 (0.06-0.38)</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3B086D">
            <w:pPr>
              <w:spacing w:line="276" w:lineRule="auto"/>
              <w:rPr>
                <w:rFonts w:ascii="Calibri" w:hAnsi="Calibri" w:cs="Arial"/>
                <w:b w:val="0"/>
                <w:bCs w:val="0"/>
                <w:sz w:val="20"/>
                <w:szCs w:val="20"/>
              </w:rPr>
            </w:pPr>
            <w:r w:rsidRPr="00C806D0">
              <w:rPr>
                <w:rFonts w:ascii="Calibri" w:hAnsi="Calibri" w:cs="Arial"/>
                <w:b w:val="0"/>
                <w:bCs w:val="0"/>
                <w:sz w:val="20"/>
                <w:szCs w:val="20"/>
              </w:rPr>
              <w:t xml:space="preserve">Major </w:t>
            </w:r>
            <w:r w:rsidR="002A16B4" w:rsidRPr="00C806D0">
              <w:rPr>
                <w:rFonts w:ascii="Calibri" w:hAnsi="Calibri" w:cs="Arial"/>
                <w:b w:val="0"/>
                <w:bCs w:val="0"/>
                <w:sz w:val="20"/>
                <w:szCs w:val="20"/>
              </w:rPr>
              <w:t>extracranial</w:t>
            </w:r>
            <w:r w:rsidRPr="00C806D0">
              <w:rPr>
                <w:rFonts w:ascii="Calibri" w:hAnsi="Calibri" w:cs="Arial"/>
                <w:b w:val="0"/>
                <w:bCs w:val="0"/>
                <w:sz w:val="20"/>
                <w:szCs w:val="20"/>
              </w:rPr>
              <w:t xml:space="preserve"> injury</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9</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0.05 (0.03-0.10)</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9</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0.06 (0.03-0.12)</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0.00 (0.00-0.13)</w:t>
            </w:r>
          </w:p>
        </w:tc>
        <w:tc>
          <w:tcPr>
            <w:tcW w:w="0" w:type="auto"/>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bl>
    <w:p w:rsidR="00003A24" w:rsidRPr="00C806D0" w:rsidRDefault="00003A24" w:rsidP="00003A24">
      <w:pPr>
        <w:rPr>
          <w:i/>
        </w:rPr>
      </w:pPr>
    </w:p>
    <w:p w:rsidR="00003A24" w:rsidRPr="00C806D0" w:rsidRDefault="00003A24" w:rsidP="002A360F">
      <w:pPr>
        <w:pStyle w:val="Heading3"/>
      </w:pPr>
      <w:r w:rsidRPr="00C806D0">
        <w:t>Baseline outcomes</w:t>
      </w:r>
    </w:p>
    <w:p w:rsidR="00003A24" w:rsidRPr="00C806D0" w:rsidRDefault="00003A24" w:rsidP="00003A24">
      <w:r w:rsidRPr="00C806D0">
        <w:t xml:space="preserve">Estimates of GOS at one year were necessary for the baseline selective secondary transfer strategy in each patient subgroup. Unfortunately, such outcomes were unavailable from the HITSNS study due to loss to follow up. </w:t>
      </w:r>
    </w:p>
    <w:p w:rsidR="00003A24" w:rsidRPr="00C806D0" w:rsidRDefault="00003A24" w:rsidP="00003A24">
      <w:pPr>
        <w:pStyle w:val="Heading4"/>
      </w:pPr>
      <w:r w:rsidRPr="00C806D0">
        <w:t>Patients with mild TBI</w:t>
      </w:r>
    </w:p>
    <w:p w:rsidR="00003A24" w:rsidRPr="00C806D0" w:rsidRDefault="00003A24" w:rsidP="00003A24">
      <w:pPr>
        <w:rPr>
          <w:rFonts w:ascii="Calibri" w:hAnsi="Calibri"/>
        </w:rPr>
      </w:pPr>
      <w:r w:rsidRPr="00C806D0">
        <w:rPr>
          <w:rFonts w:ascii="Calibri" w:hAnsi="Calibri"/>
        </w:rPr>
        <w:t xml:space="preserve">It was assumed that outcomes in this group were independent of </w:t>
      </w:r>
      <w:r w:rsidR="002A16B4" w:rsidRPr="00C806D0">
        <w:rPr>
          <w:rFonts w:ascii="Calibri" w:hAnsi="Calibri"/>
        </w:rPr>
        <w:t>prehospital</w:t>
      </w:r>
      <w:r w:rsidRPr="00C806D0">
        <w:rPr>
          <w:rFonts w:ascii="Calibri" w:hAnsi="Calibri"/>
        </w:rPr>
        <w:t xml:space="preserve"> level of consciousness and vital signs i.e. such patients meeting HITSNS inclusion criteria represent a random subset of all patients with mild TBI. A large randomised controlled trial (the OCTOPUS study) was identified, comparing routine CT scanning to admission for observation following mild head injury.</w:t>
      </w:r>
      <w:r w:rsidR="00105532" w:rsidRPr="00C806D0">
        <w:rPr>
          <w:rFonts w:ascii="Calibri" w:hAnsi="Calibri"/>
          <w:noProof/>
          <w:vertAlign w:val="superscript"/>
        </w:rPr>
        <w:t>[</w:t>
      </w:r>
      <w:r w:rsidR="006D4D62" w:rsidRPr="00C806D0">
        <w:rPr>
          <w:rFonts w:ascii="Calibri" w:hAnsi="Calibri"/>
          <w:noProof/>
          <w:vertAlign w:val="superscript"/>
        </w:rPr>
        <w:t>28</w:t>
      </w:r>
      <w:r w:rsidR="00105532" w:rsidRPr="00C806D0">
        <w:rPr>
          <w:rFonts w:ascii="Calibri" w:hAnsi="Calibri"/>
          <w:noProof/>
          <w:vertAlign w:val="superscript"/>
        </w:rPr>
        <w:t>]</w:t>
      </w:r>
      <w:r w:rsidRPr="00C806D0">
        <w:rPr>
          <w:rFonts w:ascii="Calibri" w:hAnsi="Calibri"/>
        </w:rPr>
        <w:t xml:space="preserve"> This study was performed in the Netherlands and measured self-reported short term Gl</w:t>
      </w:r>
      <w:r w:rsidR="00E2794C" w:rsidRPr="00C806D0">
        <w:rPr>
          <w:rFonts w:ascii="Calibri" w:hAnsi="Calibri"/>
        </w:rPr>
        <w:t>asgow Outcome Scale outcome at three</w:t>
      </w:r>
      <w:r w:rsidRPr="00C806D0">
        <w:rPr>
          <w:rFonts w:ascii="Calibri" w:hAnsi="Calibri"/>
        </w:rPr>
        <w:t xml:space="preserve"> months. As the original trial included children outcomes for adult patients aged over 16 years were obtained from the study authors, as shown in Table I3. No other relevant studies were found reporting appropriate GOS data for this patient group.</w:t>
      </w:r>
    </w:p>
    <w:p w:rsidR="00003A24" w:rsidRPr="00C806D0" w:rsidRDefault="00003A24" w:rsidP="00003A24">
      <w:pPr>
        <w:pStyle w:val="Heading4"/>
      </w:pPr>
      <w:r w:rsidRPr="00C806D0">
        <w:t>Patients requiring acute neurosurgery</w:t>
      </w:r>
    </w:p>
    <w:p w:rsidR="00003A24" w:rsidRPr="00C806D0" w:rsidRDefault="00003A24" w:rsidP="00003A24">
      <w:pPr>
        <w:rPr>
          <w:rFonts w:ascii="Calibri" w:hAnsi="Calibri"/>
        </w:rPr>
      </w:pPr>
      <w:r w:rsidRPr="00C806D0">
        <w:rPr>
          <w:rFonts w:ascii="Calibri" w:hAnsi="Calibri"/>
        </w:rPr>
        <w:t>The acute neurosurgery subgroup was defined as patients where immediate emergency neurosurgery was indicated, considered to predominantly represent patients with expanding subdural and extradural haematomas. Literature searches did not find any studies reporting short term disability outcomes for a population meeting HITSNS inclusion criteria, initially treated in a NSAH and reflecting this mixture of pathologies. However, access was available to data from the Nottingham Head Injury Register, a high quality prospective database of consecutive moderate and severe head injury patients admitted to a SNC between 1995 and 2002.</w:t>
      </w:r>
      <w:r w:rsidR="00105532" w:rsidRPr="00C806D0">
        <w:rPr>
          <w:rFonts w:ascii="Calibri" w:hAnsi="Calibri"/>
          <w:noProof/>
          <w:vertAlign w:val="superscript"/>
        </w:rPr>
        <w:t>[</w:t>
      </w:r>
      <w:r w:rsidR="006D4D62" w:rsidRPr="00C806D0">
        <w:rPr>
          <w:rFonts w:ascii="Calibri" w:hAnsi="Calibri"/>
          <w:noProof/>
          <w:vertAlign w:val="superscript"/>
        </w:rPr>
        <w:t>29</w:t>
      </w:r>
      <w:r w:rsidR="00105532" w:rsidRPr="00C806D0">
        <w:rPr>
          <w:rFonts w:ascii="Calibri" w:hAnsi="Calibri"/>
          <w:noProof/>
          <w:vertAlign w:val="superscript"/>
        </w:rPr>
        <w:t>]</w:t>
      </w:r>
      <w:r w:rsidRPr="00C806D0">
        <w:rPr>
          <w:rFonts w:ascii="Calibri" w:hAnsi="Calibri"/>
        </w:rPr>
        <w:t xml:space="preserve"> The database collected 1 year GOS data and contained variables allowing the definition of a population consistent with the modelled subgroup. One year outcomes for patients initially admitted to a NSAH and undergoing secondary transfer and neurosurgery within 12 hours for acute subdural and extradural haematomas are shown in Table I3.</w:t>
      </w:r>
    </w:p>
    <w:p w:rsidR="00003A24" w:rsidRPr="00C806D0" w:rsidRDefault="00003A24" w:rsidP="00003A24">
      <w:pPr>
        <w:pStyle w:val="Heading4"/>
      </w:pPr>
      <w:r w:rsidRPr="00C806D0">
        <w:t>Patients with TBI requiring critical care</w:t>
      </w:r>
    </w:p>
    <w:p w:rsidR="00003A24" w:rsidRPr="00C806D0" w:rsidRDefault="00003A24" w:rsidP="00003A24">
      <w:pPr>
        <w:pStyle w:val="Default"/>
        <w:spacing w:line="360" w:lineRule="auto"/>
        <w:rPr>
          <w:sz w:val="22"/>
          <w:szCs w:val="22"/>
        </w:rPr>
      </w:pPr>
      <w:r w:rsidRPr="00C806D0">
        <w:rPr>
          <w:bCs/>
          <w:sz w:val="22"/>
          <w:szCs w:val="22"/>
        </w:rPr>
        <w:t>For patients with TBI requiring critical care literature reviews revealed a single observational study providing potentially relevant 6 month GOS results for the baseline selective secondary transfer strategy (Harrison 2013).</w:t>
      </w:r>
      <w:r w:rsidR="00105532" w:rsidRPr="00C806D0">
        <w:rPr>
          <w:bCs/>
          <w:noProof/>
          <w:sz w:val="22"/>
          <w:szCs w:val="22"/>
          <w:vertAlign w:val="superscript"/>
        </w:rPr>
        <w:t>[</w:t>
      </w:r>
      <w:r w:rsidR="006D4D62" w:rsidRPr="00C806D0">
        <w:rPr>
          <w:bCs/>
          <w:noProof/>
          <w:sz w:val="22"/>
          <w:szCs w:val="22"/>
          <w:vertAlign w:val="superscript"/>
        </w:rPr>
        <w:t>26</w:t>
      </w:r>
      <w:r w:rsidR="00105532" w:rsidRPr="00C806D0">
        <w:rPr>
          <w:bCs/>
          <w:noProof/>
          <w:sz w:val="22"/>
          <w:szCs w:val="22"/>
          <w:vertAlign w:val="superscript"/>
        </w:rPr>
        <w:t>]</w:t>
      </w:r>
      <w:r w:rsidRPr="00C806D0">
        <w:rPr>
          <w:bCs/>
          <w:sz w:val="22"/>
          <w:szCs w:val="22"/>
        </w:rPr>
        <w:t xml:space="preserve"> However, the HITSNS eligibility criteria of stable </w:t>
      </w:r>
      <w:r w:rsidR="002A16B4" w:rsidRPr="00C806D0">
        <w:rPr>
          <w:bCs/>
          <w:sz w:val="22"/>
          <w:szCs w:val="22"/>
        </w:rPr>
        <w:t>prehospital</w:t>
      </w:r>
      <w:r w:rsidRPr="00C806D0">
        <w:rPr>
          <w:bCs/>
          <w:sz w:val="22"/>
          <w:szCs w:val="22"/>
        </w:rPr>
        <w:t xml:space="preserve"> vital signs would be expected to result in relatively fewer patients with associated </w:t>
      </w:r>
      <w:r w:rsidR="002A16B4" w:rsidRPr="00C806D0">
        <w:rPr>
          <w:bCs/>
          <w:sz w:val="22"/>
          <w:szCs w:val="22"/>
        </w:rPr>
        <w:t>extracranial</w:t>
      </w:r>
      <w:r w:rsidRPr="00C806D0">
        <w:rPr>
          <w:bCs/>
          <w:sz w:val="22"/>
          <w:szCs w:val="22"/>
        </w:rPr>
        <w:t xml:space="preserve"> injuries and less frequent secondary brain insults. The study’s authors were contacted to request restricted outcome data for patients meeting HITSNS inclusion criteria, but access to data was not provided. External bias adjustment was therefore performed to account for the better outcomes anticipated in the modelled </w:t>
      </w:r>
      <w:r w:rsidR="00D331AA" w:rsidRPr="00C806D0">
        <w:rPr>
          <w:bCs/>
          <w:sz w:val="22"/>
          <w:szCs w:val="22"/>
        </w:rPr>
        <w:t xml:space="preserve">HITSNS </w:t>
      </w:r>
      <w:r w:rsidRPr="00C806D0">
        <w:rPr>
          <w:bCs/>
          <w:sz w:val="22"/>
          <w:szCs w:val="22"/>
        </w:rPr>
        <w:t xml:space="preserve">population. An odds ratio for differences in unfavourable outcome was elicited within the HITSNS trial management group and applied to RAIN outcome estimates under a proportional odds assumption to provide applicable baseline outcomes. </w:t>
      </w:r>
      <w:r w:rsidRPr="00C806D0">
        <w:rPr>
          <w:sz w:val="22"/>
          <w:szCs w:val="22"/>
        </w:rPr>
        <w:t>In the proportional odds model the odds ratio can be interpreted as a summary of the odds ratios obtained from separate binary logistic regressions using all possible cut points of the ordinal outcome. Therefore, the single odds ratio is constrained to be equal for each of the possible GOS cut points: 1 vs. 2,3,4; 1,2 vs. 3,4; and 1,2,3 vs.4, (vegetative state was not considered)</w:t>
      </w:r>
      <w:r w:rsidRPr="00C806D0">
        <w:rPr>
          <w:sz w:val="18"/>
          <w:szCs w:val="18"/>
        </w:rPr>
        <w:t xml:space="preserve">. </w:t>
      </w:r>
      <w:r w:rsidRPr="00C806D0">
        <w:rPr>
          <w:sz w:val="22"/>
          <w:szCs w:val="22"/>
        </w:rPr>
        <w:t>Table I3 shows the published and adjusted baseline outcomes for head injury patients requiring critical care. Figure I1 presents the probability density function for the elicited adjustment odds ratio.</w:t>
      </w:r>
    </w:p>
    <w:p w:rsidR="00003A24" w:rsidRPr="00C806D0" w:rsidRDefault="00003A24" w:rsidP="00003A24">
      <w:pPr>
        <w:pStyle w:val="Heading4"/>
        <w:rPr>
          <w:bCs w:val="0"/>
        </w:rPr>
      </w:pPr>
      <w:r w:rsidRPr="00C806D0">
        <w:t>Patients with TBI requiring ward admission</w:t>
      </w:r>
    </w:p>
    <w:p w:rsidR="00003A24" w:rsidRPr="00C806D0" w:rsidRDefault="00003A24" w:rsidP="00003A24">
      <w:pPr>
        <w:pStyle w:val="Default"/>
        <w:spacing w:line="360" w:lineRule="auto"/>
        <w:rPr>
          <w:bCs/>
          <w:sz w:val="22"/>
          <w:szCs w:val="22"/>
        </w:rPr>
      </w:pPr>
      <w:r w:rsidRPr="00C806D0">
        <w:rPr>
          <w:bCs/>
          <w:sz w:val="22"/>
          <w:szCs w:val="22"/>
        </w:rPr>
        <w:t>For patients with head injury requiring admission to general hospital wards a single cohort study was identified providing potentially relevant baseline disability data (McCartnan 2008).</w:t>
      </w:r>
      <w:r w:rsidR="00105532" w:rsidRPr="00C806D0">
        <w:rPr>
          <w:bCs/>
          <w:noProof/>
          <w:sz w:val="22"/>
          <w:szCs w:val="22"/>
          <w:vertAlign w:val="superscript"/>
        </w:rPr>
        <w:t>[</w:t>
      </w:r>
      <w:r w:rsidR="006D4D62" w:rsidRPr="00C806D0">
        <w:rPr>
          <w:bCs/>
          <w:noProof/>
          <w:sz w:val="22"/>
          <w:szCs w:val="22"/>
          <w:vertAlign w:val="superscript"/>
        </w:rPr>
        <w:t>30</w:t>
      </w:r>
      <w:r w:rsidR="00105532" w:rsidRPr="00C806D0">
        <w:rPr>
          <w:bCs/>
          <w:noProof/>
          <w:sz w:val="22"/>
          <w:szCs w:val="22"/>
          <w:vertAlign w:val="superscript"/>
        </w:rPr>
        <w:t>]</w:t>
      </w:r>
      <w:r w:rsidRPr="00C806D0">
        <w:rPr>
          <w:bCs/>
          <w:sz w:val="22"/>
          <w:szCs w:val="22"/>
        </w:rPr>
        <w:t xml:space="preserve"> This study reported post-discharge GOS for patients, excluding the elderly aged &gt;65 years, admitted to an Irish district general hospital, stratified according to head injury severity. Based on patient demographics and intensity of inpatient care it was assumed that the reported mild and moderate TBI strata corresponded to this model sub-group. External bias modelling using a proportional odds ratio was again used to adjust outcomes to reflect HITSNS inclusion criteria (Table I3 and Figure I1).</w:t>
      </w:r>
    </w:p>
    <w:p w:rsidR="00003A24" w:rsidRPr="00C806D0" w:rsidRDefault="00003A24" w:rsidP="00003A24">
      <w:pPr>
        <w:pStyle w:val="Default"/>
        <w:spacing w:line="360" w:lineRule="auto"/>
        <w:rPr>
          <w:bCs/>
          <w:sz w:val="22"/>
          <w:szCs w:val="22"/>
        </w:rPr>
      </w:pPr>
    </w:p>
    <w:p w:rsidR="00003A24" w:rsidRPr="00C806D0" w:rsidRDefault="00003A24" w:rsidP="00003A24">
      <w:pPr>
        <w:pStyle w:val="Default"/>
        <w:spacing w:line="360" w:lineRule="auto"/>
        <w:rPr>
          <w:bCs/>
          <w:sz w:val="22"/>
          <w:szCs w:val="22"/>
        </w:rPr>
      </w:pPr>
    </w:p>
    <w:p w:rsidR="00003A24" w:rsidRPr="00C806D0" w:rsidRDefault="00003A24" w:rsidP="00003A24">
      <w:pPr>
        <w:pStyle w:val="Default"/>
        <w:spacing w:line="360" w:lineRule="auto"/>
        <w:jc w:val="center"/>
        <w:rPr>
          <w:sz w:val="22"/>
          <w:szCs w:val="22"/>
        </w:rPr>
      </w:pPr>
      <w:r w:rsidRPr="00C806D0">
        <w:rPr>
          <w:noProof/>
          <w:sz w:val="22"/>
          <w:szCs w:val="22"/>
          <w:lang w:val="en-US"/>
        </w:rPr>
        <w:drawing>
          <wp:inline distT="0" distB="0" distL="0" distR="0">
            <wp:extent cx="5163297" cy="3392239"/>
            <wp:effectExtent l="19050" t="0" r="0" b="0"/>
            <wp:docPr id="62" name="Picture 3" descr="Adjustment_to_baseline_outcomes_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ment_to_baseline_outcomes_distribution.jpg"/>
                    <pic:cNvPicPr/>
                  </pic:nvPicPr>
                  <pic:blipFill>
                    <a:blip r:embed="rId48" cstate="print"/>
                    <a:stretch>
                      <a:fillRect/>
                    </a:stretch>
                  </pic:blipFill>
                  <pic:spPr>
                    <a:xfrm>
                      <a:off x="0" y="0"/>
                      <a:ext cx="5165525" cy="3393703"/>
                    </a:xfrm>
                    <a:prstGeom prst="rect">
                      <a:avLst/>
                    </a:prstGeom>
                  </pic:spPr>
                </pic:pic>
              </a:graphicData>
            </a:graphic>
          </wp:inline>
        </w:drawing>
      </w:r>
    </w:p>
    <w:p w:rsidR="00D368BB" w:rsidRPr="00C806D0" w:rsidRDefault="00003A24" w:rsidP="00003A24">
      <w:pPr>
        <w:pStyle w:val="Default"/>
        <w:spacing w:line="360" w:lineRule="auto"/>
        <w:rPr>
          <w:b/>
          <w:sz w:val="22"/>
          <w:szCs w:val="22"/>
        </w:rPr>
      </w:pPr>
      <w:r w:rsidRPr="00C806D0">
        <w:rPr>
          <w:b/>
          <w:sz w:val="22"/>
          <w:szCs w:val="22"/>
        </w:rPr>
        <w:t xml:space="preserve">Figure I1. Elicited probability density plots for proportional odds ratios used to adjust published baseline outcome data in critical care and ward admission sub-groups. </w:t>
      </w:r>
    </w:p>
    <w:p w:rsidR="00D368BB" w:rsidRPr="00C806D0" w:rsidRDefault="00D368BB" w:rsidP="00003A24">
      <w:pPr>
        <w:pStyle w:val="Default"/>
        <w:spacing w:line="360" w:lineRule="auto"/>
        <w:rPr>
          <w:b/>
          <w:sz w:val="22"/>
          <w:szCs w:val="22"/>
        </w:rPr>
      </w:pPr>
    </w:p>
    <w:p w:rsidR="00BF1676" w:rsidRPr="00C806D0" w:rsidRDefault="00BF1676" w:rsidP="00003A24">
      <w:pPr>
        <w:pStyle w:val="Default"/>
        <w:spacing w:line="360" w:lineRule="auto"/>
        <w:rPr>
          <w:b/>
          <w:bCs/>
          <w:sz w:val="22"/>
          <w:szCs w:val="22"/>
        </w:r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pStyle w:val="Default"/>
        <w:spacing w:line="360" w:lineRule="auto"/>
        <w:rPr>
          <w:b/>
          <w:bCs/>
          <w:sz w:val="22"/>
          <w:szCs w:val="22"/>
        </w:rPr>
      </w:pPr>
      <w:r w:rsidRPr="00C806D0">
        <w:rPr>
          <w:b/>
          <w:bCs/>
          <w:sz w:val="22"/>
          <w:szCs w:val="22"/>
        </w:rPr>
        <w:t>Table I3. Baseline GOS outcomes for NSAH care / selective secondary transfer strategy</w:t>
      </w:r>
    </w:p>
    <w:tbl>
      <w:tblPr>
        <w:tblStyle w:val="LightShading1"/>
        <w:tblW w:w="0" w:type="auto"/>
        <w:tblLook w:val="06A0" w:firstRow="1" w:lastRow="0" w:firstColumn="1" w:lastColumn="0" w:noHBand="1" w:noVBand="1"/>
      </w:tblPr>
      <w:tblGrid>
        <w:gridCol w:w="2070"/>
        <w:gridCol w:w="1829"/>
        <w:gridCol w:w="1774"/>
        <w:gridCol w:w="1098"/>
        <w:gridCol w:w="1483"/>
        <w:gridCol w:w="1379"/>
        <w:gridCol w:w="1246"/>
        <w:gridCol w:w="1882"/>
        <w:gridCol w:w="202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rsidR="00003A24" w:rsidRPr="00C806D0" w:rsidRDefault="00003A24" w:rsidP="002A16B4">
            <w:pPr>
              <w:pStyle w:val="NoSpacing"/>
              <w:rPr>
                <w:rFonts w:ascii="Calibri" w:hAnsi="Calibri" w:cs="Arial"/>
                <w:sz w:val="18"/>
                <w:szCs w:val="18"/>
              </w:rPr>
            </w:pPr>
          </w:p>
        </w:tc>
        <w:tc>
          <w:tcPr>
            <w:tcW w:w="0" w:type="auto"/>
            <w:tcBorders>
              <w:bottom w:val="nil"/>
            </w:tcBorders>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p>
        </w:tc>
        <w:tc>
          <w:tcPr>
            <w:tcW w:w="1774" w:type="dxa"/>
            <w:tcBorders>
              <w:bottom w:val="nil"/>
            </w:tcBorders>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p>
        </w:tc>
        <w:tc>
          <w:tcPr>
            <w:tcW w:w="5042" w:type="dxa"/>
            <w:gridSpan w:val="4"/>
            <w:tcBorders>
              <w:bottom w:val="nil"/>
            </w:tcBorders>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GOS Category</w:t>
            </w:r>
          </w:p>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p>
        </w:tc>
        <w:tc>
          <w:tcPr>
            <w:tcW w:w="1882" w:type="dxa"/>
            <w:tcBorders>
              <w:bottom w:val="nil"/>
            </w:tcBorders>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p>
        </w:tc>
        <w:tc>
          <w:tcPr>
            <w:tcW w:w="0" w:type="auto"/>
            <w:tcBorders>
              <w:bottom w:val="nil"/>
            </w:tcBorders>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rsidR="00003A24" w:rsidRPr="00C806D0" w:rsidRDefault="00003A24" w:rsidP="002A16B4">
            <w:pPr>
              <w:pStyle w:val="NoSpacing"/>
              <w:rPr>
                <w:rFonts w:ascii="Calibri" w:hAnsi="Calibri" w:cs="Arial"/>
                <w:sz w:val="18"/>
                <w:szCs w:val="18"/>
              </w:rPr>
            </w:pPr>
            <w:r w:rsidRPr="00C806D0">
              <w:rPr>
                <w:rFonts w:ascii="Calibri" w:hAnsi="Calibri" w:cs="Arial"/>
                <w:sz w:val="18"/>
                <w:szCs w:val="18"/>
              </w:rPr>
              <w:t>Population subgroup</w:t>
            </w:r>
          </w:p>
          <w:p w:rsidR="00003A24" w:rsidRPr="00C806D0" w:rsidRDefault="00003A24" w:rsidP="002A16B4">
            <w:pPr>
              <w:pStyle w:val="NoSpacing"/>
              <w:rPr>
                <w:rFonts w:ascii="Calibri" w:hAnsi="Calibri" w:cs="Arial"/>
                <w:sz w:val="18"/>
                <w:szCs w:val="18"/>
              </w:rPr>
            </w:pPr>
          </w:p>
        </w:tc>
        <w:tc>
          <w:tcPr>
            <w:tcW w:w="0" w:type="auto"/>
            <w:tcBorders>
              <w:top w:val="nil"/>
              <w:bottom w:val="single" w:sz="4" w:space="0" w:color="auto"/>
            </w:tcBorders>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 xml:space="preserve">Baseline comparator </w:t>
            </w:r>
          </w:p>
        </w:tc>
        <w:tc>
          <w:tcPr>
            <w:tcW w:w="1774" w:type="dxa"/>
            <w:tcBorders>
              <w:top w:val="nil"/>
              <w:bottom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Parameter</w:t>
            </w:r>
          </w:p>
        </w:tc>
        <w:tc>
          <w:tcPr>
            <w:tcW w:w="1098" w:type="dxa"/>
            <w:tcBorders>
              <w:top w:val="nil"/>
              <w:bottom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Good recovery</w:t>
            </w:r>
          </w:p>
        </w:tc>
        <w:tc>
          <w:tcPr>
            <w:tcW w:w="0" w:type="auto"/>
            <w:tcBorders>
              <w:top w:val="nil"/>
              <w:bottom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Moderate disability</w:t>
            </w:r>
          </w:p>
        </w:tc>
        <w:tc>
          <w:tcPr>
            <w:tcW w:w="0" w:type="auto"/>
            <w:tcBorders>
              <w:top w:val="nil"/>
              <w:bottom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Severe disability*</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p>
        </w:tc>
        <w:tc>
          <w:tcPr>
            <w:tcW w:w="1246" w:type="dxa"/>
            <w:tcBorders>
              <w:top w:val="nil"/>
              <w:bottom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Death</w:t>
            </w:r>
          </w:p>
        </w:tc>
        <w:tc>
          <w:tcPr>
            <w:tcW w:w="1882" w:type="dxa"/>
            <w:tcBorders>
              <w:top w:val="nil"/>
              <w:bottom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Source of estimate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p>
        </w:tc>
        <w:tc>
          <w:tcPr>
            <w:tcW w:w="0" w:type="auto"/>
            <w:tcBorders>
              <w:top w:val="nil"/>
              <w:bottom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Time of outcome assessment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003A24" w:rsidRPr="00C806D0" w:rsidRDefault="00003A24" w:rsidP="002A16B4">
            <w:pPr>
              <w:pStyle w:val="Default"/>
              <w:spacing w:line="360" w:lineRule="auto"/>
              <w:rPr>
                <w:bCs w:val="0"/>
                <w:sz w:val="18"/>
                <w:szCs w:val="18"/>
              </w:rPr>
            </w:pPr>
            <w:r w:rsidRPr="00C806D0">
              <w:rPr>
                <w:bCs w:val="0"/>
                <w:sz w:val="18"/>
                <w:szCs w:val="18"/>
              </w:rPr>
              <w:t>Mild TBI</w:t>
            </w:r>
          </w:p>
        </w:tc>
        <w:tc>
          <w:tcPr>
            <w:tcW w:w="0" w:type="auto"/>
            <w:tcBorders>
              <w:top w:val="single" w:sz="4" w:space="0" w:color="auto"/>
            </w:tcBorders>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774" w:type="dxa"/>
            <w:tcBorders>
              <w:top w:val="single" w:sz="4" w:space="0" w:color="auto"/>
            </w:tcBorders>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806D0">
              <w:rPr>
                <w:bCs/>
                <w:sz w:val="18"/>
                <w:szCs w:val="18"/>
              </w:rPr>
              <w:t>n</w:t>
            </w:r>
          </w:p>
        </w:tc>
        <w:tc>
          <w:tcPr>
            <w:tcW w:w="1098" w:type="dxa"/>
            <w:tcBorders>
              <w:top w:val="single" w:sz="4" w:space="0" w:color="auto"/>
            </w:tcBorders>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1430</w:t>
            </w:r>
          </w:p>
        </w:tc>
        <w:tc>
          <w:tcPr>
            <w:tcW w:w="0" w:type="auto"/>
            <w:tcBorders>
              <w:top w:val="single" w:sz="4" w:space="0" w:color="auto"/>
            </w:tcBorders>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95</w:t>
            </w:r>
          </w:p>
        </w:tc>
        <w:tc>
          <w:tcPr>
            <w:tcW w:w="0" w:type="auto"/>
            <w:tcBorders>
              <w:top w:val="single" w:sz="4" w:space="0" w:color="auto"/>
            </w:tcBorders>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89</w:t>
            </w:r>
          </w:p>
        </w:tc>
        <w:tc>
          <w:tcPr>
            <w:tcW w:w="1246" w:type="dxa"/>
            <w:tcBorders>
              <w:top w:val="single" w:sz="4" w:space="0" w:color="auto"/>
            </w:tcBorders>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9</w:t>
            </w:r>
          </w:p>
        </w:tc>
        <w:tc>
          <w:tcPr>
            <w:tcW w:w="1882" w:type="dxa"/>
            <w:vMerge w:val="restart"/>
            <w:tcBorders>
              <w:top w:val="single" w:sz="4" w:space="0" w:color="auto"/>
            </w:tcBorders>
          </w:tcPr>
          <w:p w:rsidR="00003A24" w:rsidRPr="00C806D0" w:rsidRDefault="00003A24" w:rsidP="006D4D62">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OCTOPUS study</w:t>
            </w:r>
            <w:r w:rsidR="00105532" w:rsidRPr="00C806D0">
              <w:rPr>
                <w:rFonts w:ascii="Calibri" w:hAnsi="Calibri" w:cs="Arial"/>
                <w:noProof/>
                <w:sz w:val="18"/>
                <w:szCs w:val="18"/>
                <w:vertAlign w:val="superscript"/>
              </w:rPr>
              <w:t>[</w:t>
            </w:r>
            <w:r w:rsidR="006D4D62" w:rsidRPr="00C806D0">
              <w:rPr>
                <w:rFonts w:ascii="Calibri" w:hAnsi="Calibri" w:cs="Arial"/>
                <w:noProof/>
                <w:sz w:val="18"/>
                <w:szCs w:val="18"/>
                <w:vertAlign w:val="superscript"/>
              </w:rPr>
              <w:t>28</w:t>
            </w:r>
            <w:r w:rsidR="00105532" w:rsidRPr="00C806D0">
              <w:rPr>
                <w:rFonts w:ascii="Calibri" w:hAnsi="Calibri" w:cs="Arial"/>
                <w:noProof/>
                <w:sz w:val="18"/>
                <w:szCs w:val="18"/>
                <w:vertAlign w:val="superscript"/>
              </w:rPr>
              <w:t>]</w:t>
            </w:r>
          </w:p>
        </w:tc>
        <w:tc>
          <w:tcPr>
            <w:tcW w:w="0" w:type="auto"/>
            <w:tcBorders>
              <w:top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3 months</w:t>
            </w:r>
          </w:p>
        </w:tc>
      </w:tr>
      <w:tr w:rsidR="00003A24" w:rsidRPr="00C806D0" w:rsidTr="002A16B4">
        <w:trPr>
          <w:trHeight w:val="679"/>
        </w:trPr>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Default"/>
              <w:spacing w:line="360" w:lineRule="auto"/>
              <w:rPr>
                <w:b w:val="0"/>
                <w:bCs w:val="0"/>
                <w:sz w:val="18"/>
                <w:szCs w:val="18"/>
              </w:rPr>
            </w:pP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774"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Proportion</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(95% CI)</w:t>
            </w:r>
          </w:p>
        </w:tc>
        <w:tc>
          <w:tcPr>
            <w:tcW w:w="1098"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0.88</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(0.86-0.90)</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0.06</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(0.05-0.07)</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0.05</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(0.01-0.07)</w:t>
            </w:r>
          </w:p>
        </w:tc>
        <w:tc>
          <w:tcPr>
            <w:tcW w:w="1246"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0.006</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(0.003-0.01)</w:t>
            </w:r>
          </w:p>
        </w:tc>
        <w:tc>
          <w:tcPr>
            <w:tcW w:w="1882" w:type="dxa"/>
            <w:vMerge/>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sz w:val="18"/>
                <w:szCs w:val="18"/>
              </w:rPr>
            </w:pPr>
            <w:r w:rsidRPr="00C806D0">
              <w:rPr>
                <w:rFonts w:ascii="Calibri" w:hAnsi="Calibri" w:cs="Arial"/>
                <w:sz w:val="18"/>
                <w:szCs w:val="18"/>
              </w:rPr>
              <w:t>TBI requiring ward admission</w:t>
            </w: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Initially admitted to NSAH</w:t>
            </w:r>
          </w:p>
        </w:tc>
        <w:tc>
          <w:tcPr>
            <w:tcW w:w="1774"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806D0">
              <w:rPr>
                <w:bCs/>
                <w:sz w:val="18"/>
                <w:szCs w:val="18"/>
              </w:rPr>
              <w:t>n</w:t>
            </w:r>
          </w:p>
        </w:tc>
        <w:tc>
          <w:tcPr>
            <w:tcW w:w="1098"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163</w:t>
            </w: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7</w:t>
            </w: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2</w:t>
            </w:r>
          </w:p>
        </w:tc>
        <w:tc>
          <w:tcPr>
            <w:tcW w:w="1246"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0</w:t>
            </w:r>
          </w:p>
        </w:tc>
        <w:tc>
          <w:tcPr>
            <w:tcW w:w="1882" w:type="dxa"/>
          </w:tcPr>
          <w:p w:rsidR="00003A24" w:rsidRPr="00C806D0" w:rsidRDefault="00003A24" w:rsidP="006D4D62">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r w:rsidRPr="00C806D0">
              <w:rPr>
                <w:rFonts w:ascii="Calibri" w:hAnsi="Calibri" w:cs="Arial"/>
                <w:bCs/>
                <w:sz w:val="18"/>
                <w:szCs w:val="18"/>
              </w:rPr>
              <w:t xml:space="preserve"> McCartnan 2007</w:t>
            </w:r>
            <w:r w:rsidR="00105532" w:rsidRPr="00C806D0">
              <w:rPr>
                <w:rFonts w:ascii="Calibri" w:hAnsi="Calibri" w:cs="Arial"/>
                <w:bCs/>
                <w:noProof/>
                <w:sz w:val="18"/>
                <w:szCs w:val="18"/>
                <w:vertAlign w:val="superscript"/>
              </w:rPr>
              <w:t>[</w:t>
            </w:r>
            <w:r w:rsidR="006D4D62" w:rsidRPr="00C806D0">
              <w:rPr>
                <w:rFonts w:ascii="Calibri" w:hAnsi="Calibri" w:cs="Arial"/>
                <w:bCs/>
                <w:noProof/>
                <w:sz w:val="18"/>
                <w:szCs w:val="18"/>
                <w:vertAlign w:val="superscript"/>
              </w:rPr>
              <w:t>30</w:t>
            </w:r>
            <w:r w:rsidR="00105532" w:rsidRPr="00C806D0">
              <w:rPr>
                <w:rFonts w:ascii="Calibri" w:hAnsi="Calibri" w:cs="Arial"/>
                <w:bCs/>
                <w:noProof/>
                <w:sz w:val="18"/>
                <w:szCs w:val="18"/>
                <w:vertAlign w:val="superscript"/>
              </w:rPr>
              <w:t>]</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r w:rsidRPr="00C806D0">
              <w:rPr>
                <w:rFonts w:ascii="Calibri" w:hAnsi="Calibri" w:cs="Arial"/>
                <w:bCs/>
                <w:sz w:val="18"/>
                <w:szCs w:val="18"/>
              </w:rPr>
              <w:t>‘Post discharge’ - undefined</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Default"/>
              <w:spacing w:line="360" w:lineRule="auto"/>
              <w:rPr>
                <w:bCs w:val="0"/>
                <w:sz w:val="18"/>
                <w:szCs w:val="18"/>
              </w:rPr>
            </w:pP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774"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Proportion</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(95% CI)</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098"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0.95</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(0.90-0.98)</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0.04</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(0.02-0.08)</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0.01</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(0.00-0.04)</w:t>
            </w:r>
          </w:p>
        </w:tc>
        <w:tc>
          <w:tcPr>
            <w:tcW w:w="1246"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0.00</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(0.00-0.02)</w:t>
            </w:r>
          </w:p>
        </w:tc>
        <w:tc>
          <w:tcPr>
            <w:tcW w:w="1882"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vMerge w:val="restart"/>
          </w:tcPr>
          <w:p w:rsidR="00003A24" w:rsidRPr="00C806D0" w:rsidRDefault="00003A24" w:rsidP="002A16B4">
            <w:pPr>
              <w:pStyle w:val="Default"/>
              <w:spacing w:line="360" w:lineRule="auto"/>
              <w:rPr>
                <w:bCs w:val="0"/>
                <w:sz w:val="18"/>
                <w:szCs w:val="18"/>
              </w:rPr>
            </w:pPr>
          </w:p>
        </w:tc>
        <w:tc>
          <w:tcPr>
            <w:tcW w:w="0" w:type="auto"/>
            <w:vMerge w:val="restart"/>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774" w:type="dxa"/>
            <w:vMerge w:val="restart"/>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Posterior Dirichlet distribution†</w:t>
            </w:r>
          </w:p>
        </w:tc>
        <w:tc>
          <w:tcPr>
            <w:tcW w:w="1098" w:type="dxa"/>
            <w:vMerge w:val="restart"/>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bCs/>
                <w:sz w:val="18"/>
                <w:szCs w:val="18"/>
              </w:rPr>
              <w:t>84</w:t>
            </w:r>
          </w:p>
        </w:tc>
        <w:tc>
          <w:tcPr>
            <w:tcW w:w="0" w:type="auto"/>
            <w:vMerge w:val="restart"/>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bCs/>
                <w:sz w:val="18"/>
                <w:szCs w:val="18"/>
              </w:rPr>
              <w:t>6</w:t>
            </w:r>
          </w:p>
        </w:tc>
        <w:tc>
          <w:tcPr>
            <w:tcW w:w="0" w:type="auto"/>
            <w:vMerge w:val="restart"/>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bCs/>
                <w:sz w:val="18"/>
                <w:szCs w:val="18"/>
              </w:rPr>
              <w:t>2.5</w:t>
            </w:r>
          </w:p>
        </w:tc>
        <w:tc>
          <w:tcPr>
            <w:tcW w:w="1246" w:type="dxa"/>
            <w:vMerge w:val="restart"/>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3.5</w:t>
            </w:r>
          </w:p>
        </w:tc>
        <w:tc>
          <w:tcPr>
            <w:tcW w:w="1882"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r w:rsidRPr="00C806D0">
              <w:rPr>
                <w:rFonts w:ascii="Calibri" w:hAnsi="Calibri" w:cs="Arial"/>
                <w:sz w:val="18"/>
                <w:szCs w:val="18"/>
              </w:rPr>
              <w:t>Adjusted with expert opinion</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vMerge/>
          </w:tcPr>
          <w:p w:rsidR="00003A24" w:rsidRPr="00C806D0" w:rsidRDefault="00003A24" w:rsidP="002A16B4">
            <w:pPr>
              <w:pStyle w:val="Default"/>
              <w:spacing w:line="360" w:lineRule="auto"/>
              <w:rPr>
                <w:bCs w:val="0"/>
                <w:sz w:val="18"/>
                <w:szCs w:val="18"/>
              </w:rPr>
            </w:pPr>
          </w:p>
        </w:tc>
        <w:tc>
          <w:tcPr>
            <w:tcW w:w="0" w:type="auto"/>
            <w:vMerge/>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774" w:type="dxa"/>
            <w:vMerge/>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c>
          <w:tcPr>
            <w:tcW w:w="1098" w:type="dxa"/>
            <w:vMerge/>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0" w:type="auto"/>
            <w:vMerge/>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0" w:type="auto"/>
            <w:vMerge/>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246" w:type="dxa"/>
            <w:vMerge/>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882"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Default"/>
              <w:spacing w:line="360" w:lineRule="auto"/>
              <w:rPr>
                <w:bCs w:val="0"/>
                <w:sz w:val="18"/>
                <w:szCs w:val="18"/>
              </w:rPr>
            </w:pP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774"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098"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246"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882"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sz w:val="18"/>
                <w:szCs w:val="18"/>
              </w:rPr>
            </w:pPr>
            <w:r w:rsidRPr="00C806D0">
              <w:rPr>
                <w:rFonts w:ascii="Calibri" w:hAnsi="Calibri" w:cs="Arial"/>
                <w:sz w:val="18"/>
                <w:szCs w:val="18"/>
              </w:rPr>
              <w:t>TBI requiring critical care</w:t>
            </w: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Selective transfer</w:t>
            </w:r>
          </w:p>
        </w:tc>
        <w:tc>
          <w:tcPr>
            <w:tcW w:w="1774"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806D0">
              <w:rPr>
                <w:bCs/>
                <w:sz w:val="18"/>
                <w:szCs w:val="18"/>
              </w:rPr>
              <w:t>n</w:t>
            </w:r>
          </w:p>
        </w:tc>
        <w:tc>
          <w:tcPr>
            <w:tcW w:w="1098"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174</w:t>
            </w: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198</w:t>
            </w: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262</w:t>
            </w:r>
          </w:p>
        </w:tc>
        <w:tc>
          <w:tcPr>
            <w:tcW w:w="1246"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216</w:t>
            </w:r>
          </w:p>
        </w:tc>
        <w:tc>
          <w:tcPr>
            <w:tcW w:w="1882" w:type="dxa"/>
            <w:vMerge w:val="restart"/>
          </w:tcPr>
          <w:p w:rsidR="00003A24" w:rsidRPr="00C806D0" w:rsidRDefault="00003A24" w:rsidP="006D4D62">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r w:rsidRPr="00C806D0">
              <w:rPr>
                <w:rFonts w:ascii="Calibri" w:hAnsi="Calibri" w:cs="Arial"/>
                <w:bCs/>
                <w:sz w:val="18"/>
                <w:szCs w:val="18"/>
              </w:rPr>
              <w:t>RAIN study</w:t>
            </w:r>
            <w:r w:rsidR="00105532" w:rsidRPr="00C806D0">
              <w:rPr>
                <w:rFonts w:ascii="Calibri" w:hAnsi="Calibri" w:cs="Arial"/>
                <w:bCs/>
                <w:noProof/>
                <w:sz w:val="18"/>
                <w:szCs w:val="18"/>
                <w:vertAlign w:val="superscript"/>
              </w:rPr>
              <w:t>[</w:t>
            </w:r>
            <w:r w:rsidR="006D4D62" w:rsidRPr="00C806D0">
              <w:rPr>
                <w:rFonts w:ascii="Calibri" w:hAnsi="Calibri" w:cs="Arial"/>
                <w:bCs/>
                <w:noProof/>
                <w:sz w:val="18"/>
                <w:szCs w:val="18"/>
                <w:vertAlign w:val="superscript"/>
              </w:rPr>
              <w:t>26</w:t>
            </w:r>
            <w:r w:rsidR="00105532" w:rsidRPr="00C806D0">
              <w:rPr>
                <w:rFonts w:ascii="Calibri" w:hAnsi="Calibri" w:cs="Arial"/>
                <w:bCs/>
                <w:noProof/>
                <w:sz w:val="18"/>
                <w:szCs w:val="18"/>
                <w:vertAlign w:val="superscript"/>
              </w:rPr>
              <w:t>]</w:t>
            </w:r>
            <w:r w:rsidRPr="00C806D0">
              <w:rPr>
                <w:rFonts w:ascii="Calibri" w:hAnsi="Calibri" w:cs="Arial"/>
                <w:bCs/>
                <w:sz w:val="18"/>
                <w:szCs w:val="18"/>
              </w:rPr>
              <w:t xml:space="preserve"> </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r w:rsidRPr="00C806D0">
              <w:rPr>
                <w:rFonts w:ascii="Calibri" w:hAnsi="Calibri" w:cs="Arial"/>
                <w:bCs/>
                <w:sz w:val="18"/>
                <w:szCs w:val="18"/>
              </w:rPr>
              <w:t>6 months</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Default"/>
              <w:spacing w:line="360" w:lineRule="auto"/>
              <w:rPr>
                <w:bCs w:val="0"/>
                <w:sz w:val="18"/>
                <w:szCs w:val="18"/>
              </w:rPr>
            </w:pPr>
          </w:p>
        </w:tc>
        <w:tc>
          <w:tcPr>
            <w:tcW w:w="0" w:type="auto"/>
            <w:vMerge w:val="restart"/>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774" w:type="dxa"/>
            <w:vMerge w:val="restart"/>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Proportion</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(95% CI)</w:t>
            </w:r>
          </w:p>
        </w:tc>
        <w:tc>
          <w:tcPr>
            <w:tcW w:w="1098" w:type="dxa"/>
            <w:vMerge w:val="restart"/>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0.20</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(0.18-0.23)</w:t>
            </w:r>
          </w:p>
        </w:tc>
        <w:tc>
          <w:tcPr>
            <w:tcW w:w="0" w:type="auto"/>
            <w:vMerge w:val="restart"/>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0.23</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(0.20-0.26)</w:t>
            </w:r>
          </w:p>
        </w:tc>
        <w:tc>
          <w:tcPr>
            <w:tcW w:w="0" w:type="auto"/>
            <w:vMerge w:val="restart"/>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0.31</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(0.28-0.34)</w:t>
            </w:r>
          </w:p>
        </w:tc>
        <w:tc>
          <w:tcPr>
            <w:tcW w:w="1246" w:type="dxa"/>
            <w:vMerge w:val="restart"/>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0.25</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(0.23-0.28)</w:t>
            </w:r>
          </w:p>
        </w:tc>
        <w:tc>
          <w:tcPr>
            <w:tcW w:w="1882" w:type="dxa"/>
            <w:vMerge/>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Default"/>
              <w:spacing w:line="360" w:lineRule="auto"/>
              <w:rPr>
                <w:bCs w:val="0"/>
                <w:sz w:val="18"/>
                <w:szCs w:val="18"/>
              </w:rPr>
            </w:pPr>
          </w:p>
        </w:tc>
        <w:tc>
          <w:tcPr>
            <w:tcW w:w="0" w:type="auto"/>
            <w:vMerge/>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774" w:type="dxa"/>
            <w:vMerge/>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c>
          <w:tcPr>
            <w:tcW w:w="1098" w:type="dxa"/>
            <w:vMerge/>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0" w:type="auto"/>
            <w:vMerge/>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0" w:type="auto"/>
            <w:vMerge/>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246" w:type="dxa"/>
            <w:vMerge/>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882" w:type="dxa"/>
            <w:vMerge/>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Default"/>
              <w:spacing w:line="360" w:lineRule="auto"/>
              <w:rPr>
                <w:bCs w:val="0"/>
                <w:sz w:val="18"/>
                <w:szCs w:val="18"/>
              </w:rPr>
            </w:pP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774"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Posterior Dirichlet distribution†</w:t>
            </w:r>
          </w:p>
        </w:tc>
        <w:tc>
          <w:tcPr>
            <w:tcW w:w="1098"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219</w:t>
            </w: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249</w:t>
            </w: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178</w:t>
            </w:r>
          </w:p>
        </w:tc>
        <w:tc>
          <w:tcPr>
            <w:tcW w:w="1246"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149</w:t>
            </w:r>
          </w:p>
        </w:tc>
        <w:tc>
          <w:tcPr>
            <w:tcW w:w="1882"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r w:rsidRPr="00C806D0">
              <w:rPr>
                <w:rFonts w:ascii="Calibri" w:hAnsi="Calibri" w:cs="Arial"/>
                <w:bCs/>
                <w:sz w:val="18"/>
                <w:szCs w:val="18"/>
              </w:rPr>
              <w:t>Adjusted with expert opinion</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Default"/>
              <w:spacing w:line="360" w:lineRule="auto"/>
              <w:rPr>
                <w:bCs w:val="0"/>
                <w:sz w:val="18"/>
                <w:szCs w:val="18"/>
              </w:rPr>
            </w:pP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774"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098"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246"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882"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Default"/>
              <w:spacing w:line="360" w:lineRule="auto"/>
              <w:rPr>
                <w:bCs w:val="0"/>
                <w:sz w:val="18"/>
                <w:szCs w:val="18"/>
              </w:rPr>
            </w:pPr>
            <w:r w:rsidRPr="00C806D0">
              <w:rPr>
                <w:bCs w:val="0"/>
                <w:sz w:val="18"/>
                <w:szCs w:val="18"/>
              </w:rPr>
              <w:t>Acute neurosurgery</w:t>
            </w: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 xml:space="preserve">Initially admitted to NSAH </w:t>
            </w:r>
          </w:p>
        </w:tc>
        <w:tc>
          <w:tcPr>
            <w:tcW w:w="1774"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806D0">
              <w:rPr>
                <w:bCs/>
                <w:sz w:val="18"/>
                <w:szCs w:val="18"/>
              </w:rPr>
              <w:t>n</w:t>
            </w:r>
          </w:p>
        </w:tc>
        <w:tc>
          <w:tcPr>
            <w:tcW w:w="1098"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20</w:t>
            </w: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19</w:t>
            </w: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12</w:t>
            </w:r>
          </w:p>
        </w:tc>
        <w:tc>
          <w:tcPr>
            <w:tcW w:w="1246" w:type="dxa"/>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C806D0">
              <w:rPr>
                <w:bCs/>
                <w:sz w:val="18"/>
                <w:szCs w:val="18"/>
              </w:rPr>
              <w:t>38</w:t>
            </w:r>
          </w:p>
        </w:tc>
        <w:tc>
          <w:tcPr>
            <w:tcW w:w="1882" w:type="dxa"/>
          </w:tcPr>
          <w:p w:rsidR="00003A24" w:rsidRPr="00C806D0" w:rsidRDefault="00003A24" w:rsidP="006D4D62">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r w:rsidRPr="00C806D0">
              <w:rPr>
                <w:rFonts w:ascii="Calibri" w:hAnsi="Calibri" w:cs="Arial"/>
                <w:bCs/>
                <w:sz w:val="18"/>
                <w:szCs w:val="18"/>
              </w:rPr>
              <w:t>NIHR database</w:t>
            </w:r>
            <w:r w:rsidR="00105532" w:rsidRPr="00C806D0">
              <w:rPr>
                <w:rFonts w:ascii="Calibri" w:hAnsi="Calibri" w:cs="Arial"/>
                <w:bCs/>
                <w:noProof/>
                <w:sz w:val="18"/>
                <w:szCs w:val="18"/>
                <w:vertAlign w:val="superscript"/>
              </w:rPr>
              <w:t>[</w:t>
            </w:r>
            <w:r w:rsidR="006D4D62" w:rsidRPr="00C806D0">
              <w:rPr>
                <w:rFonts w:ascii="Calibri" w:hAnsi="Calibri" w:cs="Arial"/>
                <w:bCs/>
                <w:noProof/>
                <w:sz w:val="18"/>
                <w:szCs w:val="18"/>
                <w:vertAlign w:val="superscript"/>
              </w:rPr>
              <w:t>31</w:t>
            </w:r>
            <w:r w:rsidR="00105532" w:rsidRPr="00C806D0">
              <w:rPr>
                <w:rFonts w:ascii="Calibri" w:hAnsi="Calibri" w:cs="Arial"/>
                <w:bCs/>
                <w:noProof/>
                <w:sz w:val="18"/>
                <w:szCs w:val="18"/>
                <w:vertAlign w:val="superscript"/>
              </w:rPr>
              <w:t>]</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r w:rsidRPr="00C806D0">
              <w:rPr>
                <w:rFonts w:ascii="Calibri" w:hAnsi="Calibri" w:cs="Arial"/>
                <w:bCs/>
                <w:sz w:val="18"/>
                <w:szCs w:val="18"/>
              </w:rPr>
              <w:t>1 year</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Default"/>
              <w:spacing w:line="360" w:lineRule="auto"/>
              <w:rPr>
                <w:bCs w:val="0"/>
                <w:sz w:val="18"/>
                <w:szCs w:val="18"/>
              </w:rPr>
            </w:pPr>
          </w:p>
        </w:tc>
        <w:tc>
          <w:tcPr>
            <w:tcW w:w="0" w:type="auto"/>
          </w:tcPr>
          <w:p w:rsidR="00003A24" w:rsidRPr="00C806D0" w:rsidRDefault="00003A24" w:rsidP="002A16B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c>
          <w:tcPr>
            <w:tcW w:w="1774"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Proportion</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(95% CI)</w:t>
            </w:r>
          </w:p>
        </w:tc>
        <w:tc>
          <w:tcPr>
            <w:tcW w:w="1098"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0.22</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(0.14-0.33)</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0.21</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(0.13-0.31)</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0.13</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(0.07-0.22)</w:t>
            </w:r>
          </w:p>
        </w:tc>
        <w:tc>
          <w:tcPr>
            <w:tcW w:w="1246"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0.42</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(0.32-0.54)</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882" w:type="dxa"/>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Cs/>
                <w:sz w:val="18"/>
                <w:szCs w:val="18"/>
              </w:rPr>
            </w:pPr>
          </w:p>
        </w:tc>
      </w:tr>
    </w:tbl>
    <w:p w:rsidR="00003A24" w:rsidRPr="00C806D0" w:rsidRDefault="00003A24" w:rsidP="00003A24">
      <w:pPr>
        <w:pStyle w:val="Default"/>
        <w:spacing w:line="360" w:lineRule="auto"/>
        <w:rPr>
          <w:bCs/>
          <w:sz w:val="22"/>
          <w:szCs w:val="22"/>
        </w:rPr>
      </w:pPr>
      <w:r w:rsidRPr="00C806D0">
        <w:rPr>
          <w:bCs/>
          <w:sz w:val="22"/>
          <w:szCs w:val="22"/>
        </w:rPr>
        <w:t>*Severe disability category includes persistent vegetative state.</w:t>
      </w:r>
    </w:p>
    <w:p w:rsidR="003A4BDE" w:rsidRPr="00C806D0" w:rsidRDefault="00003A24" w:rsidP="003A4BDE">
      <w:pPr>
        <w:pStyle w:val="Default"/>
        <w:spacing w:line="360" w:lineRule="auto"/>
      </w:pPr>
      <w:r w:rsidRPr="00C806D0">
        <w:rPr>
          <w:sz w:val="18"/>
          <w:szCs w:val="18"/>
        </w:rPr>
        <w:t xml:space="preserve">† </w:t>
      </w:r>
      <w:r w:rsidRPr="00C806D0">
        <w:rPr>
          <w:sz w:val="22"/>
          <w:szCs w:val="22"/>
        </w:rPr>
        <w:t>Posterior distribution after updating published baseline outcomes with elicited proportional odds ratio accounting for differences in case-mix</w:t>
      </w:r>
    </w:p>
    <w:p w:rsidR="00BF1676" w:rsidRPr="00C806D0" w:rsidRDefault="00BF1676" w:rsidP="00003A24">
      <w:pPr>
        <w:pStyle w:val="Heading4"/>
        <w:sectPr w:rsidR="00BF1676" w:rsidRPr="00C806D0" w:rsidSect="00BF1676">
          <w:pgSz w:w="16838" w:h="11906" w:orient="landscape"/>
          <w:pgMar w:top="2268" w:right="1134" w:bottom="1134" w:left="1134" w:header="709" w:footer="709" w:gutter="0"/>
          <w:cols w:space="708"/>
          <w:docGrid w:linePitch="360"/>
        </w:sectPr>
      </w:pPr>
    </w:p>
    <w:p w:rsidR="00003A24" w:rsidRPr="00C806D0" w:rsidRDefault="00003A24" w:rsidP="00003A24">
      <w:pPr>
        <w:pStyle w:val="Heading4"/>
      </w:pPr>
      <w:r w:rsidRPr="00C806D0">
        <w:t xml:space="preserve">Patients with major </w:t>
      </w:r>
      <w:r w:rsidR="002A16B4" w:rsidRPr="00C806D0">
        <w:t>extracranial</w:t>
      </w:r>
      <w:r w:rsidRPr="00C806D0">
        <w:t xml:space="preserve"> injury</w:t>
      </w:r>
    </w:p>
    <w:p w:rsidR="00003A24" w:rsidRPr="00C806D0" w:rsidRDefault="00003A24" w:rsidP="00003A24">
      <w:pPr>
        <w:pStyle w:val="Default"/>
        <w:spacing w:line="360" w:lineRule="auto"/>
        <w:rPr>
          <w:sz w:val="22"/>
          <w:szCs w:val="22"/>
        </w:rPr>
      </w:pPr>
      <w:r w:rsidRPr="00C806D0">
        <w:rPr>
          <w:sz w:val="22"/>
          <w:szCs w:val="22"/>
        </w:rPr>
        <w:t xml:space="preserve">In common with recent systematic reviews and scoping reports, no studies were found describing short term GOS or disability outcomes in patients with major </w:t>
      </w:r>
      <w:r w:rsidR="002A16B4" w:rsidRPr="00C806D0">
        <w:rPr>
          <w:sz w:val="22"/>
          <w:szCs w:val="22"/>
        </w:rPr>
        <w:t>extracranial</w:t>
      </w:r>
      <w:r w:rsidRPr="00C806D0">
        <w:rPr>
          <w:sz w:val="22"/>
          <w:szCs w:val="22"/>
        </w:rPr>
        <w:t xml:space="preserve"> injury treated with a selective secondary transfer strategy.</w:t>
      </w:r>
      <w:r w:rsidR="00105532" w:rsidRPr="00C806D0">
        <w:rPr>
          <w:noProof/>
          <w:sz w:val="22"/>
          <w:szCs w:val="22"/>
          <w:vertAlign w:val="superscript"/>
        </w:rPr>
        <w:t>[</w:t>
      </w:r>
      <w:r w:rsidR="006D4D62" w:rsidRPr="00C806D0">
        <w:rPr>
          <w:noProof/>
          <w:sz w:val="22"/>
          <w:szCs w:val="22"/>
          <w:vertAlign w:val="superscript"/>
        </w:rPr>
        <w:t>32</w:t>
      </w:r>
      <w:r w:rsidR="00105532" w:rsidRPr="00C806D0">
        <w:rPr>
          <w:noProof/>
          <w:sz w:val="22"/>
          <w:szCs w:val="22"/>
          <w:vertAlign w:val="superscript"/>
        </w:rPr>
        <w:t xml:space="preserve">, </w:t>
      </w:r>
      <w:r w:rsidR="006D4D62" w:rsidRPr="00C806D0">
        <w:rPr>
          <w:noProof/>
          <w:sz w:val="22"/>
          <w:szCs w:val="22"/>
          <w:vertAlign w:val="superscript"/>
        </w:rPr>
        <w:t>33</w:t>
      </w:r>
      <w:r w:rsidR="00105532" w:rsidRPr="00C806D0">
        <w:rPr>
          <w:noProof/>
          <w:sz w:val="22"/>
          <w:szCs w:val="22"/>
          <w:vertAlign w:val="superscript"/>
        </w:rPr>
        <w:t>]</w:t>
      </w:r>
      <w:r w:rsidRPr="00C806D0">
        <w:rPr>
          <w:sz w:val="22"/>
          <w:szCs w:val="22"/>
        </w:rPr>
        <w:t xml:space="preserve"> Baseline outcomes were therefore alternatively structured in terms of death and survival.  The point estimate for mortality in the small number of HITSNS patients with trivial head injuries but major </w:t>
      </w:r>
      <w:r w:rsidR="002A16B4" w:rsidRPr="00C806D0">
        <w:rPr>
          <w:sz w:val="22"/>
          <w:szCs w:val="22"/>
        </w:rPr>
        <w:t>extracranial</w:t>
      </w:r>
      <w:r w:rsidRPr="00C806D0">
        <w:rPr>
          <w:sz w:val="22"/>
          <w:szCs w:val="22"/>
        </w:rPr>
        <w:t xml:space="preserve"> injuries was very imprecise (0.07, 95% CI 0.0-0.36, n=9). In preference, we interrogated the TARN database between 2003 and 2010 to estimate mortality rates for cases meeting HITSNS inclusion criteria. The calculated mortality risk was 0.035 (95% CI 0.033-0.036, n=48,681).  </w:t>
      </w:r>
    </w:p>
    <w:p w:rsidR="00003A24" w:rsidRPr="00C806D0" w:rsidRDefault="00003A24" w:rsidP="002A360F">
      <w:pPr>
        <w:pStyle w:val="Heading3"/>
      </w:pPr>
      <w:r w:rsidRPr="00C806D0">
        <w:t>Relative effectiveness</w:t>
      </w:r>
    </w:p>
    <w:p w:rsidR="00003A24" w:rsidRPr="00C806D0" w:rsidRDefault="00003A24" w:rsidP="00003A24">
      <w:pPr>
        <w:pStyle w:val="Default"/>
        <w:spacing w:line="360" w:lineRule="auto"/>
        <w:rPr>
          <w:bCs/>
          <w:sz w:val="22"/>
          <w:szCs w:val="22"/>
        </w:rPr>
      </w:pPr>
      <w:r w:rsidRPr="00C806D0">
        <w:rPr>
          <w:bCs/>
          <w:sz w:val="22"/>
          <w:szCs w:val="22"/>
        </w:rPr>
        <w:t>Relative effectiveness estimates were unavailable from the HITSNS pilot study due to loss to follow up secondary to non-consent, and external effect estimates were therefore required for the following patient subgroups and treatment pathways:</w:t>
      </w:r>
    </w:p>
    <w:p w:rsidR="00003A24" w:rsidRPr="00C806D0" w:rsidRDefault="00003A24" w:rsidP="00003A24">
      <w:pPr>
        <w:pStyle w:val="Default"/>
        <w:spacing w:line="360" w:lineRule="auto"/>
        <w:rPr>
          <w:bCs/>
          <w:sz w:val="22"/>
          <w:szCs w:val="22"/>
        </w:rPr>
      </w:pPr>
    </w:p>
    <w:p w:rsidR="00003A24" w:rsidRPr="00C806D0" w:rsidRDefault="00003A24" w:rsidP="00550C9C">
      <w:pPr>
        <w:pStyle w:val="Default"/>
        <w:numPr>
          <w:ilvl w:val="0"/>
          <w:numId w:val="33"/>
        </w:numPr>
        <w:spacing w:line="360" w:lineRule="auto"/>
        <w:rPr>
          <w:bCs/>
          <w:sz w:val="22"/>
          <w:szCs w:val="22"/>
        </w:rPr>
      </w:pPr>
      <w:r w:rsidRPr="00C806D0">
        <w:rPr>
          <w:bCs/>
          <w:sz w:val="22"/>
          <w:szCs w:val="22"/>
        </w:rPr>
        <w:t>TBI requiring ward admission: Bypassed patients compared with patients initially transported to NSAHs.</w:t>
      </w:r>
    </w:p>
    <w:p w:rsidR="00003A24" w:rsidRPr="00C806D0" w:rsidRDefault="00003A24" w:rsidP="00550C9C">
      <w:pPr>
        <w:pStyle w:val="Default"/>
        <w:numPr>
          <w:ilvl w:val="0"/>
          <w:numId w:val="33"/>
        </w:numPr>
        <w:spacing w:line="360" w:lineRule="auto"/>
        <w:rPr>
          <w:bCs/>
          <w:sz w:val="22"/>
          <w:szCs w:val="22"/>
        </w:rPr>
      </w:pPr>
      <w:r w:rsidRPr="00C806D0">
        <w:rPr>
          <w:bCs/>
          <w:sz w:val="22"/>
          <w:szCs w:val="22"/>
        </w:rPr>
        <w:t>TBI requiring critical care: All management strategies compared with selective secondary transfer.</w:t>
      </w:r>
    </w:p>
    <w:p w:rsidR="00003A24" w:rsidRPr="00C806D0" w:rsidRDefault="00003A24" w:rsidP="00550C9C">
      <w:pPr>
        <w:pStyle w:val="Default"/>
        <w:numPr>
          <w:ilvl w:val="0"/>
          <w:numId w:val="33"/>
        </w:numPr>
        <w:spacing w:line="360" w:lineRule="auto"/>
        <w:rPr>
          <w:bCs/>
          <w:sz w:val="22"/>
          <w:szCs w:val="22"/>
        </w:rPr>
      </w:pPr>
      <w:r w:rsidRPr="00C806D0">
        <w:rPr>
          <w:bCs/>
          <w:sz w:val="22"/>
          <w:szCs w:val="22"/>
        </w:rPr>
        <w:t>TBI requiring acute neurosurgery: Bypassed patients compared with patients initially transported to NSAHs and undergoing secondary transfer.</w:t>
      </w:r>
    </w:p>
    <w:p w:rsidR="00003A24" w:rsidRPr="00C806D0" w:rsidRDefault="00003A24" w:rsidP="00550C9C">
      <w:pPr>
        <w:pStyle w:val="Default"/>
        <w:numPr>
          <w:ilvl w:val="0"/>
          <w:numId w:val="33"/>
        </w:numPr>
        <w:spacing w:line="360" w:lineRule="auto"/>
        <w:rPr>
          <w:bCs/>
          <w:sz w:val="22"/>
          <w:szCs w:val="22"/>
        </w:rPr>
      </w:pPr>
      <w:r w:rsidRPr="00C806D0">
        <w:rPr>
          <w:bCs/>
          <w:sz w:val="22"/>
          <w:szCs w:val="22"/>
        </w:rPr>
        <w:t xml:space="preserve">Major </w:t>
      </w:r>
      <w:r w:rsidR="002A16B4" w:rsidRPr="00C806D0">
        <w:rPr>
          <w:bCs/>
          <w:sz w:val="22"/>
          <w:szCs w:val="22"/>
        </w:rPr>
        <w:t>extracranial</w:t>
      </w:r>
      <w:r w:rsidRPr="00C806D0">
        <w:rPr>
          <w:bCs/>
          <w:sz w:val="22"/>
          <w:szCs w:val="22"/>
        </w:rPr>
        <w:t xml:space="preserve"> injury: Bypassed patients compared with patients initially transported to NSAHs.</w:t>
      </w:r>
    </w:p>
    <w:p w:rsidR="00003A24" w:rsidRPr="00C806D0" w:rsidRDefault="00003A24" w:rsidP="00003A24">
      <w:pPr>
        <w:pStyle w:val="Default"/>
        <w:spacing w:line="360" w:lineRule="auto"/>
        <w:rPr>
          <w:bCs/>
          <w:sz w:val="22"/>
          <w:szCs w:val="22"/>
        </w:rPr>
      </w:pPr>
    </w:p>
    <w:p w:rsidR="00003A24" w:rsidRPr="00C806D0" w:rsidRDefault="00003A24" w:rsidP="002A360F">
      <w:pPr>
        <w:tabs>
          <w:tab w:val="left" w:pos="1701"/>
        </w:tabs>
        <w:rPr>
          <w:bCs/>
        </w:rPr>
      </w:pPr>
      <w:r w:rsidRPr="00C806D0">
        <w:t>Patients within the mild TBI sub-group were by definition deemed to be well enough for early hospital discharge. It was therefore assumed that outcomes did not differ across strategies or locations of care.</w:t>
      </w:r>
    </w:p>
    <w:p w:rsidR="00003A24" w:rsidRPr="00C806D0" w:rsidRDefault="00003A24" w:rsidP="00003A24">
      <w:pPr>
        <w:pStyle w:val="Heading4"/>
      </w:pPr>
      <w:r w:rsidRPr="00C806D0">
        <w:t>Relative effectiveness: TBI requiring ward care</w:t>
      </w:r>
    </w:p>
    <w:p w:rsidR="00003A24" w:rsidRPr="00C806D0" w:rsidRDefault="00003A24" w:rsidP="00003A24">
      <w:pPr>
        <w:pStyle w:val="Default"/>
        <w:spacing w:line="360" w:lineRule="auto"/>
        <w:rPr>
          <w:bCs/>
          <w:sz w:val="22"/>
          <w:szCs w:val="22"/>
        </w:rPr>
      </w:pPr>
      <w:r w:rsidRPr="00C806D0">
        <w:rPr>
          <w:bCs/>
          <w:sz w:val="22"/>
          <w:szCs w:val="22"/>
        </w:rPr>
        <w:t xml:space="preserve">No evidence was retrieved on the relative effectiveness of competing management strategies for patients with TBI requiring ward admission. This subgroup may comprise patients with mild to moderate head injuries, associated non-severe </w:t>
      </w:r>
      <w:r w:rsidR="002A16B4" w:rsidRPr="00C806D0">
        <w:rPr>
          <w:bCs/>
          <w:sz w:val="22"/>
          <w:szCs w:val="22"/>
        </w:rPr>
        <w:t>extracranial</w:t>
      </w:r>
      <w:r w:rsidRPr="00C806D0">
        <w:rPr>
          <w:bCs/>
          <w:sz w:val="22"/>
          <w:szCs w:val="22"/>
        </w:rPr>
        <w:t xml:space="preserve"> injuries (AIS </w:t>
      </w:r>
      <w:r w:rsidR="00D331AA" w:rsidRPr="00C806D0">
        <w:rPr>
          <w:bCs/>
          <w:sz w:val="22"/>
          <w:szCs w:val="22"/>
        </w:rPr>
        <w:t xml:space="preserve">injury severity scores of </w:t>
      </w:r>
      <w:r w:rsidRPr="00C806D0">
        <w:rPr>
          <w:bCs/>
          <w:sz w:val="22"/>
          <w:szCs w:val="22"/>
        </w:rPr>
        <w:t>1 and 2), or medical co-morbidities. There could conceivably be small differences in outcomes between patients managed in specialist and non-specialist centres secondary to variations in treatment quality and access to rehabilitation services. We therefore elicited a proportional odds ratio from clinical experts, as shown in Figure I2.</w:t>
      </w:r>
    </w:p>
    <w:p w:rsidR="00003A24" w:rsidRPr="00C806D0" w:rsidRDefault="00003A24" w:rsidP="00003A24">
      <w:pPr>
        <w:pStyle w:val="Heading4"/>
        <w:rPr>
          <w:bCs w:val="0"/>
        </w:rPr>
      </w:pPr>
      <w:r w:rsidRPr="00C806D0">
        <w:t>Relative effectiveness: TBI requiring critical care</w:t>
      </w:r>
    </w:p>
    <w:p w:rsidR="00003A24" w:rsidRPr="00C806D0" w:rsidRDefault="00003A24" w:rsidP="00003A24">
      <w:pPr>
        <w:pStyle w:val="Default"/>
        <w:spacing w:line="360" w:lineRule="auto"/>
        <w:rPr>
          <w:bCs/>
          <w:sz w:val="22"/>
          <w:szCs w:val="22"/>
        </w:rPr>
      </w:pPr>
      <w:r w:rsidRPr="00C806D0">
        <w:rPr>
          <w:bCs/>
          <w:sz w:val="22"/>
          <w:szCs w:val="22"/>
        </w:rPr>
        <w:t>As detailed in Chapter Two, two recent systematic reviews were identified which examined management pathways for patients with TBI requiring critical care (Pickering 2014, Fuller 2013).</w:t>
      </w:r>
      <w:r w:rsidR="00105532" w:rsidRPr="00C806D0">
        <w:rPr>
          <w:bCs/>
          <w:noProof/>
          <w:sz w:val="22"/>
          <w:szCs w:val="22"/>
          <w:vertAlign w:val="superscript"/>
        </w:rPr>
        <w:t>[</w:t>
      </w:r>
      <w:r w:rsidR="006D4D62" w:rsidRPr="00C806D0">
        <w:rPr>
          <w:bCs/>
          <w:noProof/>
          <w:sz w:val="22"/>
          <w:szCs w:val="22"/>
          <w:vertAlign w:val="superscript"/>
        </w:rPr>
        <w:t>34</w:t>
      </w:r>
      <w:r w:rsidR="00105532" w:rsidRPr="00C806D0">
        <w:rPr>
          <w:bCs/>
          <w:noProof/>
          <w:sz w:val="22"/>
          <w:szCs w:val="22"/>
          <w:vertAlign w:val="superscript"/>
        </w:rPr>
        <w:t xml:space="preserve">, </w:t>
      </w:r>
      <w:r w:rsidR="006D4D62" w:rsidRPr="00C806D0">
        <w:rPr>
          <w:bCs/>
          <w:noProof/>
          <w:sz w:val="22"/>
          <w:szCs w:val="22"/>
          <w:vertAlign w:val="superscript"/>
        </w:rPr>
        <w:t>35</w:t>
      </w:r>
      <w:r w:rsidR="00105532" w:rsidRPr="00C806D0">
        <w:rPr>
          <w:bCs/>
          <w:noProof/>
          <w:sz w:val="22"/>
          <w:szCs w:val="22"/>
          <w:vertAlign w:val="superscript"/>
        </w:rPr>
        <w:t>]</w:t>
      </w:r>
      <w:r w:rsidRPr="00C806D0">
        <w:rPr>
          <w:bCs/>
          <w:sz w:val="22"/>
          <w:szCs w:val="22"/>
        </w:rPr>
        <w:t xml:space="preserve"> Both of these reviews could only identify studies that were at very high risk of bias and included populations that were not applicable to HITSNS decision problem. It was therefore necessary to elicit relative effectiveness estimates from clinical experts. Figure I2 shows formally elicited odds ratios for differences in outcomes between selective secondary transfer and other comparators, under a proportional odds assumption.</w:t>
      </w:r>
    </w:p>
    <w:p w:rsidR="00003A24" w:rsidRPr="00C806D0" w:rsidRDefault="00003A24" w:rsidP="00003A24">
      <w:pPr>
        <w:pStyle w:val="Heading4"/>
      </w:pPr>
      <w:r w:rsidRPr="00C806D0">
        <w:t>Relative effectiveness: acute neurosurgery</w:t>
      </w:r>
    </w:p>
    <w:p w:rsidR="00003A24" w:rsidRPr="00C806D0" w:rsidRDefault="00003A24" w:rsidP="00003A24">
      <w:pPr>
        <w:pStyle w:val="Default"/>
        <w:spacing w:line="360" w:lineRule="auto"/>
        <w:rPr>
          <w:bCs/>
          <w:sz w:val="22"/>
          <w:szCs w:val="22"/>
        </w:rPr>
      </w:pPr>
      <w:r w:rsidRPr="00C806D0">
        <w:rPr>
          <w:bCs/>
          <w:sz w:val="22"/>
          <w:szCs w:val="22"/>
        </w:rPr>
        <w:t xml:space="preserve">The foregoing systematic reviews did not identify any studies specifically examining a surgical TBI subgroup. An additional detailed literature review focusing on the relative effectiveness of bypass </w:t>
      </w:r>
      <w:r w:rsidR="00335B1F" w:rsidRPr="00C806D0">
        <w:rPr>
          <w:bCs/>
          <w:sz w:val="22"/>
          <w:szCs w:val="22"/>
        </w:rPr>
        <w:t>compared with</w:t>
      </w:r>
      <w:r w:rsidRPr="00C806D0">
        <w:rPr>
          <w:bCs/>
          <w:sz w:val="22"/>
          <w:szCs w:val="22"/>
        </w:rPr>
        <w:t xml:space="preserve"> secondary transfer strategies for patients requiring acute neurosurgery was therefore performed, but did not retrieve any effect estimates suitable for inclusion in the economic model. Seven observational studies, making some attempt to adjust for confounding, were identified which compared outcomes in patients injured closest to a SNC with patients transferred to neurosurgical units; or examined the effect of ‘early’ versus ‘late’ neurosurgery (Kim 2011, Kim 2009, Tien 2011, Hedges 2008, Tian 2008, Lee 1998, Howard 1989).</w:t>
      </w:r>
      <w:r w:rsidR="00105532" w:rsidRPr="00C806D0">
        <w:rPr>
          <w:bCs/>
          <w:noProof/>
          <w:sz w:val="22"/>
          <w:szCs w:val="22"/>
          <w:vertAlign w:val="superscript"/>
        </w:rPr>
        <w:t>[</w:t>
      </w:r>
      <w:r w:rsidR="006D4D62" w:rsidRPr="00C806D0">
        <w:rPr>
          <w:bCs/>
          <w:noProof/>
          <w:sz w:val="22"/>
          <w:szCs w:val="22"/>
          <w:vertAlign w:val="superscript"/>
        </w:rPr>
        <w:t>36-42</w:t>
      </w:r>
      <w:r w:rsidR="00105532" w:rsidRPr="00C806D0">
        <w:rPr>
          <w:bCs/>
          <w:noProof/>
          <w:sz w:val="22"/>
          <w:szCs w:val="22"/>
          <w:vertAlign w:val="superscript"/>
        </w:rPr>
        <w:t>]</w:t>
      </w:r>
      <w:r w:rsidRPr="00C806D0">
        <w:rPr>
          <w:bCs/>
          <w:sz w:val="22"/>
          <w:szCs w:val="22"/>
        </w:rPr>
        <w:t xml:space="preserve"> These studies reported conflicting results with 3 studies suggesting a benefit from direct admission or neurosurgery within 4 hours, 1 study demonstrating a detrimental effect and 3 studies reporting non-significant effects.</w:t>
      </w:r>
    </w:p>
    <w:p w:rsidR="00003A24" w:rsidRPr="00C806D0" w:rsidRDefault="00003A24" w:rsidP="00003A24">
      <w:pPr>
        <w:pStyle w:val="Default"/>
        <w:spacing w:line="360" w:lineRule="auto"/>
        <w:rPr>
          <w:bCs/>
          <w:sz w:val="22"/>
          <w:szCs w:val="22"/>
        </w:rPr>
      </w:pPr>
    </w:p>
    <w:p w:rsidR="00003A24" w:rsidRPr="00C806D0" w:rsidRDefault="00003A24" w:rsidP="00003A24">
      <w:pPr>
        <w:pStyle w:val="Default"/>
        <w:spacing w:line="360" w:lineRule="auto"/>
        <w:rPr>
          <w:rFonts w:eastAsia="Times New Roman"/>
          <w:bCs/>
          <w:kern w:val="36"/>
          <w:sz w:val="22"/>
          <w:szCs w:val="22"/>
          <w:lang w:eastAsia="en-GB"/>
        </w:rPr>
      </w:pPr>
      <w:r w:rsidRPr="00C806D0">
        <w:rPr>
          <w:bCs/>
          <w:sz w:val="22"/>
          <w:szCs w:val="22"/>
        </w:rPr>
        <w:t xml:space="preserve">High risk of bias and limited generalisability prevented application of this evidence to the HITSNS economic model.  </w:t>
      </w:r>
      <w:r w:rsidRPr="00C806D0">
        <w:rPr>
          <w:rFonts w:eastAsia="Times New Roman"/>
          <w:bCs/>
          <w:kern w:val="36"/>
          <w:sz w:val="22"/>
          <w:szCs w:val="22"/>
          <w:lang w:eastAsia="en-GB"/>
        </w:rPr>
        <w:t xml:space="preserve">Confounding by indication was a critical threat to internal validity in all studies. Other </w:t>
      </w:r>
      <w:r w:rsidRPr="00C806D0">
        <w:rPr>
          <w:bCs/>
          <w:sz w:val="22"/>
          <w:szCs w:val="22"/>
        </w:rPr>
        <w:t xml:space="preserve">methodological flaws included high levels of loss to follow up (attrition bias), inappropriately handled missing data (selection bias), retrospective collection of routinely recorded clinical data (non-differential misclassification errors attenuating control of confounding) and un-blinded outcome assessment (information bias). There were no association evident between a study’s risk of bias and the direction and magnitude of the reported effect estimates. </w:t>
      </w:r>
    </w:p>
    <w:p w:rsidR="00003A24" w:rsidRPr="00C806D0" w:rsidRDefault="00003A24" w:rsidP="00003A24">
      <w:pPr>
        <w:pStyle w:val="Default"/>
        <w:spacing w:line="360" w:lineRule="auto"/>
        <w:rPr>
          <w:rFonts w:eastAsia="Times New Roman"/>
          <w:bCs/>
          <w:kern w:val="36"/>
          <w:sz w:val="22"/>
          <w:szCs w:val="22"/>
          <w:lang w:eastAsia="en-GB"/>
        </w:rPr>
      </w:pPr>
    </w:p>
    <w:p w:rsidR="00003A24" w:rsidRPr="00C806D0" w:rsidRDefault="00003A24" w:rsidP="00003A24">
      <w:pPr>
        <w:pStyle w:val="Default"/>
        <w:spacing w:line="360" w:lineRule="auto"/>
        <w:rPr>
          <w:bCs/>
          <w:sz w:val="22"/>
          <w:szCs w:val="22"/>
        </w:rPr>
      </w:pPr>
      <w:r w:rsidRPr="00C806D0">
        <w:rPr>
          <w:rFonts w:eastAsia="Times New Roman"/>
          <w:bCs/>
          <w:kern w:val="36"/>
          <w:sz w:val="22"/>
          <w:szCs w:val="22"/>
          <w:lang w:eastAsia="en-GB"/>
        </w:rPr>
        <w:t xml:space="preserve">External validity was also lacking, with disability endpoints not collected. All studies included patients injured closest to a SNC in the intervention group. Such patients will receive the advantages of earlier definitive care, but will have less risk of deterioration and secondary brain injury </w:t>
      </w:r>
      <w:r w:rsidR="00335B1F" w:rsidRPr="00C806D0">
        <w:rPr>
          <w:rFonts w:eastAsia="Times New Roman"/>
          <w:bCs/>
          <w:kern w:val="36"/>
          <w:sz w:val="22"/>
          <w:szCs w:val="22"/>
          <w:lang w:eastAsia="en-GB"/>
        </w:rPr>
        <w:t>compared with</w:t>
      </w:r>
      <w:r w:rsidRPr="00C806D0">
        <w:rPr>
          <w:rFonts w:eastAsia="Times New Roman"/>
          <w:bCs/>
          <w:kern w:val="36"/>
          <w:sz w:val="22"/>
          <w:szCs w:val="22"/>
          <w:lang w:eastAsia="en-GB"/>
        </w:rPr>
        <w:t xml:space="preserve"> those undergoing bypass. The majority of studies also investigated a specific subset of cases, most commonly isolated subdural haematomas, rather than the complete spectrum of pathologies requiring acute neurosurgery. The narrow inclusion criteria of the HITSNS model’s population, with only attended by paramedics and initially stable considered, also restricted applicability of the results of these studies. I</w:t>
      </w:r>
      <w:r w:rsidRPr="00C806D0">
        <w:rPr>
          <w:bCs/>
          <w:sz w:val="22"/>
          <w:szCs w:val="22"/>
        </w:rPr>
        <w:t>n the absence of evidence relevant to the model we formally elicited an odds ratio for relative effectiveness from clinical experts under a proportional odds assumption, as shown in Figure I2.</w:t>
      </w:r>
    </w:p>
    <w:p w:rsidR="00003A24" w:rsidRPr="00C806D0" w:rsidRDefault="00003A24" w:rsidP="00003A24">
      <w:pPr>
        <w:pStyle w:val="Heading4"/>
      </w:pPr>
      <w:r w:rsidRPr="00C806D0">
        <w:t xml:space="preserve">Relative effectiveness: major </w:t>
      </w:r>
      <w:r w:rsidR="002A16B4" w:rsidRPr="00C806D0">
        <w:t>extracranial</w:t>
      </w:r>
      <w:r w:rsidRPr="00C806D0">
        <w:t xml:space="preserve"> injury</w:t>
      </w:r>
    </w:p>
    <w:p w:rsidR="00003A24" w:rsidRPr="00C806D0" w:rsidRDefault="00003A24" w:rsidP="00003A24">
      <w:r w:rsidRPr="00C806D0">
        <w:t xml:space="preserve">A system level estimate of relative effectiveness was also required between bypass and the selective transfer strategy baseline for the major </w:t>
      </w:r>
      <w:r w:rsidR="002A16B4" w:rsidRPr="00C806D0">
        <w:t>extracranial</w:t>
      </w:r>
      <w:r w:rsidRPr="00C806D0">
        <w:t xml:space="preserve"> injury subgroup. It was necessary for this estimate to incorporate compliance with bypass, and account for secondary triage by regional trauma centres. Furthermore, to allow generalisation to the model, the effect estimate should be applicable to trauma cases meeting HITSNS inclusion criteria and exclude patients with TBI. </w:t>
      </w:r>
    </w:p>
    <w:p w:rsidR="00003A24" w:rsidRPr="00C806D0" w:rsidRDefault="00003A24" w:rsidP="00003A24"/>
    <w:p w:rsidR="00003A24" w:rsidRPr="00C806D0" w:rsidRDefault="00003A24" w:rsidP="00003A24">
      <w:r w:rsidRPr="00C806D0">
        <w:t>Ideally, a pragmatic randomised controlled trial, with patients allocated randomly to bypass or transport to the local NSAH, and examining disability endpoints, would be available to provide unbiased estimates. Alternatively population based studies of regional trauma system implementation, where comparable populations are treated under both strategies, could provide indirect evidence. These study designs include controlled before and after studies, controlled time series, interrupted time series and controlled studies of two or more populations with and without trauma systems. However, these non-randomised designs would usually be expected to study all patients within a trauma system, including patients injured closest to trauma centres, and be at risk of confounding, potentially giving a less valid and applicable effect estimate than a randomised controlled trial. Observational studies comparing patients admitted to trauma centres with transferred patients will be unhelpful due to confounding by indication, inclusion of directly admitted non-bypassed cases, and lack of consideration of non-transferred cases.</w:t>
      </w:r>
    </w:p>
    <w:p w:rsidR="00003A24" w:rsidRPr="00C806D0" w:rsidRDefault="00003A24" w:rsidP="00003A24">
      <w:pPr>
        <w:rPr>
          <w:rFonts w:cs="Arial"/>
        </w:rPr>
      </w:pPr>
    </w:p>
    <w:p w:rsidR="00003A24" w:rsidRPr="00C806D0" w:rsidRDefault="00003A24" w:rsidP="00003A24">
      <w:pPr>
        <w:rPr>
          <w:rFonts w:cs="Arial"/>
        </w:rPr>
      </w:pPr>
      <w:r w:rsidRPr="00C806D0">
        <w:rPr>
          <w:rFonts w:cs="Arial"/>
        </w:rPr>
        <w:t>Four systematic reviews (</w:t>
      </w:r>
      <w:r w:rsidRPr="00C806D0">
        <w:rPr>
          <w:rFonts w:eastAsia="TTE2DD1008t00" w:cs="Arial"/>
        </w:rPr>
        <w:t>Mann 1999, Mullins 1999, Celso 2006,</w:t>
      </w:r>
      <w:r w:rsidRPr="00C806D0">
        <w:rPr>
          <w:rFonts w:cs="Arial"/>
        </w:rPr>
        <w:t xml:space="preserve"> Davies 2014 - unpublished) were identified which included observational population level trauma system evaluations.</w:t>
      </w:r>
      <w:r w:rsidR="00105532" w:rsidRPr="00C806D0">
        <w:rPr>
          <w:rFonts w:cs="Arial"/>
          <w:noProof/>
          <w:vertAlign w:val="superscript"/>
        </w:rPr>
        <w:t>[</w:t>
      </w:r>
      <w:r w:rsidR="006D4D62" w:rsidRPr="00C806D0">
        <w:rPr>
          <w:rFonts w:cs="Arial"/>
          <w:noProof/>
          <w:vertAlign w:val="superscript"/>
        </w:rPr>
        <w:t>43-46</w:t>
      </w:r>
      <w:r w:rsidR="00105532" w:rsidRPr="00C806D0">
        <w:rPr>
          <w:rFonts w:cs="Arial"/>
          <w:noProof/>
          <w:vertAlign w:val="superscript"/>
        </w:rPr>
        <w:t>]</w:t>
      </w:r>
      <w:r w:rsidRPr="00C806D0">
        <w:rPr>
          <w:rFonts w:cs="Arial"/>
        </w:rPr>
        <w:t xml:space="preserve"> Two further detailed, but not fully systematic, rapid reviews were identified (Nicholl 2011, Mcintosh 2013),</w:t>
      </w:r>
      <w:r w:rsidR="00105532" w:rsidRPr="00C806D0">
        <w:rPr>
          <w:rFonts w:cs="Arial"/>
          <w:noProof/>
          <w:vertAlign w:val="superscript"/>
        </w:rPr>
        <w:t>[</w:t>
      </w:r>
      <w:r w:rsidR="006D4D62" w:rsidRPr="00C806D0">
        <w:rPr>
          <w:rFonts w:cs="Arial"/>
          <w:noProof/>
          <w:vertAlign w:val="superscript"/>
        </w:rPr>
        <w:t>32</w:t>
      </w:r>
      <w:r w:rsidR="00105532" w:rsidRPr="00C806D0">
        <w:rPr>
          <w:rFonts w:cs="Arial"/>
          <w:noProof/>
          <w:vertAlign w:val="superscript"/>
        </w:rPr>
        <w:t xml:space="preserve">, </w:t>
      </w:r>
      <w:r w:rsidR="006D4D62" w:rsidRPr="00C806D0">
        <w:rPr>
          <w:rFonts w:cs="Arial"/>
          <w:noProof/>
          <w:vertAlign w:val="superscript"/>
        </w:rPr>
        <w:t>33</w:t>
      </w:r>
      <w:r w:rsidR="00105532" w:rsidRPr="00C806D0">
        <w:rPr>
          <w:rFonts w:cs="Arial"/>
          <w:noProof/>
          <w:vertAlign w:val="superscript"/>
        </w:rPr>
        <w:t>]</w:t>
      </w:r>
      <w:r w:rsidRPr="00C806D0">
        <w:rPr>
          <w:rFonts w:cs="Arial"/>
        </w:rPr>
        <w:t xml:space="preserve"> of which one by Nicholl and colleagues included additional non-randomised studies and re-analysed previously published population based data. Three additional systematic reviews (Hill 2012, Williams 2013, Pickering 2014) were retrieved which included observational studies comparing patients directly admitted to trauma centres to patients initially admitted to NSAHs.</w:t>
      </w:r>
      <w:r w:rsidR="00105532" w:rsidRPr="00C806D0">
        <w:rPr>
          <w:rFonts w:cs="Arial"/>
          <w:noProof/>
          <w:vertAlign w:val="superscript"/>
        </w:rPr>
        <w:t>[</w:t>
      </w:r>
      <w:r w:rsidR="006D4D62" w:rsidRPr="00C806D0">
        <w:rPr>
          <w:rFonts w:cs="Arial"/>
          <w:noProof/>
          <w:vertAlign w:val="superscript"/>
        </w:rPr>
        <w:t>47-49</w:t>
      </w:r>
      <w:r w:rsidR="00105532" w:rsidRPr="00C806D0">
        <w:rPr>
          <w:rFonts w:cs="Arial"/>
          <w:noProof/>
          <w:vertAlign w:val="superscript"/>
        </w:rPr>
        <w:t>]</w:t>
      </w:r>
      <w:r w:rsidRPr="00C806D0">
        <w:rPr>
          <w:rFonts w:cs="Arial"/>
        </w:rPr>
        <w:t xml:space="preserve"> No randomised controlled trials were identified in the available reviews; and included studies generally investigated patients with TBI within their studied trauma populations and examined mortality as their only endpoint. </w:t>
      </w:r>
    </w:p>
    <w:p w:rsidR="00003A24" w:rsidRPr="00C806D0" w:rsidRDefault="00003A24" w:rsidP="00003A24">
      <w:pPr>
        <w:rPr>
          <w:rFonts w:cs="Arial"/>
        </w:rPr>
      </w:pPr>
    </w:p>
    <w:p w:rsidR="00003A24" w:rsidRPr="00C806D0" w:rsidRDefault="00003A24" w:rsidP="00003A24">
      <w:r w:rsidRPr="00C806D0">
        <w:t>The systematic reviews by Mann 1999, Mullins 1999 and Celso 2006 were of variable quality, and were confined to North American studies. The Celso review identified 14 population based studies, questionably including 6 very heterogeneous effect estimates in a meta-analysis. From these</w:t>
      </w:r>
      <w:r w:rsidR="00D331AA" w:rsidRPr="00C806D0">
        <w:t>,</w:t>
      </w:r>
      <w:r w:rsidRPr="00C806D0">
        <w:t xml:space="preserve"> two studies</w:t>
      </w:r>
      <w:r w:rsidR="00D331AA" w:rsidRPr="00C806D0">
        <w:t xml:space="preserve">, </w:t>
      </w:r>
      <w:r w:rsidRPr="00C806D0">
        <w:t>by Mullins and colleagues (1998) and Nathens and Colleagues (2000), with appropriately controlled designs and adjustment for case-mix were considered potentially relevant to the HITSNS model.</w:t>
      </w:r>
      <w:r w:rsidR="00105532" w:rsidRPr="00C806D0">
        <w:rPr>
          <w:noProof/>
          <w:vertAlign w:val="superscript"/>
        </w:rPr>
        <w:t>[</w:t>
      </w:r>
      <w:r w:rsidR="006D4D62" w:rsidRPr="00C806D0">
        <w:rPr>
          <w:noProof/>
          <w:vertAlign w:val="superscript"/>
        </w:rPr>
        <w:t>50</w:t>
      </w:r>
      <w:r w:rsidR="00105532" w:rsidRPr="00C806D0">
        <w:rPr>
          <w:noProof/>
          <w:vertAlign w:val="superscript"/>
        </w:rPr>
        <w:t xml:space="preserve">, </w:t>
      </w:r>
      <w:r w:rsidR="006D4D62" w:rsidRPr="00C806D0">
        <w:rPr>
          <w:noProof/>
          <w:vertAlign w:val="superscript"/>
        </w:rPr>
        <w:t>51</w:t>
      </w:r>
      <w:r w:rsidR="00105532" w:rsidRPr="00C806D0">
        <w:rPr>
          <w:noProof/>
          <w:vertAlign w:val="superscript"/>
        </w:rPr>
        <w:t>]</w:t>
      </w:r>
      <w:r w:rsidRPr="00C806D0">
        <w:t xml:space="preserve"> The preceding Mann 1999 and Mullins 1999 reviews overlapped considerably and did not identify any additional relevant studies. The more recent Nicholl 2011 rapid review did not use formal systematic methodology; employing a detailed MEDLINE search which identified a further relevant study: Shafi 2006.</w:t>
      </w:r>
      <w:r w:rsidR="00105532" w:rsidRPr="00C806D0">
        <w:rPr>
          <w:noProof/>
          <w:vertAlign w:val="superscript"/>
        </w:rPr>
        <w:t>[</w:t>
      </w:r>
      <w:r w:rsidR="006D4D62" w:rsidRPr="00C806D0">
        <w:rPr>
          <w:noProof/>
          <w:vertAlign w:val="superscript"/>
        </w:rPr>
        <w:t>52</w:t>
      </w:r>
      <w:r w:rsidR="00105532" w:rsidRPr="00C806D0">
        <w:rPr>
          <w:noProof/>
          <w:vertAlign w:val="superscript"/>
        </w:rPr>
        <w:t>]</w:t>
      </w:r>
      <w:r w:rsidRPr="00C806D0">
        <w:t xml:space="preserve"> The other rapid review by Macintosh and colleagues (2013), and the final systematic review of population based studies by Davies (2014, unpublished), did not identify any further applicable studies. </w:t>
      </w:r>
    </w:p>
    <w:p w:rsidR="00003A24" w:rsidRPr="00C806D0" w:rsidRDefault="00003A24" w:rsidP="00003A24"/>
    <w:p w:rsidR="00003A24" w:rsidRPr="00C806D0" w:rsidRDefault="00003A24" w:rsidP="00003A24">
      <w:r w:rsidRPr="00C806D0">
        <w:t>The two systematic reviews (Hill 2012, Williams 2013) evaluating observational studies of trauma centre effects were disregarded as they compared only directly admitted, non-bypassed patients, with cases transferred into specialist centres. These studies cannot provide valid system level estimates of outcomes. In the remaining systematic review by Pickering 2014 studies including patients initially admitted to NSAHs but not undergoing transfer were also eligible. However, no studies were included reporting case-mix adjusted effect estimates for a relevant study population.</w:t>
      </w:r>
    </w:p>
    <w:p w:rsidR="00003A24" w:rsidRPr="00C806D0" w:rsidRDefault="00003A24" w:rsidP="00003A24"/>
    <w:p w:rsidR="00003A24" w:rsidRPr="00C806D0" w:rsidRDefault="00003A24" w:rsidP="00003A24">
      <w:r w:rsidRPr="00C806D0">
        <w:t>Three original research studies were therefore initially considered for use in the economic model (Shafi 2006, Nathans 2000, Mullins 1998). All reported superficially similar point estimates for the relative effectiveness on mortality associated with trauma system care, ranging from 0.8 to 0.95, with borderline or no statistical significance. However two of the three studies calculated incident rate ratios as their effect estimate. The HITSNS economic model is structured using probabilities and, as there can be substantial differences in the association of an intervention with prevalent versus incident disease, risk ratios (or equivalently odds ratios) are necessary to validly calculate relative outcomes between strategies. The only study reporting a potentially usable effect estimate was therefore Mullins 1998, which reported an overall odds ratio of 0.80 (95% CI 0.70-0.91) for mortality associated with trauma system care. However, this study used data from 1990-1993 and major trauma care has evolved considerably in the last two decades. It also included patients with TBI and enrolled patients outside of the HITSNS entry criteria. Furthermore, subgroup analyses excluding TBI patients and examining different injury patterns indicated no clinically or statistically significant benefit in orthopaedic, abdominal or thoracic trauma. Finally, only inpatient mortality was studied, rather than the one year outcomes required in the short term economic model. In response to these concerns we used the reported average odds ratio in our base case model, but also elicited an odds ratio specific to the model’s scope for use in a sensitivity analysis (Figure I2).</w:t>
      </w:r>
    </w:p>
    <w:p w:rsidR="00003A24" w:rsidRPr="00C806D0" w:rsidRDefault="00003A24" w:rsidP="00003A24">
      <w:pPr>
        <w:rPr>
          <w:rFonts w:cs="Arial"/>
        </w:rPr>
      </w:pPr>
    </w:p>
    <w:p w:rsidR="00BF1676" w:rsidRPr="00C806D0" w:rsidRDefault="00BF1676" w:rsidP="00003A24">
      <w:pPr>
        <w:pStyle w:val="Default"/>
        <w:spacing w:line="360" w:lineRule="auto"/>
        <w:jc w:val="center"/>
        <w:rPr>
          <w:rFonts w:eastAsia="Times New Roman"/>
          <w:b/>
          <w:bCs/>
          <w:noProof/>
          <w:kern w:val="36"/>
          <w:lang w:eastAsia="en-GB"/>
        </w:r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pStyle w:val="Default"/>
        <w:spacing w:line="360" w:lineRule="auto"/>
        <w:jc w:val="center"/>
        <w:rPr>
          <w:rFonts w:eastAsia="Times New Roman"/>
          <w:b/>
          <w:bCs/>
          <w:noProof/>
          <w:kern w:val="36"/>
          <w:lang w:eastAsia="en-GB"/>
        </w:rPr>
      </w:pPr>
      <w:r w:rsidRPr="00C806D0">
        <w:rPr>
          <w:rFonts w:eastAsia="Times New Roman"/>
          <w:b/>
          <w:bCs/>
          <w:noProof/>
          <w:kern w:val="36"/>
          <w:lang w:val="en-US"/>
        </w:rPr>
        <w:drawing>
          <wp:inline distT="0" distB="0" distL="0" distR="0">
            <wp:extent cx="7073664" cy="4647465"/>
            <wp:effectExtent l="19050" t="0" r="0" b="0"/>
            <wp:docPr id="63" name="Picture 6" descr="Relative_effectiveness_elicited_distributions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_effectiveness_elicited_distributions_2 (1).jpg"/>
                    <pic:cNvPicPr/>
                  </pic:nvPicPr>
                  <pic:blipFill>
                    <a:blip r:embed="rId49" cstate="print"/>
                    <a:stretch>
                      <a:fillRect/>
                    </a:stretch>
                  </pic:blipFill>
                  <pic:spPr>
                    <a:xfrm>
                      <a:off x="0" y="0"/>
                      <a:ext cx="7083552" cy="4653962"/>
                    </a:xfrm>
                    <a:prstGeom prst="rect">
                      <a:avLst/>
                    </a:prstGeom>
                  </pic:spPr>
                </pic:pic>
              </a:graphicData>
            </a:graphic>
          </wp:inline>
        </w:drawing>
      </w:r>
    </w:p>
    <w:p w:rsidR="00D368BB" w:rsidRPr="00C806D0" w:rsidRDefault="00003A24" w:rsidP="00003A24">
      <w:pPr>
        <w:pStyle w:val="Default"/>
        <w:spacing w:line="360" w:lineRule="auto"/>
        <w:rPr>
          <w:sz w:val="20"/>
          <w:szCs w:val="20"/>
        </w:rPr>
      </w:pPr>
      <w:r w:rsidRPr="00C806D0">
        <w:rPr>
          <w:rFonts w:eastAsia="Times New Roman"/>
          <w:b/>
          <w:bCs/>
          <w:noProof/>
          <w:kern w:val="36"/>
          <w:sz w:val="20"/>
          <w:szCs w:val="20"/>
          <w:lang w:eastAsia="en-GB"/>
        </w:rPr>
        <w:t>Figure I2. Elicited p</w:t>
      </w:r>
      <w:r w:rsidRPr="00C806D0">
        <w:rPr>
          <w:b/>
          <w:sz w:val="20"/>
          <w:szCs w:val="20"/>
        </w:rPr>
        <w:t xml:space="preserve">robability density plots for elicited estimates of relative effectiveness. </w:t>
      </w:r>
      <w:r w:rsidRPr="00C806D0">
        <w:rPr>
          <w:sz w:val="20"/>
          <w:szCs w:val="20"/>
        </w:rPr>
        <w:t xml:space="preserve">Zero corresponds to no difference in effectiveness. Log proportional odds greater than zero denote worse outcomes; values less than zero favour the reference management strategy. </w:t>
      </w:r>
    </w:p>
    <w:p w:rsidR="00BF1676" w:rsidRPr="00C806D0" w:rsidRDefault="00BF1676" w:rsidP="00003A24">
      <w:pPr>
        <w:pStyle w:val="Default"/>
        <w:spacing w:line="360" w:lineRule="auto"/>
        <w:rPr>
          <w:sz w:val="20"/>
          <w:szCs w:val="20"/>
        </w:rPr>
        <w:sectPr w:rsidR="00BF1676" w:rsidRPr="00C806D0" w:rsidSect="00BF1676">
          <w:pgSz w:w="16838" w:h="11906" w:orient="landscape"/>
          <w:pgMar w:top="2268" w:right="1134" w:bottom="1134" w:left="1134" w:header="709" w:footer="709" w:gutter="0"/>
          <w:cols w:space="708"/>
          <w:docGrid w:linePitch="360"/>
        </w:sectPr>
      </w:pPr>
    </w:p>
    <w:p w:rsidR="00155D84" w:rsidRPr="00C806D0" w:rsidRDefault="00155D84" w:rsidP="00003A24">
      <w:pPr>
        <w:pStyle w:val="Default"/>
        <w:spacing w:line="360" w:lineRule="auto"/>
        <w:rPr>
          <w:sz w:val="20"/>
          <w:szCs w:val="20"/>
        </w:rPr>
      </w:pPr>
    </w:p>
    <w:p w:rsidR="00003A24" w:rsidRPr="00C806D0" w:rsidRDefault="00003A24" w:rsidP="00BF1676">
      <w:pPr>
        <w:pStyle w:val="Heading3"/>
      </w:pPr>
      <w:r w:rsidRPr="00C806D0">
        <w:t xml:space="preserve">Inpatient costs following TBI or major </w:t>
      </w:r>
      <w:r w:rsidR="002A16B4" w:rsidRPr="00C806D0">
        <w:t>extracranial</w:t>
      </w:r>
      <w:r w:rsidRPr="00C806D0">
        <w:t xml:space="preserve"> injury</w:t>
      </w:r>
    </w:p>
    <w:p w:rsidR="00003A24" w:rsidRPr="00C806D0" w:rsidRDefault="00003A24" w:rsidP="00003A24">
      <w:pPr>
        <w:pStyle w:val="Heading4"/>
      </w:pPr>
      <w:r w:rsidRPr="00C806D0">
        <w:t>Incremental costs between prehospital triage and bypass and selective secondary transfer management strategies</w:t>
      </w:r>
    </w:p>
    <w:p w:rsidR="00003A24" w:rsidRPr="00C806D0" w:rsidRDefault="00003A24" w:rsidP="00003A24">
      <w:r w:rsidRPr="00C806D0">
        <w:t>Literature reviews failed to identify any published studies estimating incremental costs between bypass and selective transfer strategies applicable to the economic model. A recent systematic review by Humphreys and colleagues (2013) examining the costs of TBI highlighted the paucity of data in this area, stating that there was ‘a lack of recent and substantial evidence’ and ‘</w:t>
      </w:r>
      <w:r w:rsidRPr="00C806D0">
        <w:rPr>
          <w:shd w:val="clear" w:color="auto" w:fill="FFFFFF"/>
        </w:rPr>
        <w:t>it is evident that past research seems inconsistent and prone to differing methodological approaches’.</w:t>
      </w:r>
      <w:r w:rsidR="00105532" w:rsidRPr="00C806D0">
        <w:rPr>
          <w:noProof/>
          <w:shd w:val="clear" w:color="auto" w:fill="FFFFFF"/>
          <w:vertAlign w:val="superscript"/>
        </w:rPr>
        <w:t>[</w:t>
      </w:r>
      <w:r w:rsidR="006D4D62" w:rsidRPr="00C806D0">
        <w:rPr>
          <w:noProof/>
          <w:shd w:val="clear" w:color="auto" w:fill="FFFFFF"/>
          <w:vertAlign w:val="superscript"/>
        </w:rPr>
        <w:t>53</w:t>
      </w:r>
      <w:r w:rsidR="00105532" w:rsidRPr="00C806D0">
        <w:rPr>
          <w:noProof/>
          <w:shd w:val="clear" w:color="auto" w:fill="FFFFFF"/>
          <w:vertAlign w:val="superscript"/>
        </w:rPr>
        <w:t>]</w:t>
      </w:r>
      <w:r w:rsidRPr="00C806D0">
        <w:rPr>
          <w:shd w:val="clear" w:color="auto" w:fill="FFFFFF"/>
        </w:rPr>
        <w:t xml:space="preserve"> Moreover, identified </w:t>
      </w:r>
      <w:r w:rsidR="00335B1F" w:rsidRPr="00C806D0">
        <w:rPr>
          <w:shd w:val="clear" w:color="auto" w:fill="FFFFFF"/>
        </w:rPr>
        <w:t>data were</w:t>
      </w:r>
      <w:r w:rsidRPr="00C806D0">
        <w:rPr>
          <w:shd w:val="clear" w:color="auto" w:fill="FFFFFF"/>
        </w:rPr>
        <w:t xml:space="preserve"> almost exclusively from the US. </w:t>
      </w:r>
      <w:r w:rsidRPr="00C806D0">
        <w:t xml:space="preserve">Representative patients enrolled in the HITSNS pilot study and consistent with the modelled population were therefore studied in a programmatic cost analysis. </w:t>
      </w:r>
    </w:p>
    <w:p w:rsidR="00003A24" w:rsidRPr="00C806D0" w:rsidRDefault="00003A24" w:rsidP="00003A24"/>
    <w:p w:rsidR="00003A24" w:rsidRPr="00C806D0" w:rsidRDefault="00003A24" w:rsidP="00003A24">
      <w:r w:rsidRPr="00C806D0">
        <w:t xml:space="preserve">A total of 177 patients presented with GCS≤12, had complete data, and were classifiable into a patient subgroup relevant to the model. Two patients with missing </w:t>
      </w:r>
      <w:r w:rsidR="002A16B4" w:rsidRPr="00C806D0">
        <w:t>prehospital</w:t>
      </w:r>
      <w:r w:rsidRPr="00C806D0">
        <w:t xml:space="preserve"> GCS, and thirteen eligible patients who were unidentified or declined consent were excluded due to missing data. Sample sizes for incremental costs within each subgroup varied from n=9 for patients with major </w:t>
      </w:r>
      <w:r w:rsidR="002A16B4" w:rsidRPr="00C806D0">
        <w:t>extracranial</w:t>
      </w:r>
      <w:r w:rsidRPr="00C806D0">
        <w:t xml:space="preserve"> injury to n=95 for patients with mild head injury. The derivation of the study sample is shown in Figure I3. </w:t>
      </w:r>
    </w:p>
    <w:p w:rsidR="00003A24" w:rsidRPr="00C806D0" w:rsidRDefault="00003A24" w:rsidP="00003A24"/>
    <w:p w:rsidR="00003A24" w:rsidRPr="00C806D0" w:rsidRDefault="00003A24" w:rsidP="00003A24"/>
    <w:p w:rsidR="00003A24" w:rsidRPr="00C806D0" w:rsidRDefault="00003A24" w:rsidP="00003A24">
      <w:pPr>
        <w:jc w:val="center"/>
      </w:pPr>
      <w:r w:rsidRPr="00C806D0">
        <w:rPr>
          <w:noProof/>
          <w:lang w:val="en-US"/>
        </w:rPr>
        <w:drawing>
          <wp:inline distT="0" distB="0" distL="0" distR="0">
            <wp:extent cx="4426956" cy="4093928"/>
            <wp:effectExtent l="19050" t="0" r="0" b="0"/>
            <wp:docPr id="64" name="Picture 0" descr="Incremental_costs_flow_digra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mental_costs_flow_digram_1.jpg"/>
                    <pic:cNvPicPr/>
                  </pic:nvPicPr>
                  <pic:blipFill>
                    <a:blip r:embed="rId50" cstate="print"/>
                    <a:stretch>
                      <a:fillRect/>
                    </a:stretch>
                  </pic:blipFill>
                  <pic:spPr>
                    <a:xfrm>
                      <a:off x="0" y="0"/>
                      <a:ext cx="4431164" cy="4097820"/>
                    </a:xfrm>
                    <a:prstGeom prst="rect">
                      <a:avLst/>
                    </a:prstGeom>
                  </pic:spPr>
                </pic:pic>
              </a:graphicData>
            </a:graphic>
          </wp:inline>
        </w:drawing>
      </w:r>
    </w:p>
    <w:p w:rsidR="00003A24" w:rsidRPr="00C806D0" w:rsidRDefault="00003A24" w:rsidP="00003A24">
      <w:pPr>
        <w:rPr>
          <w:b/>
        </w:rPr>
      </w:pPr>
      <w:r w:rsidRPr="00C806D0">
        <w:rPr>
          <w:b/>
        </w:rPr>
        <w:t xml:space="preserve">Figure I3. Derivation of </w:t>
      </w:r>
      <w:r w:rsidR="00142464" w:rsidRPr="00C806D0">
        <w:rPr>
          <w:b/>
        </w:rPr>
        <w:t xml:space="preserve">the HITSNS </w:t>
      </w:r>
      <w:r w:rsidRPr="00C806D0">
        <w:rPr>
          <w:b/>
        </w:rPr>
        <w:t>study sample</w:t>
      </w:r>
      <w:r w:rsidR="00142464" w:rsidRPr="00C806D0">
        <w:rPr>
          <w:b/>
        </w:rPr>
        <w:t>s</w:t>
      </w:r>
      <w:r w:rsidRPr="00C806D0">
        <w:rPr>
          <w:b/>
        </w:rPr>
        <w:t xml:space="preserve"> for cost analysis comparing transport to NSAH with bypass to a SNC.</w:t>
      </w:r>
    </w:p>
    <w:p w:rsidR="00003A24" w:rsidRPr="00C806D0" w:rsidRDefault="00003A24" w:rsidP="00003A24"/>
    <w:p w:rsidR="00003A24" w:rsidRPr="00C806D0" w:rsidRDefault="00003A24" w:rsidP="00003A24">
      <w:r w:rsidRPr="00C806D0">
        <w:t xml:space="preserve">Although case-mix between bypassed and non-bypassed patients was broadly similar there were some notable differences in potential confounders between study groups in certain patient subgroups. Patients requiring acute neurosurgery and bypassed to SNCs were older than cases taken to the nearest NSAH (median age 44 v 24 years). Conversely for the TBI requiring ward care subgroup patients initially admitted to SNCs were much younger (median age 49 v 77 years). Non-bypassed TBI patients requiring critical care demonstrated lower </w:t>
      </w:r>
      <w:r w:rsidR="002A16B4" w:rsidRPr="00C806D0">
        <w:t>prehospital</w:t>
      </w:r>
      <w:r w:rsidRPr="00C806D0">
        <w:t xml:space="preserve"> oxygen saturations (median saturations 90 v 98%). Patient characteristics for each subgroup are presented in Table I4.</w:t>
      </w:r>
    </w:p>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Pr>
        <w:rPr>
          <w:rFonts w:ascii="Calibri" w:hAnsi="Calibri" w:cs="Arial"/>
          <w:b/>
        </w:rPr>
      </w:pPr>
      <w:r w:rsidRPr="00C806D0">
        <w:rPr>
          <w:rFonts w:ascii="Calibri" w:hAnsi="Calibri" w:cs="Arial"/>
          <w:b/>
        </w:rPr>
        <w:t>Table I4. Patient characteristics or each model patient subgroup in cost analyses examining mean incremental cost differences.</w:t>
      </w:r>
    </w:p>
    <w:tbl>
      <w:tblPr>
        <w:tblStyle w:val="LightShading1"/>
        <w:tblW w:w="5000" w:type="pct"/>
        <w:tblLook w:val="06A0" w:firstRow="1" w:lastRow="0" w:firstColumn="1" w:lastColumn="0" w:noHBand="1" w:noVBand="1"/>
      </w:tblPr>
      <w:tblGrid>
        <w:gridCol w:w="3581"/>
        <w:gridCol w:w="1482"/>
        <w:gridCol w:w="3657"/>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rPr>
                <w:rFonts w:ascii="Calibri" w:hAnsi="Calibri" w:cs="Arial"/>
                <w:sz w:val="18"/>
                <w:szCs w:val="18"/>
              </w:rPr>
            </w:pPr>
            <w:r w:rsidRPr="00C806D0">
              <w:rPr>
                <w:rFonts w:ascii="Calibri" w:hAnsi="Calibri" w:cs="Arial"/>
                <w:sz w:val="18"/>
                <w:szCs w:val="18"/>
              </w:rPr>
              <w:t>Patient characteristic</w:t>
            </w:r>
          </w:p>
        </w:tc>
        <w:tc>
          <w:tcPr>
            <w:tcW w:w="850" w:type="pct"/>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Transported to NSAH</w:t>
            </w:r>
          </w:p>
        </w:tc>
        <w:tc>
          <w:tcPr>
            <w:tcW w:w="2097" w:type="pct"/>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Transported to SNC</w:t>
            </w:r>
          </w:p>
        </w:tc>
      </w:tr>
      <w:tr w:rsidR="00003A24" w:rsidRPr="00C806D0" w:rsidTr="002A16B4">
        <w:trPr>
          <w:trHeight w:val="335"/>
        </w:trPr>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rPr>
                <w:rFonts w:ascii="Calibri" w:hAnsi="Calibri" w:cs="Arial"/>
                <w:sz w:val="18"/>
                <w:szCs w:val="18"/>
              </w:rPr>
            </w:pPr>
            <w:r w:rsidRPr="00C806D0">
              <w:rPr>
                <w:rFonts w:ascii="Calibri" w:hAnsi="Calibri" w:cs="Arial"/>
                <w:sz w:val="18"/>
                <w:szCs w:val="18"/>
              </w:rPr>
              <w:t>Mild TBI</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n=69</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n=26</w:t>
            </w:r>
          </w:p>
        </w:tc>
      </w:tr>
      <w:tr w:rsidR="00003A24" w:rsidRPr="00C806D0" w:rsidTr="002A16B4">
        <w:trPr>
          <w:trHeight w:val="335"/>
        </w:trPr>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Age (years,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43 (26-61)</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33 (24-52)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ISS (median IQR)</w:t>
            </w:r>
          </w:p>
          <w:p w:rsidR="00003A24" w:rsidRPr="00C806D0" w:rsidRDefault="00003A24" w:rsidP="002A16B4">
            <w:pPr>
              <w:pStyle w:val="NoSpacing"/>
              <w:rPr>
                <w:rFonts w:ascii="Calibri" w:hAnsi="Calibri" w:cs="Arial"/>
                <w:b w:val="0"/>
                <w:sz w:val="18"/>
                <w:szCs w:val="18"/>
              </w:rPr>
            </w:pP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 (1-1)</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 (1-1)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GCS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11 (9-12)</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12 (8-12)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sats (%,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97 (96-98)</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98 (96-98)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SBP (mmHg,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131 (118-150)</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140 (126-157)</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sz w:val="18"/>
                <w:szCs w:val="18"/>
              </w:rPr>
            </w:pPr>
            <w:r w:rsidRPr="00C806D0">
              <w:rPr>
                <w:rFonts w:ascii="Calibri" w:hAnsi="Calibri" w:cs="Arial"/>
                <w:b w:val="0"/>
                <w:sz w:val="18"/>
                <w:szCs w:val="18"/>
              </w:rPr>
              <w:t>EC injury (%, 95% CI)</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rPr>
                <w:rFonts w:ascii="Calibri" w:hAnsi="Calibri" w:cs="Arial"/>
                <w:sz w:val="18"/>
                <w:szCs w:val="18"/>
              </w:rPr>
            </w:pPr>
            <w:r w:rsidRPr="00C806D0">
              <w:rPr>
                <w:rFonts w:ascii="Calibri" w:hAnsi="Calibri" w:cs="Arial"/>
                <w:sz w:val="18"/>
                <w:szCs w:val="18"/>
              </w:rPr>
              <w:t>TBI requiring acute neurosurgery</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n=6</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n=4</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Age (years,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24 (19-34)</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44 (28-58)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ISS (median IQR)</w:t>
            </w:r>
          </w:p>
          <w:p w:rsidR="00003A24" w:rsidRPr="00C806D0" w:rsidRDefault="00003A24" w:rsidP="002A16B4">
            <w:pPr>
              <w:pStyle w:val="NoSpacing"/>
              <w:rPr>
                <w:rFonts w:ascii="Calibri" w:hAnsi="Calibri" w:cs="Arial"/>
                <w:b w:val="0"/>
                <w:sz w:val="18"/>
                <w:szCs w:val="18"/>
              </w:rPr>
            </w:pP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26 (25-29)</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25 (23-25)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GCS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5 (3-9)</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3 (3-5)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sats (%,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99 (99-99)</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97 (88-100)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hypotension mmHg,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126 (113-127)</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157 (124-167)</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sz w:val="18"/>
                <w:szCs w:val="18"/>
              </w:rPr>
            </w:pPr>
            <w:r w:rsidRPr="00C806D0">
              <w:rPr>
                <w:rFonts w:ascii="Calibri" w:hAnsi="Calibri" w:cs="Arial"/>
                <w:b w:val="0"/>
                <w:sz w:val="18"/>
                <w:szCs w:val="18"/>
              </w:rPr>
              <w:t>EC injury (%, 95% CI)</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 (0-46)</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 (0-60)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rPr>
                <w:rFonts w:ascii="Calibri" w:hAnsi="Calibri" w:cs="Arial"/>
                <w:sz w:val="18"/>
                <w:szCs w:val="18"/>
              </w:rPr>
            </w:pPr>
            <w:r w:rsidRPr="00C806D0">
              <w:rPr>
                <w:rFonts w:ascii="Calibri" w:hAnsi="Calibri" w:cs="Arial"/>
                <w:sz w:val="18"/>
                <w:szCs w:val="18"/>
              </w:rPr>
              <w:t>TBI requiring critical care</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n=7</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n=12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Age (years,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49 (32-58)</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 xml:space="preserve">48 (34-67) </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ISS (median IQR)</w:t>
            </w:r>
          </w:p>
          <w:p w:rsidR="00003A24" w:rsidRPr="00C806D0" w:rsidRDefault="00003A24" w:rsidP="002A16B4">
            <w:pPr>
              <w:pStyle w:val="NoSpacing"/>
              <w:rPr>
                <w:rFonts w:ascii="Calibri" w:hAnsi="Calibri" w:cs="Arial"/>
                <w:b w:val="0"/>
                <w:sz w:val="18"/>
                <w:szCs w:val="18"/>
              </w:rPr>
            </w:pP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16 (16-17)</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20 (16-25)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GCS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 (3-12)</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6 (3-7)</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sats (%,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90 (90-92)</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98 (92-99)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SBP (mmHg,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125 (113-139)</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138 (126-142)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sz w:val="18"/>
                <w:szCs w:val="18"/>
              </w:rPr>
            </w:pPr>
            <w:r w:rsidRPr="00C806D0">
              <w:rPr>
                <w:rFonts w:ascii="Calibri" w:hAnsi="Calibri" w:cs="Arial"/>
                <w:b w:val="0"/>
                <w:sz w:val="18"/>
                <w:szCs w:val="18"/>
              </w:rPr>
              <w:t>EC injury (%, 95% CI)</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 (0-40)</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17% (0-40)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rPr>
                <w:rFonts w:ascii="Calibri" w:hAnsi="Calibri" w:cs="Arial"/>
                <w:sz w:val="18"/>
                <w:szCs w:val="18"/>
              </w:rPr>
            </w:pPr>
            <w:r w:rsidRPr="00C806D0">
              <w:rPr>
                <w:rFonts w:ascii="Calibri" w:hAnsi="Calibri" w:cs="Arial"/>
                <w:sz w:val="18"/>
                <w:szCs w:val="18"/>
              </w:rPr>
              <w:t>TBI requiring ward care</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n=17</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n=16</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Age (years,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77 (49-82)</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49 (30-70)</w:t>
            </w:r>
          </w:p>
        </w:tc>
      </w:tr>
      <w:tr w:rsidR="00003A24" w:rsidRPr="00C806D0" w:rsidTr="002A16B4">
        <w:trPr>
          <w:trHeight w:val="301"/>
        </w:trPr>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ISS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10 (1-20)</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14 (1-25)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GCS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10 (7-12)</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11 (6-12)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sats (%,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96 (92-98)</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95 (93-98)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SBP (mmHg,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145 (128-165)</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129 (117-145)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sz w:val="18"/>
                <w:szCs w:val="18"/>
              </w:rPr>
            </w:pPr>
            <w:r w:rsidRPr="00C806D0">
              <w:rPr>
                <w:rFonts w:ascii="Calibri" w:hAnsi="Calibri" w:cs="Arial"/>
                <w:b w:val="0"/>
                <w:sz w:val="18"/>
                <w:szCs w:val="18"/>
              </w:rPr>
              <w:t>EC injury (%, 95% CI)</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 (0-20)</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7 (0-20)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rPr>
                <w:rFonts w:ascii="Calibri" w:hAnsi="Calibri" w:cs="Arial"/>
                <w:sz w:val="18"/>
                <w:szCs w:val="18"/>
              </w:rPr>
            </w:pPr>
            <w:r w:rsidRPr="00C806D0">
              <w:rPr>
                <w:rFonts w:ascii="Calibri" w:hAnsi="Calibri" w:cs="Arial"/>
                <w:sz w:val="18"/>
                <w:szCs w:val="18"/>
              </w:rPr>
              <w:t xml:space="preserve">Major </w:t>
            </w:r>
            <w:r w:rsidR="002A16B4" w:rsidRPr="00C806D0">
              <w:rPr>
                <w:rFonts w:ascii="Calibri" w:hAnsi="Calibri" w:cs="Arial"/>
                <w:sz w:val="18"/>
                <w:szCs w:val="18"/>
              </w:rPr>
              <w:t>extracranial</w:t>
            </w:r>
            <w:r w:rsidRPr="00C806D0">
              <w:rPr>
                <w:rFonts w:ascii="Calibri" w:hAnsi="Calibri" w:cs="Arial"/>
                <w:sz w:val="18"/>
                <w:szCs w:val="18"/>
              </w:rPr>
              <w:t xml:space="preserve"> injury only</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n=2</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18"/>
                <w:szCs w:val="18"/>
              </w:rPr>
            </w:pPr>
            <w:r w:rsidRPr="00C806D0">
              <w:rPr>
                <w:rFonts w:ascii="Calibri" w:hAnsi="Calibri" w:cs="Arial"/>
                <w:b/>
                <w:sz w:val="18"/>
                <w:szCs w:val="18"/>
              </w:rPr>
              <w:t>n=7</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Age (years,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70 (48-91)</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40 (25-57)</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ISS (median IQR)</w:t>
            </w:r>
          </w:p>
          <w:p w:rsidR="00003A24" w:rsidRPr="00C806D0" w:rsidRDefault="00003A24" w:rsidP="002A16B4">
            <w:pPr>
              <w:pStyle w:val="NoSpacing"/>
              <w:rPr>
                <w:rFonts w:ascii="Calibri" w:hAnsi="Calibri" w:cs="Arial"/>
                <w:b w:val="0"/>
                <w:sz w:val="18"/>
                <w:szCs w:val="18"/>
              </w:rPr>
            </w:pP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13 (9-17)</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 (6-24)</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GCS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3 (3-7.5)</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3 (3-10)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sats (%,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97 (97-97)</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98 (97-98)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PH SBP (mmHg, median IQR)</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108 (100-115)</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130 (122-144)</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53" w:type="pct"/>
          </w:tcPr>
          <w:p w:rsidR="00003A24" w:rsidRPr="00C806D0" w:rsidRDefault="00003A24" w:rsidP="002A16B4">
            <w:pPr>
              <w:pStyle w:val="NoSpacing"/>
              <w:rPr>
                <w:rFonts w:ascii="Calibri" w:hAnsi="Calibri" w:cs="Arial"/>
                <w:sz w:val="18"/>
                <w:szCs w:val="18"/>
              </w:rPr>
            </w:pPr>
            <w:r w:rsidRPr="00C806D0">
              <w:rPr>
                <w:rFonts w:ascii="Calibri" w:hAnsi="Calibri" w:cs="Arial"/>
                <w:b w:val="0"/>
                <w:sz w:val="18"/>
                <w:szCs w:val="18"/>
              </w:rPr>
              <w:t>EC injury (%, 95% CI)</w:t>
            </w:r>
          </w:p>
        </w:tc>
        <w:tc>
          <w:tcPr>
            <w:tcW w:w="85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 xml:space="preserve">100 </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100</w:t>
            </w:r>
          </w:p>
        </w:tc>
      </w:tr>
    </w:tbl>
    <w:p w:rsidR="00003A24" w:rsidRPr="00C806D0" w:rsidRDefault="00003A24" w:rsidP="00003A24">
      <w:pPr>
        <w:autoSpaceDE w:val="0"/>
        <w:autoSpaceDN w:val="0"/>
        <w:adjustRightInd w:val="0"/>
        <w:spacing w:after="200" w:line="276" w:lineRule="auto"/>
        <w:rPr>
          <w:rFonts w:ascii="Calibri" w:hAnsi="Calibri" w:cs="Arial"/>
          <w:sz w:val="20"/>
          <w:szCs w:val="20"/>
        </w:rPr>
      </w:pPr>
      <w:r w:rsidRPr="00C806D0">
        <w:rPr>
          <w:rFonts w:ascii="Calibri" w:hAnsi="Calibri" w:cs="Arial"/>
          <w:sz w:val="20"/>
          <w:szCs w:val="20"/>
        </w:rPr>
        <w:t>Abbreviat</w:t>
      </w:r>
      <w:r w:rsidR="00142464" w:rsidRPr="00C806D0">
        <w:rPr>
          <w:rFonts w:ascii="Calibri" w:hAnsi="Calibri" w:cs="Arial"/>
          <w:sz w:val="20"/>
          <w:szCs w:val="20"/>
        </w:rPr>
        <w:t>ions: IQR: inter-quartile range;</w:t>
      </w:r>
      <w:r w:rsidRPr="00C806D0">
        <w:rPr>
          <w:rFonts w:ascii="Calibri" w:hAnsi="Calibri" w:cs="Arial"/>
          <w:sz w:val="20"/>
          <w:szCs w:val="20"/>
        </w:rPr>
        <w:t xml:space="preserve"> PH: </w:t>
      </w:r>
      <w:r w:rsidR="002A16B4" w:rsidRPr="00C806D0">
        <w:rPr>
          <w:rFonts w:ascii="Calibri" w:hAnsi="Calibri" w:cs="Arial"/>
          <w:sz w:val="20"/>
          <w:szCs w:val="20"/>
        </w:rPr>
        <w:t>prehospital</w:t>
      </w:r>
      <w:r w:rsidR="00142464" w:rsidRPr="00C806D0">
        <w:rPr>
          <w:rFonts w:ascii="Calibri" w:hAnsi="Calibri" w:cs="Arial"/>
          <w:sz w:val="20"/>
          <w:szCs w:val="20"/>
        </w:rPr>
        <w:t>; sats: pu</w:t>
      </w:r>
      <w:r w:rsidRPr="00C806D0">
        <w:rPr>
          <w:rFonts w:ascii="Calibri" w:hAnsi="Calibri" w:cs="Arial"/>
          <w:sz w:val="20"/>
          <w:szCs w:val="20"/>
        </w:rPr>
        <w:t>ls</w:t>
      </w:r>
      <w:r w:rsidR="00142464" w:rsidRPr="00C806D0">
        <w:rPr>
          <w:rFonts w:ascii="Calibri" w:hAnsi="Calibri" w:cs="Arial"/>
          <w:sz w:val="20"/>
          <w:szCs w:val="20"/>
        </w:rPr>
        <w:t xml:space="preserve">e oximetry oxygen saturations; </w:t>
      </w:r>
      <w:r w:rsidRPr="00C806D0">
        <w:rPr>
          <w:rFonts w:ascii="Calibri" w:hAnsi="Calibri" w:cs="Arial"/>
          <w:sz w:val="20"/>
          <w:szCs w:val="20"/>
        </w:rPr>
        <w:t xml:space="preserve">EC: </w:t>
      </w:r>
      <w:r w:rsidR="002A16B4" w:rsidRPr="00C806D0">
        <w:rPr>
          <w:rFonts w:ascii="Calibri" w:hAnsi="Calibri" w:cs="Arial"/>
          <w:sz w:val="20"/>
          <w:szCs w:val="20"/>
        </w:rPr>
        <w:t>extracranial</w:t>
      </w:r>
    </w:p>
    <w:p w:rsidR="00003A24" w:rsidRPr="00C806D0" w:rsidRDefault="00003A24" w:rsidP="00003A24">
      <w:r w:rsidRPr="00C806D0">
        <w:t xml:space="preserve">The distribution of costs was right skewed in all patient subgroups. The larger sample size for mild head injury patients allowed development of multi-level models, adjusting for age and </w:t>
      </w:r>
      <w:r w:rsidR="002A16B4" w:rsidRPr="00C806D0">
        <w:t>prehospital</w:t>
      </w:r>
      <w:r w:rsidRPr="00C806D0">
        <w:t xml:space="preserve"> GCS. An identity link and Gaussian family were selected as the most appropriate specification based on model diagnostics. Unadjusted mean differences in cost, calculated using non-parametric bootstrapping were used for other patient sub-groups. Incremental mean cost differences are summarised for each sub-group in Table I5. A statistically significant difference in mean cost was observed between patients with head injury requiring ward admission initially transported to SNC </w:t>
      </w:r>
      <w:r w:rsidR="00335B1F" w:rsidRPr="00C806D0">
        <w:t>compared with</w:t>
      </w:r>
      <w:r w:rsidRPr="00C806D0">
        <w:t xml:space="preserve"> NSAHs (£2,353, 95% CI £414 - £4,291). No other significant differences were apparent in other patient subgroups. The observed point estimate for difference in costs for the acute neurosurgery subgroup undergoing bypass was very large (£32,044, 95% CI £-3,722 - £67,811), however this result was very imprecise with the 95% confidence intervals being  consistent with either increased or decreased mean costs. Smaller point estimates for incremental differences in costs were observed in other patient subgroups initially transported to SNCs: mild TBI (£68, 95% CI £-14 – £141), TBI requiring critical care (£6,971, 95% CI £-21,840-£35,781), and major </w:t>
      </w:r>
      <w:r w:rsidR="002A16B4" w:rsidRPr="00C806D0">
        <w:t>extracranial</w:t>
      </w:r>
      <w:r w:rsidRPr="00C806D0">
        <w:t xml:space="preserve"> injury £5,922, 95%CI £-4,433- £16,277).</w:t>
      </w:r>
    </w:p>
    <w:p w:rsidR="00003A24" w:rsidRPr="00C806D0" w:rsidRDefault="00003A24" w:rsidP="00003A24">
      <w:pPr>
        <w:rPr>
          <w:b/>
        </w:rPr>
      </w:pPr>
    </w:p>
    <w:p w:rsidR="00003A24" w:rsidRPr="00C806D0" w:rsidRDefault="00003A24" w:rsidP="00003A24">
      <w:pPr>
        <w:rPr>
          <w:b/>
        </w:rPr>
      </w:pPr>
      <w:r w:rsidRPr="00C806D0">
        <w:rPr>
          <w:b/>
        </w:rPr>
        <w:t>Table I5. Mean cost differences between patients transported to NSAHs and SNCs</w:t>
      </w:r>
    </w:p>
    <w:tbl>
      <w:tblPr>
        <w:tblStyle w:val="LightShading1"/>
        <w:tblW w:w="0" w:type="auto"/>
        <w:tblLook w:val="06A0" w:firstRow="1" w:lastRow="0" w:firstColumn="1" w:lastColumn="0" w:noHBand="1" w:noVBand="1"/>
      </w:tblPr>
      <w:tblGrid>
        <w:gridCol w:w="2943"/>
        <w:gridCol w:w="993"/>
        <w:gridCol w:w="2854"/>
        <w:gridCol w:w="1930"/>
      </w:tblGrid>
      <w:tr w:rsidR="00003A24" w:rsidRPr="00C806D0" w:rsidTr="005C4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03A24" w:rsidRPr="00C806D0" w:rsidRDefault="00003A24" w:rsidP="005C4E9F">
            <w:pPr>
              <w:rPr>
                <w:rFonts w:ascii="Calibri" w:hAnsi="Calibri"/>
              </w:rPr>
            </w:pPr>
            <w:r w:rsidRPr="00C806D0">
              <w:rPr>
                <w:rFonts w:ascii="Calibri" w:hAnsi="Calibri"/>
              </w:rPr>
              <w:t>Patient subgroup</w:t>
            </w:r>
          </w:p>
        </w:tc>
        <w:tc>
          <w:tcPr>
            <w:tcW w:w="993" w:type="dxa"/>
          </w:tcPr>
          <w:p w:rsidR="00003A24" w:rsidRPr="00C806D0" w:rsidRDefault="00003A24" w:rsidP="005C4E9F">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Sample size</w:t>
            </w:r>
          </w:p>
        </w:tc>
        <w:tc>
          <w:tcPr>
            <w:tcW w:w="2854" w:type="dxa"/>
          </w:tcPr>
          <w:p w:rsidR="00003A24" w:rsidRPr="00C806D0" w:rsidRDefault="00003A24" w:rsidP="005C4E9F">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Incremental mean cost difference from NSAH care</w:t>
            </w:r>
          </w:p>
        </w:tc>
        <w:tc>
          <w:tcPr>
            <w:tcW w:w="0" w:type="auto"/>
          </w:tcPr>
          <w:p w:rsidR="00003A24" w:rsidRPr="00C806D0" w:rsidRDefault="00003A24" w:rsidP="005C4E9F">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95% confidence interval</w:t>
            </w:r>
          </w:p>
        </w:tc>
      </w:tr>
      <w:tr w:rsidR="00003A24" w:rsidRPr="00C806D0" w:rsidTr="005C4E9F">
        <w:trPr>
          <w:trHeight w:val="451"/>
        </w:trPr>
        <w:tc>
          <w:tcPr>
            <w:cnfStyle w:val="001000000000" w:firstRow="0" w:lastRow="0" w:firstColumn="1" w:lastColumn="0" w:oddVBand="0" w:evenVBand="0" w:oddHBand="0" w:evenHBand="0" w:firstRowFirstColumn="0" w:firstRowLastColumn="0" w:lastRowFirstColumn="0" w:lastRowLastColumn="0"/>
            <w:tcW w:w="2943" w:type="dxa"/>
          </w:tcPr>
          <w:p w:rsidR="00003A24" w:rsidRPr="00C806D0" w:rsidRDefault="00003A24" w:rsidP="005C4E9F">
            <w:pPr>
              <w:rPr>
                <w:rFonts w:ascii="Calibri" w:hAnsi="Calibri"/>
                <w:b w:val="0"/>
              </w:rPr>
            </w:pPr>
            <w:r w:rsidRPr="00C806D0">
              <w:rPr>
                <w:rFonts w:ascii="Calibri" w:hAnsi="Calibri"/>
                <w:b w:val="0"/>
              </w:rPr>
              <w:t>Mild TBI</w:t>
            </w:r>
          </w:p>
        </w:tc>
        <w:tc>
          <w:tcPr>
            <w:tcW w:w="993" w:type="dxa"/>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95</w:t>
            </w:r>
          </w:p>
        </w:tc>
        <w:tc>
          <w:tcPr>
            <w:tcW w:w="2854" w:type="dxa"/>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£63</w:t>
            </w:r>
          </w:p>
        </w:tc>
        <w:tc>
          <w:tcPr>
            <w:tcW w:w="0" w:type="auto"/>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-£14 – £141</w:t>
            </w:r>
          </w:p>
        </w:tc>
      </w:tr>
      <w:tr w:rsidR="00003A24" w:rsidRPr="00C806D0" w:rsidTr="005C4E9F">
        <w:tc>
          <w:tcPr>
            <w:cnfStyle w:val="001000000000" w:firstRow="0" w:lastRow="0" w:firstColumn="1" w:lastColumn="0" w:oddVBand="0" w:evenVBand="0" w:oddHBand="0" w:evenHBand="0" w:firstRowFirstColumn="0" w:firstRowLastColumn="0" w:lastRowFirstColumn="0" w:lastRowLastColumn="0"/>
            <w:tcW w:w="2943" w:type="dxa"/>
          </w:tcPr>
          <w:p w:rsidR="005C4E9F" w:rsidRPr="00C806D0" w:rsidRDefault="005C4E9F" w:rsidP="005C4E9F">
            <w:pPr>
              <w:rPr>
                <w:rFonts w:ascii="Calibri" w:hAnsi="Calibri"/>
                <w:b w:val="0"/>
              </w:rPr>
            </w:pPr>
            <w:r w:rsidRPr="00C806D0">
              <w:rPr>
                <w:rFonts w:ascii="Calibri" w:hAnsi="Calibri"/>
                <w:b w:val="0"/>
              </w:rPr>
              <w:t>TBI</w:t>
            </w:r>
            <w:r w:rsidR="00003A24" w:rsidRPr="00C806D0">
              <w:rPr>
                <w:rFonts w:ascii="Calibri" w:hAnsi="Calibri"/>
                <w:b w:val="0"/>
              </w:rPr>
              <w:t xml:space="preserve"> requiring ward admission</w:t>
            </w:r>
          </w:p>
        </w:tc>
        <w:tc>
          <w:tcPr>
            <w:tcW w:w="993" w:type="dxa"/>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33</w:t>
            </w:r>
          </w:p>
        </w:tc>
        <w:tc>
          <w:tcPr>
            <w:tcW w:w="2854" w:type="dxa"/>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£2,353</w:t>
            </w:r>
          </w:p>
        </w:tc>
        <w:tc>
          <w:tcPr>
            <w:tcW w:w="0" w:type="auto"/>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£414 - £4,291</w:t>
            </w:r>
          </w:p>
        </w:tc>
      </w:tr>
      <w:tr w:rsidR="00003A24" w:rsidRPr="00C806D0" w:rsidTr="005C4E9F">
        <w:trPr>
          <w:trHeight w:val="409"/>
        </w:trPr>
        <w:tc>
          <w:tcPr>
            <w:cnfStyle w:val="001000000000" w:firstRow="0" w:lastRow="0" w:firstColumn="1" w:lastColumn="0" w:oddVBand="0" w:evenVBand="0" w:oddHBand="0" w:evenHBand="0" w:firstRowFirstColumn="0" w:firstRowLastColumn="0" w:lastRowFirstColumn="0" w:lastRowLastColumn="0"/>
            <w:tcW w:w="2943" w:type="dxa"/>
          </w:tcPr>
          <w:p w:rsidR="00003A24" w:rsidRPr="00C806D0" w:rsidRDefault="005C4E9F" w:rsidP="005C4E9F">
            <w:pPr>
              <w:rPr>
                <w:rFonts w:ascii="Calibri" w:hAnsi="Calibri"/>
                <w:b w:val="0"/>
              </w:rPr>
            </w:pPr>
            <w:r w:rsidRPr="00C806D0">
              <w:rPr>
                <w:rFonts w:ascii="Calibri" w:hAnsi="Calibri"/>
                <w:b w:val="0"/>
              </w:rPr>
              <w:t>TBI</w:t>
            </w:r>
            <w:r w:rsidR="00003A24" w:rsidRPr="00C806D0">
              <w:rPr>
                <w:rFonts w:ascii="Calibri" w:hAnsi="Calibri"/>
                <w:b w:val="0"/>
              </w:rPr>
              <w:t xml:space="preserve"> requiring critical care</w:t>
            </w:r>
          </w:p>
        </w:tc>
        <w:tc>
          <w:tcPr>
            <w:tcW w:w="993" w:type="dxa"/>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19</w:t>
            </w:r>
          </w:p>
        </w:tc>
        <w:tc>
          <w:tcPr>
            <w:tcW w:w="2854" w:type="dxa"/>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£6,971</w:t>
            </w:r>
          </w:p>
        </w:tc>
        <w:tc>
          <w:tcPr>
            <w:tcW w:w="0" w:type="auto"/>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-£21,840 - £35,781</w:t>
            </w:r>
          </w:p>
        </w:tc>
      </w:tr>
      <w:tr w:rsidR="00003A24" w:rsidRPr="00C806D0" w:rsidTr="005C4E9F">
        <w:tc>
          <w:tcPr>
            <w:cnfStyle w:val="001000000000" w:firstRow="0" w:lastRow="0" w:firstColumn="1" w:lastColumn="0" w:oddVBand="0" w:evenVBand="0" w:oddHBand="0" w:evenHBand="0" w:firstRowFirstColumn="0" w:firstRowLastColumn="0" w:lastRowFirstColumn="0" w:lastRowLastColumn="0"/>
            <w:tcW w:w="2943" w:type="dxa"/>
          </w:tcPr>
          <w:p w:rsidR="00003A24" w:rsidRPr="00C806D0" w:rsidRDefault="00003A24" w:rsidP="005C4E9F">
            <w:pPr>
              <w:rPr>
                <w:rFonts w:ascii="Calibri" w:hAnsi="Calibri"/>
                <w:b w:val="0"/>
              </w:rPr>
            </w:pPr>
            <w:r w:rsidRPr="00C806D0">
              <w:rPr>
                <w:rFonts w:ascii="Calibri" w:hAnsi="Calibri"/>
                <w:b w:val="0"/>
              </w:rPr>
              <w:t>Acute neurosurgery</w:t>
            </w:r>
          </w:p>
        </w:tc>
        <w:tc>
          <w:tcPr>
            <w:tcW w:w="993" w:type="dxa"/>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10</w:t>
            </w:r>
          </w:p>
        </w:tc>
        <w:tc>
          <w:tcPr>
            <w:tcW w:w="2854" w:type="dxa"/>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£32,044</w:t>
            </w:r>
          </w:p>
        </w:tc>
        <w:tc>
          <w:tcPr>
            <w:tcW w:w="0" w:type="auto"/>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-£3,722 – £67,811</w:t>
            </w:r>
          </w:p>
        </w:tc>
      </w:tr>
      <w:tr w:rsidR="00003A24" w:rsidRPr="00C806D0" w:rsidTr="005C4E9F">
        <w:tc>
          <w:tcPr>
            <w:cnfStyle w:val="001000000000" w:firstRow="0" w:lastRow="0" w:firstColumn="1" w:lastColumn="0" w:oddVBand="0" w:evenVBand="0" w:oddHBand="0" w:evenHBand="0" w:firstRowFirstColumn="0" w:firstRowLastColumn="0" w:lastRowFirstColumn="0" w:lastRowLastColumn="0"/>
            <w:tcW w:w="2943" w:type="dxa"/>
          </w:tcPr>
          <w:p w:rsidR="00003A24" w:rsidRPr="00C806D0" w:rsidRDefault="00003A24" w:rsidP="005C4E9F">
            <w:pPr>
              <w:rPr>
                <w:rFonts w:ascii="Calibri" w:hAnsi="Calibri"/>
                <w:b w:val="0"/>
              </w:rPr>
            </w:pPr>
            <w:r w:rsidRPr="00C806D0">
              <w:rPr>
                <w:rFonts w:ascii="Calibri" w:hAnsi="Calibri"/>
                <w:b w:val="0"/>
              </w:rPr>
              <w:t xml:space="preserve">Major </w:t>
            </w:r>
            <w:r w:rsidR="002A16B4" w:rsidRPr="00C806D0">
              <w:rPr>
                <w:rFonts w:ascii="Calibri" w:hAnsi="Calibri"/>
                <w:b w:val="0"/>
              </w:rPr>
              <w:t>extracranial</w:t>
            </w:r>
            <w:r w:rsidRPr="00C806D0">
              <w:rPr>
                <w:rFonts w:ascii="Calibri" w:hAnsi="Calibri"/>
                <w:b w:val="0"/>
              </w:rPr>
              <w:t xml:space="preserve"> injury</w:t>
            </w:r>
          </w:p>
        </w:tc>
        <w:tc>
          <w:tcPr>
            <w:tcW w:w="993" w:type="dxa"/>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9</w:t>
            </w:r>
          </w:p>
        </w:tc>
        <w:tc>
          <w:tcPr>
            <w:tcW w:w="2854" w:type="dxa"/>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£5,922</w:t>
            </w:r>
          </w:p>
        </w:tc>
        <w:tc>
          <w:tcPr>
            <w:tcW w:w="0" w:type="auto"/>
          </w:tcPr>
          <w:p w:rsidR="00003A24" w:rsidRPr="00C806D0" w:rsidRDefault="00003A24" w:rsidP="005C4E9F">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C806D0">
              <w:rPr>
                <w:rFonts w:ascii="Calibri" w:hAnsi="Calibri"/>
              </w:rPr>
              <w:t>-£4,433-£16,277</w:t>
            </w:r>
          </w:p>
        </w:tc>
      </w:tr>
    </w:tbl>
    <w:p w:rsidR="00003A24" w:rsidRPr="00C806D0" w:rsidRDefault="00003A24" w:rsidP="00003A24"/>
    <w:p w:rsidR="005C4E9F" w:rsidRPr="00C806D0" w:rsidRDefault="005C4E9F" w:rsidP="00003A24"/>
    <w:p w:rsidR="00D368BB" w:rsidRPr="00C806D0" w:rsidRDefault="00003A24" w:rsidP="00003A24">
      <w:r w:rsidRPr="00C806D0">
        <w:t xml:space="preserve">HITSNS estimates for incremental inpatient costs were very imprecise and considered to be of borderline validity secondary to the potential risks of confounding and attrition bias. A sensitivity analysis was therefore conducted based on the expert opinion of the trial management group, using formally elicited parameter distributions, presented in Figure I4. </w:t>
      </w:r>
    </w:p>
    <w:p w:rsidR="00003A24" w:rsidRPr="00C806D0" w:rsidRDefault="00003A24" w:rsidP="00003A24">
      <w:pPr>
        <w:rPr>
          <w:rFonts w:ascii="Arial" w:hAnsi="Arial" w:cs="Arial"/>
        </w:rPr>
      </w:pPr>
    </w:p>
    <w:p w:rsidR="00BF1676" w:rsidRPr="00C806D0" w:rsidRDefault="00BF1676" w:rsidP="00003A24">
      <w:pPr>
        <w:jc w:val="center"/>
        <w:rPr>
          <w:rFonts w:ascii="Arial" w:hAnsi="Arial" w:cs="Arial"/>
        </w:r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jc w:val="center"/>
        <w:rPr>
          <w:rFonts w:ascii="Arial" w:hAnsi="Arial" w:cs="Arial"/>
        </w:rPr>
      </w:pPr>
      <w:r w:rsidRPr="00C806D0">
        <w:rPr>
          <w:rFonts w:ascii="Arial" w:hAnsi="Arial" w:cs="Arial"/>
          <w:noProof/>
          <w:lang w:val="en-US"/>
        </w:rPr>
        <w:drawing>
          <wp:inline distT="0" distB="0" distL="0" distR="0">
            <wp:extent cx="6267531" cy="4196870"/>
            <wp:effectExtent l="19050" t="0" r="0" b="0"/>
            <wp:docPr id="65" name="Picture 2" descr="Elicited_inpatient_c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cited_inpatient_costs.jpg"/>
                    <pic:cNvPicPr/>
                  </pic:nvPicPr>
                  <pic:blipFill>
                    <a:blip r:embed="rId51" cstate="print"/>
                    <a:stretch>
                      <a:fillRect/>
                    </a:stretch>
                  </pic:blipFill>
                  <pic:spPr>
                    <a:xfrm>
                      <a:off x="0" y="0"/>
                      <a:ext cx="6276555" cy="4202913"/>
                    </a:xfrm>
                    <a:prstGeom prst="rect">
                      <a:avLst/>
                    </a:prstGeom>
                  </pic:spPr>
                </pic:pic>
              </a:graphicData>
            </a:graphic>
          </wp:inline>
        </w:drawing>
      </w:r>
    </w:p>
    <w:p w:rsidR="00003A24" w:rsidRPr="00C806D0" w:rsidRDefault="00003A24" w:rsidP="00003A24"/>
    <w:p w:rsidR="00003A24" w:rsidRPr="00C806D0" w:rsidRDefault="00003A24" w:rsidP="00003A24">
      <w:pPr>
        <w:rPr>
          <w:b/>
          <w:sz w:val="20"/>
          <w:szCs w:val="20"/>
        </w:rPr>
      </w:pPr>
      <w:r w:rsidRPr="00C806D0">
        <w:rPr>
          <w:b/>
          <w:sz w:val="20"/>
          <w:szCs w:val="20"/>
        </w:rPr>
        <w:t>Figure I4. Elicited mean incremental inpatient cost differences between bypass and selective transfer strategies for each patient subgroup. Probability distributions elicited within trial management group using SHELF elicitation framework.</w:t>
      </w:r>
    </w:p>
    <w:p w:rsidR="00BF1676" w:rsidRPr="00C806D0" w:rsidRDefault="00BF1676" w:rsidP="00003A24">
      <w:pPr>
        <w:sectPr w:rsidR="00BF1676" w:rsidRPr="00C806D0" w:rsidSect="00BF1676">
          <w:pgSz w:w="16838" w:h="11906" w:orient="landscape"/>
          <w:pgMar w:top="2268" w:right="1134" w:bottom="1134" w:left="1134" w:header="709" w:footer="709" w:gutter="0"/>
          <w:cols w:space="708"/>
          <w:docGrid w:linePitch="360"/>
        </w:sectPr>
      </w:pPr>
    </w:p>
    <w:p w:rsidR="003A4BDE" w:rsidRPr="00C806D0" w:rsidRDefault="003A4BDE" w:rsidP="00003A24"/>
    <w:p w:rsidR="00003A24" w:rsidRPr="00C806D0" w:rsidRDefault="00003A24" w:rsidP="00003A24">
      <w:r w:rsidRPr="00C806D0">
        <w:t xml:space="preserve">Potentially relevant patient level </w:t>
      </w:r>
      <w:r w:rsidR="00335B1F" w:rsidRPr="00C806D0">
        <w:t>data were</w:t>
      </w:r>
      <w:r w:rsidRPr="00C806D0">
        <w:t xml:space="preserve"> also available from the Nottingham Head Injury Register for the acute neurosurgery subgroup and was used in a further sensitivity analysis.</w:t>
      </w:r>
      <w:r w:rsidR="00105532" w:rsidRPr="00C806D0">
        <w:rPr>
          <w:noProof/>
          <w:vertAlign w:val="superscript"/>
        </w:rPr>
        <w:t>[</w:t>
      </w:r>
      <w:r w:rsidR="006D4D62" w:rsidRPr="00C806D0">
        <w:rPr>
          <w:noProof/>
          <w:vertAlign w:val="superscript"/>
        </w:rPr>
        <w:t>29</w:t>
      </w:r>
      <w:r w:rsidR="00105532" w:rsidRPr="00C806D0">
        <w:rPr>
          <w:noProof/>
          <w:vertAlign w:val="superscript"/>
        </w:rPr>
        <w:t>]</w:t>
      </w:r>
      <w:r w:rsidR="005C4E9F" w:rsidRPr="00C806D0">
        <w:t xml:space="preserve"> </w:t>
      </w:r>
      <w:r w:rsidRPr="00C806D0">
        <w:rPr>
          <w:rFonts w:ascii="Calibri" w:hAnsi="Calibri"/>
        </w:rPr>
        <w:t>The Nottingham Head Injury Register (NHIR) enrolled patients with moderate and severe TBI admitted to the Queen’s Medical Centre, a UK SNC, between 1995 and 2002. The database has been described in detail previously.</w:t>
      </w:r>
      <w:r w:rsidR="00105532" w:rsidRPr="00C806D0">
        <w:rPr>
          <w:rFonts w:ascii="Calibri" w:hAnsi="Calibri"/>
          <w:noProof/>
          <w:vertAlign w:val="superscript"/>
        </w:rPr>
        <w:t>[</w:t>
      </w:r>
      <w:r w:rsidR="006D4D62" w:rsidRPr="00C806D0">
        <w:rPr>
          <w:rFonts w:ascii="Calibri" w:hAnsi="Calibri"/>
          <w:noProof/>
          <w:vertAlign w:val="superscript"/>
        </w:rPr>
        <w:t>29</w:t>
      </w:r>
      <w:r w:rsidR="00105532" w:rsidRPr="00C806D0">
        <w:rPr>
          <w:rFonts w:ascii="Calibri" w:hAnsi="Calibri"/>
          <w:noProof/>
          <w:vertAlign w:val="superscript"/>
        </w:rPr>
        <w:t>]</w:t>
      </w:r>
      <w:r w:rsidRPr="00C806D0">
        <w:rPr>
          <w:rFonts w:ascii="Calibri" w:hAnsi="Calibri"/>
        </w:rPr>
        <w:t xml:space="preserve"> Briefly, directly admitted or referred patients undergoing secondary transfer were prospectively included with a dataset of 636 demographic, clinical, treatment and injury variables collected from case notes and hospital information systems. Outcome was measured by the basic GOS</w:t>
      </w:r>
      <w:r w:rsidR="005C4E9F" w:rsidRPr="00C806D0">
        <w:rPr>
          <w:rFonts w:ascii="Calibri" w:hAnsi="Calibri"/>
        </w:rPr>
        <w:t xml:space="preserve"> at one</w:t>
      </w:r>
      <w:r w:rsidRPr="00C806D0">
        <w:rPr>
          <w:rFonts w:ascii="Calibri" w:hAnsi="Calibri"/>
        </w:rPr>
        <w:t xml:space="preserve"> year using a structured interview performed by each patient’s General Practitioner. </w:t>
      </w:r>
    </w:p>
    <w:p w:rsidR="00003A24" w:rsidRPr="00C806D0" w:rsidRDefault="00003A24" w:rsidP="00003A24">
      <w:pPr>
        <w:rPr>
          <w:rFonts w:ascii="Calibri" w:hAnsi="Calibri"/>
        </w:rPr>
      </w:pPr>
    </w:p>
    <w:p w:rsidR="00003A24" w:rsidRPr="00C806D0" w:rsidRDefault="00003A24" w:rsidP="00003A24">
      <w:pPr>
        <w:rPr>
          <w:rFonts w:ascii="Calibri" w:hAnsi="Calibri"/>
        </w:rPr>
      </w:pPr>
      <w:r w:rsidRPr="00C806D0">
        <w:rPr>
          <w:rFonts w:ascii="Calibri" w:hAnsi="Calibri"/>
        </w:rPr>
        <w:t>Patients were identified for inclusion in the cost analysis based on HITSNS eligibility criteria and the presence of an extra-dural haematoma, subdural haematoma, or other intra-cranial neurosurgical lesion undergoing operative management within 12 hours of injury. Health service resource use was then measured and valued for each case using NHS reference costs as described previously. A multivariable generalised linear model was subsequently developed with total inpatient cost as the dependent variable, treatment pathway (direct admission or secondary transfer) as an independent variable, and the potential confounders of age, GCS and pupil responses as further explanatory variables. Models were developed iteratively using the Modified Park Test and goodness of fit statistics to optimise their specification.</w:t>
      </w:r>
      <w:r w:rsidR="00105532" w:rsidRPr="00C806D0">
        <w:rPr>
          <w:rFonts w:ascii="Calibri" w:hAnsi="Calibri"/>
          <w:noProof/>
          <w:vertAlign w:val="superscript"/>
        </w:rPr>
        <w:t>[</w:t>
      </w:r>
      <w:r w:rsidR="006D4D62" w:rsidRPr="00C806D0">
        <w:rPr>
          <w:rFonts w:ascii="Calibri" w:hAnsi="Calibri"/>
          <w:noProof/>
          <w:vertAlign w:val="superscript"/>
        </w:rPr>
        <w:t>23</w:t>
      </w:r>
      <w:r w:rsidR="00105532" w:rsidRPr="00C806D0">
        <w:rPr>
          <w:rFonts w:ascii="Calibri" w:hAnsi="Calibri"/>
          <w:noProof/>
          <w:vertAlign w:val="superscript"/>
        </w:rPr>
        <w:t>]</w:t>
      </w:r>
      <w:r w:rsidRPr="00C806D0">
        <w:rPr>
          <w:rFonts w:ascii="Calibri" w:hAnsi="Calibri"/>
        </w:rPr>
        <w:t xml:space="preserve"> Mean incremental costs difference, with the associated standard error and 95% confidence interval, were then computed using the method of recycled predictions and non-parametric bootstrapping.</w:t>
      </w:r>
    </w:p>
    <w:p w:rsidR="00003A24" w:rsidRPr="00C806D0" w:rsidRDefault="00003A24" w:rsidP="00003A24"/>
    <w:p w:rsidR="00003A24" w:rsidRPr="00C806D0" w:rsidRDefault="00003A24" w:rsidP="00003A24">
      <w:r w:rsidRPr="00C806D0">
        <w:t>The NHIR enrolled a total of 1,662 patients, of whom 1,276 were adults. From these 113 patients met HITSNS inclusion criteria and were classified as requiring acute neurosurgery. Ninety four cases were initially admitted to a NSAH and underwent secondary transfer to the SNC, 32 patients were directly admitted to the SNC. No cases were excluded due to missing data. Case mix between directly admitted and referred patients was similar (Table I6). Although cost data were right skewed a generalised linear model with an identity link and inverse Gaussian family was found to be appropriate based on model diagnostics. Directly admitted patients demonstrated higher costs than referred patients, with a mean incremental cost difference of £9,880 (95% CI £2,811 - £16,950).</w:t>
      </w:r>
    </w:p>
    <w:p w:rsidR="00003A24" w:rsidRPr="00C806D0" w:rsidRDefault="00003A24" w:rsidP="00003A24">
      <w:pPr>
        <w:autoSpaceDE w:val="0"/>
        <w:autoSpaceDN w:val="0"/>
        <w:adjustRightInd w:val="0"/>
        <w:spacing w:after="200"/>
        <w:rPr>
          <w:rFonts w:ascii="Arial" w:hAnsi="Arial" w:cs="Arial"/>
        </w:rPr>
      </w:pPr>
    </w:p>
    <w:p w:rsidR="00003A24" w:rsidRPr="00C806D0" w:rsidRDefault="00003A24" w:rsidP="00003A24">
      <w:pPr>
        <w:autoSpaceDE w:val="0"/>
        <w:autoSpaceDN w:val="0"/>
        <w:adjustRightInd w:val="0"/>
        <w:spacing w:after="200"/>
        <w:rPr>
          <w:rFonts w:ascii="Arial" w:hAnsi="Arial" w:cs="Arial"/>
        </w:rPr>
      </w:pPr>
    </w:p>
    <w:p w:rsidR="00003A24" w:rsidRPr="00C806D0" w:rsidRDefault="00003A24" w:rsidP="00003A24">
      <w:pPr>
        <w:rPr>
          <w:b/>
        </w:rPr>
      </w:pPr>
      <w:r w:rsidRPr="00C806D0">
        <w:rPr>
          <w:b/>
        </w:rPr>
        <w:t>Table I6. Characteristics of directly admitted and referred patients requiring acute neurosurgery in the Nottingham Head Injury Register.</w:t>
      </w:r>
    </w:p>
    <w:tbl>
      <w:tblPr>
        <w:tblStyle w:val="LightShading1"/>
        <w:tblW w:w="5000" w:type="pct"/>
        <w:tblLook w:val="06A0" w:firstRow="1" w:lastRow="0" w:firstColumn="1" w:lastColumn="0" w:noHBand="1" w:noVBand="1"/>
      </w:tblPr>
      <w:tblGrid>
        <w:gridCol w:w="3179"/>
        <w:gridCol w:w="1884"/>
        <w:gridCol w:w="3657"/>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pct"/>
          </w:tcPr>
          <w:p w:rsidR="00003A24" w:rsidRPr="00C806D0" w:rsidRDefault="00003A24" w:rsidP="002A16B4">
            <w:pPr>
              <w:rPr>
                <w:rFonts w:ascii="Calibri" w:hAnsi="Calibri" w:cs="Arial"/>
              </w:rPr>
            </w:pPr>
            <w:r w:rsidRPr="00C806D0">
              <w:rPr>
                <w:rFonts w:ascii="Calibri" w:hAnsi="Calibri" w:cs="Arial"/>
              </w:rPr>
              <w:t>Patient characteristic</w:t>
            </w:r>
          </w:p>
        </w:tc>
        <w:tc>
          <w:tcPr>
            <w:tcW w:w="1080" w:type="pct"/>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Secondary transfer from NSAH</w:t>
            </w:r>
          </w:p>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p>
        </w:tc>
        <w:tc>
          <w:tcPr>
            <w:tcW w:w="2097" w:type="pct"/>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Direct admission to NC</w:t>
            </w:r>
          </w:p>
        </w:tc>
      </w:tr>
      <w:tr w:rsidR="00003A24" w:rsidRPr="00C806D0" w:rsidTr="002A16B4">
        <w:trPr>
          <w:trHeight w:val="335"/>
        </w:trPr>
        <w:tc>
          <w:tcPr>
            <w:cnfStyle w:val="001000000000" w:firstRow="0" w:lastRow="0" w:firstColumn="1" w:lastColumn="0" w:oddVBand="0" w:evenVBand="0" w:oddHBand="0" w:evenHBand="0" w:firstRowFirstColumn="0" w:firstRowLastColumn="0" w:lastRowFirstColumn="0" w:lastRowLastColumn="0"/>
            <w:tcW w:w="1823" w:type="pct"/>
          </w:tcPr>
          <w:p w:rsidR="00003A24" w:rsidRPr="00C806D0" w:rsidRDefault="00003A24" w:rsidP="002A16B4">
            <w:pPr>
              <w:rPr>
                <w:rFonts w:ascii="Calibri" w:hAnsi="Calibri" w:cs="Arial"/>
              </w:rPr>
            </w:pPr>
          </w:p>
        </w:tc>
        <w:tc>
          <w:tcPr>
            <w:tcW w:w="108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rPr>
            </w:pPr>
            <w:r w:rsidRPr="00C806D0">
              <w:rPr>
                <w:rFonts w:ascii="Calibri" w:hAnsi="Calibri" w:cs="Arial"/>
                <w:b/>
              </w:rPr>
              <w:t>94</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rPr>
            </w:pPr>
            <w:r w:rsidRPr="00C806D0">
              <w:rPr>
                <w:rFonts w:ascii="Calibri" w:hAnsi="Calibri" w:cs="Arial"/>
                <w:b/>
              </w:rPr>
              <w:t>32</w:t>
            </w:r>
          </w:p>
        </w:tc>
      </w:tr>
      <w:tr w:rsidR="00003A24" w:rsidRPr="00C806D0" w:rsidTr="002A16B4">
        <w:trPr>
          <w:trHeight w:val="335"/>
        </w:trPr>
        <w:tc>
          <w:tcPr>
            <w:cnfStyle w:val="001000000000" w:firstRow="0" w:lastRow="0" w:firstColumn="1" w:lastColumn="0" w:oddVBand="0" w:evenVBand="0" w:oddHBand="0" w:evenHBand="0" w:firstRowFirstColumn="0" w:firstRowLastColumn="0" w:lastRowFirstColumn="0" w:lastRowLastColumn="0"/>
            <w:tcW w:w="1823" w:type="pct"/>
          </w:tcPr>
          <w:p w:rsidR="00003A24" w:rsidRPr="00C806D0" w:rsidRDefault="00003A24" w:rsidP="002A16B4">
            <w:pPr>
              <w:pStyle w:val="NoSpacing"/>
              <w:rPr>
                <w:rFonts w:ascii="Calibri" w:hAnsi="Calibri" w:cs="Arial"/>
                <w:b w:val="0"/>
              </w:rPr>
            </w:pPr>
            <w:r w:rsidRPr="00C806D0">
              <w:rPr>
                <w:rFonts w:ascii="Calibri" w:hAnsi="Calibri" w:cs="Arial"/>
                <w:b w:val="0"/>
              </w:rPr>
              <w:t>Age (years, median IQR)</w:t>
            </w:r>
          </w:p>
        </w:tc>
        <w:tc>
          <w:tcPr>
            <w:tcW w:w="108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42 (30-54)</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40 (25-50)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823" w:type="pct"/>
          </w:tcPr>
          <w:p w:rsidR="00003A24" w:rsidRPr="00C806D0" w:rsidRDefault="00003A24" w:rsidP="002A16B4">
            <w:pPr>
              <w:pStyle w:val="NoSpacing"/>
              <w:rPr>
                <w:rFonts w:ascii="Calibri" w:hAnsi="Calibri" w:cs="Arial"/>
                <w:b w:val="0"/>
              </w:rPr>
            </w:pPr>
            <w:r w:rsidRPr="00C806D0">
              <w:rPr>
                <w:rFonts w:ascii="Calibri" w:hAnsi="Calibri" w:cs="Arial"/>
                <w:b w:val="0"/>
              </w:rPr>
              <w:t>ISS (median IQR)</w:t>
            </w:r>
          </w:p>
        </w:tc>
        <w:tc>
          <w:tcPr>
            <w:tcW w:w="108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Not available</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Not available</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823" w:type="pct"/>
          </w:tcPr>
          <w:p w:rsidR="00003A24" w:rsidRPr="00C806D0" w:rsidRDefault="00003A24" w:rsidP="002A16B4">
            <w:pPr>
              <w:pStyle w:val="NoSpacing"/>
              <w:rPr>
                <w:rFonts w:ascii="Calibri" w:hAnsi="Calibri" w:cs="Arial"/>
                <w:b w:val="0"/>
              </w:rPr>
            </w:pPr>
            <w:r w:rsidRPr="00C806D0">
              <w:rPr>
                <w:rFonts w:ascii="Calibri" w:hAnsi="Calibri" w:cs="Arial"/>
                <w:b w:val="0"/>
              </w:rPr>
              <w:t>ED GCS (median IQR)</w:t>
            </w:r>
          </w:p>
        </w:tc>
        <w:tc>
          <w:tcPr>
            <w:tcW w:w="108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7 (4-9)</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6 (4-10)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823" w:type="pct"/>
          </w:tcPr>
          <w:p w:rsidR="00003A24" w:rsidRPr="00C806D0" w:rsidRDefault="00003A24" w:rsidP="002A16B4">
            <w:pPr>
              <w:pStyle w:val="NoSpacing"/>
              <w:rPr>
                <w:rFonts w:ascii="Calibri" w:hAnsi="Calibri" w:cs="Arial"/>
                <w:b w:val="0"/>
              </w:rPr>
            </w:pPr>
            <w:r w:rsidRPr="00C806D0">
              <w:rPr>
                <w:rFonts w:ascii="Calibri" w:hAnsi="Calibri" w:cs="Arial"/>
                <w:b w:val="0"/>
              </w:rPr>
              <w:t>ED pupils (% abnormal, 95% CI)</w:t>
            </w:r>
          </w:p>
        </w:tc>
        <w:tc>
          <w:tcPr>
            <w:tcW w:w="108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19 (11-29)</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21 (8-41)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823" w:type="pct"/>
          </w:tcPr>
          <w:p w:rsidR="00003A24" w:rsidRPr="00C806D0" w:rsidRDefault="00003A24" w:rsidP="002A16B4">
            <w:pPr>
              <w:pStyle w:val="NoSpacing"/>
              <w:rPr>
                <w:rFonts w:ascii="Calibri" w:hAnsi="Calibri" w:cs="Arial"/>
                <w:b w:val="0"/>
              </w:rPr>
            </w:pPr>
            <w:r w:rsidRPr="00C806D0">
              <w:rPr>
                <w:rFonts w:ascii="Calibri" w:hAnsi="Calibri" w:cs="Arial"/>
                <w:b w:val="0"/>
              </w:rPr>
              <w:t>ED sats (%, median IQR)</w:t>
            </w:r>
          </w:p>
        </w:tc>
        <w:tc>
          <w:tcPr>
            <w:tcW w:w="108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98 (94-99)</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98 (94-99)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823" w:type="pct"/>
          </w:tcPr>
          <w:p w:rsidR="00003A24" w:rsidRPr="00C806D0" w:rsidRDefault="00003A24" w:rsidP="002A16B4">
            <w:pPr>
              <w:pStyle w:val="NoSpacing"/>
              <w:rPr>
                <w:rFonts w:ascii="Calibri" w:hAnsi="Calibri" w:cs="Arial"/>
                <w:b w:val="0"/>
              </w:rPr>
            </w:pPr>
            <w:r w:rsidRPr="00C806D0">
              <w:rPr>
                <w:rFonts w:ascii="Calibri" w:hAnsi="Calibri" w:cs="Arial"/>
                <w:b w:val="0"/>
              </w:rPr>
              <w:t>ED SBP (mmHg, median IQR)</w:t>
            </w:r>
          </w:p>
        </w:tc>
        <w:tc>
          <w:tcPr>
            <w:tcW w:w="108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140 (135-163)</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150 (135-163)</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823" w:type="pct"/>
          </w:tcPr>
          <w:p w:rsidR="00003A24" w:rsidRPr="00C806D0" w:rsidRDefault="00003A24" w:rsidP="002A16B4">
            <w:pPr>
              <w:pStyle w:val="NoSpacing"/>
              <w:rPr>
                <w:rFonts w:ascii="Calibri" w:hAnsi="Calibri" w:cs="Arial"/>
              </w:rPr>
            </w:pPr>
            <w:r w:rsidRPr="00C806D0">
              <w:rPr>
                <w:rFonts w:ascii="Calibri" w:hAnsi="Calibri" w:cs="Arial"/>
                <w:b w:val="0"/>
              </w:rPr>
              <w:t>EC injury (%, 95% CI)</w:t>
            </w:r>
          </w:p>
        </w:tc>
        <w:tc>
          <w:tcPr>
            <w:tcW w:w="1080"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Not available</w:t>
            </w:r>
          </w:p>
        </w:tc>
        <w:tc>
          <w:tcPr>
            <w:tcW w:w="2097" w:type="pct"/>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Not available</w:t>
            </w:r>
          </w:p>
        </w:tc>
      </w:tr>
    </w:tbl>
    <w:p w:rsidR="00003A24" w:rsidRPr="00C806D0" w:rsidRDefault="00003A24" w:rsidP="00003A24">
      <w:pPr>
        <w:rPr>
          <w:rFonts w:ascii="Arial" w:hAnsi="Arial" w:cs="Arial"/>
        </w:rPr>
      </w:pPr>
    </w:p>
    <w:p w:rsidR="00003A24" w:rsidRPr="00C806D0" w:rsidRDefault="00003A24" w:rsidP="00003A24">
      <w:pPr>
        <w:pStyle w:val="Heading4"/>
      </w:pPr>
      <w:r w:rsidRPr="00C806D0">
        <w:t>Incremental cost difference between selective secondary transfer and routine/no secondary transfer strategies</w:t>
      </w:r>
    </w:p>
    <w:p w:rsidR="00003A24" w:rsidRPr="00C806D0" w:rsidRDefault="00003A24" w:rsidP="00003A24">
      <w:r w:rsidRPr="00C806D0">
        <w:t>Estimates for differences in mean inpatient cost were also required between selective secondary transfer and routine and no transfer strategies for patients with TBI requiring critical care. No studies were identified providing such data. The RAIN study reported adjusted incremental costs between no-transfer and routine transfer strategies,</w:t>
      </w:r>
      <w:r w:rsidR="00105532" w:rsidRPr="00C806D0">
        <w:rPr>
          <w:noProof/>
          <w:vertAlign w:val="superscript"/>
        </w:rPr>
        <w:t>[</w:t>
      </w:r>
      <w:r w:rsidR="006D4D62" w:rsidRPr="00C806D0">
        <w:rPr>
          <w:noProof/>
          <w:vertAlign w:val="superscript"/>
        </w:rPr>
        <w:t>26</w:t>
      </w:r>
      <w:r w:rsidR="00105532" w:rsidRPr="00C806D0">
        <w:rPr>
          <w:noProof/>
          <w:vertAlign w:val="superscript"/>
        </w:rPr>
        <w:t>]</w:t>
      </w:r>
      <w:r w:rsidRPr="00C806D0">
        <w:t xml:space="preserve"> but in addition to examining a different baseline comparator, this estimate also included post-discharge costs and was averaged over all patients with TBI regardless of their </w:t>
      </w:r>
      <w:r w:rsidR="002A16B4" w:rsidRPr="00C806D0">
        <w:t>prehospital</w:t>
      </w:r>
      <w:r w:rsidRPr="00C806D0">
        <w:t xml:space="preserve"> vital signs. It was therefore necessary to elicit incremental costs, informed by the RAIN and HITSNS results, from the HITSNS trial management group. Elicited distributions are presented in Figure I5.</w:t>
      </w:r>
    </w:p>
    <w:p w:rsidR="00003A24" w:rsidRPr="00C806D0" w:rsidRDefault="00003A24" w:rsidP="00003A24"/>
    <w:p w:rsidR="00003A24" w:rsidRPr="00C806D0" w:rsidRDefault="00003A24" w:rsidP="00003A24">
      <w:r w:rsidRPr="00C806D0">
        <w:rPr>
          <w:noProof/>
          <w:lang w:val="en-US"/>
        </w:rPr>
        <w:drawing>
          <wp:inline distT="0" distB="0" distL="0" distR="0">
            <wp:extent cx="5731510" cy="3515360"/>
            <wp:effectExtent l="19050" t="0" r="2540" b="0"/>
            <wp:docPr id="66" name="Picture 5" descr="R_elicited_distributions_incrmental_c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elicited_distributions_incrmental_costs.jpg"/>
                    <pic:cNvPicPr/>
                  </pic:nvPicPr>
                  <pic:blipFill>
                    <a:blip r:embed="rId52" cstate="print"/>
                    <a:stretch>
                      <a:fillRect/>
                    </a:stretch>
                  </pic:blipFill>
                  <pic:spPr>
                    <a:xfrm>
                      <a:off x="0" y="0"/>
                      <a:ext cx="5731510" cy="3515360"/>
                    </a:xfrm>
                    <a:prstGeom prst="rect">
                      <a:avLst/>
                    </a:prstGeom>
                  </pic:spPr>
                </pic:pic>
              </a:graphicData>
            </a:graphic>
          </wp:inline>
        </w:drawing>
      </w:r>
    </w:p>
    <w:p w:rsidR="00003A24" w:rsidRPr="00C806D0" w:rsidRDefault="00003A24" w:rsidP="00003A24">
      <w:pPr>
        <w:rPr>
          <w:b/>
        </w:rPr>
      </w:pPr>
      <w:r w:rsidRPr="00C806D0">
        <w:rPr>
          <w:b/>
        </w:rPr>
        <w:t xml:space="preserve">Figure I5. Elicited probability density plots presenting elicited expert opinion on mean incremental costs between competing </w:t>
      </w:r>
      <w:r w:rsidR="002F1C02" w:rsidRPr="00C806D0">
        <w:rPr>
          <w:b/>
        </w:rPr>
        <w:t xml:space="preserve">secondary transfer </w:t>
      </w:r>
      <w:r w:rsidRPr="00C806D0">
        <w:rPr>
          <w:b/>
        </w:rPr>
        <w:t xml:space="preserve">strategies for patients </w:t>
      </w:r>
      <w:r w:rsidR="002F1C02" w:rsidRPr="00C806D0">
        <w:rPr>
          <w:b/>
        </w:rPr>
        <w:t>TBI</w:t>
      </w:r>
      <w:r w:rsidRPr="00C806D0">
        <w:rPr>
          <w:b/>
        </w:rPr>
        <w:t xml:space="preserve"> requiring critical care.</w:t>
      </w:r>
    </w:p>
    <w:p w:rsidR="00003A24" w:rsidRPr="00C806D0" w:rsidRDefault="00003A24" w:rsidP="002A360F">
      <w:pPr>
        <w:pStyle w:val="Heading3"/>
      </w:pPr>
      <w:r w:rsidRPr="00C806D0">
        <w:t xml:space="preserve">Post discharge and long term costs following TBI and major </w:t>
      </w:r>
      <w:r w:rsidR="002A16B4" w:rsidRPr="00C806D0">
        <w:t>extracranial</w:t>
      </w:r>
      <w:r w:rsidRPr="00C806D0">
        <w:t xml:space="preserve"> injury</w:t>
      </w:r>
    </w:p>
    <w:p w:rsidR="00003A24" w:rsidRPr="00C806D0" w:rsidRDefault="00003A24" w:rsidP="00003A24">
      <w:pPr>
        <w:pStyle w:val="Heading4"/>
      </w:pPr>
      <w:r w:rsidRPr="00C806D0">
        <w:t>Post discharge costs following TBI</w:t>
      </w:r>
    </w:p>
    <w:p w:rsidR="00003A24" w:rsidRPr="00C806D0" w:rsidRDefault="00003A24" w:rsidP="00003A24">
      <w:r w:rsidRPr="00C806D0">
        <w:t>A literature review of post-discharge costs for TBI patients whose outcomes are represented by GOS states revealed only one relevant information source. This study, by Beecham and colleagues (2008), evaluated the costs of health and social care services used by young British adults aged 18-25 years presenting to emergency departments with an acquired brain injury, predominantly head injury.</w:t>
      </w:r>
      <w:r w:rsidR="00105532" w:rsidRPr="00C806D0">
        <w:rPr>
          <w:noProof/>
          <w:vertAlign w:val="superscript"/>
        </w:rPr>
        <w:t>[</w:t>
      </w:r>
      <w:r w:rsidR="006D4D62" w:rsidRPr="00C806D0">
        <w:rPr>
          <w:noProof/>
          <w:vertAlign w:val="superscript"/>
        </w:rPr>
        <w:t>54</w:t>
      </w:r>
      <w:r w:rsidR="00105532" w:rsidRPr="00C806D0">
        <w:rPr>
          <w:noProof/>
          <w:vertAlign w:val="superscript"/>
        </w:rPr>
        <w:t>]</w:t>
      </w:r>
      <w:r w:rsidRPr="00C806D0">
        <w:t xml:space="preserve">  Literature reviews, resource databases, expert opinion and national surveys were used to estimate the incidence of acquired brain injuries, define care pathways and assess the level of health service in the first year following injury. Resource use was then valued using 2006 NHS reference costs. The study estimated costs per patient categorised into four groups corresponding closely to the modelled GOS health states. Only point estimates of yearly costs were presented and in order to represent uncertainty in these estimates standard errors and 95% confidence intervals were calculated under the assumption that the standard deviation was equal to the mean for each GOS category. Given the paucity of literature in this area it was also assumed that the reported costs for young adults were representative of the mean post-discharge costs of all TBI survivors, and that patient who died within the first year accrued no post-discharge costs. Reported costs, adjusted for CPI inflation, are shown in Table I7. </w:t>
      </w:r>
    </w:p>
    <w:p w:rsidR="00003A24" w:rsidRPr="00C806D0" w:rsidRDefault="00003A24" w:rsidP="00003A24"/>
    <w:p w:rsidR="00003A24" w:rsidRPr="00C806D0" w:rsidRDefault="00003A24" w:rsidP="00003A24">
      <w:pPr>
        <w:rPr>
          <w:b/>
        </w:rPr>
      </w:pPr>
      <w:r w:rsidRPr="00C806D0">
        <w:rPr>
          <w:b/>
        </w:rPr>
        <w:t>Table I7. Mean first year post-discharge cost for head injury survivors, classified by GOS category.</w:t>
      </w:r>
    </w:p>
    <w:tbl>
      <w:tblPr>
        <w:tblStyle w:val="LightShading1"/>
        <w:tblW w:w="0" w:type="auto"/>
        <w:tblLook w:val="06A0" w:firstRow="1" w:lastRow="0" w:firstColumn="1" w:lastColumn="0" w:noHBand="1" w:noVBand="1"/>
      </w:tblPr>
      <w:tblGrid>
        <w:gridCol w:w="2906"/>
        <w:gridCol w:w="2898"/>
        <w:gridCol w:w="2916"/>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003A24" w:rsidRPr="00C806D0" w:rsidRDefault="00003A24" w:rsidP="002A16B4">
            <w:r w:rsidRPr="00C806D0">
              <w:t>GOS Category</w:t>
            </w:r>
          </w:p>
        </w:tc>
        <w:tc>
          <w:tcPr>
            <w:tcW w:w="3081" w:type="dxa"/>
          </w:tcPr>
          <w:p w:rsidR="00003A24" w:rsidRPr="00C806D0" w:rsidRDefault="00003A24" w:rsidP="002A16B4">
            <w:pPr>
              <w:cnfStyle w:val="100000000000" w:firstRow="1" w:lastRow="0" w:firstColumn="0" w:lastColumn="0" w:oddVBand="0" w:evenVBand="0" w:oddHBand="0" w:evenHBand="0" w:firstRowFirstColumn="0" w:firstRowLastColumn="0" w:lastRowFirstColumn="0" w:lastRowLastColumn="0"/>
            </w:pPr>
            <w:r w:rsidRPr="00C806D0">
              <w:t>Point Estimate of mean cost</w:t>
            </w:r>
          </w:p>
        </w:tc>
        <w:tc>
          <w:tcPr>
            <w:tcW w:w="3081" w:type="dxa"/>
          </w:tcPr>
          <w:p w:rsidR="00003A24" w:rsidRPr="00C806D0" w:rsidRDefault="00003A24" w:rsidP="002A16B4">
            <w:pPr>
              <w:cnfStyle w:val="100000000000" w:firstRow="1" w:lastRow="0" w:firstColumn="0" w:lastColumn="0" w:oddVBand="0" w:evenVBand="0" w:oddHBand="0" w:evenHBand="0" w:firstRowFirstColumn="0" w:firstRowLastColumn="0" w:lastRowFirstColumn="0" w:lastRowLastColumn="0"/>
            </w:pPr>
            <w:r w:rsidRPr="00C806D0">
              <w:t>95% confidence interval</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080" w:type="dxa"/>
          </w:tcPr>
          <w:p w:rsidR="00003A24" w:rsidRPr="00C806D0" w:rsidRDefault="00003A24" w:rsidP="002A16B4">
            <w:pPr>
              <w:rPr>
                <w:b w:val="0"/>
              </w:rPr>
            </w:pPr>
            <w:r w:rsidRPr="00C806D0">
              <w:rPr>
                <w:b w:val="0"/>
              </w:rPr>
              <w:t>Good recovery</w:t>
            </w:r>
          </w:p>
        </w:tc>
        <w:tc>
          <w:tcPr>
            <w:tcW w:w="3081" w:type="dxa"/>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pPr>
            <w:r w:rsidRPr="00C806D0">
              <w:t>£413</w:t>
            </w:r>
          </w:p>
        </w:tc>
        <w:tc>
          <w:tcPr>
            <w:tcW w:w="3081" w:type="dxa"/>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pPr>
            <w:r w:rsidRPr="00C806D0">
              <w:t>£410 - £415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080" w:type="dxa"/>
          </w:tcPr>
          <w:p w:rsidR="00003A24" w:rsidRPr="00C806D0" w:rsidRDefault="00003A24" w:rsidP="002A16B4">
            <w:pPr>
              <w:rPr>
                <w:b w:val="0"/>
              </w:rPr>
            </w:pPr>
            <w:r w:rsidRPr="00C806D0">
              <w:rPr>
                <w:b w:val="0"/>
              </w:rPr>
              <w:t>Moderate disability</w:t>
            </w:r>
          </w:p>
        </w:tc>
        <w:tc>
          <w:tcPr>
            <w:tcW w:w="3081" w:type="dxa"/>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pPr>
            <w:r w:rsidRPr="00C806D0">
              <w:t>£29,507</w:t>
            </w:r>
          </w:p>
        </w:tc>
        <w:tc>
          <w:tcPr>
            <w:tcW w:w="3081" w:type="dxa"/>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pPr>
            <w:r w:rsidRPr="00C806D0">
              <w:t>£26,416 - £32,599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080" w:type="dxa"/>
          </w:tcPr>
          <w:p w:rsidR="00003A24" w:rsidRPr="00C806D0" w:rsidRDefault="00003A24" w:rsidP="002A16B4">
            <w:pPr>
              <w:rPr>
                <w:b w:val="0"/>
              </w:rPr>
            </w:pPr>
            <w:r w:rsidRPr="00C806D0">
              <w:rPr>
                <w:b w:val="0"/>
              </w:rPr>
              <w:t>Severe disability</w:t>
            </w:r>
          </w:p>
        </w:tc>
        <w:tc>
          <w:tcPr>
            <w:tcW w:w="3081" w:type="dxa"/>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pPr>
            <w:r w:rsidRPr="00C806D0">
              <w:t>£58,292</w:t>
            </w:r>
          </w:p>
        </w:tc>
        <w:tc>
          <w:tcPr>
            <w:tcW w:w="3081" w:type="dxa"/>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pPr>
            <w:r w:rsidRPr="00C806D0">
              <w:t>£51,803.07 - £64,781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080" w:type="dxa"/>
          </w:tcPr>
          <w:p w:rsidR="00003A24" w:rsidRPr="00C806D0" w:rsidRDefault="00003A24" w:rsidP="002A16B4">
            <w:pPr>
              <w:rPr>
                <w:b w:val="0"/>
              </w:rPr>
            </w:pPr>
            <w:r w:rsidRPr="00C806D0">
              <w:rPr>
                <w:b w:val="0"/>
              </w:rPr>
              <w:t>Dead</w:t>
            </w:r>
          </w:p>
        </w:tc>
        <w:tc>
          <w:tcPr>
            <w:tcW w:w="3081" w:type="dxa"/>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pPr>
            <w:r w:rsidRPr="00C806D0">
              <w:t>£0</w:t>
            </w:r>
          </w:p>
        </w:tc>
        <w:tc>
          <w:tcPr>
            <w:tcW w:w="3081" w:type="dxa"/>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pPr>
            <w:r w:rsidRPr="00C806D0">
              <w:t>£0 - £0</w:t>
            </w:r>
          </w:p>
        </w:tc>
      </w:tr>
    </w:tbl>
    <w:p w:rsidR="00003A24" w:rsidRPr="00C806D0" w:rsidRDefault="00003A24" w:rsidP="00003A24"/>
    <w:p w:rsidR="00003A24" w:rsidRPr="00C806D0" w:rsidRDefault="00003A24" w:rsidP="00003A24">
      <w:pPr>
        <w:pStyle w:val="Heading4"/>
      </w:pPr>
      <w:r w:rsidRPr="00C806D0">
        <w:t>Long term costs following TBI</w:t>
      </w:r>
    </w:p>
    <w:p w:rsidR="00003A24" w:rsidRPr="00C806D0" w:rsidRDefault="00003A24" w:rsidP="00003A24">
      <w:pPr>
        <w:rPr>
          <w:noProof/>
          <w:lang w:eastAsia="en-GB"/>
        </w:rPr>
      </w:pPr>
      <w:r w:rsidRPr="00C806D0">
        <w:t>No UK studies were found examining longer term costs beyond the first year post-injury applicable to GOS health states TBI survivors. Estimates were available from previous US cost-analyses and health economic models (Leibson 2012, Faul 2007, Finkelstein 2006).</w:t>
      </w:r>
      <w:r w:rsidR="00105532" w:rsidRPr="00C806D0">
        <w:rPr>
          <w:noProof/>
          <w:vertAlign w:val="superscript"/>
        </w:rPr>
        <w:t>[</w:t>
      </w:r>
      <w:r w:rsidR="006D4D62" w:rsidRPr="00C806D0">
        <w:rPr>
          <w:noProof/>
          <w:vertAlign w:val="superscript"/>
        </w:rPr>
        <w:t>55-57</w:t>
      </w:r>
      <w:r w:rsidR="00105532" w:rsidRPr="00C806D0">
        <w:rPr>
          <w:noProof/>
          <w:vertAlign w:val="superscript"/>
        </w:rPr>
        <w:t>]</w:t>
      </w:r>
      <w:r w:rsidRPr="00C806D0">
        <w:t xml:space="preserve"> However, given the lack of comparability between health care systems, and the aggregated inclusion of productivity costs, these estimates were not considered generalisable to the model’s NHS context. Annual long term costs, beyond the first year post head injury, were therefore formally elicited within the HITSNS trial management group after reviewing the available short term UK data and longer term US evidence. Elicited costs are shown in Figure I6.</w:t>
      </w:r>
    </w:p>
    <w:p w:rsidR="00003A24" w:rsidRPr="00C806D0" w:rsidRDefault="00003A24" w:rsidP="00003A24">
      <w:pPr>
        <w:jc w:val="center"/>
      </w:pPr>
      <w:r w:rsidRPr="00C806D0">
        <w:rPr>
          <w:noProof/>
          <w:lang w:val="en-US"/>
        </w:rPr>
        <w:drawing>
          <wp:inline distT="0" distB="0" distL="0" distR="0">
            <wp:extent cx="4566920" cy="4566920"/>
            <wp:effectExtent l="19050" t="0" r="508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4566920" cy="4566920"/>
                    </a:xfrm>
                    <a:prstGeom prst="rect">
                      <a:avLst/>
                    </a:prstGeom>
                    <a:noFill/>
                    <a:ln w="9525">
                      <a:noFill/>
                      <a:miter lim="800000"/>
                      <a:headEnd/>
                      <a:tailEnd/>
                    </a:ln>
                  </pic:spPr>
                </pic:pic>
              </a:graphicData>
            </a:graphic>
          </wp:inline>
        </w:drawing>
      </w:r>
    </w:p>
    <w:p w:rsidR="00003A24" w:rsidRPr="00C806D0" w:rsidRDefault="00003A24" w:rsidP="00003A24">
      <w:pPr>
        <w:rPr>
          <w:b/>
        </w:rPr>
      </w:pPr>
      <w:r w:rsidRPr="00C806D0">
        <w:rPr>
          <w:b/>
        </w:rPr>
        <w:t>Figure I6. Elicited probability distributions for long term annual costs following head injury, classified by GOS category.</w:t>
      </w:r>
    </w:p>
    <w:p w:rsidR="00003A24" w:rsidRPr="00C806D0" w:rsidRDefault="00003A24" w:rsidP="00003A24">
      <w:pPr>
        <w:pStyle w:val="Heading4"/>
      </w:pPr>
      <w:r w:rsidRPr="00C806D0">
        <w:t xml:space="preserve">Post-discharge and long term costs following major </w:t>
      </w:r>
      <w:r w:rsidR="002A16B4" w:rsidRPr="00C806D0">
        <w:t>extracranial</w:t>
      </w:r>
      <w:r w:rsidRPr="00C806D0">
        <w:t xml:space="preserve"> injury</w:t>
      </w:r>
    </w:p>
    <w:p w:rsidR="00003A24" w:rsidRPr="00C806D0" w:rsidRDefault="00003A24" w:rsidP="00003A24">
      <w:pPr>
        <w:rPr>
          <w:rFonts w:eastAsia="TTE2DD1008t00"/>
        </w:rPr>
      </w:pPr>
      <w:r w:rsidRPr="00C806D0">
        <w:t xml:space="preserve">A large UK study was identified reporting directly relevant data for post-discharge and longer term costs following major </w:t>
      </w:r>
      <w:r w:rsidR="002A16B4" w:rsidRPr="00C806D0">
        <w:t>extracranial</w:t>
      </w:r>
      <w:r w:rsidRPr="00C806D0">
        <w:t xml:space="preserve"> injury. The HALO study prospectively investigated a UK cohort of accidently injured casualties derived from 5 studies conducted between 1997 and 2003.</w:t>
      </w:r>
      <w:r w:rsidR="00105532" w:rsidRPr="00C806D0">
        <w:rPr>
          <w:noProof/>
          <w:vertAlign w:val="superscript"/>
        </w:rPr>
        <w:t>[</w:t>
      </w:r>
      <w:r w:rsidR="006D4D62" w:rsidRPr="00C806D0">
        <w:rPr>
          <w:noProof/>
          <w:vertAlign w:val="superscript"/>
        </w:rPr>
        <w:t>58</w:t>
      </w:r>
      <w:r w:rsidR="00105532" w:rsidRPr="00C806D0">
        <w:rPr>
          <w:noProof/>
          <w:vertAlign w:val="superscript"/>
        </w:rPr>
        <w:t>]</w:t>
      </w:r>
      <w:r w:rsidRPr="00C806D0">
        <w:t xml:space="preserve"> </w:t>
      </w:r>
      <w:r w:rsidRPr="00C806D0">
        <w:rPr>
          <w:rFonts w:eastAsia="TTE2DD1008t00"/>
        </w:rPr>
        <w:t xml:space="preserve">All studies included details of NHS resource use from hospital discharge to six months post trauma. A sample of survivors was also surveyed an average of 9.5 years (4 to 15 years) post injury and asked for details of resource use related to their initial injury over the preceding year. Unit costs were valued using NHS reference costs and price weights from the Personal and Social Services Research Unit. The mean cost in the first year following injury was £7,884 (95%CI £7,697–£8,072, </w:t>
      </w:r>
      <w:r w:rsidRPr="00C806D0">
        <w:t xml:space="preserve">n=6,788, </w:t>
      </w:r>
      <w:r w:rsidRPr="00C806D0">
        <w:rPr>
          <w:rFonts w:eastAsia="TTE2DD1008t00"/>
        </w:rPr>
        <w:t>inflated to 2012 prices, standard deviation assumed to the same as the mean value). Annual long term mean costs were £412 (95% CI £369 - £467, n=545, standard deviation assumed to equal mean).</w:t>
      </w:r>
    </w:p>
    <w:p w:rsidR="00003A24" w:rsidRPr="00C806D0" w:rsidRDefault="00003A24" w:rsidP="002A360F">
      <w:pPr>
        <w:pStyle w:val="Heading3"/>
      </w:pPr>
      <w:r w:rsidRPr="00C806D0">
        <w:t xml:space="preserve">Preference weights for modelled health states </w:t>
      </w:r>
    </w:p>
    <w:p w:rsidR="00003A24" w:rsidRPr="00C806D0" w:rsidRDefault="00003A24" w:rsidP="00003A24">
      <w:pPr>
        <w:pStyle w:val="Heading4"/>
      </w:pPr>
      <w:r w:rsidRPr="00C806D0">
        <w:t xml:space="preserve">HSPWs for GOS categories </w:t>
      </w:r>
    </w:p>
    <w:p w:rsidR="00003A24" w:rsidRPr="00C806D0" w:rsidRDefault="00003A24" w:rsidP="00003A24">
      <w:r w:rsidRPr="00C806D0">
        <w:t xml:space="preserve">A systematic review, fully reported in Chapter </w:t>
      </w:r>
      <w:r w:rsidR="007C6272" w:rsidRPr="00C806D0">
        <w:t>Six</w:t>
      </w:r>
      <w:r w:rsidRPr="00C806D0">
        <w:t>, was conducted to identify available HSPWs for GOS categories.  Five eligible studies were identified,</w:t>
      </w:r>
      <w:r w:rsidR="00105532" w:rsidRPr="00C806D0">
        <w:rPr>
          <w:noProof/>
          <w:vertAlign w:val="superscript"/>
        </w:rPr>
        <w:t>[</w:t>
      </w:r>
      <w:r w:rsidR="006D4D62" w:rsidRPr="00C806D0">
        <w:rPr>
          <w:noProof/>
          <w:vertAlign w:val="superscript"/>
        </w:rPr>
        <w:t>59-63</w:t>
      </w:r>
      <w:r w:rsidR="00105532" w:rsidRPr="00C806D0">
        <w:rPr>
          <w:noProof/>
          <w:vertAlign w:val="superscript"/>
        </w:rPr>
        <w:t>]</w:t>
      </w:r>
      <w:r w:rsidRPr="00C806D0">
        <w:t xml:space="preserve"> of which one study approximated the NICE reference case for utility data (Smits and colleagues, 2010).</w:t>
      </w:r>
      <w:r w:rsidR="00105532" w:rsidRPr="00C806D0">
        <w:rPr>
          <w:noProof/>
          <w:vertAlign w:val="superscript"/>
        </w:rPr>
        <w:t>[</w:t>
      </w:r>
      <w:r w:rsidR="006D4D62" w:rsidRPr="00C806D0">
        <w:rPr>
          <w:noProof/>
          <w:vertAlign w:val="superscript"/>
        </w:rPr>
        <w:t>60</w:t>
      </w:r>
      <w:r w:rsidR="00105532" w:rsidRPr="00C806D0">
        <w:rPr>
          <w:noProof/>
          <w:vertAlign w:val="superscript"/>
        </w:rPr>
        <w:t>]</w:t>
      </w:r>
      <w:r w:rsidRPr="00C806D0">
        <w:t xml:space="preserve"> These estimates have been used in a recent TBI economic evaluations,</w:t>
      </w:r>
      <w:r w:rsidR="00105532" w:rsidRPr="00C806D0">
        <w:rPr>
          <w:noProof/>
          <w:vertAlign w:val="superscript"/>
        </w:rPr>
        <w:t>[</w:t>
      </w:r>
      <w:r w:rsidR="006D4D62" w:rsidRPr="00C806D0">
        <w:rPr>
          <w:noProof/>
          <w:vertAlign w:val="superscript"/>
        </w:rPr>
        <w:t>60</w:t>
      </w:r>
      <w:r w:rsidR="00105532" w:rsidRPr="00C806D0">
        <w:rPr>
          <w:noProof/>
          <w:vertAlign w:val="superscript"/>
        </w:rPr>
        <w:t xml:space="preserve">, </w:t>
      </w:r>
      <w:r w:rsidR="006D4D62" w:rsidRPr="00C806D0">
        <w:rPr>
          <w:noProof/>
          <w:vertAlign w:val="superscript"/>
        </w:rPr>
        <w:t>64</w:t>
      </w:r>
      <w:r w:rsidR="00105532" w:rsidRPr="00C806D0">
        <w:rPr>
          <w:noProof/>
          <w:vertAlign w:val="superscript"/>
        </w:rPr>
        <w:t>]</w:t>
      </w:r>
      <w:r w:rsidRPr="00C806D0">
        <w:t xml:space="preserve"> including NICE Health Technology Assessment submissions,</w:t>
      </w:r>
      <w:r w:rsidR="00105532" w:rsidRPr="00C806D0">
        <w:rPr>
          <w:noProof/>
          <w:vertAlign w:val="superscript"/>
        </w:rPr>
        <w:t>[</w:t>
      </w:r>
      <w:r w:rsidR="006D4D62" w:rsidRPr="00C806D0">
        <w:rPr>
          <w:noProof/>
          <w:vertAlign w:val="superscript"/>
        </w:rPr>
        <w:t>64</w:t>
      </w:r>
      <w:r w:rsidR="00105532" w:rsidRPr="00C806D0">
        <w:rPr>
          <w:noProof/>
          <w:vertAlign w:val="superscript"/>
        </w:rPr>
        <w:t>]</w:t>
      </w:r>
      <w:r w:rsidRPr="00C806D0">
        <w:t xml:space="preserve"> and were therefore included in the base case to maximise the comparability of results. Other retrieved studies were less suitable, deriving utility values using case scenarios and valuing the preferences of medical professionals or unrepresentative general public samples. Despite these limitations the estimates provided by Aoki and colleagues (1998) have been used extensively in TBI health economic models and they were therefore examined in a sensitivity analysis to investigate the influence of alternative utility values on cost-effectiveness results.</w:t>
      </w:r>
      <w:r w:rsidR="00105532" w:rsidRPr="00C806D0">
        <w:rPr>
          <w:noProof/>
          <w:vertAlign w:val="superscript"/>
        </w:rPr>
        <w:t>[</w:t>
      </w:r>
      <w:r w:rsidR="006D4D62" w:rsidRPr="00C806D0">
        <w:rPr>
          <w:noProof/>
          <w:vertAlign w:val="superscript"/>
        </w:rPr>
        <w:t>63</w:t>
      </w:r>
      <w:r w:rsidR="00105532" w:rsidRPr="00C806D0">
        <w:rPr>
          <w:noProof/>
          <w:vertAlign w:val="superscript"/>
        </w:rPr>
        <w:t xml:space="preserve">, </w:t>
      </w:r>
      <w:r w:rsidR="006D4D62" w:rsidRPr="00C806D0">
        <w:rPr>
          <w:noProof/>
          <w:vertAlign w:val="superscript"/>
        </w:rPr>
        <w:t>65-69</w:t>
      </w:r>
      <w:r w:rsidR="00105532" w:rsidRPr="00C806D0">
        <w:rPr>
          <w:noProof/>
          <w:vertAlign w:val="superscript"/>
        </w:rPr>
        <w:t>]</w:t>
      </w:r>
      <w:r w:rsidRPr="00C806D0">
        <w:t xml:space="preserve"> </w:t>
      </w:r>
    </w:p>
    <w:p w:rsidR="00003A24" w:rsidRPr="00C806D0" w:rsidRDefault="00003A24" w:rsidP="00003A24"/>
    <w:p w:rsidR="00003A24" w:rsidRPr="00C806D0" w:rsidRDefault="00003A24" w:rsidP="00003A24">
      <w:pPr>
        <w:rPr>
          <w:shd w:val="clear" w:color="auto" w:fill="FFFF00"/>
        </w:rPr>
      </w:pPr>
      <w:r w:rsidRPr="00C806D0">
        <w:t xml:space="preserve"> As no utility values for GOS health states were available that were fully compatible with the NICE reference case a novel mapping study was performed to estimate preference weights from a sample of patients with significant TBI using the EQ5D generic utility instrument and UK preference tariff. These analyses are</w:t>
      </w:r>
      <w:r w:rsidR="007C6272" w:rsidRPr="00C806D0">
        <w:t xml:space="preserve"> fully detailed in Chapter Six</w:t>
      </w:r>
      <w:r w:rsidRPr="00C806D0">
        <w:t xml:space="preserve"> and results were used in a further sensitivity analysis. </w:t>
      </w:r>
    </w:p>
    <w:p w:rsidR="00003A24" w:rsidRPr="00C806D0" w:rsidRDefault="00003A24" w:rsidP="00003A24">
      <w:pPr>
        <w:pStyle w:val="Heading4"/>
      </w:pPr>
      <w:r w:rsidRPr="00C806D0">
        <w:t xml:space="preserve">HSPWs for survivors of major </w:t>
      </w:r>
      <w:r w:rsidR="002A16B4" w:rsidRPr="00C806D0">
        <w:t>extracranial</w:t>
      </w:r>
      <w:r w:rsidRPr="00C806D0">
        <w:t xml:space="preserve"> injury </w:t>
      </w:r>
    </w:p>
    <w:p w:rsidR="00003A24" w:rsidRPr="00C806D0" w:rsidRDefault="00003A24" w:rsidP="00003A24">
      <w:r w:rsidRPr="00C806D0">
        <w:t xml:space="preserve">A literature review targeting studies providing utility data consistent with the NICE reference case for survivors of major </w:t>
      </w:r>
      <w:r w:rsidR="002A16B4" w:rsidRPr="00C806D0">
        <w:t>extracranial</w:t>
      </w:r>
      <w:r w:rsidRPr="00C806D0">
        <w:t xml:space="preserve"> injury identified only the HALO study as providing relevant evidence.</w:t>
      </w:r>
      <w:r w:rsidR="00105532" w:rsidRPr="00C806D0">
        <w:rPr>
          <w:noProof/>
          <w:vertAlign w:val="superscript"/>
        </w:rPr>
        <w:t>[</w:t>
      </w:r>
      <w:r w:rsidR="006D4D62" w:rsidRPr="00C806D0">
        <w:rPr>
          <w:noProof/>
          <w:vertAlign w:val="superscript"/>
        </w:rPr>
        <w:t>58</w:t>
      </w:r>
      <w:r w:rsidR="00105532" w:rsidRPr="00C806D0">
        <w:rPr>
          <w:noProof/>
          <w:vertAlign w:val="superscript"/>
        </w:rPr>
        <w:t>]</w:t>
      </w:r>
      <w:r w:rsidRPr="00C806D0">
        <w:t xml:space="preserve"> Health related quality of life was measured at 6 months (SF-36 and Nottingham Health Profile), and between 4 and 15 years (</w:t>
      </w:r>
      <w:r w:rsidR="002A16B4" w:rsidRPr="00C806D0">
        <w:t>EQ5D</w:t>
      </w:r>
      <w:r w:rsidR="008A101E" w:rsidRPr="00C806D0">
        <w:t>), post injury. Utility at six</w:t>
      </w:r>
      <w:r w:rsidRPr="00C806D0">
        <w:t xml:space="preserve"> months was calculated from predicted </w:t>
      </w:r>
      <w:r w:rsidR="002A16B4" w:rsidRPr="00C806D0">
        <w:t>EQ5D</w:t>
      </w:r>
      <w:r w:rsidRPr="00C806D0">
        <w:t xml:space="preserve"> scores using a mapping function based on linear regression of domain level SF-36 or Nottingham Health Profile responses, and patient characteristics. Six month HALO utility estimates were used for survivors of major </w:t>
      </w:r>
      <w:r w:rsidR="002A16B4" w:rsidRPr="00C806D0">
        <w:t>extracranial</w:t>
      </w:r>
      <w:r w:rsidRPr="00C806D0">
        <w:t xml:space="preserve"> injury in the short term model (mean utility 0.67, SE 0.01). As later HALO estimates of utility were virtually identical (mean utility value</w:t>
      </w:r>
      <w:r w:rsidR="008A101E" w:rsidRPr="00C806D0">
        <w:t xml:space="preserve"> at 5 years 0.68, SE 0.03) the six</w:t>
      </w:r>
      <w:r w:rsidRPr="00C806D0">
        <w:t xml:space="preserve"> month estimate </w:t>
      </w:r>
      <w:r w:rsidR="008A101E" w:rsidRPr="00C806D0">
        <w:t>was</w:t>
      </w:r>
      <w:r w:rsidRPr="00C806D0">
        <w:t xml:space="preserve"> also used to value health states in the base case long term Markov model. </w:t>
      </w:r>
    </w:p>
    <w:p w:rsidR="00003A24" w:rsidRPr="00C806D0" w:rsidRDefault="00003A24" w:rsidP="00003A24"/>
    <w:p w:rsidR="00003A24" w:rsidRPr="00C806D0" w:rsidRDefault="00003A24" w:rsidP="00003A24">
      <w:pPr>
        <w:rPr>
          <w:rFonts w:ascii="Arial" w:hAnsi="Arial" w:cs="Arial"/>
        </w:rPr>
      </w:pPr>
    </w:p>
    <w:p w:rsidR="00003A24" w:rsidRPr="00C806D0" w:rsidRDefault="00003A24" w:rsidP="002A360F">
      <w:pPr>
        <w:pStyle w:val="Heading3"/>
      </w:pPr>
      <w:r w:rsidRPr="00C806D0">
        <w:t xml:space="preserve">Prognosis following TBI and major </w:t>
      </w:r>
      <w:r w:rsidR="002A16B4" w:rsidRPr="00C806D0">
        <w:t>extracranial</w:t>
      </w:r>
      <w:r w:rsidRPr="00C806D0">
        <w:t xml:space="preserve"> injury</w:t>
      </w:r>
    </w:p>
    <w:p w:rsidR="00003A24" w:rsidRPr="00C806D0" w:rsidRDefault="00003A24" w:rsidP="00003A24">
      <w:pPr>
        <w:pStyle w:val="Heading4"/>
      </w:pPr>
      <w:r w:rsidRPr="00C806D0">
        <w:t>Long term survival following TBI</w:t>
      </w:r>
    </w:p>
    <w:p w:rsidR="00003A24" w:rsidRPr="00C806D0" w:rsidRDefault="00003A24" w:rsidP="00003A24">
      <w:r w:rsidRPr="00C806D0">
        <w:t xml:space="preserve">All previously reported economic models in TBI have used the cross-sectional mortality experience of the general population to model long term survival following TBI. To increase comparability these estimates were also used in the HITSNS base case model. Contemporary single-sex period life tables for England and Wales from the year 2012 were combined to construct a person-level life table using methodology consistent with the </w:t>
      </w:r>
      <w:r w:rsidR="00E276B5" w:rsidRPr="00C806D0">
        <w:t xml:space="preserve">UK </w:t>
      </w:r>
      <w:r w:rsidRPr="00C806D0">
        <w:t>Office of National Statistics.</w:t>
      </w:r>
      <w:r w:rsidR="00105532" w:rsidRPr="00C806D0">
        <w:rPr>
          <w:noProof/>
          <w:vertAlign w:val="superscript"/>
        </w:rPr>
        <w:t>[</w:t>
      </w:r>
      <w:r w:rsidR="006D4D62" w:rsidRPr="00C806D0">
        <w:rPr>
          <w:noProof/>
          <w:vertAlign w:val="superscript"/>
        </w:rPr>
        <w:t>70</w:t>
      </w:r>
      <w:r w:rsidR="00105532" w:rsidRPr="00C806D0">
        <w:rPr>
          <w:noProof/>
          <w:vertAlign w:val="superscript"/>
        </w:rPr>
        <w:t>]</w:t>
      </w:r>
      <w:r w:rsidRPr="00C806D0">
        <w:t xml:space="preserve"> The radix of gender specific published life tables were adjusted according to the UK ratio of 105.1 male births to 100 females. The numbers remaining alive at each age of life (l</w:t>
      </w:r>
      <w:r w:rsidRPr="00C806D0">
        <w:rPr>
          <w:vertAlign w:val="subscript"/>
        </w:rPr>
        <w:t xml:space="preserve">x|male </w:t>
      </w:r>
      <w:r w:rsidRPr="00C806D0">
        <w:t>and l</w:t>
      </w:r>
      <w:r w:rsidRPr="00C806D0">
        <w:rPr>
          <w:vertAlign w:val="subscript"/>
        </w:rPr>
        <w:t>x|female</w:t>
      </w:r>
      <w:r w:rsidRPr="00C806D0">
        <w:t>), and the number dying each year (d</w:t>
      </w:r>
      <w:r w:rsidRPr="00C806D0">
        <w:rPr>
          <w:vertAlign w:val="subscript"/>
        </w:rPr>
        <w:t xml:space="preserve">x|male </w:t>
      </w:r>
      <w:r w:rsidRPr="00C806D0">
        <w:t>and d</w:t>
      </w:r>
      <w:r w:rsidRPr="00C806D0">
        <w:rPr>
          <w:vertAlign w:val="subscript"/>
        </w:rPr>
        <w:t>x|female</w:t>
      </w:r>
      <w:r w:rsidRPr="00C806D0">
        <w:t>), were then calculated separately for each resulting gender birth cohort by applying the appropriate sex-specific yearly probabilities of death (q</w:t>
      </w:r>
      <w:r w:rsidRPr="00C806D0">
        <w:rPr>
          <w:vertAlign w:val="subscript"/>
        </w:rPr>
        <w:t xml:space="preserve">x|male </w:t>
      </w:r>
      <w:r w:rsidRPr="00C806D0">
        <w:t>and q</w:t>
      </w:r>
      <w:r w:rsidRPr="00C806D0">
        <w:rPr>
          <w:vertAlign w:val="subscript"/>
        </w:rPr>
        <w:t>x|female</w:t>
      </w:r>
      <w:r w:rsidRPr="00C806D0">
        <w:t>). Dividing the resulting total number of deaths each year (d</w:t>
      </w:r>
      <w:r w:rsidRPr="00C806D0">
        <w:rPr>
          <w:vertAlign w:val="subscript"/>
        </w:rPr>
        <w:t xml:space="preserve">x|male </w:t>
      </w:r>
      <w:r w:rsidRPr="00C806D0">
        <w:t>+ d</w:t>
      </w:r>
      <w:r w:rsidRPr="00C806D0">
        <w:rPr>
          <w:vertAlign w:val="subscript"/>
        </w:rPr>
        <w:t>x|female</w:t>
      </w:r>
      <w:r w:rsidRPr="00C806D0">
        <w:t>), by the total males and females alive at each age (l</w:t>
      </w:r>
      <w:r w:rsidRPr="00C806D0">
        <w:rPr>
          <w:vertAlign w:val="subscript"/>
        </w:rPr>
        <w:t xml:space="preserve">x|male </w:t>
      </w:r>
      <w:r w:rsidRPr="00C806D0">
        <w:t>+ l</w:t>
      </w:r>
      <w:r w:rsidRPr="00C806D0">
        <w:rPr>
          <w:vertAlign w:val="subscript"/>
        </w:rPr>
        <w:t>x|female</w:t>
      </w:r>
      <w:r w:rsidRPr="00C806D0">
        <w:t>) computed the conditional probability of dying each year for the total general population. These conditional probabilities were then directly applied as transition probabilities in the long term Markov model.</w:t>
      </w:r>
    </w:p>
    <w:p w:rsidR="00003A24" w:rsidRPr="00C806D0" w:rsidRDefault="00003A24" w:rsidP="00003A24"/>
    <w:p w:rsidR="00003A24" w:rsidRPr="00C806D0" w:rsidRDefault="00003A24" w:rsidP="00003A24">
      <w:r w:rsidRPr="00C806D0">
        <w:t>A detailed literatur</w:t>
      </w:r>
      <w:r w:rsidR="00E276B5" w:rsidRPr="00C806D0">
        <w:t>e review, described in Chapter Seven</w:t>
      </w:r>
      <w:r w:rsidRPr="00C806D0">
        <w:t>, identified 10 studies investigating long term survival following TBI in unique patient cohorts (Brown 2013, Baguley 2012, Himanen 2011, McMillan 2011, Ventura 2010, Harrison-Felix 2009, Cameron 2008, Colantonio 2008, Ratcliff 2005, Shavelle 2001).</w:t>
      </w:r>
      <w:r w:rsidR="00105532" w:rsidRPr="00C806D0">
        <w:rPr>
          <w:noProof/>
          <w:vertAlign w:val="superscript"/>
        </w:rPr>
        <w:t>[</w:t>
      </w:r>
      <w:r w:rsidR="006D4D62" w:rsidRPr="00C806D0">
        <w:rPr>
          <w:noProof/>
          <w:vertAlign w:val="superscript"/>
        </w:rPr>
        <w:t>70-79</w:t>
      </w:r>
      <w:r w:rsidR="00105532" w:rsidRPr="00C806D0">
        <w:rPr>
          <w:noProof/>
          <w:vertAlign w:val="superscript"/>
        </w:rPr>
        <w:t>]</w:t>
      </w:r>
      <w:r w:rsidRPr="00C806D0">
        <w:t xml:space="preserve"> Increased long term mortality was universally reported for patients hospitalised following TBI, compared with the general population or non-TBI community controls. Sensitivity analyses investigating the potential influence of decreased life expectancy in survivors of TBI were therefore also implemented. Retrieved studies were designed from an epidemiological viewpoint to determine the isolated effect of TBI on survival, rather than extrapolate the future life expectancy of typical patients with TBI. The reported effect estimates (standardised mortality ratios, odds ratios, relative risks, or rate ratios), controlling for associated demographic and injury characteristics, therefore required further adjustment to allow application to the long term Markov model.  </w:t>
      </w:r>
    </w:p>
    <w:p w:rsidR="00003A24" w:rsidRPr="00C806D0" w:rsidRDefault="00003A24" w:rsidP="00003A24"/>
    <w:p w:rsidR="00003A24" w:rsidRPr="00C806D0" w:rsidRDefault="00003A24" w:rsidP="00003A24">
      <w:r w:rsidRPr="00C806D0">
        <w:t>McMillan and colleagues (2010) compared mortality over 13 years in a large British cohort of TBI survivors to community non-TBI controls matched for age and socioeconomic status.</w:t>
      </w:r>
      <w:r w:rsidR="00105532" w:rsidRPr="00C806D0">
        <w:rPr>
          <w:noProof/>
          <w:vertAlign w:val="superscript"/>
        </w:rPr>
        <w:t>[</w:t>
      </w:r>
      <w:r w:rsidR="006D4D62" w:rsidRPr="00C806D0">
        <w:rPr>
          <w:noProof/>
          <w:vertAlign w:val="superscript"/>
        </w:rPr>
        <w:t>74</w:t>
      </w:r>
      <w:r w:rsidR="00105532" w:rsidRPr="00C806D0">
        <w:rPr>
          <w:noProof/>
          <w:vertAlign w:val="superscript"/>
        </w:rPr>
        <w:t>]</w:t>
      </w:r>
      <w:r w:rsidRPr="00C806D0">
        <w:t xml:space="preserve"> This study sample was considered to be most representative of the HITSNS population from the available published TBI cohorts. For cases surviving beyond the first year of follow up the relative risk of death during follow up was 2.13 (95%CI 1.75-2.60, n=1,421).  This estimate was used to adjust the general population period life table and produce a survival curve reflecting the higher risk of mortality following TBI. </w:t>
      </w:r>
    </w:p>
    <w:p w:rsidR="00003A24" w:rsidRPr="00C806D0" w:rsidRDefault="00003A24" w:rsidP="00003A24"/>
    <w:p w:rsidR="00003A24" w:rsidRPr="00C806D0" w:rsidRDefault="00003A24" w:rsidP="00003A24">
      <w:r w:rsidRPr="00C806D0">
        <w:t xml:space="preserve">Probabilities are non-linear functions of time and relative risks are consequently specific to the time period over which they are calculated. It is therefore not appropriate adjust baseline Markov model transition probabilities with relative risks calculated over a different time period. Consequently the method reported by Price and colleagues (2009) was used to adjust </w:t>
      </w:r>
      <w:r w:rsidR="00BE1FEF" w:rsidRPr="00C806D0">
        <w:t>McMillan</w:t>
      </w:r>
      <w:r w:rsidRPr="00C806D0">
        <w:t>’s reported 13 year relative risk to that required for application to the 1 year cycle length of the HITSNS economic model.</w:t>
      </w:r>
      <w:r w:rsidR="00105532" w:rsidRPr="00C806D0">
        <w:rPr>
          <w:noProof/>
          <w:vertAlign w:val="superscript"/>
        </w:rPr>
        <w:t>[</w:t>
      </w:r>
      <w:r w:rsidR="006D4D62" w:rsidRPr="00C806D0">
        <w:rPr>
          <w:noProof/>
          <w:vertAlign w:val="superscript"/>
        </w:rPr>
        <w:t>80</w:t>
      </w:r>
      <w:r w:rsidR="00105532" w:rsidRPr="00C806D0">
        <w:rPr>
          <w:noProof/>
          <w:vertAlign w:val="superscript"/>
        </w:rPr>
        <w:t>]</w:t>
      </w:r>
      <w:r w:rsidRPr="00C806D0">
        <w:t xml:space="preserve"> The following equation was used:</w:t>
      </w:r>
    </w:p>
    <w:p w:rsidR="00CC1DCD" w:rsidRPr="00C806D0" w:rsidRDefault="00CC1DCD" w:rsidP="00003A24"/>
    <w:p w:rsidR="00003A24" w:rsidRPr="00C806D0" w:rsidRDefault="00CC1DCD" w:rsidP="00CC1DCD">
      <w:pPr>
        <w:jc w:val="center"/>
      </w:pPr>
      <w:r w:rsidRPr="00C806D0">
        <w:rPr>
          <w:noProof/>
          <w:lang w:val="en-US"/>
        </w:rPr>
        <w:drawing>
          <wp:inline distT="0" distB="0" distL="0" distR="0">
            <wp:extent cx="1341170" cy="835553"/>
            <wp:effectExtent l="19050" t="0" r="0" b="0"/>
            <wp:docPr id="3" name="Picture 2" descr="Converting_relative_risks_to_transition_prob_for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ting_relative_risks_to_transition_prob_formu.JPG"/>
                    <pic:cNvPicPr/>
                  </pic:nvPicPr>
                  <pic:blipFill>
                    <a:blip r:embed="rId54" cstate="print"/>
                    <a:stretch>
                      <a:fillRect/>
                    </a:stretch>
                  </pic:blipFill>
                  <pic:spPr>
                    <a:xfrm>
                      <a:off x="0" y="0"/>
                      <a:ext cx="1344662" cy="837729"/>
                    </a:xfrm>
                    <a:prstGeom prst="rect">
                      <a:avLst/>
                    </a:prstGeom>
                  </pic:spPr>
                </pic:pic>
              </a:graphicData>
            </a:graphic>
          </wp:inline>
        </w:drawing>
      </w:r>
    </w:p>
    <w:p w:rsidR="00003A24" w:rsidRPr="00C806D0" w:rsidRDefault="00003A24" w:rsidP="00003A24">
      <w:r w:rsidRPr="00C806D0">
        <w:t>Where:</w:t>
      </w:r>
    </w:p>
    <w:p w:rsidR="00003A24" w:rsidRPr="00C806D0" w:rsidRDefault="00003A24" w:rsidP="00003A24">
      <w:r w:rsidRPr="00C806D0">
        <w:t xml:space="preserve">RR = Relative risk of event </w:t>
      </w:r>
    </w:p>
    <w:p w:rsidR="00003A24" w:rsidRPr="00C806D0" w:rsidRDefault="00003A24" w:rsidP="00003A24">
      <w:r w:rsidRPr="00C806D0">
        <w:t>c = Cycle length defining transition probabilities</w:t>
      </w:r>
    </w:p>
    <w:p w:rsidR="00003A24" w:rsidRPr="00C806D0" w:rsidRDefault="00003A24" w:rsidP="00003A24">
      <w:r w:rsidRPr="00C806D0">
        <w:t>P</w:t>
      </w:r>
      <w:r w:rsidRPr="00C806D0">
        <w:rPr>
          <w:vertAlign w:val="subscript"/>
        </w:rPr>
        <w:t>b</w:t>
      </w:r>
      <w:r w:rsidRPr="00C806D0">
        <w:t>= Probability of event in group of interest</w:t>
      </w:r>
    </w:p>
    <w:p w:rsidR="00003A24" w:rsidRPr="00C806D0" w:rsidRDefault="00003A24" w:rsidP="00003A24">
      <w:r w:rsidRPr="00C806D0">
        <w:t>P</w:t>
      </w:r>
      <w:r w:rsidRPr="00C806D0">
        <w:rPr>
          <w:vertAlign w:val="subscript"/>
        </w:rPr>
        <w:t>a</w:t>
      </w:r>
      <w:r w:rsidRPr="00C806D0">
        <w:t>= Probability of event in control group</w:t>
      </w:r>
    </w:p>
    <w:p w:rsidR="00003A24" w:rsidRPr="00C806D0" w:rsidRDefault="00003A24" w:rsidP="00003A24">
      <w:r w:rsidRPr="00C806D0">
        <w:t>s= Length of time period over which probabilities P</w:t>
      </w:r>
      <w:r w:rsidRPr="00C806D0">
        <w:rPr>
          <w:vertAlign w:val="subscript"/>
        </w:rPr>
        <w:t xml:space="preserve">a </w:t>
      </w:r>
      <w:r w:rsidRPr="00C806D0">
        <w:t>and P</w:t>
      </w:r>
      <w:r w:rsidRPr="00C806D0">
        <w:rPr>
          <w:vertAlign w:val="subscript"/>
        </w:rPr>
        <w:t xml:space="preserve">b </w:t>
      </w:r>
      <w:r w:rsidRPr="00C806D0">
        <w:t>are defined</w:t>
      </w:r>
    </w:p>
    <w:p w:rsidR="00003A24" w:rsidRPr="00C806D0" w:rsidRDefault="00003A24" w:rsidP="00003A24"/>
    <w:p w:rsidR="00003A24" w:rsidRPr="00C806D0" w:rsidRDefault="00003A24" w:rsidP="00003A24">
      <w:r w:rsidRPr="00C806D0">
        <w:t xml:space="preserve">The adjusted relative risk derived from McMillan 2010 </w:t>
      </w:r>
      <w:r w:rsidRPr="00C806D0">
        <w:rPr>
          <w:rFonts w:eastAsiaTheme="minorEastAsia"/>
        </w:rPr>
        <w:t>(</w:t>
      </w:r>
      <m:oMath>
        <m:sSub>
          <m:sSubPr>
            <m:ctrlPr>
              <w:rPr>
                <w:rFonts w:ascii="Cambria Math" w:hAnsi="Calibri"/>
                <w:i/>
              </w:rPr>
            </m:ctrlPr>
          </m:sSubPr>
          <m:e>
            <m:r>
              <w:rPr>
                <w:rFonts w:ascii="Cambria Math" w:hAnsi="Cambria Math"/>
              </w:rPr>
              <m:t>RR</m:t>
            </m:r>
          </m:e>
          <m:sub>
            <m:r>
              <w:rPr>
                <w:rFonts w:ascii="Cambria Math" w:hAnsi="Cambria Math"/>
              </w:rPr>
              <m:t>c</m:t>
            </m:r>
          </m:sub>
        </m:sSub>
        <m:r>
          <w:rPr>
            <w:rFonts w:ascii="Cambria Math" w:hAnsi="Calibri"/>
          </w:rPr>
          <m:t>=2.77</m:t>
        </m:r>
      </m:oMath>
      <w:r w:rsidRPr="00C806D0">
        <w:rPr>
          <w:rFonts w:eastAsiaTheme="minorEastAsia"/>
        </w:rPr>
        <w:t>)</w:t>
      </w:r>
      <w:r w:rsidRPr="00C806D0">
        <w:t xml:space="preserve"> compares patients with TBI to those without TBI. This estimate is not directly applicable to the general population life table which provides survival estimates for a given age, averaged over all citizens, including those who have </w:t>
      </w:r>
      <w:r w:rsidR="00E276B5" w:rsidRPr="00C806D0">
        <w:t xml:space="preserve">already </w:t>
      </w:r>
      <w:r w:rsidRPr="00C806D0">
        <w:t>sustained a TBI. The method proposed by Pharoah and Hollingworth (1996) was consequently used to calculate a ‘scale up factor’, adjusting general population annual transition probabilities (q</w:t>
      </w:r>
      <w:r w:rsidRPr="00C806D0">
        <w:rPr>
          <w:vertAlign w:val="subscript"/>
        </w:rPr>
        <w:t>x</w:t>
      </w:r>
      <w:r w:rsidRPr="00C806D0">
        <w:t>) to account for the relative risk of those with and without TBI, and the prevalence of TBI within the general population.</w:t>
      </w:r>
      <w:r w:rsidR="00105532" w:rsidRPr="00C806D0">
        <w:rPr>
          <w:noProof/>
          <w:vertAlign w:val="superscript"/>
        </w:rPr>
        <w:t>[</w:t>
      </w:r>
      <w:r w:rsidR="006D4D62" w:rsidRPr="00C806D0">
        <w:rPr>
          <w:noProof/>
          <w:vertAlign w:val="superscript"/>
        </w:rPr>
        <w:t>81</w:t>
      </w:r>
      <w:r w:rsidR="00105532" w:rsidRPr="00C806D0">
        <w:rPr>
          <w:noProof/>
          <w:vertAlign w:val="superscript"/>
        </w:rPr>
        <w:t xml:space="preserve">, </w:t>
      </w:r>
      <w:r w:rsidR="006D4D62" w:rsidRPr="00C806D0">
        <w:rPr>
          <w:noProof/>
          <w:vertAlign w:val="superscript"/>
        </w:rPr>
        <w:t>82</w:t>
      </w:r>
      <w:r w:rsidR="00105532" w:rsidRPr="00C806D0">
        <w:rPr>
          <w:noProof/>
          <w:vertAlign w:val="superscript"/>
        </w:rPr>
        <w:t>]</w:t>
      </w:r>
      <w:r w:rsidRPr="00C806D0">
        <w:t xml:space="preserve"> The following equation was used:</w:t>
      </w:r>
    </w:p>
    <w:p w:rsidR="00CC1DCD" w:rsidRPr="00C806D0" w:rsidRDefault="00CC1DCD" w:rsidP="00CC1DCD">
      <w:pPr>
        <w:jc w:val="center"/>
      </w:pPr>
      <w:r w:rsidRPr="00C806D0">
        <w:rPr>
          <w:noProof/>
          <w:lang w:val="en-US"/>
        </w:rPr>
        <w:drawing>
          <wp:inline distT="0" distB="0" distL="0" distR="0">
            <wp:extent cx="1227958" cy="531584"/>
            <wp:effectExtent l="19050" t="0" r="0" b="0"/>
            <wp:docPr id="4" name="Picture 3" descr="Scale_up_factor_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up_factor_formula.jpg"/>
                    <pic:cNvPicPr/>
                  </pic:nvPicPr>
                  <pic:blipFill>
                    <a:blip r:embed="rId55" cstate="print"/>
                    <a:stretch>
                      <a:fillRect/>
                    </a:stretch>
                  </pic:blipFill>
                  <pic:spPr>
                    <a:xfrm>
                      <a:off x="0" y="0"/>
                      <a:ext cx="1231156" cy="532968"/>
                    </a:xfrm>
                    <a:prstGeom prst="rect">
                      <a:avLst/>
                    </a:prstGeom>
                  </pic:spPr>
                </pic:pic>
              </a:graphicData>
            </a:graphic>
          </wp:inline>
        </w:drawing>
      </w:r>
    </w:p>
    <w:p w:rsidR="00003A24" w:rsidRPr="00C806D0" w:rsidRDefault="00003A24" w:rsidP="00003A24"/>
    <w:p w:rsidR="00003A24" w:rsidRPr="00C806D0" w:rsidRDefault="00003A24" w:rsidP="00003A24">
      <w:r w:rsidRPr="00C806D0">
        <w:t>Where:</w:t>
      </w:r>
    </w:p>
    <w:p w:rsidR="00003A24" w:rsidRPr="00C806D0" w:rsidRDefault="00003A24" w:rsidP="00003A24">
      <w:r w:rsidRPr="00C806D0">
        <w:t>θ = The ‘scale up factor;</w:t>
      </w:r>
    </w:p>
    <w:p w:rsidR="00003A24" w:rsidRPr="00C806D0" w:rsidRDefault="00003A24" w:rsidP="00003A24">
      <w:r w:rsidRPr="00C806D0">
        <w:t>r = relative risk of event (specific to markov model cycle length and time period of life table)</w:t>
      </w:r>
    </w:p>
    <w:p w:rsidR="00003A24" w:rsidRPr="00C806D0" w:rsidRDefault="00003A24" w:rsidP="00003A24">
      <w:r w:rsidRPr="00C806D0">
        <w:t>p = prevalence of disease</w:t>
      </w:r>
    </w:p>
    <w:p w:rsidR="00003A24" w:rsidRPr="00C806D0" w:rsidRDefault="00003A24" w:rsidP="00003A24">
      <w:r w:rsidRPr="00C806D0">
        <w:t>As previously noted there is an absence of UK studies investigating the adult prevalence of TBI, an estimate from an internally valid New Zealand study by Feigin and colleagues (2013), which followed a birth cohort into adulthood, was therefore used.</w:t>
      </w:r>
      <w:r w:rsidR="00105532" w:rsidRPr="00C806D0">
        <w:rPr>
          <w:noProof/>
          <w:vertAlign w:val="superscript"/>
        </w:rPr>
        <w:t>[</w:t>
      </w:r>
      <w:r w:rsidR="006D4D62" w:rsidRPr="00C806D0">
        <w:rPr>
          <w:noProof/>
          <w:vertAlign w:val="superscript"/>
        </w:rPr>
        <w:t>83</w:t>
      </w:r>
      <w:r w:rsidR="00105532" w:rsidRPr="00C806D0">
        <w:rPr>
          <w:noProof/>
          <w:vertAlign w:val="superscript"/>
        </w:rPr>
        <w:t>]</w:t>
      </w:r>
      <w:r w:rsidRPr="00C806D0">
        <w:t xml:space="preserve"> The final scale up factor for risk of death (θ=1.78) was assumed to be constant over time and was applied to person level life tables with adjusted state transition probabilities consequently derived. </w:t>
      </w:r>
    </w:p>
    <w:p w:rsidR="00003A24" w:rsidRPr="00C806D0" w:rsidRDefault="00003A24" w:rsidP="00003A24"/>
    <w:p w:rsidR="00003A24" w:rsidRPr="00C806D0" w:rsidRDefault="00003A24" w:rsidP="00003A24">
      <w:pPr>
        <w:rPr>
          <w:shd w:val="clear" w:color="auto" w:fill="FFFF00"/>
        </w:rPr>
      </w:pPr>
      <w:r w:rsidRPr="00C806D0">
        <w:t xml:space="preserve">Given the uncertainties surrounding the scaling of general population period life table data using adjusted published effect estimates, an original study using parametric survival analysis to quantify survival following TBI was also conducted, previously described in Chapter </w:t>
      </w:r>
      <w:r w:rsidR="00222ED3" w:rsidRPr="00C806D0">
        <w:t>Seven</w:t>
      </w:r>
      <w:r w:rsidRPr="00C806D0">
        <w:t>. The conditional probabilities that an indi</w:t>
      </w:r>
      <w:r w:rsidR="00222ED3" w:rsidRPr="00C806D0">
        <w:t>vidual sustaining a TBI at age 5</w:t>
      </w:r>
      <w:r w:rsidRPr="00C806D0">
        <w:t xml:space="preserve">0 would survive each subsequent year were calculated with the final Gompertz parametric model using post-estimation commands from the </w:t>
      </w:r>
      <w:r w:rsidRPr="00C806D0">
        <w:rPr>
          <w:i/>
        </w:rPr>
        <w:t>streg</w:t>
      </w:r>
      <w:r w:rsidRPr="00C806D0">
        <w:t xml:space="preserve"> module in Stata version 12.1 (</w:t>
      </w:r>
      <w:r w:rsidRPr="00C806D0">
        <w:rPr>
          <w:rFonts w:ascii="Calibri" w:hAnsi="Calibri"/>
        </w:rPr>
        <w:t xml:space="preserve">StataCorp, College Station, USA). </w:t>
      </w:r>
      <w:r w:rsidRPr="00C806D0">
        <w:t xml:space="preserve">The results of this study were unavailable until after model implementation and the values were therefore included in a further sensitivity analysis. </w:t>
      </w:r>
    </w:p>
    <w:p w:rsidR="00003A24" w:rsidRPr="00C806D0" w:rsidRDefault="00003A24" w:rsidP="00003A24">
      <w:pPr>
        <w:pStyle w:val="Heading4"/>
      </w:pPr>
      <w:r w:rsidRPr="00C806D0">
        <w:t xml:space="preserve">Long term survival following major </w:t>
      </w:r>
      <w:r w:rsidR="002A16B4" w:rsidRPr="00C806D0">
        <w:t>extracranial</w:t>
      </w:r>
      <w:r w:rsidRPr="00C806D0">
        <w:t xml:space="preserve"> injury</w:t>
      </w:r>
    </w:p>
    <w:p w:rsidR="00003A24" w:rsidRPr="00C806D0" w:rsidRDefault="00003A24" w:rsidP="00003A24">
      <w:r w:rsidRPr="00C806D0">
        <w:t xml:space="preserve">The literature examining life expectancy following major </w:t>
      </w:r>
      <w:r w:rsidR="002A16B4" w:rsidRPr="00C806D0">
        <w:t>extracranial</w:t>
      </w:r>
      <w:r w:rsidRPr="00C806D0">
        <w:t xml:space="preserve"> injury is limited with only two relevant studies reporting conflicting results identified. Evidence from the previously described HALO study suggests that life expectancy in survivors of severe trauma returns to that of the general population approximately </w:t>
      </w:r>
      <w:r w:rsidR="00222ED3" w:rsidRPr="00C806D0">
        <w:t>six</w:t>
      </w:r>
      <w:r w:rsidRPr="00C806D0">
        <w:t xml:space="preserve"> months after injury, although this result is at relatively high risk of systematic error from attrition bias.</w:t>
      </w:r>
      <w:r w:rsidR="00105532" w:rsidRPr="00C806D0">
        <w:rPr>
          <w:noProof/>
          <w:vertAlign w:val="superscript"/>
        </w:rPr>
        <w:t>[</w:t>
      </w:r>
      <w:r w:rsidR="006D4D62" w:rsidRPr="00C806D0">
        <w:rPr>
          <w:noProof/>
          <w:vertAlign w:val="superscript"/>
        </w:rPr>
        <w:t>58</w:t>
      </w:r>
      <w:r w:rsidR="00105532" w:rsidRPr="00C806D0">
        <w:rPr>
          <w:noProof/>
          <w:vertAlign w:val="superscript"/>
        </w:rPr>
        <w:t>]</w:t>
      </w:r>
      <w:r w:rsidRPr="00C806D0">
        <w:t xml:space="preserve"> Conversely, a study by Cameron and colleagues (2005),</w:t>
      </w:r>
      <w:r w:rsidR="00105532" w:rsidRPr="00C806D0">
        <w:rPr>
          <w:noProof/>
          <w:vertAlign w:val="superscript"/>
        </w:rPr>
        <w:t>[</w:t>
      </w:r>
      <w:r w:rsidR="006D4D62" w:rsidRPr="00C806D0">
        <w:rPr>
          <w:noProof/>
          <w:vertAlign w:val="superscript"/>
        </w:rPr>
        <w:t>77</w:t>
      </w:r>
      <w:r w:rsidR="00105532" w:rsidRPr="00C806D0">
        <w:rPr>
          <w:noProof/>
          <w:vertAlign w:val="superscript"/>
        </w:rPr>
        <w:t>]</w:t>
      </w:r>
      <w:r w:rsidRPr="00C806D0">
        <w:t xml:space="preserve"> investigating a representative sample of Canadian patients hospitalised with non-head injuries, reported decreased long term survival. Transition probabilities based on general population life tables were therefore used in the base case time-dependent Markov model, with a sensitivity analysis implemented to investigate the effects of a putative increase in mortality rates. A crude risk ratio of 1.68 (95% CI 1.50-1.88) for mortality between 2 and 10 years post-injury was calculated from data reported by Cameron 2005 (n=26,316).</w:t>
      </w:r>
      <w:r w:rsidR="00105532" w:rsidRPr="00C806D0">
        <w:rPr>
          <w:noProof/>
          <w:vertAlign w:val="superscript"/>
        </w:rPr>
        <w:t>[</w:t>
      </w:r>
      <w:r w:rsidR="006D4D62" w:rsidRPr="00C806D0">
        <w:rPr>
          <w:noProof/>
          <w:vertAlign w:val="superscript"/>
        </w:rPr>
        <w:t>77</w:t>
      </w:r>
      <w:r w:rsidR="00105532" w:rsidRPr="00C806D0">
        <w:rPr>
          <w:noProof/>
          <w:vertAlign w:val="superscript"/>
        </w:rPr>
        <w:t>]</w:t>
      </w:r>
      <w:r w:rsidRPr="00C806D0">
        <w:t xml:space="preserve"> This relative risk w</w:t>
      </w:r>
      <w:r w:rsidR="00222ED3" w:rsidRPr="00C806D0">
        <w:t>as modified to account for the one</w:t>
      </w:r>
      <w:r w:rsidRPr="00C806D0">
        <w:t xml:space="preserve"> year cycle length in the HITSNS Markov model, and then used to in conjunction with a prevalence estimate for adult major trauma provided by Lecky and colleagues (2010) to calculate a ‘scale up factor’.</w:t>
      </w:r>
      <w:r w:rsidR="00105532" w:rsidRPr="00C806D0">
        <w:rPr>
          <w:noProof/>
          <w:vertAlign w:val="superscript"/>
        </w:rPr>
        <w:t>[</w:t>
      </w:r>
      <w:r w:rsidR="006D4D62" w:rsidRPr="00C806D0">
        <w:rPr>
          <w:noProof/>
          <w:vertAlign w:val="superscript"/>
        </w:rPr>
        <w:t>84</w:t>
      </w:r>
      <w:r w:rsidR="00105532" w:rsidRPr="00C806D0">
        <w:rPr>
          <w:noProof/>
          <w:vertAlign w:val="superscript"/>
        </w:rPr>
        <w:t>]</w:t>
      </w:r>
      <w:r w:rsidRPr="00C806D0">
        <w:t xml:space="preserve"> The final ‘scale up factor’ (θ=1.83) was again assumed to be constant throughout survival following trauma and applied to yearly general population life-table death probabilities to determine Markov model transitions.</w:t>
      </w:r>
    </w:p>
    <w:p w:rsidR="00BF1676" w:rsidRPr="00C806D0" w:rsidRDefault="00BF1676" w:rsidP="00003A24">
      <w:pPr>
        <w:pStyle w:val="Heading2"/>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pStyle w:val="Heading2"/>
      </w:pPr>
      <w:r w:rsidRPr="00C806D0">
        <w:t>Final inputs for HITSNS economic model</w:t>
      </w:r>
    </w:p>
    <w:p w:rsidR="00003A24" w:rsidRPr="00C806D0" w:rsidRDefault="00003A24" w:rsidP="00003A24">
      <w:pPr>
        <w:rPr>
          <w:b/>
          <w:bCs/>
        </w:rPr>
      </w:pPr>
      <w:r w:rsidRPr="00C806D0">
        <w:rPr>
          <w:b/>
          <w:bCs/>
        </w:rPr>
        <w:t>Table I8. Deterministic values and probability distributions for HITSNS economic model inputs</w:t>
      </w:r>
    </w:p>
    <w:tbl>
      <w:tblPr>
        <w:tblStyle w:val="LightShading1"/>
        <w:tblW w:w="5000" w:type="pct"/>
        <w:tblLook w:val="06A0" w:firstRow="1" w:lastRow="0" w:firstColumn="1" w:lastColumn="0" w:noHBand="1" w:noVBand="1"/>
      </w:tblPr>
      <w:tblGrid>
        <w:gridCol w:w="5992"/>
        <w:gridCol w:w="1736"/>
        <w:gridCol w:w="2729"/>
        <w:gridCol w:w="2203"/>
        <w:gridCol w:w="2126"/>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Model input</w:t>
            </w:r>
          </w:p>
        </w:tc>
        <w:tc>
          <w:tcPr>
            <w:tcW w:w="587" w:type="pct"/>
          </w:tcPr>
          <w:p w:rsidR="00003A24" w:rsidRPr="00C806D0" w:rsidRDefault="00003A24" w:rsidP="003B086D">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C806D0">
              <w:rPr>
                <w:sz w:val="18"/>
                <w:szCs w:val="18"/>
              </w:rPr>
              <w:t>Deterministic value</w:t>
            </w:r>
          </w:p>
        </w:tc>
        <w:tc>
          <w:tcPr>
            <w:tcW w:w="923" w:type="pct"/>
          </w:tcPr>
          <w:p w:rsidR="00003A24" w:rsidRPr="00C806D0" w:rsidRDefault="00003A24" w:rsidP="003B086D">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C806D0">
              <w:rPr>
                <w:sz w:val="18"/>
                <w:szCs w:val="18"/>
              </w:rPr>
              <w:t>Parameter type and distributional form</w:t>
            </w:r>
          </w:p>
          <w:p w:rsidR="00003A24" w:rsidRPr="00C806D0" w:rsidRDefault="00003A24" w:rsidP="003B086D">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C806D0">
              <w:rPr>
                <w:sz w:val="18"/>
                <w:szCs w:val="18"/>
              </w:rPr>
              <w:t>Distribution parameters for PSA*</w:t>
            </w:r>
          </w:p>
        </w:tc>
        <w:tc>
          <w:tcPr>
            <w:tcW w:w="719" w:type="pct"/>
          </w:tcPr>
          <w:p w:rsidR="00003A24" w:rsidRPr="00C806D0" w:rsidRDefault="00003A24" w:rsidP="003B086D">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C806D0">
              <w:rPr>
                <w:sz w:val="18"/>
                <w:szCs w:val="18"/>
              </w:rPr>
              <w:t>Information source</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Population subgroups</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Mild TBI</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0.57</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Proportion, Dirichlet</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1</w:t>
            </w:r>
            <w:r w:rsidRPr="00C806D0">
              <w:rPr>
                <w:sz w:val="18"/>
                <w:szCs w:val="18"/>
              </w:rPr>
              <w:t>: 95</w:t>
            </w:r>
          </w:p>
        </w:tc>
        <w:tc>
          <w:tcPr>
            <w:tcW w:w="719" w:type="pct"/>
          </w:tcPr>
          <w:p w:rsidR="00003A24" w:rsidRPr="00C806D0" w:rsidRDefault="00003A24" w:rsidP="006D4D6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HITSNS pilot data</w:t>
            </w:r>
            <w:r w:rsidR="00105532" w:rsidRPr="00C806D0">
              <w:rPr>
                <w:noProof/>
                <w:sz w:val="18"/>
                <w:szCs w:val="18"/>
                <w:vertAlign w:val="superscript"/>
              </w:rPr>
              <w:t>[</w:t>
            </w:r>
            <w:r w:rsidR="006D4D62" w:rsidRPr="00C806D0">
              <w:rPr>
                <w:noProof/>
                <w:sz w:val="18"/>
                <w:szCs w:val="18"/>
                <w:vertAlign w:val="superscript"/>
              </w:rPr>
              <w:t>85</w:t>
            </w:r>
            <w:r w:rsidR="00105532" w:rsidRPr="00C806D0">
              <w:rPr>
                <w:noProof/>
                <w:sz w:val="18"/>
                <w:szCs w:val="18"/>
                <w:vertAlign w:val="superscript"/>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Acute neurosurgery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0.06</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2</w:t>
            </w:r>
            <w:r w:rsidRPr="00C806D0">
              <w:rPr>
                <w:sz w:val="18"/>
                <w:szCs w:val="18"/>
              </w:rPr>
              <w:t>: 10</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rPr>
          <w:trHeight w:val="237"/>
        </w:trPr>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TBI requiring critical care</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0.11</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3</w:t>
            </w:r>
            <w:r w:rsidRPr="00C806D0">
              <w:rPr>
                <w:sz w:val="18"/>
                <w:szCs w:val="18"/>
              </w:rPr>
              <w:t>: 19</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TBI requiring ward admission</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0.20</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4</w:t>
            </w:r>
            <w:r w:rsidRPr="00C806D0">
              <w:rPr>
                <w:sz w:val="18"/>
                <w:szCs w:val="18"/>
              </w:rPr>
              <w:t>: 33</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 xml:space="preserve">Major </w:t>
            </w:r>
            <w:r w:rsidR="002A16B4" w:rsidRPr="00C806D0">
              <w:rPr>
                <w:b w:val="0"/>
                <w:sz w:val="18"/>
                <w:szCs w:val="18"/>
              </w:rPr>
              <w:t>extracranial</w:t>
            </w:r>
            <w:r w:rsidRPr="00C806D0">
              <w:rPr>
                <w:b w:val="0"/>
                <w:sz w:val="18"/>
                <w:szCs w:val="18"/>
              </w:rPr>
              <w:t xml:space="preserve"> injury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0.05</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5</w:t>
            </w:r>
            <w:r w:rsidRPr="00C806D0">
              <w:rPr>
                <w:sz w:val="18"/>
                <w:szCs w:val="18"/>
              </w:rPr>
              <w:t>: 9</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Compliance with bypass**</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rPr>
          <w:trHeight w:val="155"/>
        </w:trPr>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Mild TBI</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0.35</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Proportion, Beta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α:22  β:41</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HITSNS pilot data</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Acute Neurosurgery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0.83</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Proportion, Beta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α:2.5 β:0.5</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HITSNS pilot data</w:t>
            </w:r>
          </w:p>
        </w:tc>
      </w:tr>
      <w:tr w:rsidR="00003A24" w:rsidRPr="00C806D0" w:rsidTr="002A16B4">
        <w:trPr>
          <w:trHeight w:val="378"/>
        </w:trPr>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TBI requiring ward care</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0.57</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Proportion, Beta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α:12  β:9</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HITSNS pilot data</w:t>
            </w:r>
          </w:p>
        </w:tc>
      </w:tr>
      <w:tr w:rsidR="00003A24" w:rsidRPr="00C806D0" w:rsidTr="002A16B4">
        <w:trPr>
          <w:trHeight w:val="74"/>
        </w:trPr>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Mild TBI outcomes</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Dead</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0.01</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Proportion, Dirichlet</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1</w:t>
            </w:r>
            <w:r w:rsidRPr="00C806D0">
              <w:rPr>
                <w:sz w:val="18"/>
                <w:szCs w:val="18"/>
              </w:rPr>
              <w:t>: 9</w:t>
            </w:r>
          </w:p>
        </w:tc>
        <w:tc>
          <w:tcPr>
            <w:tcW w:w="719" w:type="pct"/>
          </w:tcPr>
          <w:p w:rsidR="00003A24" w:rsidRPr="00C806D0" w:rsidRDefault="00003A24" w:rsidP="006D4D6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OCTOPUS study</w:t>
            </w:r>
            <w:r w:rsidR="00105532" w:rsidRPr="00C806D0">
              <w:rPr>
                <w:noProof/>
                <w:sz w:val="18"/>
                <w:szCs w:val="18"/>
                <w:vertAlign w:val="superscript"/>
              </w:rPr>
              <w:t>[</w:t>
            </w:r>
            <w:r w:rsidR="006D4D62" w:rsidRPr="00C806D0">
              <w:rPr>
                <w:noProof/>
                <w:sz w:val="18"/>
                <w:szCs w:val="18"/>
                <w:vertAlign w:val="superscript"/>
              </w:rPr>
              <w:t>28</w:t>
            </w:r>
            <w:r w:rsidR="00105532" w:rsidRPr="00C806D0">
              <w:rPr>
                <w:noProof/>
                <w:sz w:val="18"/>
                <w:szCs w:val="18"/>
                <w:vertAlign w:val="superscript"/>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 xml:space="preserve">Severe disability </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0.05</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2</w:t>
            </w:r>
            <w:r w:rsidRPr="00C806D0">
              <w:rPr>
                <w:sz w:val="18"/>
                <w:szCs w:val="18"/>
              </w:rPr>
              <w:t>: 89</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Moderate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0.06</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3</w:t>
            </w:r>
            <w:r w:rsidRPr="00C806D0">
              <w:rPr>
                <w:sz w:val="18"/>
                <w:szCs w:val="18"/>
              </w:rPr>
              <w:t>: 95</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Good recovery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0.88</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4</w:t>
            </w:r>
            <w:r w:rsidRPr="00C806D0">
              <w:rPr>
                <w:sz w:val="18"/>
                <w:szCs w:val="18"/>
              </w:rPr>
              <w:t>: 1430</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Acute neurosurgery  baseline outcomes (secondary transfer)</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Dead</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0.41</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Proportion, Dirichlet†</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1</w:t>
            </w:r>
            <w:r w:rsidRPr="00C806D0">
              <w:rPr>
                <w:sz w:val="18"/>
                <w:szCs w:val="18"/>
              </w:rPr>
              <w:t>: 36</w:t>
            </w:r>
          </w:p>
        </w:tc>
        <w:tc>
          <w:tcPr>
            <w:tcW w:w="719" w:type="pct"/>
          </w:tcPr>
          <w:p w:rsidR="00003A24" w:rsidRPr="00C806D0" w:rsidRDefault="00003A24" w:rsidP="006D4D6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NHIR study</w:t>
            </w:r>
            <w:r w:rsidR="00105532" w:rsidRPr="00C806D0">
              <w:rPr>
                <w:noProof/>
                <w:sz w:val="18"/>
                <w:szCs w:val="18"/>
                <w:vertAlign w:val="superscript"/>
              </w:rPr>
              <w:t>[</w:t>
            </w:r>
            <w:r w:rsidR="006D4D62" w:rsidRPr="00C806D0">
              <w:rPr>
                <w:noProof/>
                <w:sz w:val="18"/>
                <w:szCs w:val="18"/>
                <w:vertAlign w:val="superscript"/>
              </w:rPr>
              <w:t>31</w:t>
            </w:r>
            <w:r w:rsidR="00105532" w:rsidRPr="00C806D0">
              <w:rPr>
                <w:noProof/>
                <w:sz w:val="18"/>
                <w:szCs w:val="18"/>
                <w:vertAlign w:val="superscript"/>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 xml:space="preserve">Severe disability </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0.13</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2</w:t>
            </w:r>
            <w:r w:rsidRPr="00C806D0">
              <w:rPr>
                <w:sz w:val="18"/>
                <w:szCs w:val="18"/>
              </w:rPr>
              <w:t>: 12</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Moderate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0.22</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3</w:t>
            </w:r>
            <w:r w:rsidRPr="00C806D0">
              <w:rPr>
                <w:sz w:val="18"/>
                <w:szCs w:val="18"/>
              </w:rPr>
              <w:t>: 19</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Good recovery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0.23</w:t>
            </w:r>
          </w:p>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4</w:t>
            </w:r>
            <w:r w:rsidRPr="00C806D0">
              <w:rPr>
                <w:sz w:val="18"/>
                <w:szCs w:val="18"/>
              </w:rPr>
              <w:t>: 20</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TBI requiring critical care baseline outcomes (selective transfer)</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Dead</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0.19</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Proportion, Dirichlet†</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1</w:t>
            </w:r>
            <w:r w:rsidRPr="00C806D0">
              <w:rPr>
                <w:sz w:val="18"/>
                <w:szCs w:val="18"/>
              </w:rPr>
              <w:t>: 149</w:t>
            </w:r>
          </w:p>
        </w:tc>
        <w:tc>
          <w:tcPr>
            <w:tcW w:w="719" w:type="pct"/>
          </w:tcPr>
          <w:p w:rsidR="00003A24" w:rsidRPr="00C806D0" w:rsidRDefault="00003A24" w:rsidP="006D4D6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RAIN study</w:t>
            </w:r>
            <w:r w:rsidR="00105532" w:rsidRPr="00C806D0">
              <w:rPr>
                <w:noProof/>
                <w:sz w:val="18"/>
                <w:szCs w:val="18"/>
                <w:vertAlign w:val="superscript"/>
              </w:rPr>
              <w:t>[</w:t>
            </w:r>
            <w:r w:rsidR="006D4D62" w:rsidRPr="00C806D0">
              <w:rPr>
                <w:noProof/>
                <w:sz w:val="18"/>
                <w:szCs w:val="18"/>
                <w:vertAlign w:val="superscript"/>
              </w:rPr>
              <w:t>26</w:t>
            </w:r>
            <w:r w:rsidR="00105532" w:rsidRPr="00C806D0">
              <w:rPr>
                <w:noProof/>
                <w:sz w:val="18"/>
                <w:szCs w:val="18"/>
                <w:vertAlign w:val="superscript"/>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Severe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0.22</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2</w:t>
            </w:r>
            <w:r w:rsidRPr="00C806D0">
              <w:rPr>
                <w:sz w:val="18"/>
                <w:szCs w:val="18"/>
              </w:rPr>
              <w:t>: 178</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Moderate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0.31</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3</w:t>
            </w:r>
            <w:r w:rsidRPr="00C806D0">
              <w:rPr>
                <w:sz w:val="18"/>
                <w:szCs w:val="18"/>
              </w:rPr>
              <w:t>: 249</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Good recovery</w:t>
            </w:r>
          </w:p>
          <w:p w:rsidR="00003A24" w:rsidRPr="00C806D0" w:rsidRDefault="00003A24" w:rsidP="003B086D">
            <w:pPr>
              <w:spacing w:line="276" w:lineRule="auto"/>
              <w:rPr>
                <w:b w:val="0"/>
                <w:sz w:val="18"/>
                <w:szCs w:val="18"/>
              </w:rPr>
            </w:pP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0.28</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4</w:t>
            </w:r>
            <w:r w:rsidRPr="00C806D0">
              <w:rPr>
                <w:sz w:val="18"/>
                <w:szCs w:val="18"/>
              </w:rPr>
              <w:t>: 219</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TBI requiring ward care baseline outcomes (selective transfer)</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Dead</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0.03</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Proportion, Dirichlet†</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1</w:t>
            </w:r>
            <w:r w:rsidRPr="00C806D0">
              <w:rPr>
                <w:sz w:val="18"/>
                <w:szCs w:val="18"/>
              </w:rPr>
              <w:t>: 3.5</w:t>
            </w:r>
          </w:p>
        </w:tc>
        <w:tc>
          <w:tcPr>
            <w:tcW w:w="719" w:type="pct"/>
          </w:tcPr>
          <w:p w:rsidR="00003A24" w:rsidRPr="00C806D0" w:rsidRDefault="00003A24" w:rsidP="006D4D6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McCartan 2007</w:t>
            </w:r>
            <w:r w:rsidR="00105532" w:rsidRPr="00C806D0">
              <w:rPr>
                <w:noProof/>
                <w:sz w:val="18"/>
                <w:szCs w:val="18"/>
                <w:vertAlign w:val="superscript"/>
              </w:rPr>
              <w:t>[</w:t>
            </w:r>
            <w:r w:rsidR="006D4D62" w:rsidRPr="00C806D0">
              <w:rPr>
                <w:noProof/>
                <w:sz w:val="18"/>
                <w:szCs w:val="18"/>
                <w:vertAlign w:val="superscript"/>
              </w:rPr>
              <w:t>30</w:t>
            </w:r>
            <w:r w:rsidR="00105532" w:rsidRPr="00C806D0">
              <w:rPr>
                <w:noProof/>
                <w:sz w:val="18"/>
                <w:szCs w:val="18"/>
                <w:vertAlign w:val="superscript"/>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 xml:space="preserve">Severe disability </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0.02</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2</w:t>
            </w:r>
            <w:r w:rsidRPr="00C806D0">
              <w:rPr>
                <w:sz w:val="18"/>
                <w:szCs w:val="18"/>
              </w:rPr>
              <w:t>: 2.5</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Moderate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0.06</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3</w:t>
            </w:r>
            <w:r w:rsidRPr="00C806D0">
              <w:rPr>
                <w:sz w:val="18"/>
                <w:szCs w:val="18"/>
              </w:rPr>
              <w:t>:6</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Good recovery</w:t>
            </w:r>
          </w:p>
          <w:p w:rsidR="00003A24" w:rsidRPr="00C806D0" w:rsidRDefault="00003A24" w:rsidP="003B086D">
            <w:pPr>
              <w:spacing w:line="276" w:lineRule="auto"/>
              <w:rPr>
                <w:b w:val="0"/>
                <w:sz w:val="18"/>
                <w:szCs w:val="18"/>
              </w:rPr>
            </w:pP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0.88</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w:t>
            </w:r>
            <w:r w:rsidRPr="00C806D0">
              <w:rPr>
                <w:sz w:val="18"/>
                <w:szCs w:val="18"/>
                <w:vertAlign w:val="subscript"/>
              </w:rPr>
              <w:t>4</w:t>
            </w:r>
            <w:r w:rsidRPr="00C806D0">
              <w:rPr>
                <w:sz w:val="18"/>
                <w:szCs w:val="18"/>
              </w:rPr>
              <w:t>: 84</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22ED3">
        <w:trPr>
          <w:trHeight w:val="319"/>
        </w:trPr>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 xml:space="preserve">Major </w:t>
            </w:r>
            <w:r w:rsidR="002A16B4" w:rsidRPr="00C806D0">
              <w:rPr>
                <w:sz w:val="18"/>
                <w:szCs w:val="18"/>
              </w:rPr>
              <w:t>extracranial</w:t>
            </w:r>
            <w:r w:rsidRPr="00C806D0">
              <w:rPr>
                <w:sz w:val="18"/>
                <w:szCs w:val="18"/>
              </w:rPr>
              <w:t xml:space="preserve"> injury baseline outcomes (selective transfer)</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rPr>
          <w:trHeight w:val="230"/>
        </w:trPr>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Survival</w:t>
            </w:r>
          </w:p>
          <w:p w:rsidR="00003A24" w:rsidRPr="00C806D0" w:rsidRDefault="00003A24" w:rsidP="003B086D">
            <w:pPr>
              <w:spacing w:line="276" w:lineRule="auto"/>
              <w:rPr>
                <w:b w:val="0"/>
                <w:sz w:val="18"/>
                <w:szCs w:val="18"/>
              </w:rPr>
            </w:pP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0.96</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Proportion, Beta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α:1690  β:46991</w:t>
            </w:r>
          </w:p>
        </w:tc>
        <w:tc>
          <w:tcPr>
            <w:tcW w:w="719" w:type="pct"/>
          </w:tcPr>
          <w:p w:rsidR="00003A24" w:rsidRPr="00C806D0" w:rsidRDefault="00003A24" w:rsidP="006D4D6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TARN database</w:t>
            </w:r>
            <w:r w:rsidR="00105532" w:rsidRPr="00C806D0">
              <w:rPr>
                <w:noProof/>
                <w:sz w:val="18"/>
                <w:szCs w:val="18"/>
                <w:vertAlign w:val="superscript"/>
              </w:rPr>
              <w:t>[</w:t>
            </w:r>
            <w:r w:rsidR="006D4D62" w:rsidRPr="00C806D0">
              <w:rPr>
                <w:noProof/>
                <w:sz w:val="18"/>
                <w:szCs w:val="18"/>
                <w:vertAlign w:val="superscript"/>
              </w:rPr>
              <w:t>86</w:t>
            </w:r>
            <w:r w:rsidR="00105532" w:rsidRPr="00C806D0">
              <w:rPr>
                <w:noProof/>
                <w:sz w:val="18"/>
                <w:szCs w:val="18"/>
                <w:vertAlign w:val="superscript"/>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36" w:type="pct"/>
            <w:gridSpan w:val="3"/>
          </w:tcPr>
          <w:p w:rsidR="00003A24" w:rsidRPr="00C806D0" w:rsidRDefault="00003A24" w:rsidP="003B086D">
            <w:pPr>
              <w:spacing w:line="276" w:lineRule="auto"/>
              <w:rPr>
                <w:sz w:val="18"/>
                <w:szCs w:val="18"/>
              </w:rPr>
            </w:pPr>
            <w:r w:rsidRPr="00C806D0">
              <w:rPr>
                <w:sz w:val="18"/>
                <w:szCs w:val="18"/>
              </w:rPr>
              <w:t>Relative effectiveness (v selective secondary transfer, proportional odds ratio for unfavourable outcome)</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Bypass: Acute neurosurgery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0.53</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Log odds ratio,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μ:-0.68 SE:0.34</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Expert opinion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Bypass: TBI requiring critical care</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1.00</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Log odds ratio,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μ:0.0 SE:0.41</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Expert opinion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Bypass: TBI requiring ward care</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0.98</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Log odds ratio,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μ:-0.01 SE:0.02</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Expert opinion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 xml:space="preserve">Bypass: Major </w:t>
            </w:r>
            <w:r w:rsidR="002A16B4" w:rsidRPr="00C806D0">
              <w:rPr>
                <w:b w:val="0"/>
                <w:sz w:val="18"/>
                <w:szCs w:val="18"/>
              </w:rPr>
              <w:t>extracranial</w:t>
            </w:r>
            <w:r w:rsidRPr="00C806D0">
              <w:rPr>
                <w:b w:val="0"/>
                <w:sz w:val="18"/>
                <w:szCs w:val="18"/>
              </w:rPr>
              <w:t xml:space="preserve"> injury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0.80</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Log odds ratio,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μ:-0.22 SE:0.07</w:t>
            </w:r>
          </w:p>
        </w:tc>
        <w:tc>
          <w:tcPr>
            <w:tcW w:w="719" w:type="pct"/>
          </w:tcPr>
          <w:p w:rsidR="00003A24" w:rsidRPr="00C806D0" w:rsidRDefault="00003A24" w:rsidP="006D4D6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Mullins 1998</w:t>
            </w:r>
            <w:r w:rsidR="00105532" w:rsidRPr="00C806D0">
              <w:rPr>
                <w:noProof/>
                <w:sz w:val="18"/>
                <w:szCs w:val="18"/>
                <w:vertAlign w:val="superscript"/>
              </w:rPr>
              <w:t>[</w:t>
            </w:r>
            <w:r w:rsidR="006D4D62" w:rsidRPr="00C806D0">
              <w:rPr>
                <w:noProof/>
                <w:sz w:val="18"/>
                <w:szCs w:val="18"/>
                <w:vertAlign w:val="superscript"/>
              </w:rPr>
              <w:t>51</w:t>
            </w:r>
            <w:r w:rsidR="00105532" w:rsidRPr="00C806D0">
              <w:rPr>
                <w:noProof/>
                <w:sz w:val="18"/>
                <w:szCs w:val="18"/>
                <w:vertAlign w:val="superscript"/>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Routine transfer: TBI requiring critical care</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0.86</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Log odds ratio,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μ:-0.15 SE:0.12</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Expert opinion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No transfer: TBI requiring critical care</w:t>
            </w:r>
          </w:p>
          <w:p w:rsidR="00003A24" w:rsidRPr="00C806D0" w:rsidRDefault="00003A24" w:rsidP="003B086D">
            <w:pPr>
              <w:spacing w:line="276" w:lineRule="auto"/>
              <w:rPr>
                <w:b w:val="0"/>
                <w:sz w:val="18"/>
                <w:szCs w:val="18"/>
              </w:rPr>
            </w:pP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2.14</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Log odds ratio,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μ:0.76 SE:0.35</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Expert opinion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Inpatient costs (v selective transfer, incremental mean cost)</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Bypass: Mild TBI</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£63</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difference,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μ:63.3 SE:39.7</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HITSNS pilot data</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Bypass: Acute neurosurgery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£32,044</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difference,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μ:32,044 SE:18,249</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HITSNS pilot data</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Bypass: TBI requiring critical care</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£6,971</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difference,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μ:6,971 SE:14,699</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HITSNS pilot data</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Bypass: TBI requiring ward care</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£2,353</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difference,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μ:2,353 SE:981</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HITSNS pilot data</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 xml:space="preserve">Bypass: Major </w:t>
            </w:r>
            <w:r w:rsidR="002A16B4" w:rsidRPr="00C806D0">
              <w:rPr>
                <w:b w:val="0"/>
                <w:sz w:val="18"/>
                <w:szCs w:val="18"/>
              </w:rPr>
              <w:t>extracranial</w:t>
            </w:r>
            <w:r w:rsidRPr="00C806D0">
              <w:rPr>
                <w:b w:val="0"/>
                <w:sz w:val="18"/>
                <w:szCs w:val="18"/>
              </w:rPr>
              <w:t xml:space="preserve"> injury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£5,922</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difference,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μ:5,922 SE:5,283</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HITSNS pilot data</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Routine transfer: TBI requiring critical care</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£7,500</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difference, Scaled Beta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α:3.66  β:4.00 Max:10,000 Min:5,000</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Expert opinion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No transfer: TBI requiring critical care</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-£7,500</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difference, Scaled Beta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α:3.66  β:4.00 Max:-10,000 Min:-5,000</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Expert opinion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Short term post discharge costs (mean cost first year post injury)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Dead</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Severe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£58,292</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costs,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μ:58,292 SE:3,311</w:t>
            </w:r>
          </w:p>
        </w:tc>
        <w:tc>
          <w:tcPr>
            <w:tcW w:w="719" w:type="pct"/>
          </w:tcPr>
          <w:p w:rsidR="00003A24" w:rsidRPr="00C806D0" w:rsidRDefault="00003A24" w:rsidP="006D4D6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Beecham 2009</w:t>
            </w:r>
            <w:r w:rsidR="00105532" w:rsidRPr="00C806D0">
              <w:rPr>
                <w:noProof/>
                <w:sz w:val="18"/>
                <w:szCs w:val="18"/>
                <w:vertAlign w:val="superscript"/>
              </w:rPr>
              <w:t>[</w:t>
            </w:r>
            <w:r w:rsidR="006D4D62" w:rsidRPr="00C806D0">
              <w:rPr>
                <w:noProof/>
                <w:sz w:val="18"/>
                <w:szCs w:val="18"/>
                <w:vertAlign w:val="superscript"/>
              </w:rPr>
              <w:t>54</w:t>
            </w:r>
            <w:r w:rsidR="00105532" w:rsidRPr="00C806D0">
              <w:rPr>
                <w:noProof/>
                <w:sz w:val="18"/>
                <w:szCs w:val="18"/>
                <w:vertAlign w:val="superscript"/>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Moderate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£29,507</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costs,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μ:29,507 SE:1,577</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Beecham 2009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Good recovery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£413</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costs,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μ:413 SE:1.31</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Beecham 2009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 xml:space="preserve">Survival from </w:t>
            </w:r>
            <w:r w:rsidR="002A16B4" w:rsidRPr="00C806D0">
              <w:rPr>
                <w:b w:val="0"/>
                <w:sz w:val="18"/>
                <w:szCs w:val="18"/>
              </w:rPr>
              <w:t>extracranial</w:t>
            </w:r>
            <w:r w:rsidRPr="00C806D0">
              <w:rPr>
                <w:b w:val="0"/>
                <w:sz w:val="18"/>
                <w:szCs w:val="18"/>
              </w:rPr>
              <w:t xml:space="preserve"> injury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£7,884</w:t>
            </w:r>
          </w:p>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costs,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μ:7,884 SE:338</w:t>
            </w:r>
          </w:p>
        </w:tc>
        <w:tc>
          <w:tcPr>
            <w:tcW w:w="719" w:type="pct"/>
          </w:tcPr>
          <w:p w:rsidR="00003A24" w:rsidRPr="00C806D0" w:rsidRDefault="00003A24" w:rsidP="006D4D6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HALO study</w:t>
            </w:r>
            <w:r w:rsidR="00105532" w:rsidRPr="00C806D0">
              <w:rPr>
                <w:noProof/>
                <w:sz w:val="18"/>
                <w:szCs w:val="18"/>
                <w:vertAlign w:val="superscript"/>
              </w:rPr>
              <w:t>[</w:t>
            </w:r>
            <w:r w:rsidR="006D4D62" w:rsidRPr="00C806D0">
              <w:rPr>
                <w:noProof/>
                <w:sz w:val="18"/>
                <w:szCs w:val="18"/>
                <w:vertAlign w:val="superscript"/>
              </w:rPr>
              <w:t>58</w:t>
            </w:r>
            <w:r w:rsidR="00105532" w:rsidRPr="00C806D0">
              <w:rPr>
                <w:noProof/>
                <w:sz w:val="18"/>
                <w:szCs w:val="18"/>
                <w:vertAlign w:val="superscript"/>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613" w:type="pct"/>
            <w:gridSpan w:val="2"/>
          </w:tcPr>
          <w:p w:rsidR="00003A24" w:rsidRPr="00C806D0" w:rsidRDefault="00003A24" w:rsidP="003B086D">
            <w:pPr>
              <w:spacing w:line="276" w:lineRule="auto"/>
              <w:rPr>
                <w:sz w:val="18"/>
                <w:szCs w:val="18"/>
              </w:rPr>
            </w:pPr>
            <w:r w:rsidRPr="00C806D0">
              <w:rPr>
                <w:sz w:val="18"/>
                <w:szCs w:val="18"/>
              </w:rPr>
              <w:t>Long term post discharge costs (mean annual costs subsequent years)</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Dead</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Severe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£12,500</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cost, Beta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α:4.93  β:6.14</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Expert opinion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Moderate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£1,600</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cost, Lognormal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μ:7.59 SD:0.36</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Expert opinion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Good recovery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£24</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cost, Beta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α:1.54  β:5.81</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Expert opinion</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 xml:space="preserve">Survival from </w:t>
            </w:r>
            <w:r w:rsidR="002A16B4" w:rsidRPr="00C806D0">
              <w:rPr>
                <w:b w:val="0"/>
                <w:sz w:val="18"/>
                <w:szCs w:val="18"/>
              </w:rPr>
              <w:t>extracranial</w:t>
            </w:r>
            <w:r w:rsidRPr="00C806D0">
              <w:rPr>
                <w:b w:val="0"/>
                <w:sz w:val="18"/>
                <w:szCs w:val="18"/>
              </w:rPr>
              <w:t xml:space="preserve"> injury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£413</w:t>
            </w:r>
          </w:p>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cost, Normal</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μ:7884 SE:338</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HALO study</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sz w:val="18"/>
                <w:szCs w:val="18"/>
              </w:rPr>
            </w:pPr>
            <w:r w:rsidRPr="00C806D0">
              <w:rPr>
                <w:sz w:val="18"/>
                <w:szCs w:val="18"/>
              </w:rPr>
              <w:t>Health state preference weights‡</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Dead</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Severe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0.15</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 xml:space="preserve">Mean utility decrement from perfect health, Gamma </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α:164  β:0.01</w:t>
            </w:r>
          </w:p>
        </w:tc>
        <w:tc>
          <w:tcPr>
            <w:tcW w:w="719" w:type="pct"/>
          </w:tcPr>
          <w:p w:rsidR="00003A24" w:rsidRPr="00C806D0" w:rsidRDefault="00003A24" w:rsidP="006D4D6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Smits 2010</w:t>
            </w:r>
            <w:r w:rsidR="00105532" w:rsidRPr="00C806D0">
              <w:rPr>
                <w:noProof/>
                <w:sz w:val="18"/>
                <w:szCs w:val="18"/>
                <w:vertAlign w:val="superscript"/>
              </w:rPr>
              <w:t>[</w:t>
            </w:r>
            <w:r w:rsidR="006D4D62" w:rsidRPr="00C806D0">
              <w:rPr>
                <w:noProof/>
                <w:sz w:val="18"/>
                <w:szCs w:val="18"/>
                <w:vertAlign w:val="superscript"/>
              </w:rPr>
              <w:t>60</w:t>
            </w:r>
            <w:r w:rsidR="00105532" w:rsidRPr="00C806D0">
              <w:rPr>
                <w:noProof/>
                <w:sz w:val="18"/>
                <w:szCs w:val="18"/>
                <w:vertAlign w:val="superscript"/>
              </w:rPr>
              <w:t>]</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Moderate disability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0.51</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utility decrement from perfect health, Gamma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α:64  β:0.01</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Smits 2010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Good recovery</w:t>
            </w: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0.88</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utility decrement from perfect health, Gamma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α:6.8 β:0.02</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Smits 2010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2026" w:type="pct"/>
          </w:tcPr>
          <w:p w:rsidR="00003A24" w:rsidRPr="00C806D0" w:rsidRDefault="00003A24" w:rsidP="003B086D">
            <w:pPr>
              <w:spacing w:line="276" w:lineRule="auto"/>
              <w:rPr>
                <w:b w:val="0"/>
                <w:sz w:val="18"/>
                <w:szCs w:val="18"/>
              </w:rPr>
            </w:pPr>
            <w:r w:rsidRPr="00C806D0">
              <w:rPr>
                <w:b w:val="0"/>
                <w:sz w:val="18"/>
                <w:szCs w:val="18"/>
              </w:rPr>
              <w:t xml:space="preserve">Survival from </w:t>
            </w:r>
            <w:r w:rsidR="002A16B4" w:rsidRPr="00C806D0">
              <w:rPr>
                <w:b w:val="0"/>
                <w:sz w:val="18"/>
                <w:szCs w:val="18"/>
              </w:rPr>
              <w:t>extracranial</w:t>
            </w:r>
            <w:r w:rsidRPr="00C806D0">
              <w:rPr>
                <w:b w:val="0"/>
                <w:sz w:val="18"/>
                <w:szCs w:val="18"/>
              </w:rPr>
              <w:t xml:space="preserve"> injury</w:t>
            </w:r>
          </w:p>
          <w:p w:rsidR="00003A24" w:rsidRPr="00C806D0" w:rsidRDefault="00003A24" w:rsidP="003B086D">
            <w:pPr>
              <w:spacing w:line="276" w:lineRule="auto"/>
              <w:rPr>
                <w:b w:val="0"/>
                <w:sz w:val="18"/>
                <w:szCs w:val="18"/>
              </w:rPr>
            </w:pPr>
          </w:p>
        </w:tc>
        <w:tc>
          <w:tcPr>
            <w:tcW w:w="587"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0.67</w:t>
            </w:r>
          </w:p>
        </w:tc>
        <w:tc>
          <w:tcPr>
            <w:tcW w:w="923"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Mean utility, Beta</w:t>
            </w:r>
          </w:p>
        </w:tc>
        <w:tc>
          <w:tcPr>
            <w:tcW w:w="745"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α:3022 β:1475</w:t>
            </w:r>
          </w:p>
        </w:tc>
        <w:tc>
          <w:tcPr>
            <w:tcW w:w="719" w:type="pct"/>
          </w:tcPr>
          <w:p w:rsidR="00003A24" w:rsidRPr="00C806D0" w:rsidRDefault="00003A24" w:rsidP="003B086D">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C806D0">
              <w:rPr>
                <w:sz w:val="18"/>
                <w:szCs w:val="18"/>
              </w:rPr>
              <w:t>HALO study</w:t>
            </w:r>
          </w:p>
        </w:tc>
      </w:tr>
    </w:tbl>
    <w:p w:rsidR="00003A24" w:rsidRPr="00C806D0" w:rsidRDefault="00003A24" w:rsidP="00003A24">
      <w:pPr>
        <w:rPr>
          <w:sz w:val="20"/>
          <w:szCs w:val="20"/>
        </w:rPr>
      </w:pPr>
      <w:r w:rsidRPr="00C806D0">
        <w:rPr>
          <w:sz w:val="20"/>
          <w:szCs w:val="20"/>
        </w:rPr>
        <w:t>Notes:</w:t>
      </w:r>
    </w:p>
    <w:p w:rsidR="00D368BB" w:rsidRPr="00C806D0" w:rsidRDefault="00003A24" w:rsidP="00003A24">
      <w:pPr>
        <w:rPr>
          <w:sz w:val="18"/>
          <w:szCs w:val="18"/>
        </w:rPr>
      </w:pPr>
      <w:r w:rsidRPr="00C806D0">
        <w:rPr>
          <w:sz w:val="18"/>
          <w:szCs w:val="18"/>
        </w:rPr>
        <w:t>*Continuity correction applied for Beta and Dirichlet distri</w:t>
      </w:r>
      <w:r w:rsidR="003B086D" w:rsidRPr="00C806D0">
        <w:rPr>
          <w:sz w:val="18"/>
          <w:szCs w:val="18"/>
        </w:rPr>
        <w:t xml:space="preserve">butions with parameter values&lt;5. </w:t>
      </w:r>
      <w:r w:rsidRPr="00C806D0">
        <w:rPr>
          <w:sz w:val="18"/>
          <w:szCs w:val="18"/>
        </w:rPr>
        <w:t xml:space="preserve">**Compliance with bypass was not directly modelled for patients with TBI requiring critical care or major </w:t>
      </w:r>
      <w:r w:rsidR="002A16B4" w:rsidRPr="00C806D0">
        <w:rPr>
          <w:sz w:val="18"/>
          <w:szCs w:val="18"/>
        </w:rPr>
        <w:t>extracranial</w:t>
      </w:r>
      <w:r w:rsidRPr="00C806D0">
        <w:rPr>
          <w:sz w:val="18"/>
          <w:szCs w:val="18"/>
        </w:rPr>
        <w:t xml:space="preserve"> injury cases. The effect of compliance was incorporated within estimates of relative effectiveness for these subgroups.</w:t>
      </w:r>
      <w:r w:rsidR="003B086D" w:rsidRPr="00C806D0">
        <w:rPr>
          <w:sz w:val="18"/>
          <w:szCs w:val="18"/>
        </w:rPr>
        <w:t xml:space="preserve"> </w:t>
      </w:r>
      <w:r w:rsidRPr="00C806D0">
        <w:rPr>
          <w:sz w:val="18"/>
          <w:szCs w:val="18"/>
        </w:rPr>
        <w:t>† Posterior distribution after external bias adjustment.</w:t>
      </w:r>
      <w:r w:rsidR="003B086D" w:rsidRPr="00C806D0">
        <w:rPr>
          <w:sz w:val="18"/>
          <w:szCs w:val="18"/>
        </w:rPr>
        <w:t xml:space="preserve"> </w:t>
      </w:r>
      <w:r w:rsidRPr="00C806D0">
        <w:rPr>
          <w:sz w:val="18"/>
          <w:szCs w:val="18"/>
        </w:rPr>
        <w:t xml:space="preserve">‡ Utility values were subsequently adjusted for age in the Markov model using a multiplicative model based on comparative mean </w:t>
      </w:r>
      <w:r w:rsidR="002A16B4" w:rsidRPr="00C806D0">
        <w:rPr>
          <w:sz w:val="18"/>
          <w:szCs w:val="18"/>
        </w:rPr>
        <w:t>EQ5D</w:t>
      </w:r>
      <w:r w:rsidRPr="00C806D0">
        <w:rPr>
          <w:sz w:val="18"/>
          <w:szCs w:val="18"/>
        </w:rPr>
        <w:t xml:space="preserve"> values in the general population.</w:t>
      </w:r>
      <w:r w:rsidR="003B086D" w:rsidRPr="00C806D0">
        <w:rPr>
          <w:sz w:val="18"/>
          <w:szCs w:val="18"/>
        </w:rPr>
        <w:t xml:space="preserve"> </w:t>
      </w:r>
    </w:p>
    <w:p w:rsidR="00BF1676" w:rsidRPr="00C806D0" w:rsidRDefault="00BF1676" w:rsidP="00003A24">
      <w:pPr>
        <w:rPr>
          <w:sz w:val="18"/>
          <w:szCs w:val="18"/>
        </w:rPr>
        <w:sectPr w:rsidR="00BF1676" w:rsidRPr="00C806D0" w:rsidSect="00BF1676">
          <w:pgSz w:w="16838" w:h="11906" w:orient="landscape"/>
          <w:pgMar w:top="2268" w:right="1134" w:bottom="1134" w:left="1134" w:header="709" w:footer="709" w:gutter="0"/>
          <w:cols w:space="708"/>
          <w:docGrid w:linePitch="360"/>
        </w:sectPr>
      </w:pPr>
    </w:p>
    <w:p w:rsidR="00003A24" w:rsidRPr="00C806D0" w:rsidRDefault="00003A24" w:rsidP="00003A24">
      <w:pPr>
        <w:pStyle w:val="Heading2"/>
      </w:pPr>
      <w:r w:rsidRPr="00C806D0">
        <w:t>references</w:t>
      </w:r>
    </w:p>
    <w:p w:rsidR="006D4D62" w:rsidRPr="00C806D0" w:rsidRDefault="006D4D62" w:rsidP="006D4D62">
      <w:pPr>
        <w:spacing w:line="240" w:lineRule="auto"/>
        <w:ind w:left="720" w:hanging="720"/>
        <w:rPr>
          <w:rFonts w:ascii="Calibri" w:hAnsi="Calibri"/>
          <w:noProof/>
        </w:rPr>
      </w:pPr>
      <w:bookmarkStart w:id="245" w:name="_ENREF_9_1"/>
      <w:r w:rsidRPr="00C806D0">
        <w:rPr>
          <w:rFonts w:ascii="Calibri" w:hAnsi="Calibri"/>
          <w:noProof/>
        </w:rPr>
        <w:t>1.</w:t>
      </w:r>
      <w:r w:rsidRPr="00C806D0">
        <w:rPr>
          <w:rFonts w:ascii="Calibri" w:hAnsi="Calibri"/>
          <w:noProof/>
        </w:rPr>
        <w:tab/>
      </w:r>
      <w:r w:rsidRPr="00C806D0">
        <w:rPr>
          <w:rFonts w:ascii="Calibri" w:hAnsi="Calibri"/>
          <w:b/>
          <w:noProof/>
        </w:rPr>
        <w:t xml:space="preserve">Health Technology Assessment (HTA) Programme </w:t>
      </w:r>
      <w:r w:rsidRPr="00C806D0">
        <w:rPr>
          <w:rFonts w:ascii="Calibri" w:hAnsi="Calibri"/>
          <w:noProof/>
        </w:rPr>
        <w:t>[http://www.nets.nihr.ac.uk/programmes/hta]</w:t>
      </w:r>
      <w:bookmarkEnd w:id="245"/>
    </w:p>
    <w:p w:rsidR="006D4D62" w:rsidRPr="00C806D0" w:rsidRDefault="006D4D62" w:rsidP="006D4D62">
      <w:pPr>
        <w:spacing w:line="240" w:lineRule="auto"/>
        <w:ind w:left="720" w:hanging="720"/>
        <w:rPr>
          <w:rFonts w:ascii="Calibri" w:hAnsi="Calibri"/>
          <w:noProof/>
        </w:rPr>
      </w:pPr>
      <w:bookmarkStart w:id="246" w:name="_ENREF_9_2"/>
      <w:r w:rsidRPr="00C806D0">
        <w:rPr>
          <w:rFonts w:ascii="Calibri" w:hAnsi="Calibri"/>
          <w:noProof/>
        </w:rPr>
        <w:t>2.</w:t>
      </w:r>
      <w:r w:rsidRPr="00C806D0">
        <w:rPr>
          <w:rFonts w:ascii="Calibri" w:hAnsi="Calibri"/>
          <w:noProof/>
        </w:rPr>
        <w:tab/>
        <w:t xml:space="preserve">Kaltenthaler E, Tappenden P, Paisley S: </w:t>
      </w:r>
      <w:r w:rsidRPr="00C806D0">
        <w:rPr>
          <w:rFonts w:ascii="Calibri" w:hAnsi="Calibri"/>
          <w:b/>
          <w:noProof/>
        </w:rPr>
        <w:t>Reviewing the Evidence to Inform the Population of Cost-Effectiveness Models within Health Technology Assessments</w:t>
      </w:r>
      <w:r w:rsidRPr="00C806D0">
        <w:rPr>
          <w:rFonts w:ascii="Calibri" w:hAnsi="Calibri"/>
          <w:noProof/>
        </w:rPr>
        <w:t xml:space="preserve">. </w:t>
      </w:r>
      <w:r w:rsidRPr="00C806D0">
        <w:rPr>
          <w:rFonts w:ascii="Calibri" w:hAnsi="Calibri"/>
          <w:i/>
          <w:noProof/>
        </w:rPr>
        <w:t xml:space="preserve">Value in Health </w:t>
      </w:r>
      <w:r w:rsidRPr="00C806D0">
        <w:rPr>
          <w:rFonts w:ascii="Calibri" w:hAnsi="Calibri"/>
          <w:noProof/>
        </w:rPr>
        <w:t xml:space="preserve">2013, </w:t>
      </w:r>
      <w:r w:rsidRPr="00C806D0">
        <w:rPr>
          <w:rFonts w:ascii="Calibri" w:hAnsi="Calibri"/>
          <w:b/>
          <w:noProof/>
        </w:rPr>
        <w:t>16</w:t>
      </w:r>
      <w:r w:rsidRPr="00C806D0">
        <w:rPr>
          <w:rFonts w:ascii="Calibri" w:hAnsi="Calibri"/>
          <w:noProof/>
        </w:rPr>
        <w:t>(5):830-836.</w:t>
      </w:r>
      <w:bookmarkEnd w:id="246"/>
    </w:p>
    <w:p w:rsidR="006D4D62" w:rsidRPr="00C806D0" w:rsidRDefault="006D4D62" w:rsidP="006D4D62">
      <w:pPr>
        <w:spacing w:line="240" w:lineRule="auto"/>
        <w:ind w:left="720" w:hanging="720"/>
        <w:rPr>
          <w:rFonts w:ascii="Calibri" w:hAnsi="Calibri"/>
          <w:noProof/>
        </w:rPr>
      </w:pPr>
      <w:bookmarkStart w:id="247" w:name="_ENREF_9_3"/>
      <w:r w:rsidRPr="00C806D0">
        <w:rPr>
          <w:rFonts w:ascii="Calibri" w:hAnsi="Calibri"/>
          <w:noProof/>
        </w:rPr>
        <w:t>3.</w:t>
      </w:r>
      <w:r w:rsidRPr="00C806D0">
        <w:rPr>
          <w:rFonts w:ascii="Calibri" w:hAnsi="Calibri"/>
          <w:noProof/>
        </w:rPr>
        <w:tab/>
        <w:t xml:space="preserve">Kaltenthaler E, Tappenden, P., Paisley, S., Squires, H.: </w:t>
      </w:r>
      <w:r w:rsidRPr="00C806D0">
        <w:rPr>
          <w:rFonts w:ascii="Calibri" w:hAnsi="Calibri"/>
          <w:b/>
          <w:noProof/>
        </w:rPr>
        <w:t xml:space="preserve">Identifying and reviewing evidence to inform the conceptualisation and population of cost-effectiveness models. </w:t>
      </w:r>
      <w:r w:rsidRPr="00C806D0">
        <w:rPr>
          <w:rFonts w:ascii="Calibri" w:hAnsi="Calibri"/>
          <w:noProof/>
        </w:rPr>
        <w:t xml:space="preserve">. In: </w:t>
      </w:r>
      <w:r w:rsidRPr="00C806D0">
        <w:rPr>
          <w:rFonts w:ascii="Calibri" w:hAnsi="Calibri"/>
          <w:i/>
          <w:noProof/>
        </w:rPr>
        <w:t>DSU Technical Support Documents.</w:t>
      </w:r>
      <w:r w:rsidRPr="00C806D0">
        <w:rPr>
          <w:rFonts w:ascii="Calibri" w:hAnsi="Calibri"/>
          <w:noProof/>
        </w:rPr>
        <w:t xml:space="preserve"> London: NICE 2011.</w:t>
      </w:r>
      <w:bookmarkEnd w:id="247"/>
    </w:p>
    <w:p w:rsidR="006D4D62" w:rsidRPr="00C806D0" w:rsidRDefault="006D4D62" w:rsidP="006D4D62">
      <w:pPr>
        <w:spacing w:line="240" w:lineRule="auto"/>
        <w:ind w:left="720" w:hanging="720"/>
        <w:rPr>
          <w:rFonts w:ascii="Calibri" w:hAnsi="Calibri"/>
          <w:noProof/>
        </w:rPr>
      </w:pPr>
      <w:bookmarkStart w:id="248" w:name="_ENREF_9_4"/>
      <w:r w:rsidRPr="00C806D0">
        <w:rPr>
          <w:rFonts w:ascii="Calibri" w:hAnsi="Calibri"/>
          <w:noProof/>
        </w:rPr>
        <w:t>4.</w:t>
      </w:r>
      <w:r w:rsidRPr="00C806D0">
        <w:rPr>
          <w:rFonts w:ascii="Calibri" w:hAnsi="Calibri"/>
          <w:noProof/>
        </w:rPr>
        <w:tab/>
        <w:t xml:space="preserve">Khangura S, Konnyu K, Cushman R, Grimshaw J, Moher D: </w:t>
      </w:r>
      <w:r w:rsidRPr="00C806D0">
        <w:rPr>
          <w:rFonts w:ascii="Calibri" w:hAnsi="Calibri"/>
          <w:b/>
          <w:noProof/>
        </w:rPr>
        <w:t>Evidence summaries: the evolution of a rapid review approach</w:t>
      </w:r>
      <w:r w:rsidRPr="00C806D0">
        <w:rPr>
          <w:rFonts w:ascii="Calibri" w:hAnsi="Calibri"/>
          <w:noProof/>
        </w:rPr>
        <w:t xml:space="preserve">. </w:t>
      </w:r>
      <w:r w:rsidRPr="00C806D0">
        <w:rPr>
          <w:rFonts w:ascii="Calibri" w:hAnsi="Calibri"/>
          <w:i/>
          <w:noProof/>
        </w:rPr>
        <w:t xml:space="preserve">Systematic reviews </w:t>
      </w:r>
      <w:r w:rsidRPr="00C806D0">
        <w:rPr>
          <w:rFonts w:ascii="Calibri" w:hAnsi="Calibri"/>
          <w:noProof/>
        </w:rPr>
        <w:t xml:space="preserve">2012, </w:t>
      </w:r>
      <w:r w:rsidRPr="00C806D0">
        <w:rPr>
          <w:rFonts w:ascii="Calibri" w:hAnsi="Calibri"/>
          <w:b/>
          <w:noProof/>
        </w:rPr>
        <w:t>1</w:t>
      </w:r>
      <w:r w:rsidRPr="00C806D0">
        <w:rPr>
          <w:rFonts w:ascii="Calibri" w:hAnsi="Calibri"/>
          <w:noProof/>
        </w:rPr>
        <w:t>:10.</w:t>
      </w:r>
      <w:bookmarkEnd w:id="248"/>
    </w:p>
    <w:p w:rsidR="006D4D62" w:rsidRPr="00C806D0" w:rsidRDefault="006D4D62" w:rsidP="006D4D62">
      <w:pPr>
        <w:spacing w:line="240" w:lineRule="auto"/>
        <w:ind w:left="720" w:hanging="720"/>
        <w:rPr>
          <w:rFonts w:ascii="Calibri" w:hAnsi="Calibri"/>
          <w:noProof/>
        </w:rPr>
      </w:pPr>
      <w:bookmarkStart w:id="249" w:name="_ENREF_9_5"/>
      <w:r w:rsidRPr="00C806D0">
        <w:rPr>
          <w:rFonts w:ascii="Calibri" w:hAnsi="Calibri"/>
          <w:noProof/>
        </w:rPr>
        <w:t>5.</w:t>
      </w:r>
      <w:r w:rsidRPr="00C806D0">
        <w:rPr>
          <w:rFonts w:ascii="Calibri" w:hAnsi="Calibri"/>
          <w:noProof/>
        </w:rPr>
        <w:tab/>
        <w:t xml:space="preserve">Greenhalgh T, Peacock R: </w:t>
      </w:r>
      <w:r w:rsidRPr="00C806D0">
        <w:rPr>
          <w:rFonts w:ascii="Calibri" w:hAnsi="Calibri"/>
          <w:b/>
          <w:noProof/>
        </w:rPr>
        <w:t>Effectiveness and efficiency of search methods in systematic reviews of complex evidence: audit of primary sources</w:t>
      </w:r>
      <w:r w:rsidRPr="00C806D0">
        <w:rPr>
          <w:rFonts w:ascii="Calibri" w:hAnsi="Calibri"/>
          <w:noProof/>
        </w:rPr>
        <w:t xml:space="preserve">. </w:t>
      </w:r>
      <w:r w:rsidRPr="00C806D0">
        <w:rPr>
          <w:rFonts w:ascii="Calibri" w:hAnsi="Calibri"/>
          <w:i/>
          <w:noProof/>
        </w:rPr>
        <w:t xml:space="preserve">BMJ (Clinical research ed) </w:t>
      </w:r>
      <w:r w:rsidRPr="00C806D0">
        <w:rPr>
          <w:rFonts w:ascii="Calibri" w:hAnsi="Calibri"/>
          <w:noProof/>
        </w:rPr>
        <w:t xml:space="preserve">2005, </w:t>
      </w:r>
      <w:r w:rsidRPr="00C806D0">
        <w:rPr>
          <w:rFonts w:ascii="Calibri" w:hAnsi="Calibri"/>
          <w:b/>
          <w:noProof/>
        </w:rPr>
        <w:t>331</w:t>
      </w:r>
      <w:r w:rsidRPr="00C806D0">
        <w:rPr>
          <w:rFonts w:ascii="Calibri" w:hAnsi="Calibri"/>
          <w:noProof/>
        </w:rPr>
        <w:t>(7524):1064-1065.</w:t>
      </w:r>
      <w:bookmarkEnd w:id="249"/>
    </w:p>
    <w:p w:rsidR="006D4D62" w:rsidRPr="00C806D0" w:rsidRDefault="006D4D62" w:rsidP="006D4D62">
      <w:pPr>
        <w:spacing w:line="240" w:lineRule="auto"/>
        <w:ind w:left="720" w:hanging="720"/>
        <w:rPr>
          <w:rFonts w:ascii="Calibri" w:hAnsi="Calibri"/>
          <w:noProof/>
        </w:rPr>
      </w:pPr>
      <w:bookmarkStart w:id="250" w:name="_ENREF_9_6"/>
      <w:r w:rsidRPr="00C806D0">
        <w:rPr>
          <w:rFonts w:ascii="Calibri" w:hAnsi="Calibri"/>
          <w:noProof/>
        </w:rPr>
        <w:t>6.</w:t>
      </w:r>
      <w:r w:rsidRPr="00C806D0">
        <w:rPr>
          <w:rFonts w:ascii="Calibri" w:hAnsi="Calibri"/>
          <w:noProof/>
        </w:rPr>
        <w:tab/>
        <w:t xml:space="preserve">Concato J, Shah N, Horwitz RI: </w:t>
      </w:r>
      <w:r w:rsidRPr="00C806D0">
        <w:rPr>
          <w:rFonts w:ascii="Calibri" w:hAnsi="Calibri"/>
          <w:b/>
          <w:noProof/>
        </w:rPr>
        <w:t>Randomized, controlled trials, observational studies, and the hierarchy of research designs</w:t>
      </w:r>
      <w:r w:rsidRPr="00C806D0">
        <w:rPr>
          <w:rFonts w:ascii="Calibri" w:hAnsi="Calibri"/>
          <w:noProof/>
        </w:rPr>
        <w:t xml:space="preserve">. </w:t>
      </w:r>
      <w:r w:rsidRPr="00C806D0">
        <w:rPr>
          <w:rFonts w:ascii="Calibri" w:hAnsi="Calibri"/>
          <w:i/>
          <w:noProof/>
        </w:rPr>
        <w:t xml:space="preserve">The New England journal of medicine </w:t>
      </w:r>
      <w:r w:rsidRPr="00C806D0">
        <w:rPr>
          <w:rFonts w:ascii="Calibri" w:hAnsi="Calibri"/>
          <w:noProof/>
        </w:rPr>
        <w:t xml:space="preserve">2000, </w:t>
      </w:r>
      <w:r w:rsidRPr="00C806D0">
        <w:rPr>
          <w:rFonts w:ascii="Calibri" w:hAnsi="Calibri"/>
          <w:b/>
          <w:noProof/>
        </w:rPr>
        <w:t>342</w:t>
      </w:r>
      <w:r w:rsidRPr="00C806D0">
        <w:rPr>
          <w:rFonts w:ascii="Calibri" w:hAnsi="Calibri"/>
          <w:noProof/>
        </w:rPr>
        <w:t>(25):1887-1892.</w:t>
      </w:r>
      <w:bookmarkEnd w:id="250"/>
    </w:p>
    <w:p w:rsidR="006D4D62" w:rsidRPr="00C806D0" w:rsidRDefault="006D4D62" w:rsidP="006D4D62">
      <w:pPr>
        <w:spacing w:line="240" w:lineRule="auto"/>
        <w:ind w:left="720" w:hanging="720"/>
        <w:rPr>
          <w:rFonts w:ascii="Calibri" w:hAnsi="Calibri"/>
          <w:noProof/>
        </w:rPr>
      </w:pPr>
      <w:bookmarkStart w:id="251" w:name="_ENREF_9_7"/>
      <w:r w:rsidRPr="00C806D0">
        <w:rPr>
          <w:rFonts w:ascii="Calibri" w:hAnsi="Calibri"/>
          <w:noProof/>
        </w:rPr>
        <w:t>7.</w:t>
      </w:r>
      <w:r w:rsidRPr="00C806D0">
        <w:rPr>
          <w:rFonts w:ascii="Calibri" w:hAnsi="Calibri"/>
          <w:noProof/>
        </w:rPr>
        <w:tab/>
        <w:t xml:space="preserve">Katrak P, Bialocerkowski AE, Massy-Westropp N, Kumar S, Grimmer KA: </w:t>
      </w:r>
      <w:r w:rsidRPr="00C806D0">
        <w:rPr>
          <w:rFonts w:ascii="Calibri" w:hAnsi="Calibri"/>
          <w:b/>
          <w:noProof/>
        </w:rPr>
        <w:t>A systematic review of the content of critical appraisal tools</w:t>
      </w:r>
      <w:r w:rsidRPr="00C806D0">
        <w:rPr>
          <w:rFonts w:ascii="Calibri" w:hAnsi="Calibri"/>
          <w:noProof/>
        </w:rPr>
        <w:t xml:space="preserve">. </w:t>
      </w:r>
      <w:r w:rsidRPr="00C806D0">
        <w:rPr>
          <w:rFonts w:ascii="Calibri" w:hAnsi="Calibri"/>
          <w:i/>
          <w:noProof/>
        </w:rPr>
        <w:t xml:space="preserve">BMC medical research methodology </w:t>
      </w:r>
      <w:r w:rsidRPr="00C806D0">
        <w:rPr>
          <w:rFonts w:ascii="Calibri" w:hAnsi="Calibri"/>
          <w:noProof/>
        </w:rPr>
        <w:t xml:space="preserve">2004, </w:t>
      </w:r>
      <w:r w:rsidRPr="00C806D0">
        <w:rPr>
          <w:rFonts w:ascii="Calibri" w:hAnsi="Calibri"/>
          <w:b/>
          <w:noProof/>
        </w:rPr>
        <w:t>4</w:t>
      </w:r>
      <w:r w:rsidRPr="00C806D0">
        <w:rPr>
          <w:rFonts w:ascii="Calibri" w:hAnsi="Calibri"/>
          <w:noProof/>
        </w:rPr>
        <w:t>:22.</w:t>
      </w:r>
      <w:bookmarkEnd w:id="251"/>
    </w:p>
    <w:p w:rsidR="006D4D62" w:rsidRPr="00C806D0" w:rsidRDefault="006D4D62" w:rsidP="006D4D62">
      <w:pPr>
        <w:spacing w:line="240" w:lineRule="auto"/>
        <w:ind w:left="720" w:hanging="720"/>
        <w:rPr>
          <w:rFonts w:ascii="Calibri" w:hAnsi="Calibri"/>
          <w:noProof/>
        </w:rPr>
      </w:pPr>
      <w:bookmarkStart w:id="252" w:name="_ENREF_9_8"/>
      <w:r w:rsidRPr="00C806D0">
        <w:rPr>
          <w:rFonts w:ascii="Calibri" w:hAnsi="Calibri"/>
          <w:noProof/>
        </w:rPr>
        <w:t>8.</w:t>
      </w:r>
      <w:r w:rsidRPr="00C806D0">
        <w:rPr>
          <w:rFonts w:ascii="Calibri" w:hAnsi="Calibri"/>
          <w:noProof/>
        </w:rPr>
        <w:tab/>
        <w:t>Higgins JPT, Altman DG, Gotzsche PC, Jueni P, Moher D, Oxman AD, Savovic J, Schulz KF, Weeks L, Sterne JAC</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The Cochrane Collaboration's tool for assessing risk of bias in randomised trials</w:t>
      </w:r>
      <w:r w:rsidRPr="00C806D0">
        <w:rPr>
          <w:rFonts w:ascii="Calibri" w:hAnsi="Calibri"/>
          <w:noProof/>
        </w:rPr>
        <w:t xml:space="preserve">. </w:t>
      </w:r>
      <w:r w:rsidRPr="00C806D0">
        <w:rPr>
          <w:rFonts w:ascii="Calibri" w:hAnsi="Calibri"/>
          <w:i/>
          <w:noProof/>
        </w:rPr>
        <w:t xml:space="preserve">Br Med J </w:t>
      </w:r>
      <w:r w:rsidRPr="00C806D0">
        <w:rPr>
          <w:rFonts w:ascii="Calibri" w:hAnsi="Calibri"/>
          <w:noProof/>
        </w:rPr>
        <w:t xml:space="preserve">2011, </w:t>
      </w:r>
      <w:r w:rsidRPr="00C806D0">
        <w:rPr>
          <w:rFonts w:ascii="Calibri" w:hAnsi="Calibri"/>
          <w:b/>
          <w:noProof/>
        </w:rPr>
        <w:t>343</w:t>
      </w:r>
      <w:r w:rsidRPr="00C806D0">
        <w:rPr>
          <w:rFonts w:ascii="Calibri" w:hAnsi="Calibri"/>
          <w:noProof/>
        </w:rPr>
        <w:t>.</w:t>
      </w:r>
      <w:bookmarkEnd w:id="252"/>
    </w:p>
    <w:p w:rsidR="006D4D62" w:rsidRPr="00C806D0" w:rsidRDefault="006D4D62" w:rsidP="006D4D62">
      <w:pPr>
        <w:spacing w:line="240" w:lineRule="auto"/>
        <w:ind w:left="720" w:hanging="720"/>
        <w:rPr>
          <w:rFonts w:ascii="Calibri" w:hAnsi="Calibri"/>
          <w:noProof/>
        </w:rPr>
      </w:pPr>
      <w:bookmarkStart w:id="253" w:name="_ENREF_9_9"/>
      <w:r w:rsidRPr="00C806D0">
        <w:rPr>
          <w:rFonts w:ascii="Calibri" w:hAnsi="Calibri"/>
          <w:noProof/>
        </w:rPr>
        <w:t>9.</w:t>
      </w:r>
      <w:r w:rsidRPr="00C806D0">
        <w:rPr>
          <w:rFonts w:ascii="Calibri" w:hAnsi="Calibri"/>
          <w:noProof/>
        </w:rPr>
        <w:tab/>
        <w:t xml:space="preserve">Elwood JM: </w:t>
      </w:r>
      <w:r w:rsidRPr="00C806D0">
        <w:rPr>
          <w:rFonts w:ascii="Calibri" w:hAnsi="Calibri"/>
          <w:b/>
          <w:noProof/>
        </w:rPr>
        <w:t>Critical appraisal of epidemiological studies and clinical trials</w:t>
      </w:r>
      <w:r w:rsidRPr="00C806D0">
        <w:rPr>
          <w:rFonts w:ascii="Calibri" w:hAnsi="Calibri"/>
          <w:noProof/>
        </w:rPr>
        <w:t>, 3rd ed. edn. Oxford: Oxford University Press; 2007.</w:t>
      </w:r>
      <w:bookmarkEnd w:id="253"/>
    </w:p>
    <w:p w:rsidR="006D4D62" w:rsidRPr="00C806D0" w:rsidRDefault="006D4D62" w:rsidP="006D4D62">
      <w:pPr>
        <w:spacing w:line="240" w:lineRule="auto"/>
        <w:ind w:left="720" w:hanging="720"/>
        <w:rPr>
          <w:rFonts w:ascii="Calibri" w:hAnsi="Calibri"/>
          <w:noProof/>
        </w:rPr>
      </w:pPr>
      <w:bookmarkStart w:id="254" w:name="_ENREF_9_10"/>
      <w:r w:rsidRPr="00C806D0">
        <w:rPr>
          <w:rFonts w:ascii="Calibri" w:hAnsi="Calibri"/>
          <w:noProof/>
        </w:rPr>
        <w:t>10.</w:t>
      </w:r>
      <w:r w:rsidRPr="00C806D0">
        <w:rPr>
          <w:rFonts w:ascii="Calibri" w:hAnsi="Calibri"/>
          <w:noProof/>
        </w:rPr>
        <w:tab/>
        <w:t xml:space="preserve">Szklo M, Nieto FJ: </w:t>
      </w:r>
      <w:r w:rsidRPr="00C806D0">
        <w:rPr>
          <w:rFonts w:ascii="Calibri" w:hAnsi="Calibri"/>
          <w:b/>
          <w:noProof/>
        </w:rPr>
        <w:t>Epidemiology : beyond the basics</w:t>
      </w:r>
      <w:r w:rsidRPr="00C806D0">
        <w:rPr>
          <w:rFonts w:ascii="Calibri" w:hAnsi="Calibri"/>
          <w:noProof/>
        </w:rPr>
        <w:t>, 2nd ed. edn. Sudbury, Mass.: Jones and Bartlett Publishers; 2007.</w:t>
      </w:r>
      <w:bookmarkEnd w:id="254"/>
    </w:p>
    <w:p w:rsidR="006D4D62" w:rsidRPr="00C806D0" w:rsidRDefault="006D4D62" w:rsidP="006D4D62">
      <w:pPr>
        <w:spacing w:line="240" w:lineRule="auto"/>
        <w:ind w:left="720" w:hanging="720"/>
        <w:rPr>
          <w:rFonts w:ascii="Calibri" w:hAnsi="Calibri"/>
          <w:noProof/>
        </w:rPr>
      </w:pPr>
      <w:bookmarkStart w:id="255" w:name="_ENREF_9_11"/>
      <w:r w:rsidRPr="00C806D0">
        <w:rPr>
          <w:rFonts w:ascii="Calibri" w:hAnsi="Calibri"/>
          <w:noProof/>
        </w:rPr>
        <w:t>11.</w:t>
      </w:r>
      <w:r w:rsidRPr="00C806D0">
        <w:rPr>
          <w:rFonts w:ascii="Calibri" w:hAnsi="Calibri"/>
          <w:noProof/>
        </w:rPr>
        <w:tab/>
        <w:t xml:space="preserve">Rothman KJ, Greenland S, Lash TL: </w:t>
      </w:r>
      <w:r w:rsidRPr="00C806D0">
        <w:rPr>
          <w:rFonts w:ascii="Calibri" w:hAnsi="Calibri"/>
          <w:b/>
          <w:noProof/>
        </w:rPr>
        <w:t>Modern epidemiology</w:t>
      </w:r>
      <w:r w:rsidRPr="00C806D0">
        <w:rPr>
          <w:rFonts w:ascii="Calibri" w:hAnsi="Calibri"/>
          <w:noProof/>
        </w:rPr>
        <w:t>, 3rd ed. edn. Philadelphia, Pa. ; London: Lippincott Williams &amp; Wilkins; 2008.</w:t>
      </w:r>
      <w:bookmarkEnd w:id="255"/>
    </w:p>
    <w:p w:rsidR="006D4D62" w:rsidRPr="00C806D0" w:rsidRDefault="006D4D62" w:rsidP="006D4D62">
      <w:pPr>
        <w:spacing w:line="240" w:lineRule="auto"/>
        <w:ind w:left="720" w:hanging="720"/>
        <w:rPr>
          <w:rFonts w:ascii="Calibri" w:hAnsi="Calibri"/>
          <w:noProof/>
        </w:rPr>
      </w:pPr>
      <w:bookmarkStart w:id="256" w:name="_ENREF_9_12"/>
      <w:r w:rsidRPr="00C806D0">
        <w:rPr>
          <w:rFonts w:ascii="Calibri" w:hAnsi="Calibri"/>
          <w:noProof/>
        </w:rPr>
        <w:t>12.</w:t>
      </w:r>
      <w:r w:rsidRPr="00C806D0">
        <w:rPr>
          <w:rFonts w:ascii="Calibri" w:hAnsi="Calibri"/>
          <w:noProof/>
        </w:rPr>
        <w:tab/>
        <w:t xml:space="preserve">Higgins J, Green SP: </w:t>
      </w:r>
      <w:r w:rsidRPr="00C806D0">
        <w:rPr>
          <w:rFonts w:ascii="Calibri" w:hAnsi="Calibri"/>
          <w:b/>
          <w:noProof/>
        </w:rPr>
        <w:t>Cochrane handbook for systematic reviews of interventions</w:t>
      </w:r>
      <w:r w:rsidRPr="00C806D0">
        <w:rPr>
          <w:rFonts w:ascii="Calibri" w:hAnsi="Calibri"/>
          <w:noProof/>
        </w:rPr>
        <w:t>. Oxford: Wiley-Blackwell; 2008.</w:t>
      </w:r>
      <w:bookmarkEnd w:id="256"/>
    </w:p>
    <w:p w:rsidR="006D4D62" w:rsidRPr="00C806D0" w:rsidRDefault="006D4D62" w:rsidP="006D4D62">
      <w:pPr>
        <w:spacing w:line="240" w:lineRule="auto"/>
        <w:ind w:left="720" w:hanging="720"/>
        <w:rPr>
          <w:rFonts w:ascii="Calibri" w:hAnsi="Calibri"/>
          <w:noProof/>
        </w:rPr>
      </w:pPr>
      <w:bookmarkStart w:id="257" w:name="_ENREF_9_13"/>
      <w:r w:rsidRPr="00C806D0">
        <w:rPr>
          <w:rFonts w:ascii="Calibri" w:hAnsi="Calibri"/>
          <w:noProof/>
        </w:rPr>
        <w:t>13.</w:t>
      </w:r>
      <w:r w:rsidRPr="00C806D0">
        <w:rPr>
          <w:rFonts w:ascii="Calibri" w:hAnsi="Calibri"/>
          <w:noProof/>
        </w:rPr>
        <w:tab/>
        <w:t xml:space="preserve">O'Hagan A: </w:t>
      </w:r>
      <w:r w:rsidRPr="00C806D0">
        <w:rPr>
          <w:rFonts w:ascii="Calibri" w:hAnsi="Calibri"/>
          <w:b/>
          <w:noProof/>
        </w:rPr>
        <w:t>Uncertain judgements : eliciting experts' probabilities</w:t>
      </w:r>
      <w:r w:rsidRPr="00C806D0">
        <w:rPr>
          <w:rFonts w:ascii="Calibri" w:hAnsi="Calibri"/>
          <w:noProof/>
        </w:rPr>
        <w:t>. Chichester: Wiley; 2006.</w:t>
      </w:r>
      <w:bookmarkEnd w:id="257"/>
    </w:p>
    <w:p w:rsidR="006D4D62" w:rsidRPr="00C806D0" w:rsidRDefault="006D4D62" w:rsidP="006D4D62">
      <w:pPr>
        <w:spacing w:line="240" w:lineRule="auto"/>
        <w:ind w:left="720" w:hanging="720"/>
        <w:rPr>
          <w:rFonts w:ascii="Calibri" w:hAnsi="Calibri"/>
          <w:noProof/>
        </w:rPr>
      </w:pPr>
      <w:bookmarkStart w:id="258" w:name="_ENREF_9_14"/>
      <w:r w:rsidRPr="00C806D0">
        <w:rPr>
          <w:rFonts w:ascii="Calibri" w:hAnsi="Calibri"/>
          <w:noProof/>
        </w:rPr>
        <w:t>14.</w:t>
      </w:r>
      <w:r w:rsidRPr="00C806D0">
        <w:rPr>
          <w:rFonts w:ascii="Calibri" w:hAnsi="Calibri"/>
          <w:noProof/>
        </w:rPr>
        <w:tab/>
      </w:r>
      <w:r w:rsidRPr="00C806D0">
        <w:rPr>
          <w:rFonts w:ascii="Calibri" w:hAnsi="Calibri"/>
          <w:b/>
          <w:noProof/>
        </w:rPr>
        <w:t xml:space="preserve">SHELF: the Sheffield Elicitation Framework </w:t>
      </w:r>
      <w:r w:rsidRPr="00C806D0">
        <w:rPr>
          <w:rFonts w:ascii="Calibri" w:hAnsi="Calibri"/>
          <w:noProof/>
        </w:rPr>
        <w:t>[http://www.tonyohagan.co.uk/shelf/]</w:t>
      </w:r>
      <w:bookmarkEnd w:id="258"/>
    </w:p>
    <w:p w:rsidR="006D4D62" w:rsidRPr="00C806D0" w:rsidRDefault="006D4D62" w:rsidP="006D4D62">
      <w:pPr>
        <w:spacing w:line="240" w:lineRule="auto"/>
        <w:ind w:left="720" w:hanging="720"/>
        <w:rPr>
          <w:rFonts w:ascii="Calibri" w:hAnsi="Calibri"/>
          <w:noProof/>
        </w:rPr>
      </w:pPr>
      <w:bookmarkStart w:id="259" w:name="_ENREF_9_15"/>
      <w:r w:rsidRPr="00C806D0">
        <w:rPr>
          <w:rFonts w:ascii="Calibri" w:hAnsi="Calibri"/>
          <w:noProof/>
        </w:rPr>
        <w:t>15.</w:t>
      </w:r>
      <w:r w:rsidRPr="00C806D0">
        <w:rPr>
          <w:rFonts w:ascii="Calibri" w:hAnsi="Calibri"/>
          <w:noProof/>
        </w:rPr>
        <w:tab/>
        <w:t xml:space="preserve">Morris DE, Oakley JE, Crowe JA: </w:t>
      </w:r>
      <w:r w:rsidRPr="00C806D0">
        <w:rPr>
          <w:rFonts w:ascii="Calibri" w:hAnsi="Calibri"/>
          <w:b/>
          <w:noProof/>
        </w:rPr>
        <w:t>A web-based tool for eliciting probability distributions from experts</w:t>
      </w:r>
      <w:r w:rsidRPr="00C806D0">
        <w:rPr>
          <w:rFonts w:ascii="Calibri" w:hAnsi="Calibri"/>
          <w:noProof/>
        </w:rPr>
        <w:t xml:space="preserve">. </w:t>
      </w:r>
      <w:r w:rsidRPr="00C806D0">
        <w:rPr>
          <w:rFonts w:ascii="Calibri" w:hAnsi="Calibri"/>
          <w:i/>
          <w:noProof/>
        </w:rPr>
        <w:t xml:space="preserve">Environmental Modelling &amp; Software </w:t>
      </w:r>
      <w:r w:rsidRPr="00C806D0">
        <w:rPr>
          <w:rFonts w:ascii="Calibri" w:hAnsi="Calibri"/>
          <w:noProof/>
        </w:rPr>
        <w:t xml:space="preserve">2014, </w:t>
      </w:r>
      <w:r w:rsidRPr="00C806D0">
        <w:rPr>
          <w:rFonts w:ascii="Calibri" w:hAnsi="Calibri"/>
          <w:b/>
          <w:noProof/>
        </w:rPr>
        <w:t>52</w:t>
      </w:r>
      <w:r w:rsidRPr="00C806D0">
        <w:rPr>
          <w:rFonts w:ascii="Calibri" w:hAnsi="Calibri"/>
          <w:noProof/>
        </w:rPr>
        <w:t>(0):1-4.</w:t>
      </w:r>
      <w:bookmarkEnd w:id="259"/>
    </w:p>
    <w:p w:rsidR="006D4D62" w:rsidRPr="00C806D0" w:rsidRDefault="006D4D62" w:rsidP="006D4D62">
      <w:pPr>
        <w:spacing w:line="240" w:lineRule="auto"/>
        <w:ind w:left="720" w:hanging="720"/>
        <w:rPr>
          <w:rFonts w:ascii="Calibri" w:hAnsi="Calibri"/>
          <w:noProof/>
        </w:rPr>
      </w:pPr>
      <w:bookmarkStart w:id="260" w:name="_ENREF_9_16"/>
      <w:r w:rsidRPr="00C806D0">
        <w:rPr>
          <w:rFonts w:ascii="Calibri" w:hAnsi="Calibri"/>
          <w:noProof/>
        </w:rPr>
        <w:t>16.</w:t>
      </w:r>
      <w:r w:rsidRPr="00C806D0">
        <w:rPr>
          <w:rFonts w:ascii="Calibri" w:hAnsi="Calibri"/>
          <w:noProof/>
        </w:rPr>
        <w:tab/>
        <w:t xml:space="preserve">Health Do: </w:t>
      </w:r>
      <w:r w:rsidRPr="00C806D0">
        <w:rPr>
          <w:rFonts w:ascii="Calibri" w:hAnsi="Calibri"/>
          <w:b/>
          <w:noProof/>
        </w:rPr>
        <w:t>NHS Reference Costs 2011/2012</w:t>
      </w:r>
      <w:r w:rsidRPr="00C806D0">
        <w:rPr>
          <w:rFonts w:ascii="Calibri" w:hAnsi="Calibri"/>
          <w:noProof/>
        </w:rPr>
        <w:t>. In</w:t>
      </w:r>
      <w:r w:rsidRPr="00C806D0">
        <w:rPr>
          <w:rFonts w:ascii="Calibri" w:hAnsi="Calibri"/>
          <w:i/>
          <w:noProof/>
        </w:rPr>
        <w:t>.</w:t>
      </w:r>
      <w:r w:rsidRPr="00C806D0">
        <w:rPr>
          <w:rFonts w:ascii="Calibri" w:hAnsi="Calibri"/>
          <w:noProof/>
        </w:rPr>
        <w:t xml:space="preserve"> London: DoH; 2012.</w:t>
      </w:r>
      <w:bookmarkEnd w:id="260"/>
    </w:p>
    <w:p w:rsidR="006D4D62" w:rsidRPr="00C806D0" w:rsidRDefault="006D4D62" w:rsidP="006D4D62">
      <w:pPr>
        <w:spacing w:line="240" w:lineRule="auto"/>
        <w:ind w:left="720" w:hanging="720"/>
        <w:rPr>
          <w:rFonts w:ascii="Calibri" w:hAnsi="Calibri"/>
          <w:noProof/>
        </w:rPr>
      </w:pPr>
      <w:bookmarkStart w:id="261" w:name="_ENREF_9_17"/>
      <w:r w:rsidRPr="00C806D0">
        <w:rPr>
          <w:rFonts w:ascii="Calibri" w:hAnsi="Calibri"/>
          <w:noProof/>
        </w:rPr>
        <w:t>17.</w:t>
      </w:r>
      <w:r w:rsidRPr="00C806D0">
        <w:rPr>
          <w:rFonts w:ascii="Calibri" w:hAnsi="Calibri"/>
          <w:noProof/>
        </w:rPr>
        <w:tab/>
        <w:t xml:space="preserve">Health Do: </w:t>
      </w:r>
      <w:r w:rsidRPr="00C806D0">
        <w:rPr>
          <w:rFonts w:ascii="Calibri" w:hAnsi="Calibri"/>
          <w:b/>
          <w:noProof/>
        </w:rPr>
        <w:t>NHS Reference costs 2007/2008</w:t>
      </w:r>
      <w:r w:rsidRPr="00C806D0">
        <w:rPr>
          <w:rFonts w:ascii="Calibri" w:hAnsi="Calibri"/>
          <w:noProof/>
        </w:rPr>
        <w:t>. In</w:t>
      </w:r>
      <w:r w:rsidRPr="00C806D0">
        <w:rPr>
          <w:rFonts w:ascii="Calibri" w:hAnsi="Calibri"/>
          <w:i/>
          <w:noProof/>
        </w:rPr>
        <w:t>.</w:t>
      </w:r>
      <w:r w:rsidRPr="00C806D0">
        <w:rPr>
          <w:rFonts w:ascii="Calibri" w:hAnsi="Calibri"/>
          <w:noProof/>
        </w:rPr>
        <w:t xml:space="preserve"> London: DoH; 2008.</w:t>
      </w:r>
      <w:bookmarkEnd w:id="261"/>
    </w:p>
    <w:p w:rsidR="006D4D62" w:rsidRPr="00C806D0" w:rsidRDefault="006D4D62" w:rsidP="006D4D62">
      <w:pPr>
        <w:spacing w:line="240" w:lineRule="auto"/>
        <w:ind w:left="720" w:hanging="720"/>
        <w:rPr>
          <w:rFonts w:ascii="Calibri" w:hAnsi="Calibri"/>
          <w:b/>
          <w:noProof/>
        </w:rPr>
      </w:pPr>
      <w:bookmarkStart w:id="262" w:name="_ENREF_9_18"/>
      <w:r w:rsidRPr="00C806D0">
        <w:rPr>
          <w:rFonts w:ascii="Calibri" w:hAnsi="Calibri"/>
          <w:noProof/>
        </w:rPr>
        <w:t>18.</w:t>
      </w:r>
      <w:r w:rsidRPr="00C806D0">
        <w:rPr>
          <w:rFonts w:ascii="Calibri" w:hAnsi="Calibri"/>
          <w:noProof/>
        </w:rPr>
        <w:tab/>
        <w:t xml:space="preserve">Association. HFM: </w:t>
      </w:r>
      <w:r w:rsidRPr="00C806D0">
        <w:rPr>
          <w:rFonts w:ascii="Calibri" w:hAnsi="Calibri"/>
          <w:b/>
          <w:noProof/>
        </w:rPr>
        <w:t>Payment by results for Ambulance Services.</w:t>
      </w:r>
    </w:p>
    <w:p w:rsidR="006D4D62" w:rsidRPr="00C806D0" w:rsidRDefault="006D4D62" w:rsidP="006D4D62">
      <w:pPr>
        <w:spacing w:line="240" w:lineRule="auto"/>
        <w:ind w:left="720" w:hanging="720"/>
        <w:rPr>
          <w:rFonts w:ascii="Calibri" w:hAnsi="Calibri"/>
          <w:noProof/>
        </w:rPr>
      </w:pPr>
      <w:r w:rsidRPr="00C806D0">
        <w:rPr>
          <w:rFonts w:ascii="Calibri" w:hAnsi="Calibri"/>
          <w:noProof/>
        </w:rPr>
        <w:t>. In</w:t>
      </w:r>
      <w:r w:rsidRPr="00C806D0">
        <w:rPr>
          <w:rFonts w:ascii="Calibri" w:hAnsi="Calibri"/>
          <w:i/>
          <w:noProof/>
        </w:rPr>
        <w:t>.</w:t>
      </w:r>
      <w:r w:rsidRPr="00C806D0">
        <w:rPr>
          <w:rFonts w:ascii="Calibri" w:hAnsi="Calibri"/>
          <w:noProof/>
        </w:rPr>
        <w:t xml:space="preserve"> London: HFMA; 2008.</w:t>
      </w:r>
      <w:bookmarkEnd w:id="262"/>
    </w:p>
    <w:p w:rsidR="006D4D62" w:rsidRPr="00C806D0" w:rsidRDefault="006D4D62" w:rsidP="006D4D62">
      <w:pPr>
        <w:spacing w:line="240" w:lineRule="auto"/>
        <w:ind w:left="720" w:hanging="720"/>
        <w:rPr>
          <w:rFonts w:ascii="Calibri" w:hAnsi="Calibri"/>
          <w:noProof/>
        </w:rPr>
      </w:pPr>
      <w:bookmarkStart w:id="263" w:name="_ENREF_9_19"/>
      <w:r w:rsidRPr="00C806D0">
        <w:rPr>
          <w:rFonts w:ascii="Calibri" w:hAnsi="Calibri"/>
          <w:noProof/>
        </w:rPr>
        <w:t>19.</w:t>
      </w:r>
      <w:r w:rsidRPr="00C806D0">
        <w:rPr>
          <w:rFonts w:ascii="Calibri" w:hAnsi="Calibri"/>
          <w:noProof/>
        </w:rPr>
        <w:tab/>
        <w:t xml:space="preserve">Health Do: </w:t>
      </w:r>
      <w:r w:rsidRPr="00C806D0">
        <w:rPr>
          <w:rFonts w:ascii="Calibri" w:hAnsi="Calibri"/>
          <w:b/>
          <w:noProof/>
        </w:rPr>
        <w:t>NHS Payment by Results Guide 2012/2013</w:t>
      </w:r>
      <w:r w:rsidRPr="00C806D0">
        <w:rPr>
          <w:rFonts w:ascii="Calibri" w:hAnsi="Calibri"/>
          <w:noProof/>
        </w:rPr>
        <w:t>. In</w:t>
      </w:r>
      <w:r w:rsidRPr="00C806D0">
        <w:rPr>
          <w:rFonts w:ascii="Calibri" w:hAnsi="Calibri"/>
          <w:i/>
          <w:noProof/>
        </w:rPr>
        <w:t>.</w:t>
      </w:r>
      <w:r w:rsidRPr="00C806D0">
        <w:rPr>
          <w:rFonts w:ascii="Calibri" w:hAnsi="Calibri"/>
          <w:noProof/>
        </w:rPr>
        <w:t xml:space="preserve"> London: DoH; 2013.</w:t>
      </w:r>
      <w:bookmarkEnd w:id="263"/>
    </w:p>
    <w:p w:rsidR="006D4D62" w:rsidRPr="00C806D0" w:rsidRDefault="006D4D62" w:rsidP="006D4D62">
      <w:pPr>
        <w:spacing w:line="240" w:lineRule="auto"/>
        <w:ind w:left="720" w:hanging="720"/>
        <w:rPr>
          <w:rFonts w:ascii="Calibri" w:hAnsi="Calibri"/>
          <w:noProof/>
        </w:rPr>
      </w:pPr>
      <w:bookmarkStart w:id="264" w:name="_ENREF_9_20"/>
      <w:r w:rsidRPr="00C806D0">
        <w:rPr>
          <w:rFonts w:ascii="Calibri" w:hAnsi="Calibri"/>
          <w:noProof/>
        </w:rPr>
        <w:t>20.</w:t>
      </w:r>
      <w:r w:rsidRPr="00C806D0">
        <w:rPr>
          <w:rFonts w:ascii="Calibri" w:hAnsi="Calibri"/>
          <w:noProof/>
        </w:rPr>
        <w:tab/>
      </w:r>
      <w:r w:rsidRPr="00C806D0">
        <w:rPr>
          <w:rFonts w:ascii="Calibri" w:hAnsi="Calibri"/>
          <w:b/>
          <w:noProof/>
        </w:rPr>
        <w:t xml:space="preserve">Consumer Price Indices </w:t>
      </w:r>
      <w:r w:rsidRPr="00C806D0">
        <w:rPr>
          <w:rFonts w:ascii="Calibri" w:hAnsi="Calibri"/>
          <w:noProof/>
        </w:rPr>
        <w:t>[http://www.ons.gov.uk/ons/rel/cpi/consumer-price-indices/index.html]</w:t>
      </w:r>
      <w:bookmarkEnd w:id="264"/>
    </w:p>
    <w:p w:rsidR="006D4D62" w:rsidRPr="00C806D0" w:rsidRDefault="006D4D62" w:rsidP="006D4D62">
      <w:pPr>
        <w:spacing w:line="240" w:lineRule="auto"/>
        <w:ind w:left="720" w:hanging="720"/>
        <w:rPr>
          <w:rFonts w:ascii="Calibri" w:hAnsi="Calibri"/>
          <w:noProof/>
        </w:rPr>
      </w:pPr>
      <w:bookmarkStart w:id="265" w:name="_ENREF_9_21"/>
      <w:r w:rsidRPr="00C806D0">
        <w:rPr>
          <w:rFonts w:ascii="Calibri" w:hAnsi="Calibri"/>
          <w:noProof/>
        </w:rPr>
        <w:t>21.</w:t>
      </w:r>
      <w:r w:rsidRPr="00C806D0">
        <w:rPr>
          <w:rFonts w:ascii="Calibri" w:hAnsi="Calibri"/>
          <w:noProof/>
        </w:rPr>
        <w:tab/>
        <w:t xml:space="preserve">Barber JA, Thompson SG: </w:t>
      </w:r>
      <w:r w:rsidRPr="00C806D0">
        <w:rPr>
          <w:rFonts w:ascii="Calibri" w:hAnsi="Calibri"/>
          <w:b/>
          <w:noProof/>
        </w:rPr>
        <w:t>Analysis of cost data in randomized trials: an application of the non-parametric bootstrap</w:t>
      </w:r>
      <w:r w:rsidRPr="00C806D0">
        <w:rPr>
          <w:rFonts w:ascii="Calibri" w:hAnsi="Calibri"/>
          <w:noProof/>
        </w:rPr>
        <w:t xml:space="preserve">. </w:t>
      </w:r>
      <w:r w:rsidRPr="00C806D0">
        <w:rPr>
          <w:rFonts w:ascii="Calibri" w:hAnsi="Calibri"/>
          <w:i/>
          <w:noProof/>
        </w:rPr>
        <w:t xml:space="preserve">Statistics in medicine </w:t>
      </w:r>
      <w:r w:rsidRPr="00C806D0">
        <w:rPr>
          <w:rFonts w:ascii="Calibri" w:hAnsi="Calibri"/>
          <w:noProof/>
        </w:rPr>
        <w:t xml:space="preserve">2000, </w:t>
      </w:r>
      <w:r w:rsidRPr="00C806D0">
        <w:rPr>
          <w:rFonts w:ascii="Calibri" w:hAnsi="Calibri"/>
          <w:b/>
          <w:noProof/>
        </w:rPr>
        <w:t>19</w:t>
      </w:r>
      <w:r w:rsidRPr="00C806D0">
        <w:rPr>
          <w:rFonts w:ascii="Calibri" w:hAnsi="Calibri"/>
          <w:noProof/>
        </w:rPr>
        <w:t>(23):3219-3236.</w:t>
      </w:r>
      <w:bookmarkEnd w:id="265"/>
    </w:p>
    <w:p w:rsidR="006D4D62" w:rsidRPr="00C806D0" w:rsidRDefault="006D4D62" w:rsidP="006D4D62">
      <w:pPr>
        <w:spacing w:line="240" w:lineRule="auto"/>
        <w:ind w:left="720" w:hanging="720"/>
        <w:rPr>
          <w:rFonts w:ascii="Calibri" w:hAnsi="Calibri"/>
          <w:noProof/>
        </w:rPr>
      </w:pPr>
      <w:bookmarkStart w:id="266" w:name="_ENREF_9_22"/>
      <w:r w:rsidRPr="00C806D0">
        <w:rPr>
          <w:rFonts w:ascii="Calibri" w:hAnsi="Calibri"/>
          <w:noProof/>
        </w:rPr>
        <w:t>22.</w:t>
      </w:r>
      <w:r w:rsidRPr="00C806D0">
        <w:rPr>
          <w:rFonts w:ascii="Calibri" w:hAnsi="Calibri"/>
          <w:noProof/>
        </w:rPr>
        <w:tab/>
        <w:t xml:space="preserve">O'Connell AA, McCoach DB: </w:t>
      </w:r>
      <w:r w:rsidRPr="00C806D0">
        <w:rPr>
          <w:rFonts w:ascii="Calibri" w:hAnsi="Calibri"/>
          <w:b/>
          <w:noProof/>
        </w:rPr>
        <w:t>Applications of hierarchical linear models for evaluations of health interventions: demystifying the methods and interpretations of multilevel models</w:t>
      </w:r>
      <w:r w:rsidRPr="00C806D0">
        <w:rPr>
          <w:rFonts w:ascii="Calibri" w:hAnsi="Calibri"/>
          <w:noProof/>
        </w:rPr>
        <w:t xml:space="preserve">. </w:t>
      </w:r>
      <w:r w:rsidRPr="00C806D0">
        <w:rPr>
          <w:rFonts w:ascii="Calibri" w:hAnsi="Calibri"/>
          <w:i/>
          <w:noProof/>
        </w:rPr>
        <w:t xml:space="preserve">Evaluation &amp; the health professions </w:t>
      </w:r>
      <w:r w:rsidRPr="00C806D0">
        <w:rPr>
          <w:rFonts w:ascii="Calibri" w:hAnsi="Calibri"/>
          <w:noProof/>
        </w:rPr>
        <w:t xml:space="preserve">2004, </w:t>
      </w:r>
      <w:r w:rsidRPr="00C806D0">
        <w:rPr>
          <w:rFonts w:ascii="Calibri" w:hAnsi="Calibri"/>
          <w:b/>
          <w:noProof/>
        </w:rPr>
        <w:t>27</w:t>
      </w:r>
      <w:r w:rsidRPr="00C806D0">
        <w:rPr>
          <w:rFonts w:ascii="Calibri" w:hAnsi="Calibri"/>
          <w:noProof/>
        </w:rPr>
        <w:t>(2):119-151.</w:t>
      </w:r>
      <w:bookmarkEnd w:id="266"/>
    </w:p>
    <w:p w:rsidR="006D4D62" w:rsidRPr="00C806D0" w:rsidRDefault="006D4D62" w:rsidP="006D4D62">
      <w:pPr>
        <w:spacing w:line="240" w:lineRule="auto"/>
        <w:ind w:left="720" w:hanging="720"/>
        <w:rPr>
          <w:rFonts w:ascii="Calibri" w:hAnsi="Calibri"/>
          <w:noProof/>
        </w:rPr>
      </w:pPr>
      <w:bookmarkStart w:id="267" w:name="_ENREF_9_23"/>
      <w:r w:rsidRPr="00C806D0">
        <w:rPr>
          <w:rFonts w:ascii="Calibri" w:hAnsi="Calibri"/>
          <w:noProof/>
        </w:rPr>
        <w:t>23.</w:t>
      </w:r>
      <w:r w:rsidRPr="00C806D0">
        <w:rPr>
          <w:rFonts w:ascii="Calibri" w:hAnsi="Calibri"/>
          <w:noProof/>
        </w:rPr>
        <w:tab/>
        <w:t xml:space="preserve">Glick H: </w:t>
      </w:r>
      <w:r w:rsidRPr="00C806D0">
        <w:rPr>
          <w:rFonts w:ascii="Calibri" w:hAnsi="Calibri"/>
          <w:b/>
          <w:noProof/>
        </w:rPr>
        <w:t>Economic evaluation in clinical trials</w:t>
      </w:r>
      <w:r w:rsidRPr="00C806D0">
        <w:rPr>
          <w:rFonts w:ascii="Calibri" w:hAnsi="Calibri"/>
          <w:noProof/>
        </w:rPr>
        <w:t>. Oxford: Oxford University Press; 2007.</w:t>
      </w:r>
      <w:bookmarkEnd w:id="267"/>
    </w:p>
    <w:p w:rsidR="006D4D62" w:rsidRPr="00C806D0" w:rsidRDefault="006D4D62" w:rsidP="006D4D62">
      <w:pPr>
        <w:spacing w:line="240" w:lineRule="auto"/>
        <w:ind w:left="720" w:hanging="720"/>
        <w:rPr>
          <w:rFonts w:ascii="Calibri" w:hAnsi="Calibri"/>
          <w:noProof/>
        </w:rPr>
      </w:pPr>
      <w:bookmarkStart w:id="268" w:name="_ENREF_9_24"/>
      <w:r w:rsidRPr="00C806D0">
        <w:rPr>
          <w:rFonts w:ascii="Calibri" w:hAnsi="Calibri"/>
          <w:noProof/>
        </w:rPr>
        <w:t>24.</w:t>
      </w:r>
      <w:r w:rsidRPr="00C806D0">
        <w:rPr>
          <w:rFonts w:ascii="Calibri" w:hAnsi="Calibri"/>
          <w:noProof/>
        </w:rPr>
        <w:tab/>
        <w:t xml:space="preserve">Manning WG, Mullahy J: </w:t>
      </w:r>
      <w:r w:rsidRPr="00C806D0">
        <w:rPr>
          <w:rFonts w:ascii="Calibri" w:hAnsi="Calibri"/>
          <w:b/>
          <w:noProof/>
        </w:rPr>
        <w:t>Estimating log models: to transform or not to transform?</w:t>
      </w:r>
      <w:r w:rsidRPr="00C806D0">
        <w:rPr>
          <w:rFonts w:ascii="Calibri" w:hAnsi="Calibri"/>
          <w:noProof/>
        </w:rPr>
        <w:t xml:space="preserve"> </w:t>
      </w:r>
      <w:r w:rsidRPr="00C806D0">
        <w:rPr>
          <w:rFonts w:ascii="Calibri" w:hAnsi="Calibri"/>
          <w:i/>
          <w:noProof/>
        </w:rPr>
        <w:t xml:space="preserve">Journal of health economics </w:t>
      </w:r>
      <w:r w:rsidRPr="00C806D0">
        <w:rPr>
          <w:rFonts w:ascii="Calibri" w:hAnsi="Calibri"/>
          <w:noProof/>
        </w:rPr>
        <w:t xml:space="preserve">2001, </w:t>
      </w:r>
      <w:r w:rsidRPr="00C806D0">
        <w:rPr>
          <w:rFonts w:ascii="Calibri" w:hAnsi="Calibri"/>
          <w:b/>
          <w:noProof/>
        </w:rPr>
        <w:t>20</w:t>
      </w:r>
      <w:r w:rsidRPr="00C806D0">
        <w:rPr>
          <w:rFonts w:ascii="Calibri" w:hAnsi="Calibri"/>
          <w:noProof/>
        </w:rPr>
        <w:t>(4):461-494.</w:t>
      </w:r>
      <w:bookmarkEnd w:id="268"/>
    </w:p>
    <w:p w:rsidR="006D4D62" w:rsidRPr="00C806D0" w:rsidRDefault="006D4D62" w:rsidP="006D4D62">
      <w:pPr>
        <w:spacing w:line="240" w:lineRule="auto"/>
        <w:ind w:left="720" w:hanging="720"/>
        <w:rPr>
          <w:rFonts w:ascii="Calibri" w:hAnsi="Calibri"/>
          <w:noProof/>
        </w:rPr>
      </w:pPr>
      <w:bookmarkStart w:id="269" w:name="_ENREF_9_25"/>
      <w:r w:rsidRPr="00C806D0">
        <w:rPr>
          <w:rFonts w:ascii="Calibri" w:hAnsi="Calibri"/>
          <w:noProof/>
        </w:rPr>
        <w:t>25.</w:t>
      </w:r>
      <w:r w:rsidRPr="00C806D0">
        <w:rPr>
          <w:rFonts w:ascii="Calibri" w:hAnsi="Calibri"/>
          <w:noProof/>
        </w:rPr>
        <w:tab/>
        <w:t xml:space="preserve">Rabe-Hesketh S, Skrondal A, Pickles A: </w:t>
      </w:r>
      <w:r w:rsidRPr="00C806D0">
        <w:rPr>
          <w:rFonts w:ascii="Calibri" w:hAnsi="Calibri"/>
          <w:b/>
          <w:noProof/>
        </w:rPr>
        <w:t>Generalized multilevel structural equation modeling</w:t>
      </w:r>
      <w:r w:rsidRPr="00C806D0">
        <w:rPr>
          <w:rFonts w:ascii="Calibri" w:hAnsi="Calibri"/>
          <w:noProof/>
        </w:rPr>
        <w:t xml:space="preserve">. </w:t>
      </w:r>
      <w:r w:rsidRPr="00C806D0">
        <w:rPr>
          <w:rFonts w:ascii="Calibri" w:hAnsi="Calibri"/>
          <w:i/>
          <w:noProof/>
        </w:rPr>
        <w:t xml:space="preserve">Psychometrika </w:t>
      </w:r>
      <w:r w:rsidRPr="00C806D0">
        <w:rPr>
          <w:rFonts w:ascii="Calibri" w:hAnsi="Calibri"/>
          <w:noProof/>
        </w:rPr>
        <w:t xml:space="preserve">2004, </w:t>
      </w:r>
      <w:r w:rsidRPr="00C806D0">
        <w:rPr>
          <w:rFonts w:ascii="Calibri" w:hAnsi="Calibri"/>
          <w:b/>
          <w:noProof/>
        </w:rPr>
        <w:t>69</w:t>
      </w:r>
      <w:r w:rsidRPr="00C806D0">
        <w:rPr>
          <w:rFonts w:ascii="Calibri" w:hAnsi="Calibri"/>
          <w:noProof/>
        </w:rPr>
        <w:t>(2):167-190.</w:t>
      </w:r>
      <w:bookmarkEnd w:id="269"/>
    </w:p>
    <w:p w:rsidR="006D4D62" w:rsidRPr="00C806D0" w:rsidRDefault="006D4D62" w:rsidP="006D4D62">
      <w:pPr>
        <w:spacing w:line="240" w:lineRule="auto"/>
        <w:ind w:left="720" w:hanging="720"/>
        <w:rPr>
          <w:rFonts w:ascii="Calibri" w:hAnsi="Calibri"/>
          <w:noProof/>
        </w:rPr>
      </w:pPr>
      <w:bookmarkStart w:id="270" w:name="_ENREF_9_26"/>
      <w:r w:rsidRPr="00C806D0">
        <w:rPr>
          <w:rFonts w:ascii="Calibri" w:hAnsi="Calibri"/>
          <w:noProof/>
        </w:rPr>
        <w:t>26.</w:t>
      </w:r>
      <w:r w:rsidRPr="00C806D0">
        <w:rPr>
          <w:rFonts w:ascii="Calibri" w:hAnsi="Calibri"/>
          <w:noProof/>
        </w:rPr>
        <w:tab/>
        <w:t>Harrison DA, Prabhu G, Grieve R, Harvey SE, Sadique MZ, Gomes M, Griggs KA, Walmsley E, Smith M, Yeoman P</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Risk Adjustment In Neurocritical care (RAIN)--prospective validation of risk prediction models for adult patients with acute traumatic brain injury to use to evaluate the optimum location and comparative costs of neurocritical care: a cohort study</w:t>
      </w:r>
      <w:r w:rsidRPr="00C806D0">
        <w:rPr>
          <w:rFonts w:ascii="Calibri" w:hAnsi="Calibri"/>
          <w:noProof/>
        </w:rPr>
        <w:t xml:space="preserve">. </w:t>
      </w:r>
      <w:r w:rsidRPr="00C806D0">
        <w:rPr>
          <w:rFonts w:ascii="Calibri" w:hAnsi="Calibri"/>
          <w:i/>
          <w:noProof/>
        </w:rPr>
        <w:t xml:space="preserve">Health technology assessment (Winchester, England) </w:t>
      </w:r>
      <w:r w:rsidRPr="00C806D0">
        <w:rPr>
          <w:rFonts w:ascii="Calibri" w:hAnsi="Calibri"/>
          <w:noProof/>
        </w:rPr>
        <w:t xml:space="preserve">2013, </w:t>
      </w:r>
      <w:r w:rsidRPr="00C806D0">
        <w:rPr>
          <w:rFonts w:ascii="Calibri" w:hAnsi="Calibri"/>
          <w:b/>
          <w:noProof/>
        </w:rPr>
        <w:t>17</w:t>
      </w:r>
      <w:r w:rsidRPr="00C806D0">
        <w:rPr>
          <w:rFonts w:ascii="Calibri" w:hAnsi="Calibri"/>
          <w:noProof/>
        </w:rPr>
        <w:t>(23):vii-viii, 1-350.</w:t>
      </w:r>
      <w:bookmarkEnd w:id="270"/>
    </w:p>
    <w:p w:rsidR="006D4D62" w:rsidRPr="00C806D0" w:rsidRDefault="006D4D62" w:rsidP="006D4D62">
      <w:pPr>
        <w:spacing w:line="240" w:lineRule="auto"/>
        <w:ind w:left="720" w:hanging="720"/>
        <w:rPr>
          <w:rFonts w:ascii="Calibri" w:hAnsi="Calibri"/>
          <w:noProof/>
        </w:rPr>
      </w:pPr>
      <w:bookmarkStart w:id="271" w:name="_ENREF_9_27"/>
      <w:r w:rsidRPr="00C806D0">
        <w:rPr>
          <w:rFonts w:ascii="Calibri" w:hAnsi="Calibri"/>
          <w:noProof/>
        </w:rPr>
        <w:t>27.</w:t>
      </w:r>
      <w:r w:rsidRPr="00C806D0">
        <w:rPr>
          <w:rFonts w:ascii="Calibri" w:hAnsi="Calibri"/>
          <w:noProof/>
        </w:rPr>
        <w:tab/>
        <w:t xml:space="preserve">Turner RM, Spiegelhalter DJ, Smith GCS, Thompson SG: </w:t>
      </w:r>
      <w:r w:rsidRPr="00C806D0">
        <w:rPr>
          <w:rFonts w:ascii="Calibri" w:hAnsi="Calibri"/>
          <w:b/>
          <w:noProof/>
        </w:rPr>
        <w:t>Bias modelling in evidence synthesis</w:t>
      </w:r>
      <w:r w:rsidRPr="00C806D0">
        <w:rPr>
          <w:rFonts w:ascii="Calibri" w:hAnsi="Calibri"/>
          <w:noProof/>
        </w:rPr>
        <w:t xml:space="preserve">. </w:t>
      </w:r>
      <w:r w:rsidRPr="00C806D0">
        <w:rPr>
          <w:rFonts w:ascii="Calibri" w:hAnsi="Calibri"/>
          <w:i/>
          <w:noProof/>
        </w:rPr>
        <w:t xml:space="preserve">Journal of the Royal Statistical Society: Series A (Statistics in Society) </w:t>
      </w:r>
      <w:r w:rsidRPr="00C806D0">
        <w:rPr>
          <w:rFonts w:ascii="Calibri" w:hAnsi="Calibri"/>
          <w:noProof/>
        </w:rPr>
        <w:t xml:space="preserve">2009, </w:t>
      </w:r>
      <w:r w:rsidRPr="00C806D0">
        <w:rPr>
          <w:rFonts w:ascii="Calibri" w:hAnsi="Calibri"/>
          <w:b/>
          <w:noProof/>
        </w:rPr>
        <w:t>172</w:t>
      </w:r>
      <w:r w:rsidRPr="00C806D0">
        <w:rPr>
          <w:rFonts w:ascii="Calibri" w:hAnsi="Calibri"/>
          <w:noProof/>
        </w:rPr>
        <w:t>(1):21-47.</w:t>
      </w:r>
      <w:bookmarkEnd w:id="271"/>
    </w:p>
    <w:p w:rsidR="006D4D62" w:rsidRPr="00C806D0" w:rsidRDefault="006D4D62" w:rsidP="006D4D62">
      <w:pPr>
        <w:spacing w:line="240" w:lineRule="auto"/>
        <w:ind w:left="720" w:hanging="720"/>
        <w:rPr>
          <w:rFonts w:ascii="Calibri" w:hAnsi="Calibri"/>
          <w:noProof/>
        </w:rPr>
      </w:pPr>
      <w:bookmarkStart w:id="272" w:name="_ENREF_9_28"/>
      <w:r w:rsidRPr="00C806D0">
        <w:rPr>
          <w:rFonts w:ascii="Calibri" w:hAnsi="Calibri"/>
          <w:noProof/>
        </w:rPr>
        <w:t>28.</w:t>
      </w:r>
      <w:r w:rsidRPr="00C806D0">
        <w:rPr>
          <w:rFonts w:ascii="Calibri" w:hAnsi="Calibri"/>
          <w:noProof/>
        </w:rPr>
        <w:tab/>
        <w:t xml:space="preserve">af Geijerstam JL, Oredsson S, Britton M: </w:t>
      </w:r>
      <w:r w:rsidRPr="00C806D0">
        <w:rPr>
          <w:rFonts w:ascii="Calibri" w:hAnsi="Calibri"/>
          <w:b/>
          <w:noProof/>
        </w:rPr>
        <w:t>Medical outcome after immediate computed tomography or admission for observation in patients with mild head injury: randomised controlled trial</w:t>
      </w:r>
      <w:r w:rsidRPr="00C806D0">
        <w:rPr>
          <w:rFonts w:ascii="Calibri" w:hAnsi="Calibri"/>
          <w:noProof/>
        </w:rPr>
        <w:t xml:space="preserve">. </w:t>
      </w:r>
      <w:r w:rsidRPr="00C806D0">
        <w:rPr>
          <w:rFonts w:ascii="Calibri" w:hAnsi="Calibri"/>
          <w:i/>
          <w:noProof/>
        </w:rPr>
        <w:t xml:space="preserve">BMJ (Clinical research ed) </w:t>
      </w:r>
      <w:r w:rsidRPr="00C806D0">
        <w:rPr>
          <w:rFonts w:ascii="Calibri" w:hAnsi="Calibri"/>
          <w:noProof/>
        </w:rPr>
        <w:t xml:space="preserve">2006, </w:t>
      </w:r>
      <w:r w:rsidRPr="00C806D0">
        <w:rPr>
          <w:rFonts w:ascii="Calibri" w:hAnsi="Calibri"/>
          <w:b/>
          <w:noProof/>
        </w:rPr>
        <w:t>333</w:t>
      </w:r>
      <w:r w:rsidRPr="00C806D0">
        <w:rPr>
          <w:rFonts w:ascii="Calibri" w:hAnsi="Calibri"/>
          <w:noProof/>
        </w:rPr>
        <w:t>(7566):465.</w:t>
      </w:r>
      <w:bookmarkEnd w:id="272"/>
    </w:p>
    <w:p w:rsidR="006D4D62" w:rsidRPr="00C806D0" w:rsidRDefault="006D4D62" w:rsidP="006D4D62">
      <w:pPr>
        <w:spacing w:line="240" w:lineRule="auto"/>
        <w:ind w:left="720" w:hanging="720"/>
        <w:rPr>
          <w:rFonts w:ascii="Calibri" w:hAnsi="Calibri"/>
          <w:noProof/>
        </w:rPr>
      </w:pPr>
      <w:bookmarkStart w:id="273" w:name="_ENREF_9_29"/>
      <w:r w:rsidRPr="00C806D0">
        <w:rPr>
          <w:rFonts w:ascii="Calibri" w:hAnsi="Calibri"/>
          <w:noProof/>
        </w:rPr>
        <w:t>29.</w:t>
      </w:r>
      <w:r w:rsidRPr="00C806D0">
        <w:rPr>
          <w:rFonts w:ascii="Calibri" w:hAnsi="Calibri"/>
          <w:noProof/>
        </w:rPr>
        <w:tab/>
        <w:t xml:space="preserve">Fuller G PH, Yeoman P. : </w:t>
      </w:r>
      <w:r w:rsidRPr="00C806D0">
        <w:rPr>
          <w:rFonts w:ascii="Calibri" w:hAnsi="Calibri"/>
          <w:b/>
          <w:noProof/>
        </w:rPr>
        <w:t xml:space="preserve">The Nottingham Head Injury Register: a Survey of 1,276 Adult cases of Moderate and Severe Traumatic Brain Injury in a British Neurosurgery Centre. </w:t>
      </w:r>
      <w:r w:rsidRPr="00C806D0">
        <w:rPr>
          <w:rFonts w:ascii="Calibri" w:hAnsi="Calibri"/>
          <w:noProof/>
        </w:rPr>
        <w:t xml:space="preserve">. </w:t>
      </w:r>
      <w:r w:rsidRPr="00C806D0">
        <w:rPr>
          <w:rFonts w:ascii="Calibri" w:hAnsi="Calibri"/>
          <w:i/>
          <w:noProof/>
        </w:rPr>
        <w:t xml:space="preserve">Journal of Intensive Care Society </w:t>
      </w:r>
      <w:r w:rsidRPr="00C806D0">
        <w:rPr>
          <w:rFonts w:ascii="Calibri" w:hAnsi="Calibri"/>
          <w:noProof/>
        </w:rPr>
        <w:t xml:space="preserve">2011, </w:t>
      </w:r>
      <w:r w:rsidRPr="00C806D0">
        <w:rPr>
          <w:rFonts w:ascii="Calibri" w:hAnsi="Calibri"/>
          <w:b/>
          <w:noProof/>
        </w:rPr>
        <w:t>12</w:t>
      </w:r>
      <w:r w:rsidRPr="00C806D0">
        <w:rPr>
          <w:rFonts w:ascii="Calibri" w:hAnsi="Calibri"/>
          <w:noProof/>
        </w:rPr>
        <w:t>(1):1-7.</w:t>
      </w:r>
      <w:bookmarkEnd w:id="273"/>
    </w:p>
    <w:p w:rsidR="006D4D62" w:rsidRPr="00C806D0" w:rsidRDefault="006D4D62" w:rsidP="006D4D62">
      <w:pPr>
        <w:spacing w:line="240" w:lineRule="auto"/>
        <w:ind w:left="720" w:hanging="720"/>
        <w:rPr>
          <w:rFonts w:ascii="Calibri" w:hAnsi="Calibri"/>
          <w:noProof/>
        </w:rPr>
      </w:pPr>
      <w:bookmarkStart w:id="274" w:name="_ENREF_9_30"/>
      <w:r w:rsidRPr="00C806D0">
        <w:rPr>
          <w:rFonts w:ascii="Calibri" w:hAnsi="Calibri"/>
          <w:noProof/>
        </w:rPr>
        <w:t>30.</w:t>
      </w:r>
      <w:r w:rsidRPr="00C806D0">
        <w:rPr>
          <w:rFonts w:ascii="Calibri" w:hAnsi="Calibri"/>
          <w:noProof/>
        </w:rPr>
        <w:tab/>
        <w:t xml:space="preserve">McCartan DP, Fleming FJ, Motherway C, Grace PA: </w:t>
      </w:r>
      <w:r w:rsidRPr="00C806D0">
        <w:rPr>
          <w:rFonts w:ascii="Calibri" w:hAnsi="Calibri"/>
          <w:b/>
          <w:noProof/>
        </w:rPr>
        <w:t>Management and outcome in patients following head injury admitted to an Irish Regional Hospital</w:t>
      </w:r>
      <w:r w:rsidRPr="00C806D0">
        <w:rPr>
          <w:rFonts w:ascii="Calibri" w:hAnsi="Calibri"/>
          <w:noProof/>
        </w:rPr>
        <w:t xml:space="preserve">. </w:t>
      </w:r>
      <w:r w:rsidRPr="00C806D0">
        <w:rPr>
          <w:rFonts w:ascii="Calibri" w:hAnsi="Calibri"/>
          <w:i/>
          <w:noProof/>
        </w:rPr>
        <w:t xml:space="preserve">Brain injury : [BI] </w:t>
      </w:r>
      <w:r w:rsidRPr="00C806D0">
        <w:rPr>
          <w:rFonts w:ascii="Calibri" w:hAnsi="Calibri"/>
          <w:noProof/>
        </w:rPr>
        <w:t xml:space="preserve">2008, </w:t>
      </w:r>
      <w:r w:rsidRPr="00C806D0">
        <w:rPr>
          <w:rFonts w:ascii="Calibri" w:hAnsi="Calibri"/>
          <w:b/>
          <w:noProof/>
        </w:rPr>
        <w:t>22</w:t>
      </w:r>
      <w:r w:rsidRPr="00C806D0">
        <w:rPr>
          <w:rFonts w:ascii="Calibri" w:hAnsi="Calibri"/>
          <w:noProof/>
        </w:rPr>
        <w:t>(4):305-312.</w:t>
      </w:r>
      <w:bookmarkEnd w:id="274"/>
    </w:p>
    <w:p w:rsidR="006D4D62" w:rsidRPr="00C806D0" w:rsidRDefault="006D4D62" w:rsidP="006D4D62">
      <w:pPr>
        <w:spacing w:line="240" w:lineRule="auto"/>
        <w:ind w:left="720" w:hanging="720"/>
        <w:rPr>
          <w:rFonts w:ascii="Calibri" w:hAnsi="Calibri"/>
          <w:noProof/>
        </w:rPr>
      </w:pPr>
      <w:bookmarkStart w:id="275" w:name="_ENREF_9_31"/>
      <w:r w:rsidRPr="00C806D0">
        <w:rPr>
          <w:rFonts w:ascii="Calibri" w:hAnsi="Calibri"/>
          <w:noProof/>
        </w:rPr>
        <w:t>31.</w:t>
      </w:r>
      <w:r w:rsidRPr="00C806D0">
        <w:rPr>
          <w:rFonts w:ascii="Calibri" w:hAnsi="Calibri"/>
          <w:noProof/>
        </w:rPr>
        <w:tab/>
        <w:t xml:space="preserve">Fuller G, Pattani H, Yeoman P: </w:t>
      </w:r>
      <w:r w:rsidRPr="00C806D0">
        <w:rPr>
          <w:rFonts w:ascii="Calibri" w:hAnsi="Calibri"/>
          <w:b/>
          <w:noProof/>
        </w:rPr>
        <w:t>The Nottingham head injury register: A survey of 1,276 adult cases of moderate and severe traumatic brain injury in a British neurosurgery centre</w:t>
      </w:r>
      <w:r w:rsidRPr="00C806D0">
        <w:rPr>
          <w:rFonts w:ascii="Calibri" w:hAnsi="Calibri"/>
          <w:noProof/>
        </w:rPr>
        <w:t xml:space="preserve">. </w:t>
      </w:r>
      <w:r w:rsidRPr="00C806D0">
        <w:rPr>
          <w:rFonts w:ascii="Calibri" w:hAnsi="Calibri"/>
          <w:i/>
          <w:noProof/>
        </w:rPr>
        <w:t xml:space="preserve">Journal of the Intensive Care Society </w:t>
      </w:r>
      <w:r w:rsidRPr="00C806D0">
        <w:rPr>
          <w:rFonts w:ascii="Calibri" w:hAnsi="Calibri"/>
          <w:noProof/>
        </w:rPr>
        <w:t>2011(of Publication: January 2011):12 (11) (pp 29-36), 2011.</w:t>
      </w:r>
      <w:bookmarkEnd w:id="275"/>
    </w:p>
    <w:p w:rsidR="006D4D62" w:rsidRPr="00C806D0" w:rsidRDefault="006D4D62" w:rsidP="006D4D62">
      <w:pPr>
        <w:spacing w:line="240" w:lineRule="auto"/>
        <w:ind w:left="720" w:hanging="720"/>
        <w:rPr>
          <w:rFonts w:ascii="Calibri" w:hAnsi="Calibri"/>
          <w:noProof/>
        </w:rPr>
      </w:pPr>
      <w:bookmarkStart w:id="276" w:name="_ENREF_9_32"/>
      <w:r w:rsidRPr="00C806D0">
        <w:rPr>
          <w:rFonts w:ascii="Calibri" w:hAnsi="Calibri"/>
          <w:noProof/>
        </w:rPr>
        <w:t>32.</w:t>
      </w:r>
      <w:r w:rsidRPr="00C806D0">
        <w:rPr>
          <w:rFonts w:ascii="Calibri" w:hAnsi="Calibri"/>
          <w:noProof/>
        </w:rPr>
        <w:tab/>
        <w:t xml:space="preserve">Nicholl J YT, Pickering A, Turner J, Goodacre S.: </w:t>
      </w:r>
      <w:r w:rsidRPr="00C806D0">
        <w:rPr>
          <w:rFonts w:ascii="Calibri" w:hAnsi="Calibri"/>
          <w:b/>
          <w:noProof/>
        </w:rPr>
        <w:t xml:space="preserve">The cost-effectiveness of regional networks for major trauma in England. </w:t>
      </w:r>
      <w:r w:rsidRPr="00C806D0">
        <w:rPr>
          <w:rFonts w:ascii="Calibri" w:hAnsi="Calibri"/>
          <w:noProof/>
        </w:rPr>
        <w:t>. In</w:t>
      </w:r>
      <w:r w:rsidRPr="00C806D0">
        <w:rPr>
          <w:rFonts w:ascii="Calibri" w:hAnsi="Calibri"/>
          <w:i/>
          <w:noProof/>
        </w:rPr>
        <w:t>.</w:t>
      </w:r>
      <w:r w:rsidRPr="00C806D0">
        <w:rPr>
          <w:rFonts w:ascii="Calibri" w:hAnsi="Calibri"/>
          <w:noProof/>
        </w:rPr>
        <w:t>: School of Health and Related Research, University of Sheffield.; 2011.</w:t>
      </w:r>
      <w:bookmarkEnd w:id="276"/>
    </w:p>
    <w:p w:rsidR="006D4D62" w:rsidRPr="00C806D0" w:rsidRDefault="006D4D62" w:rsidP="006D4D62">
      <w:pPr>
        <w:spacing w:line="240" w:lineRule="auto"/>
        <w:ind w:left="720" w:hanging="720"/>
        <w:rPr>
          <w:rFonts w:ascii="Calibri" w:hAnsi="Calibri"/>
          <w:noProof/>
        </w:rPr>
      </w:pPr>
      <w:bookmarkStart w:id="277" w:name="_ENREF_9_33"/>
      <w:r w:rsidRPr="00C806D0">
        <w:rPr>
          <w:rFonts w:ascii="Calibri" w:hAnsi="Calibri"/>
          <w:noProof/>
        </w:rPr>
        <w:t>33.</w:t>
      </w:r>
      <w:r w:rsidRPr="00C806D0">
        <w:rPr>
          <w:rFonts w:ascii="Calibri" w:hAnsi="Calibri"/>
          <w:noProof/>
        </w:rPr>
        <w:tab/>
        <w:t xml:space="preserve">Scotland. HI: </w:t>
      </w:r>
      <w:r w:rsidRPr="00C806D0">
        <w:rPr>
          <w:rFonts w:ascii="Calibri" w:hAnsi="Calibri"/>
          <w:b/>
          <w:noProof/>
        </w:rPr>
        <w:t xml:space="preserve">What is the evidence for the clinical and cost-effectiveness of major trauma centres as the core component of a trauma service, compared with standard care for adults with major trauma? </w:t>
      </w:r>
      <w:r w:rsidRPr="00C806D0">
        <w:rPr>
          <w:rFonts w:ascii="Calibri" w:hAnsi="Calibri"/>
          <w:noProof/>
        </w:rPr>
        <w:t xml:space="preserve">. In: </w:t>
      </w:r>
      <w:r w:rsidRPr="00C806D0">
        <w:rPr>
          <w:rFonts w:ascii="Calibri" w:hAnsi="Calibri"/>
          <w:i/>
          <w:noProof/>
        </w:rPr>
        <w:t>Technologies Scoping Report.</w:t>
      </w:r>
      <w:r w:rsidRPr="00C806D0">
        <w:rPr>
          <w:rFonts w:ascii="Calibri" w:hAnsi="Calibri"/>
          <w:noProof/>
        </w:rPr>
        <w:t xml:space="preserve"> 2013.</w:t>
      </w:r>
      <w:bookmarkEnd w:id="277"/>
    </w:p>
    <w:p w:rsidR="006D4D62" w:rsidRPr="00C806D0" w:rsidRDefault="006D4D62" w:rsidP="006D4D62">
      <w:pPr>
        <w:spacing w:line="240" w:lineRule="auto"/>
        <w:ind w:left="720" w:hanging="720"/>
        <w:rPr>
          <w:rFonts w:ascii="Calibri" w:hAnsi="Calibri"/>
          <w:noProof/>
        </w:rPr>
      </w:pPr>
      <w:bookmarkStart w:id="278" w:name="_ENREF_9_34"/>
      <w:r w:rsidRPr="00C806D0">
        <w:rPr>
          <w:rFonts w:ascii="Calibri" w:hAnsi="Calibri"/>
          <w:noProof/>
        </w:rPr>
        <w:t>34.</w:t>
      </w:r>
      <w:r w:rsidRPr="00C806D0">
        <w:rPr>
          <w:rFonts w:ascii="Calibri" w:hAnsi="Calibri"/>
          <w:noProof/>
        </w:rPr>
        <w:tab/>
        <w:t xml:space="preserve">Pickering A CK, Harnan S, Holmes M, Sutton A, Mason S, et al. : </w:t>
      </w:r>
      <w:r w:rsidRPr="00C806D0">
        <w:rPr>
          <w:rFonts w:ascii="Calibri" w:hAnsi="Calibri"/>
          <w:b/>
          <w:noProof/>
        </w:rPr>
        <w:t>Comparison of direct transfer to specialist care centres with delivery to the nearest hospital: a systematic review and economic evaluation. Final report.</w:t>
      </w:r>
      <w:r w:rsidRPr="00C806D0">
        <w:rPr>
          <w:rFonts w:ascii="Calibri" w:hAnsi="Calibri"/>
          <w:noProof/>
        </w:rPr>
        <w:t xml:space="preserve"> In:</w:t>
      </w:r>
      <w:r w:rsidRPr="00C806D0">
        <w:rPr>
          <w:rFonts w:ascii="Calibri" w:hAnsi="Calibri"/>
          <w:i/>
          <w:noProof/>
        </w:rPr>
        <w:t xml:space="preserve"> NIHR Service Delivery and Organisation programme.</w:t>
      </w:r>
      <w:r w:rsidRPr="00C806D0">
        <w:rPr>
          <w:rFonts w:ascii="Calibri" w:hAnsi="Calibri"/>
          <w:noProof/>
        </w:rPr>
        <w:t xml:space="preserve"> London: National Institute for Health Research; 2014.</w:t>
      </w:r>
      <w:bookmarkEnd w:id="278"/>
    </w:p>
    <w:p w:rsidR="006D4D62" w:rsidRPr="00C806D0" w:rsidRDefault="006D4D62" w:rsidP="006D4D62">
      <w:pPr>
        <w:spacing w:line="240" w:lineRule="auto"/>
        <w:ind w:left="720" w:hanging="720"/>
        <w:rPr>
          <w:rFonts w:ascii="Calibri" w:hAnsi="Calibri"/>
          <w:noProof/>
        </w:rPr>
      </w:pPr>
      <w:bookmarkStart w:id="279" w:name="_ENREF_9_35"/>
      <w:r w:rsidRPr="00C806D0">
        <w:rPr>
          <w:rFonts w:ascii="Calibri" w:hAnsi="Calibri"/>
          <w:noProof/>
        </w:rPr>
        <w:t>35.</w:t>
      </w:r>
      <w:r w:rsidRPr="00C806D0">
        <w:rPr>
          <w:rFonts w:ascii="Calibri" w:hAnsi="Calibri"/>
          <w:noProof/>
        </w:rPr>
        <w:tab/>
        <w:t xml:space="preserve">Fuller G, Pallot D, Coats T, Lecky F: </w:t>
      </w:r>
      <w:r w:rsidRPr="00C806D0">
        <w:rPr>
          <w:rFonts w:ascii="Calibri" w:hAnsi="Calibri"/>
          <w:b/>
          <w:noProof/>
        </w:rPr>
        <w:t>The effectiveness of specialist neuroscience care in severe traumatic brain injury: a systematic review</w:t>
      </w:r>
      <w:r w:rsidRPr="00C806D0">
        <w:rPr>
          <w:rFonts w:ascii="Calibri" w:hAnsi="Calibri"/>
          <w:noProof/>
        </w:rPr>
        <w:t xml:space="preserve">. </w:t>
      </w:r>
      <w:r w:rsidRPr="00C806D0">
        <w:rPr>
          <w:rFonts w:ascii="Calibri" w:hAnsi="Calibri"/>
          <w:i/>
          <w:noProof/>
        </w:rPr>
        <w:t xml:space="preserve">Br J Neurosurg </w:t>
      </w:r>
      <w:r w:rsidRPr="00C806D0">
        <w:rPr>
          <w:rFonts w:ascii="Calibri" w:hAnsi="Calibri"/>
          <w:noProof/>
        </w:rPr>
        <w:t xml:space="preserve">2014, </w:t>
      </w:r>
      <w:r w:rsidRPr="00C806D0">
        <w:rPr>
          <w:rFonts w:ascii="Calibri" w:hAnsi="Calibri"/>
          <w:b/>
          <w:noProof/>
        </w:rPr>
        <w:t>28</w:t>
      </w:r>
      <w:r w:rsidRPr="00C806D0">
        <w:rPr>
          <w:rFonts w:ascii="Calibri" w:hAnsi="Calibri"/>
          <w:noProof/>
        </w:rPr>
        <w:t>(4):452-460.</w:t>
      </w:r>
      <w:bookmarkEnd w:id="279"/>
    </w:p>
    <w:p w:rsidR="006D4D62" w:rsidRPr="00C806D0" w:rsidRDefault="006D4D62" w:rsidP="006D4D62">
      <w:pPr>
        <w:spacing w:line="240" w:lineRule="auto"/>
        <w:ind w:left="720" w:hanging="720"/>
        <w:rPr>
          <w:rFonts w:ascii="Calibri" w:hAnsi="Calibri"/>
          <w:noProof/>
        </w:rPr>
      </w:pPr>
      <w:bookmarkStart w:id="280" w:name="_ENREF_9_36"/>
      <w:r w:rsidRPr="00C806D0">
        <w:rPr>
          <w:rFonts w:ascii="Calibri" w:hAnsi="Calibri"/>
          <w:noProof/>
        </w:rPr>
        <w:t>36.</w:t>
      </w:r>
      <w:r w:rsidRPr="00C806D0">
        <w:rPr>
          <w:rFonts w:ascii="Calibri" w:hAnsi="Calibri"/>
          <w:noProof/>
        </w:rPr>
        <w:tab/>
        <w:t xml:space="preserve">Kim YJ: </w:t>
      </w:r>
      <w:r w:rsidRPr="00C806D0">
        <w:rPr>
          <w:rFonts w:ascii="Calibri" w:hAnsi="Calibri"/>
          <w:b/>
          <w:noProof/>
        </w:rPr>
        <w:t>The impact of time from ED arrival to surgery on mortality and hospital length of stay in patients with traumatic brain injury</w:t>
      </w:r>
      <w:r w:rsidRPr="00C806D0">
        <w:rPr>
          <w:rFonts w:ascii="Calibri" w:hAnsi="Calibri"/>
          <w:noProof/>
        </w:rPr>
        <w:t xml:space="preserve">. </w:t>
      </w:r>
      <w:r w:rsidRPr="00C806D0">
        <w:rPr>
          <w:rFonts w:ascii="Calibri" w:hAnsi="Calibri"/>
          <w:i/>
          <w:noProof/>
        </w:rPr>
        <w:t xml:space="preserve">Journal of emergency nursing: JEN : official publication of the Emergency Department Nurses Association </w:t>
      </w:r>
      <w:r w:rsidRPr="00C806D0">
        <w:rPr>
          <w:rFonts w:ascii="Calibri" w:hAnsi="Calibri"/>
          <w:noProof/>
        </w:rPr>
        <w:t xml:space="preserve">2011, </w:t>
      </w:r>
      <w:r w:rsidRPr="00C806D0">
        <w:rPr>
          <w:rFonts w:ascii="Calibri" w:hAnsi="Calibri"/>
          <w:b/>
          <w:noProof/>
        </w:rPr>
        <w:t>37</w:t>
      </w:r>
      <w:r w:rsidRPr="00C806D0">
        <w:rPr>
          <w:rFonts w:ascii="Calibri" w:hAnsi="Calibri"/>
          <w:noProof/>
        </w:rPr>
        <w:t>(4):328-333.</w:t>
      </w:r>
      <w:bookmarkEnd w:id="280"/>
    </w:p>
    <w:p w:rsidR="006D4D62" w:rsidRPr="00C806D0" w:rsidRDefault="006D4D62" w:rsidP="006D4D62">
      <w:pPr>
        <w:spacing w:line="240" w:lineRule="auto"/>
        <w:ind w:left="720" w:hanging="720"/>
        <w:rPr>
          <w:rFonts w:ascii="Calibri" w:hAnsi="Calibri"/>
          <w:noProof/>
        </w:rPr>
      </w:pPr>
      <w:bookmarkStart w:id="281" w:name="_ENREF_9_37"/>
      <w:r w:rsidRPr="00C806D0">
        <w:rPr>
          <w:rFonts w:ascii="Calibri" w:hAnsi="Calibri"/>
          <w:noProof/>
        </w:rPr>
        <w:t>37.</w:t>
      </w:r>
      <w:r w:rsidRPr="00C806D0">
        <w:rPr>
          <w:rFonts w:ascii="Calibri" w:hAnsi="Calibri"/>
          <w:noProof/>
        </w:rPr>
        <w:tab/>
        <w:t xml:space="preserve">Kim K-H: </w:t>
      </w:r>
      <w:r w:rsidRPr="00C806D0">
        <w:rPr>
          <w:rFonts w:ascii="Calibri" w:hAnsi="Calibri"/>
          <w:b/>
          <w:noProof/>
        </w:rPr>
        <w:t>Predictors for Functional Recovery and Mortality of Surgically Treated Traumatic Acute Subdural Hematomas in 256 Patients</w:t>
      </w:r>
      <w:r w:rsidRPr="00C806D0">
        <w:rPr>
          <w:rFonts w:ascii="Calibri" w:hAnsi="Calibri"/>
          <w:noProof/>
        </w:rPr>
        <w:t xml:space="preserve">. </w:t>
      </w:r>
      <w:r w:rsidRPr="00C806D0">
        <w:rPr>
          <w:rFonts w:ascii="Calibri" w:hAnsi="Calibri"/>
          <w:i/>
          <w:noProof/>
        </w:rPr>
        <w:t xml:space="preserve">J Korean Neurosurg Soc </w:t>
      </w:r>
      <w:r w:rsidRPr="00C806D0">
        <w:rPr>
          <w:rFonts w:ascii="Calibri" w:hAnsi="Calibri"/>
          <w:noProof/>
        </w:rPr>
        <w:t xml:space="preserve">2009, </w:t>
      </w:r>
      <w:r w:rsidRPr="00C806D0">
        <w:rPr>
          <w:rFonts w:ascii="Calibri" w:hAnsi="Calibri"/>
          <w:b/>
          <w:noProof/>
        </w:rPr>
        <w:t>45</w:t>
      </w:r>
      <w:r w:rsidRPr="00C806D0">
        <w:rPr>
          <w:rFonts w:ascii="Calibri" w:hAnsi="Calibri"/>
          <w:noProof/>
        </w:rPr>
        <w:t>(3):143-150.</w:t>
      </w:r>
      <w:bookmarkEnd w:id="281"/>
    </w:p>
    <w:p w:rsidR="006D4D62" w:rsidRPr="00C806D0" w:rsidRDefault="006D4D62" w:rsidP="006D4D62">
      <w:pPr>
        <w:spacing w:line="240" w:lineRule="auto"/>
        <w:ind w:left="720" w:hanging="720"/>
        <w:rPr>
          <w:rFonts w:ascii="Calibri" w:hAnsi="Calibri"/>
          <w:noProof/>
        </w:rPr>
      </w:pPr>
      <w:bookmarkStart w:id="282" w:name="_ENREF_9_38"/>
      <w:r w:rsidRPr="00C806D0">
        <w:rPr>
          <w:rFonts w:ascii="Calibri" w:hAnsi="Calibri"/>
          <w:noProof/>
        </w:rPr>
        <w:t>38.</w:t>
      </w:r>
      <w:r w:rsidRPr="00C806D0">
        <w:rPr>
          <w:rFonts w:ascii="Calibri" w:hAnsi="Calibri"/>
          <w:noProof/>
        </w:rPr>
        <w:tab/>
        <w:t xml:space="preserve">Tien HC, Jung V, Pinto R, Mainprize T, Scales DC, Rizoli SB: </w:t>
      </w:r>
      <w:r w:rsidRPr="00C806D0">
        <w:rPr>
          <w:rFonts w:ascii="Calibri" w:hAnsi="Calibri"/>
          <w:b/>
          <w:noProof/>
        </w:rPr>
        <w:t>Reducing time-to-treatment decreases mortality of trauma patients with acute subdural hematoma</w:t>
      </w:r>
      <w:r w:rsidRPr="00C806D0">
        <w:rPr>
          <w:rFonts w:ascii="Calibri" w:hAnsi="Calibri"/>
          <w:noProof/>
        </w:rPr>
        <w:t xml:space="preserve">. </w:t>
      </w:r>
      <w:r w:rsidRPr="00C806D0">
        <w:rPr>
          <w:rFonts w:ascii="Calibri" w:hAnsi="Calibri"/>
          <w:i/>
          <w:noProof/>
        </w:rPr>
        <w:t xml:space="preserve">Ann Surg </w:t>
      </w:r>
      <w:r w:rsidRPr="00C806D0">
        <w:rPr>
          <w:rFonts w:ascii="Calibri" w:hAnsi="Calibri"/>
          <w:noProof/>
        </w:rPr>
        <w:t xml:space="preserve">2011, </w:t>
      </w:r>
      <w:r w:rsidRPr="00C806D0">
        <w:rPr>
          <w:rFonts w:ascii="Calibri" w:hAnsi="Calibri"/>
          <w:b/>
          <w:noProof/>
        </w:rPr>
        <w:t>253</w:t>
      </w:r>
      <w:r w:rsidRPr="00C806D0">
        <w:rPr>
          <w:rFonts w:ascii="Calibri" w:hAnsi="Calibri"/>
          <w:noProof/>
        </w:rPr>
        <w:t>(6):1178-1183.</w:t>
      </w:r>
      <w:bookmarkEnd w:id="282"/>
    </w:p>
    <w:p w:rsidR="006D4D62" w:rsidRPr="00C806D0" w:rsidRDefault="006D4D62" w:rsidP="006D4D62">
      <w:pPr>
        <w:spacing w:line="240" w:lineRule="auto"/>
        <w:ind w:left="720" w:hanging="720"/>
        <w:rPr>
          <w:rFonts w:ascii="Calibri" w:hAnsi="Calibri"/>
          <w:noProof/>
        </w:rPr>
      </w:pPr>
      <w:bookmarkStart w:id="283" w:name="_ENREF_9_39"/>
      <w:r w:rsidRPr="00C806D0">
        <w:rPr>
          <w:rFonts w:ascii="Calibri" w:hAnsi="Calibri"/>
          <w:noProof/>
        </w:rPr>
        <w:t>39.</w:t>
      </w:r>
      <w:r w:rsidRPr="00C806D0">
        <w:rPr>
          <w:rFonts w:ascii="Calibri" w:hAnsi="Calibri"/>
          <w:noProof/>
        </w:rPr>
        <w:tab/>
        <w:t xml:space="preserve">Hedges JR, Newgard CD, Veum-Stone J, Selden NR, Adams AL, Diggs BS, Arthur M, Mullins RJ: </w:t>
      </w:r>
      <w:r w:rsidRPr="00C806D0">
        <w:rPr>
          <w:rFonts w:ascii="Calibri" w:hAnsi="Calibri"/>
          <w:b/>
          <w:noProof/>
        </w:rPr>
        <w:t>Early neurosurgical procedures enhance survival in blunt head injury: propensity score analysis</w:t>
      </w:r>
      <w:r w:rsidRPr="00C806D0">
        <w:rPr>
          <w:rFonts w:ascii="Calibri" w:hAnsi="Calibri"/>
          <w:noProof/>
        </w:rPr>
        <w:t xml:space="preserve">. </w:t>
      </w:r>
      <w:r w:rsidRPr="00C806D0">
        <w:rPr>
          <w:rFonts w:ascii="Calibri" w:hAnsi="Calibri"/>
          <w:i/>
          <w:noProof/>
        </w:rPr>
        <w:t xml:space="preserve">The Journal of emergency medicine </w:t>
      </w:r>
      <w:r w:rsidRPr="00C806D0">
        <w:rPr>
          <w:rFonts w:ascii="Calibri" w:hAnsi="Calibri"/>
          <w:noProof/>
        </w:rPr>
        <w:t xml:space="preserve">2009, </w:t>
      </w:r>
      <w:r w:rsidRPr="00C806D0">
        <w:rPr>
          <w:rFonts w:ascii="Calibri" w:hAnsi="Calibri"/>
          <w:b/>
          <w:noProof/>
        </w:rPr>
        <w:t>37</w:t>
      </w:r>
      <w:r w:rsidRPr="00C806D0">
        <w:rPr>
          <w:rFonts w:ascii="Calibri" w:hAnsi="Calibri"/>
          <w:noProof/>
        </w:rPr>
        <w:t>(2):115-123.</w:t>
      </w:r>
      <w:bookmarkEnd w:id="283"/>
    </w:p>
    <w:p w:rsidR="006D4D62" w:rsidRPr="00C806D0" w:rsidRDefault="006D4D62" w:rsidP="006D4D62">
      <w:pPr>
        <w:spacing w:line="240" w:lineRule="auto"/>
        <w:ind w:left="720" w:hanging="720"/>
        <w:rPr>
          <w:rFonts w:ascii="Calibri" w:hAnsi="Calibri"/>
          <w:noProof/>
        </w:rPr>
      </w:pPr>
      <w:bookmarkStart w:id="284" w:name="_ENREF_9_40"/>
      <w:r w:rsidRPr="00C806D0">
        <w:rPr>
          <w:rFonts w:ascii="Calibri" w:hAnsi="Calibri"/>
          <w:noProof/>
        </w:rPr>
        <w:t>40.</w:t>
      </w:r>
      <w:r w:rsidRPr="00C806D0">
        <w:rPr>
          <w:rFonts w:ascii="Calibri" w:hAnsi="Calibri"/>
          <w:noProof/>
        </w:rPr>
        <w:tab/>
        <w:t xml:space="preserve">Tian HL, Chen SW, Xu T, Hu J, Rong BY, Wang G, Gao WW, Chen H: </w:t>
      </w:r>
      <w:r w:rsidRPr="00C806D0">
        <w:rPr>
          <w:rFonts w:ascii="Calibri" w:hAnsi="Calibri"/>
          <w:b/>
          <w:noProof/>
        </w:rPr>
        <w:t>Risk factors related to hospital mortality in patients with isolated traumatic acute subdural haematoma: analysis of 308 patients undergone surgery</w:t>
      </w:r>
      <w:r w:rsidRPr="00C806D0">
        <w:rPr>
          <w:rFonts w:ascii="Calibri" w:hAnsi="Calibri"/>
          <w:noProof/>
        </w:rPr>
        <w:t xml:space="preserve">. </w:t>
      </w:r>
      <w:r w:rsidRPr="00C806D0">
        <w:rPr>
          <w:rFonts w:ascii="Calibri" w:hAnsi="Calibri"/>
          <w:i/>
          <w:noProof/>
        </w:rPr>
        <w:t xml:space="preserve">Chinese medical journal </w:t>
      </w:r>
      <w:r w:rsidRPr="00C806D0">
        <w:rPr>
          <w:rFonts w:ascii="Calibri" w:hAnsi="Calibri"/>
          <w:noProof/>
        </w:rPr>
        <w:t xml:space="preserve">2008, </w:t>
      </w:r>
      <w:r w:rsidRPr="00C806D0">
        <w:rPr>
          <w:rFonts w:ascii="Calibri" w:hAnsi="Calibri"/>
          <w:b/>
          <w:noProof/>
        </w:rPr>
        <w:t>121</w:t>
      </w:r>
      <w:r w:rsidRPr="00C806D0">
        <w:rPr>
          <w:rFonts w:ascii="Calibri" w:hAnsi="Calibri"/>
          <w:noProof/>
        </w:rPr>
        <w:t>(12):1080-1084.</w:t>
      </w:r>
      <w:bookmarkEnd w:id="284"/>
    </w:p>
    <w:p w:rsidR="006D4D62" w:rsidRPr="00C806D0" w:rsidRDefault="006D4D62" w:rsidP="006D4D62">
      <w:pPr>
        <w:spacing w:line="240" w:lineRule="auto"/>
        <w:ind w:left="720" w:hanging="720"/>
        <w:rPr>
          <w:rFonts w:ascii="Calibri" w:hAnsi="Calibri"/>
          <w:noProof/>
        </w:rPr>
      </w:pPr>
      <w:bookmarkStart w:id="285" w:name="_ENREF_9_41"/>
      <w:r w:rsidRPr="00C806D0">
        <w:rPr>
          <w:rFonts w:ascii="Calibri" w:hAnsi="Calibri"/>
          <w:noProof/>
        </w:rPr>
        <w:t>41.</w:t>
      </w:r>
      <w:r w:rsidRPr="00C806D0">
        <w:rPr>
          <w:rFonts w:ascii="Calibri" w:hAnsi="Calibri"/>
          <w:noProof/>
        </w:rPr>
        <w:tab/>
        <w:t xml:space="preserve">Lee EJ, Hung YC, Wang LC, Chung KC, Chen HH: </w:t>
      </w:r>
      <w:r w:rsidRPr="00C806D0">
        <w:rPr>
          <w:rFonts w:ascii="Calibri" w:hAnsi="Calibri"/>
          <w:b/>
          <w:noProof/>
        </w:rPr>
        <w:t>Factors influencing the functional outcome of patients with acute epidural hematomas: analysis of 200 patients undergoing surgery</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1998, </w:t>
      </w:r>
      <w:r w:rsidRPr="00C806D0">
        <w:rPr>
          <w:rFonts w:ascii="Calibri" w:hAnsi="Calibri"/>
          <w:b/>
          <w:noProof/>
        </w:rPr>
        <w:t>45</w:t>
      </w:r>
      <w:r w:rsidRPr="00C806D0">
        <w:rPr>
          <w:rFonts w:ascii="Calibri" w:hAnsi="Calibri"/>
          <w:noProof/>
        </w:rPr>
        <w:t>(5):946-952.</w:t>
      </w:r>
      <w:bookmarkEnd w:id="285"/>
    </w:p>
    <w:p w:rsidR="006D4D62" w:rsidRPr="00C806D0" w:rsidRDefault="006D4D62" w:rsidP="006D4D62">
      <w:pPr>
        <w:spacing w:line="240" w:lineRule="auto"/>
        <w:ind w:left="720" w:hanging="720"/>
        <w:rPr>
          <w:rFonts w:ascii="Calibri" w:hAnsi="Calibri"/>
          <w:noProof/>
        </w:rPr>
      </w:pPr>
      <w:bookmarkStart w:id="286" w:name="_ENREF_9_42"/>
      <w:r w:rsidRPr="00C806D0">
        <w:rPr>
          <w:rFonts w:ascii="Calibri" w:hAnsi="Calibri"/>
          <w:noProof/>
        </w:rPr>
        <w:t>42.</w:t>
      </w:r>
      <w:r w:rsidRPr="00C806D0">
        <w:rPr>
          <w:rFonts w:ascii="Calibri" w:hAnsi="Calibri"/>
          <w:noProof/>
        </w:rPr>
        <w:tab/>
        <w:t xml:space="preserve">Howard MA, 3rd, Gross AS, Dacey RG, Jr., Winn HR: </w:t>
      </w:r>
      <w:r w:rsidRPr="00C806D0">
        <w:rPr>
          <w:rFonts w:ascii="Calibri" w:hAnsi="Calibri"/>
          <w:b/>
          <w:noProof/>
        </w:rPr>
        <w:t>Acute subdural hematomas: an age-dependent clinical entity</w:t>
      </w:r>
      <w:r w:rsidRPr="00C806D0">
        <w:rPr>
          <w:rFonts w:ascii="Calibri" w:hAnsi="Calibri"/>
          <w:noProof/>
        </w:rPr>
        <w:t xml:space="preserve">. </w:t>
      </w:r>
      <w:r w:rsidRPr="00C806D0">
        <w:rPr>
          <w:rFonts w:ascii="Calibri" w:hAnsi="Calibri"/>
          <w:i/>
          <w:noProof/>
        </w:rPr>
        <w:t xml:space="preserve">J Neurosurg </w:t>
      </w:r>
      <w:r w:rsidRPr="00C806D0">
        <w:rPr>
          <w:rFonts w:ascii="Calibri" w:hAnsi="Calibri"/>
          <w:noProof/>
        </w:rPr>
        <w:t xml:space="preserve">1989, </w:t>
      </w:r>
      <w:r w:rsidRPr="00C806D0">
        <w:rPr>
          <w:rFonts w:ascii="Calibri" w:hAnsi="Calibri"/>
          <w:b/>
          <w:noProof/>
        </w:rPr>
        <w:t>71</w:t>
      </w:r>
      <w:r w:rsidRPr="00C806D0">
        <w:rPr>
          <w:rFonts w:ascii="Calibri" w:hAnsi="Calibri"/>
          <w:noProof/>
        </w:rPr>
        <w:t>(6):858-863.</w:t>
      </w:r>
      <w:bookmarkEnd w:id="286"/>
    </w:p>
    <w:p w:rsidR="006D4D62" w:rsidRPr="00C806D0" w:rsidRDefault="006D4D62" w:rsidP="006D4D62">
      <w:pPr>
        <w:spacing w:line="240" w:lineRule="auto"/>
        <w:ind w:left="720" w:hanging="720"/>
        <w:rPr>
          <w:rFonts w:ascii="Calibri" w:hAnsi="Calibri"/>
          <w:b/>
          <w:noProof/>
        </w:rPr>
      </w:pPr>
      <w:bookmarkStart w:id="287" w:name="_ENREF_9_43"/>
      <w:r w:rsidRPr="00C806D0">
        <w:rPr>
          <w:rFonts w:ascii="Calibri" w:hAnsi="Calibri"/>
          <w:noProof/>
        </w:rPr>
        <w:t>43.</w:t>
      </w:r>
      <w:r w:rsidRPr="00C806D0">
        <w:rPr>
          <w:rFonts w:ascii="Calibri" w:hAnsi="Calibri"/>
          <w:noProof/>
        </w:rPr>
        <w:tab/>
      </w:r>
      <w:r w:rsidRPr="00C806D0">
        <w:rPr>
          <w:rFonts w:ascii="Calibri" w:hAnsi="Calibri"/>
          <w:b/>
          <w:noProof/>
        </w:rPr>
        <w:t xml:space="preserve">The effectiveness of inclusive trauma systems on patient outcome. CRD42013004595 </w:t>
      </w:r>
    </w:p>
    <w:p w:rsidR="006D4D62" w:rsidRPr="00C806D0" w:rsidRDefault="006D4D62" w:rsidP="006D4D62">
      <w:pPr>
        <w:spacing w:line="240" w:lineRule="auto"/>
        <w:ind w:left="720" w:hanging="720"/>
        <w:rPr>
          <w:rFonts w:ascii="Calibri" w:hAnsi="Calibri"/>
          <w:noProof/>
        </w:rPr>
      </w:pPr>
      <w:r w:rsidRPr="00C806D0">
        <w:rPr>
          <w:rFonts w:ascii="Calibri" w:hAnsi="Calibri"/>
          <w:b/>
          <w:noProof/>
        </w:rPr>
        <w:t xml:space="preserve"> </w:t>
      </w:r>
      <w:r w:rsidRPr="00C806D0">
        <w:rPr>
          <w:rFonts w:ascii="Calibri" w:hAnsi="Calibri"/>
          <w:noProof/>
        </w:rPr>
        <w:t>[http://www.crd.york.ac.uk/PROSPERO_REBRANDING/display_record.asp?ID=CRD42013004595]</w:t>
      </w:r>
      <w:bookmarkEnd w:id="287"/>
    </w:p>
    <w:p w:rsidR="006D4D62" w:rsidRPr="00C806D0" w:rsidRDefault="006D4D62" w:rsidP="006D4D62">
      <w:pPr>
        <w:spacing w:line="240" w:lineRule="auto"/>
        <w:ind w:left="720" w:hanging="720"/>
        <w:rPr>
          <w:rFonts w:ascii="Calibri" w:hAnsi="Calibri"/>
          <w:noProof/>
        </w:rPr>
      </w:pPr>
      <w:bookmarkStart w:id="288" w:name="_ENREF_9_44"/>
      <w:r w:rsidRPr="00C806D0">
        <w:rPr>
          <w:rFonts w:ascii="Calibri" w:hAnsi="Calibri"/>
          <w:noProof/>
        </w:rPr>
        <w:t>44.</w:t>
      </w:r>
      <w:r w:rsidRPr="00C806D0">
        <w:rPr>
          <w:rFonts w:ascii="Calibri" w:hAnsi="Calibri"/>
          <w:noProof/>
        </w:rPr>
        <w:tab/>
        <w:t xml:space="preserve">Celso B, Tepas J, Langland-Orban B, Pracht E, Papa L, Lottenberg L, Flint L: </w:t>
      </w:r>
      <w:r w:rsidRPr="00C806D0">
        <w:rPr>
          <w:rFonts w:ascii="Calibri" w:hAnsi="Calibri"/>
          <w:b/>
          <w:noProof/>
        </w:rPr>
        <w:t>A systematic review and meta-analysis comparing outcome of severely injured patients treated in trauma centers following the establishment of trauma systems</w:t>
      </w:r>
      <w:r w:rsidRPr="00C806D0">
        <w:rPr>
          <w:rFonts w:ascii="Calibri" w:hAnsi="Calibri"/>
          <w:noProof/>
        </w:rPr>
        <w:t xml:space="preserve">. </w:t>
      </w:r>
      <w:r w:rsidRPr="00C806D0">
        <w:rPr>
          <w:rFonts w:ascii="Calibri" w:hAnsi="Calibri"/>
          <w:i/>
          <w:noProof/>
        </w:rPr>
        <w:t xml:space="preserve">Journal of Trauma-Injury Infection and Critical Care </w:t>
      </w:r>
      <w:r w:rsidRPr="00C806D0">
        <w:rPr>
          <w:rFonts w:ascii="Calibri" w:hAnsi="Calibri"/>
          <w:noProof/>
        </w:rPr>
        <w:t xml:space="preserve">2006, </w:t>
      </w:r>
      <w:r w:rsidRPr="00C806D0">
        <w:rPr>
          <w:rFonts w:ascii="Calibri" w:hAnsi="Calibri"/>
          <w:b/>
          <w:noProof/>
        </w:rPr>
        <w:t>60</w:t>
      </w:r>
      <w:r w:rsidRPr="00C806D0">
        <w:rPr>
          <w:rFonts w:ascii="Calibri" w:hAnsi="Calibri"/>
          <w:noProof/>
        </w:rPr>
        <w:t>(2):371-378.</w:t>
      </w:r>
      <w:bookmarkEnd w:id="288"/>
    </w:p>
    <w:p w:rsidR="006D4D62" w:rsidRPr="00C806D0" w:rsidRDefault="006D4D62" w:rsidP="006D4D62">
      <w:pPr>
        <w:spacing w:line="240" w:lineRule="auto"/>
        <w:ind w:left="720" w:hanging="720"/>
        <w:rPr>
          <w:rFonts w:ascii="Calibri" w:hAnsi="Calibri"/>
          <w:noProof/>
        </w:rPr>
      </w:pPr>
      <w:bookmarkStart w:id="289" w:name="_ENREF_9_45"/>
      <w:r w:rsidRPr="00C806D0">
        <w:rPr>
          <w:rFonts w:ascii="Calibri" w:hAnsi="Calibri"/>
          <w:noProof/>
        </w:rPr>
        <w:t>45.</w:t>
      </w:r>
      <w:r w:rsidRPr="00C806D0">
        <w:rPr>
          <w:rFonts w:ascii="Calibri" w:hAnsi="Calibri"/>
          <w:noProof/>
        </w:rPr>
        <w:tab/>
        <w:t xml:space="preserve">Mullins RJ, Mann NC: </w:t>
      </w:r>
      <w:r w:rsidRPr="00C806D0">
        <w:rPr>
          <w:rFonts w:ascii="Calibri" w:hAnsi="Calibri"/>
          <w:b/>
          <w:noProof/>
        </w:rPr>
        <w:t>Population-based research assessing the effectiveness of trauma systems</w:t>
      </w:r>
      <w:r w:rsidRPr="00C806D0">
        <w:rPr>
          <w:rFonts w:ascii="Calibri" w:hAnsi="Calibri"/>
          <w:noProof/>
        </w:rPr>
        <w:t xml:space="preserve">. </w:t>
      </w:r>
      <w:r w:rsidRPr="00C806D0">
        <w:rPr>
          <w:rFonts w:ascii="Calibri" w:hAnsi="Calibri"/>
          <w:i/>
          <w:noProof/>
        </w:rPr>
        <w:t xml:space="preserve">Journal of Trauma-Injury Infection and Critical Care </w:t>
      </w:r>
      <w:r w:rsidRPr="00C806D0">
        <w:rPr>
          <w:rFonts w:ascii="Calibri" w:hAnsi="Calibri"/>
          <w:noProof/>
        </w:rPr>
        <w:t xml:space="preserve">1999, </w:t>
      </w:r>
      <w:r w:rsidRPr="00C806D0">
        <w:rPr>
          <w:rFonts w:ascii="Calibri" w:hAnsi="Calibri"/>
          <w:b/>
          <w:noProof/>
        </w:rPr>
        <w:t>47</w:t>
      </w:r>
      <w:r w:rsidRPr="00C806D0">
        <w:rPr>
          <w:rFonts w:ascii="Calibri" w:hAnsi="Calibri"/>
          <w:noProof/>
        </w:rPr>
        <w:t>(3):S59-S66.</w:t>
      </w:r>
      <w:bookmarkEnd w:id="289"/>
    </w:p>
    <w:p w:rsidR="006D4D62" w:rsidRPr="00C806D0" w:rsidRDefault="006D4D62" w:rsidP="006D4D62">
      <w:pPr>
        <w:spacing w:line="240" w:lineRule="auto"/>
        <w:ind w:left="720" w:hanging="720"/>
        <w:rPr>
          <w:rFonts w:ascii="Calibri" w:hAnsi="Calibri"/>
          <w:noProof/>
        </w:rPr>
      </w:pPr>
      <w:bookmarkStart w:id="290" w:name="_ENREF_9_46"/>
      <w:r w:rsidRPr="00C806D0">
        <w:rPr>
          <w:rFonts w:ascii="Calibri" w:hAnsi="Calibri"/>
          <w:noProof/>
        </w:rPr>
        <w:t>46.</w:t>
      </w:r>
      <w:r w:rsidRPr="00C806D0">
        <w:rPr>
          <w:rFonts w:ascii="Calibri" w:hAnsi="Calibri"/>
          <w:noProof/>
        </w:rPr>
        <w:tab/>
        <w:t xml:space="preserve">Mann NC, Mullins RJ, MacKenzie EJ, Jurkovich GJ, Mock CN: </w:t>
      </w:r>
      <w:r w:rsidRPr="00C806D0">
        <w:rPr>
          <w:rFonts w:ascii="Calibri" w:hAnsi="Calibri"/>
          <w:b/>
          <w:noProof/>
        </w:rPr>
        <w:t>Systematic review of published evidence regarding trauma system effectiveness</w:t>
      </w:r>
      <w:r w:rsidRPr="00C806D0">
        <w:rPr>
          <w:rFonts w:ascii="Calibri" w:hAnsi="Calibri"/>
          <w:noProof/>
        </w:rPr>
        <w:t xml:space="preserve">. </w:t>
      </w:r>
      <w:r w:rsidRPr="00C806D0">
        <w:rPr>
          <w:rFonts w:ascii="Calibri" w:hAnsi="Calibri"/>
          <w:i/>
          <w:noProof/>
        </w:rPr>
        <w:t xml:space="preserve">Journal of Trauma-Injury Infection and Critical Care </w:t>
      </w:r>
      <w:r w:rsidRPr="00C806D0">
        <w:rPr>
          <w:rFonts w:ascii="Calibri" w:hAnsi="Calibri"/>
          <w:noProof/>
        </w:rPr>
        <w:t xml:space="preserve">1999, </w:t>
      </w:r>
      <w:r w:rsidRPr="00C806D0">
        <w:rPr>
          <w:rFonts w:ascii="Calibri" w:hAnsi="Calibri"/>
          <w:b/>
          <w:noProof/>
        </w:rPr>
        <w:t>47</w:t>
      </w:r>
      <w:r w:rsidRPr="00C806D0">
        <w:rPr>
          <w:rFonts w:ascii="Calibri" w:hAnsi="Calibri"/>
          <w:noProof/>
        </w:rPr>
        <w:t>(3):S25-S33.</w:t>
      </w:r>
      <w:bookmarkEnd w:id="290"/>
    </w:p>
    <w:p w:rsidR="006D4D62" w:rsidRPr="00C806D0" w:rsidRDefault="006D4D62" w:rsidP="006D4D62">
      <w:pPr>
        <w:spacing w:line="240" w:lineRule="auto"/>
        <w:ind w:left="720" w:hanging="720"/>
        <w:rPr>
          <w:rFonts w:ascii="Calibri" w:hAnsi="Calibri"/>
          <w:noProof/>
        </w:rPr>
      </w:pPr>
      <w:bookmarkStart w:id="291" w:name="_ENREF_9_47"/>
      <w:r w:rsidRPr="00C806D0">
        <w:rPr>
          <w:rFonts w:ascii="Calibri" w:hAnsi="Calibri"/>
          <w:noProof/>
        </w:rPr>
        <w:t>47.</w:t>
      </w:r>
      <w:r w:rsidRPr="00C806D0">
        <w:rPr>
          <w:rFonts w:ascii="Calibri" w:hAnsi="Calibri"/>
          <w:noProof/>
        </w:rPr>
        <w:tab/>
        <w:t xml:space="preserve">Pickering: </w:t>
      </w:r>
      <w:r w:rsidRPr="00C806D0">
        <w:rPr>
          <w:rFonts w:ascii="Calibri" w:hAnsi="Calibri"/>
          <w:b/>
          <w:noProof/>
        </w:rPr>
        <w:t>A systematic review of clinical outcome and cost effectiveness comparing a ploicy of triage and direct transfer to specialist care centre with delivery to the nearest local hospital</w:t>
      </w:r>
      <w:r w:rsidRPr="00C806D0">
        <w:rPr>
          <w:rFonts w:ascii="Calibri" w:hAnsi="Calibri"/>
          <w:noProof/>
        </w:rPr>
        <w:t>. In</w:t>
      </w:r>
      <w:r w:rsidRPr="00C806D0">
        <w:rPr>
          <w:rFonts w:ascii="Calibri" w:hAnsi="Calibri"/>
          <w:i/>
          <w:noProof/>
        </w:rPr>
        <w:t>.</w:t>
      </w:r>
      <w:r w:rsidRPr="00C806D0">
        <w:rPr>
          <w:rFonts w:ascii="Calibri" w:hAnsi="Calibri"/>
          <w:noProof/>
        </w:rPr>
        <w:t>: HTA; 2014.</w:t>
      </w:r>
      <w:bookmarkEnd w:id="291"/>
    </w:p>
    <w:p w:rsidR="006D4D62" w:rsidRPr="00C806D0" w:rsidRDefault="006D4D62" w:rsidP="006D4D62">
      <w:pPr>
        <w:spacing w:line="240" w:lineRule="auto"/>
        <w:ind w:left="720" w:hanging="720"/>
        <w:rPr>
          <w:rFonts w:ascii="Calibri" w:hAnsi="Calibri"/>
          <w:noProof/>
        </w:rPr>
      </w:pPr>
      <w:bookmarkStart w:id="292" w:name="_ENREF_9_48"/>
      <w:r w:rsidRPr="00C806D0">
        <w:rPr>
          <w:rFonts w:ascii="Calibri" w:hAnsi="Calibri"/>
          <w:noProof/>
        </w:rPr>
        <w:t>48.</w:t>
      </w:r>
      <w:r w:rsidRPr="00C806D0">
        <w:rPr>
          <w:rFonts w:ascii="Calibri" w:hAnsi="Calibri"/>
          <w:noProof/>
        </w:rPr>
        <w:tab/>
        <w:t xml:space="preserve">Williams T, Finn J, Fatovich D, Jacobs I: </w:t>
      </w:r>
      <w:r w:rsidRPr="00C806D0">
        <w:rPr>
          <w:rFonts w:ascii="Calibri" w:hAnsi="Calibri"/>
          <w:b/>
          <w:noProof/>
        </w:rPr>
        <w:t>Outcomes of different health care contexts for direct transport to a trauma center versus initial secondary center care: a systematic review and meta-analysis</w:t>
      </w:r>
      <w:r w:rsidRPr="00C806D0">
        <w:rPr>
          <w:rFonts w:ascii="Calibri" w:hAnsi="Calibri"/>
          <w:noProof/>
        </w:rPr>
        <w:t xml:space="preserve">. </w:t>
      </w:r>
      <w:r w:rsidRPr="00C806D0">
        <w:rPr>
          <w:rFonts w:ascii="Calibri" w:hAnsi="Calibri"/>
          <w:i/>
          <w:noProof/>
        </w:rPr>
        <w:t xml:space="preserve">Prehospital emergency care : official journal of the National Association of EMS Physicians and the National Association of State EMS Directors </w:t>
      </w:r>
      <w:r w:rsidRPr="00C806D0">
        <w:rPr>
          <w:rFonts w:ascii="Calibri" w:hAnsi="Calibri"/>
          <w:noProof/>
        </w:rPr>
        <w:t xml:space="preserve">2013, </w:t>
      </w:r>
      <w:r w:rsidRPr="00C806D0">
        <w:rPr>
          <w:rFonts w:ascii="Calibri" w:hAnsi="Calibri"/>
          <w:b/>
          <w:noProof/>
        </w:rPr>
        <w:t>17</w:t>
      </w:r>
      <w:r w:rsidRPr="00C806D0">
        <w:rPr>
          <w:rFonts w:ascii="Calibri" w:hAnsi="Calibri"/>
          <w:noProof/>
        </w:rPr>
        <w:t>(4):442-457.</w:t>
      </w:r>
      <w:bookmarkEnd w:id="292"/>
    </w:p>
    <w:p w:rsidR="006D4D62" w:rsidRPr="00C806D0" w:rsidRDefault="006D4D62" w:rsidP="006D4D62">
      <w:pPr>
        <w:spacing w:line="240" w:lineRule="auto"/>
        <w:ind w:left="720" w:hanging="720"/>
        <w:rPr>
          <w:rFonts w:ascii="Calibri" w:hAnsi="Calibri"/>
          <w:noProof/>
        </w:rPr>
      </w:pPr>
      <w:bookmarkStart w:id="293" w:name="_ENREF_9_49"/>
      <w:r w:rsidRPr="00C806D0">
        <w:rPr>
          <w:rFonts w:ascii="Calibri" w:hAnsi="Calibri"/>
          <w:noProof/>
        </w:rPr>
        <w:t>49.</w:t>
      </w:r>
      <w:r w:rsidRPr="00C806D0">
        <w:rPr>
          <w:rFonts w:ascii="Calibri" w:hAnsi="Calibri"/>
          <w:noProof/>
        </w:rPr>
        <w:tab/>
        <w:t xml:space="preserve">Hill AD, Fowler RA, Nathens AB: </w:t>
      </w:r>
      <w:r w:rsidRPr="00C806D0">
        <w:rPr>
          <w:rFonts w:ascii="Calibri" w:hAnsi="Calibri"/>
          <w:b/>
          <w:noProof/>
        </w:rPr>
        <w:t>Impact of interhospital transfer on outcomes for trauma patients: a systematic review</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2011, </w:t>
      </w:r>
      <w:r w:rsidRPr="00C806D0">
        <w:rPr>
          <w:rFonts w:ascii="Calibri" w:hAnsi="Calibri"/>
          <w:b/>
          <w:noProof/>
        </w:rPr>
        <w:t>71</w:t>
      </w:r>
      <w:r w:rsidRPr="00C806D0">
        <w:rPr>
          <w:rFonts w:ascii="Calibri" w:hAnsi="Calibri"/>
          <w:noProof/>
        </w:rPr>
        <w:t>(6):1885-1900; discussion 1901.</w:t>
      </w:r>
      <w:bookmarkEnd w:id="293"/>
    </w:p>
    <w:p w:rsidR="006D4D62" w:rsidRPr="00C806D0" w:rsidRDefault="006D4D62" w:rsidP="006D4D62">
      <w:pPr>
        <w:spacing w:line="240" w:lineRule="auto"/>
        <w:ind w:left="720" w:hanging="720"/>
        <w:rPr>
          <w:rFonts w:ascii="Calibri" w:hAnsi="Calibri"/>
          <w:noProof/>
        </w:rPr>
      </w:pPr>
      <w:bookmarkStart w:id="294" w:name="_ENREF_9_50"/>
      <w:r w:rsidRPr="00C806D0">
        <w:rPr>
          <w:rFonts w:ascii="Calibri" w:hAnsi="Calibri"/>
          <w:noProof/>
        </w:rPr>
        <w:t>50.</w:t>
      </w:r>
      <w:r w:rsidRPr="00C806D0">
        <w:rPr>
          <w:rFonts w:ascii="Calibri" w:hAnsi="Calibri"/>
          <w:noProof/>
        </w:rPr>
        <w:tab/>
        <w:t xml:space="preserve">Nathens AB, Jurkovich GJ, Cummings P, Rivara FP, Maier RV: </w:t>
      </w:r>
      <w:r w:rsidRPr="00C806D0">
        <w:rPr>
          <w:rFonts w:ascii="Calibri" w:hAnsi="Calibri"/>
          <w:b/>
          <w:noProof/>
        </w:rPr>
        <w:t>The effect of organized systems of trauma care on motor vehicle crash mortality</w:t>
      </w:r>
      <w:r w:rsidRPr="00C806D0">
        <w:rPr>
          <w:rFonts w:ascii="Calibri" w:hAnsi="Calibri"/>
          <w:noProof/>
        </w:rPr>
        <w:t xml:space="preserve">. </w:t>
      </w:r>
      <w:r w:rsidRPr="00C806D0">
        <w:rPr>
          <w:rFonts w:ascii="Calibri" w:hAnsi="Calibri"/>
          <w:i/>
          <w:noProof/>
        </w:rPr>
        <w:t xml:space="preserve">JAMA : the journal of the American Medical Association </w:t>
      </w:r>
      <w:r w:rsidRPr="00C806D0">
        <w:rPr>
          <w:rFonts w:ascii="Calibri" w:hAnsi="Calibri"/>
          <w:noProof/>
        </w:rPr>
        <w:t xml:space="preserve">2000, </w:t>
      </w:r>
      <w:r w:rsidRPr="00C806D0">
        <w:rPr>
          <w:rFonts w:ascii="Calibri" w:hAnsi="Calibri"/>
          <w:b/>
          <w:noProof/>
        </w:rPr>
        <w:t>283</w:t>
      </w:r>
      <w:r w:rsidRPr="00C806D0">
        <w:rPr>
          <w:rFonts w:ascii="Calibri" w:hAnsi="Calibri"/>
          <w:noProof/>
        </w:rPr>
        <w:t>(15):1990-1994.</w:t>
      </w:r>
      <w:bookmarkEnd w:id="294"/>
    </w:p>
    <w:p w:rsidR="006D4D62" w:rsidRPr="00C806D0" w:rsidRDefault="006D4D62" w:rsidP="006D4D62">
      <w:pPr>
        <w:spacing w:line="240" w:lineRule="auto"/>
        <w:ind w:left="720" w:hanging="720"/>
        <w:rPr>
          <w:rFonts w:ascii="Calibri" w:hAnsi="Calibri"/>
          <w:noProof/>
        </w:rPr>
      </w:pPr>
      <w:bookmarkStart w:id="295" w:name="_ENREF_9_51"/>
      <w:r w:rsidRPr="00C806D0">
        <w:rPr>
          <w:rFonts w:ascii="Calibri" w:hAnsi="Calibri"/>
          <w:noProof/>
        </w:rPr>
        <w:t>51.</w:t>
      </w:r>
      <w:r w:rsidRPr="00C806D0">
        <w:rPr>
          <w:rFonts w:ascii="Calibri" w:hAnsi="Calibri"/>
          <w:noProof/>
        </w:rPr>
        <w:tab/>
        <w:t xml:space="preserve">Mullins RJ, Mann NC, Hedges JR, Worrall W, Jurkovich GJ: </w:t>
      </w:r>
      <w:r w:rsidRPr="00C806D0">
        <w:rPr>
          <w:rFonts w:ascii="Calibri" w:hAnsi="Calibri"/>
          <w:b/>
          <w:noProof/>
        </w:rPr>
        <w:t>Preferential benefit of implementation of a statewide trauma system in one of two adjacent states</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1998, </w:t>
      </w:r>
      <w:r w:rsidRPr="00C806D0">
        <w:rPr>
          <w:rFonts w:ascii="Calibri" w:hAnsi="Calibri"/>
          <w:b/>
          <w:noProof/>
        </w:rPr>
        <w:t>44</w:t>
      </w:r>
      <w:r w:rsidRPr="00C806D0">
        <w:rPr>
          <w:rFonts w:ascii="Calibri" w:hAnsi="Calibri"/>
          <w:noProof/>
        </w:rPr>
        <w:t>(4):609-616; discussion 617.</w:t>
      </w:r>
      <w:bookmarkEnd w:id="295"/>
    </w:p>
    <w:p w:rsidR="006D4D62" w:rsidRPr="00C806D0" w:rsidRDefault="006D4D62" w:rsidP="006D4D62">
      <w:pPr>
        <w:spacing w:line="240" w:lineRule="auto"/>
        <w:ind w:left="720" w:hanging="720"/>
        <w:rPr>
          <w:rFonts w:ascii="Calibri" w:hAnsi="Calibri"/>
          <w:noProof/>
        </w:rPr>
      </w:pPr>
      <w:bookmarkStart w:id="296" w:name="_ENREF_9_52"/>
      <w:r w:rsidRPr="00C806D0">
        <w:rPr>
          <w:rFonts w:ascii="Calibri" w:hAnsi="Calibri"/>
          <w:noProof/>
        </w:rPr>
        <w:t>52.</w:t>
      </w:r>
      <w:r w:rsidRPr="00C806D0">
        <w:rPr>
          <w:rFonts w:ascii="Calibri" w:hAnsi="Calibri"/>
          <w:noProof/>
        </w:rPr>
        <w:tab/>
        <w:t xml:space="preserve">Shafi S, Nathens AB, Elliott AC, Gentilello L: </w:t>
      </w:r>
      <w:r w:rsidRPr="00C806D0">
        <w:rPr>
          <w:rFonts w:ascii="Calibri" w:hAnsi="Calibri"/>
          <w:b/>
          <w:noProof/>
        </w:rPr>
        <w:t>Effect of trauma systems on motor vehicle occupant mortality: A comparison between states with and without a formal system</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2006, </w:t>
      </w:r>
      <w:r w:rsidRPr="00C806D0">
        <w:rPr>
          <w:rFonts w:ascii="Calibri" w:hAnsi="Calibri"/>
          <w:b/>
          <w:noProof/>
        </w:rPr>
        <w:t>61</w:t>
      </w:r>
      <w:r w:rsidRPr="00C806D0">
        <w:rPr>
          <w:rFonts w:ascii="Calibri" w:hAnsi="Calibri"/>
          <w:noProof/>
        </w:rPr>
        <w:t>(6):1374-1378; discussion 1378-1379.</w:t>
      </w:r>
      <w:bookmarkEnd w:id="296"/>
    </w:p>
    <w:p w:rsidR="006D4D62" w:rsidRPr="00C806D0" w:rsidRDefault="006D4D62" w:rsidP="006D4D62">
      <w:pPr>
        <w:spacing w:line="240" w:lineRule="auto"/>
        <w:ind w:left="720" w:hanging="720"/>
        <w:rPr>
          <w:rFonts w:ascii="Calibri" w:hAnsi="Calibri"/>
          <w:noProof/>
        </w:rPr>
      </w:pPr>
      <w:bookmarkStart w:id="297" w:name="_ENREF_9_53"/>
      <w:r w:rsidRPr="00C806D0">
        <w:rPr>
          <w:rFonts w:ascii="Calibri" w:hAnsi="Calibri"/>
          <w:noProof/>
        </w:rPr>
        <w:t>53.</w:t>
      </w:r>
      <w:r w:rsidRPr="00C806D0">
        <w:rPr>
          <w:rFonts w:ascii="Calibri" w:hAnsi="Calibri"/>
          <w:noProof/>
        </w:rPr>
        <w:tab/>
        <w:t xml:space="preserve">Humphreys I, Wood RL, Phillips CJ, Macey S: </w:t>
      </w:r>
      <w:r w:rsidRPr="00C806D0">
        <w:rPr>
          <w:rFonts w:ascii="Calibri" w:hAnsi="Calibri"/>
          <w:b/>
          <w:noProof/>
        </w:rPr>
        <w:t>The costs of traumatic brain injury: a literature review</w:t>
      </w:r>
      <w:r w:rsidRPr="00C806D0">
        <w:rPr>
          <w:rFonts w:ascii="Calibri" w:hAnsi="Calibri"/>
          <w:noProof/>
        </w:rPr>
        <w:t xml:space="preserve">. </w:t>
      </w:r>
      <w:r w:rsidRPr="00C806D0">
        <w:rPr>
          <w:rFonts w:ascii="Calibri" w:hAnsi="Calibri"/>
          <w:i/>
          <w:noProof/>
        </w:rPr>
        <w:t xml:space="preserve">ClinicoEconomics and outcomes research : CEOR </w:t>
      </w:r>
      <w:r w:rsidRPr="00C806D0">
        <w:rPr>
          <w:rFonts w:ascii="Calibri" w:hAnsi="Calibri"/>
          <w:noProof/>
        </w:rPr>
        <w:t xml:space="preserve">2013, </w:t>
      </w:r>
      <w:r w:rsidRPr="00C806D0">
        <w:rPr>
          <w:rFonts w:ascii="Calibri" w:hAnsi="Calibri"/>
          <w:b/>
          <w:noProof/>
        </w:rPr>
        <w:t>5</w:t>
      </w:r>
      <w:r w:rsidRPr="00C806D0">
        <w:rPr>
          <w:rFonts w:ascii="Calibri" w:hAnsi="Calibri"/>
          <w:noProof/>
        </w:rPr>
        <w:t>:281-287.</w:t>
      </w:r>
      <w:bookmarkEnd w:id="297"/>
    </w:p>
    <w:p w:rsidR="006D4D62" w:rsidRPr="00C806D0" w:rsidRDefault="006D4D62" w:rsidP="006D4D62">
      <w:pPr>
        <w:spacing w:line="240" w:lineRule="auto"/>
        <w:ind w:left="720" w:hanging="720"/>
        <w:rPr>
          <w:rFonts w:ascii="Calibri" w:hAnsi="Calibri"/>
          <w:noProof/>
        </w:rPr>
      </w:pPr>
      <w:bookmarkStart w:id="298" w:name="_ENREF_9_54"/>
      <w:r w:rsidRPr="00C806D0">
        <w:rPr>
          <w:rFonts w:ascii="Calibri" w:hAnsi="Calibri"/>
          <w:noProof/>
        </w:rPr>
        <w:t>54.</w:t>
      </w:r>
      <w:r w:rsidRPr="00C806D0">
        <w:rPr>
          <w:rFonts w:ascii="Calibri" w:hAnsi="Calibri"/>
          <w:noProof/>
        </w:rPr>
        <w:tab/>
        <w:t xml:space="preserve">Beecham J, Perkins M, Snell T, Knapp M: </w:t>
      </w:r>
      <w:r w:rsidRPr="00C806D0">
        <w:rPr>
          <w:rFonts w:ascii="Calibri" w:hAnsi="Calibri"/>
          <w:b/>
          <w:noProof/>
        </w:rPr>
        <w:t>Treatment paths and costs for young adults with acquired brain injury in the United Kingdom</w:t>
      </w:r>
      <w:r w:rsidRPr="00C806D0">
        <w:rPr>
          <w:rFonts w:ascii="Calibri" w:hAnsi="Calibri"/>
          <w:noProof/>
        </w:rPr>
        <w:t xml:space="preserve">. </w:t>
      </w:r>
      <w:r w:rsidRPr="00C806D0">
        <w:rPr>
          <w:rFonts w:ascii="Calibri" w:hAnsi="Calibri"/>
          <w:i/>
          <w:noProof/>
        </w:rPr>
        <w:t xml:space="preserve">Brain injury : [BI] </w:t>
      </w:r>
      <w:r w:rsidRPr="00C806D0">
        <w:rPr>
          <w:rFonts w:ascii="Calibri" w:hAnsi="Calibri"/>
          <w:noProof/>
        </w:rPr>
        <w:t xml:space="preserve">2009, </w:t>
      </w:r>
      <w:r w:rsidRPr="00C806D0">
        <w:rPr>
          <w:rFonts w:ascii="Calibri" w:hAnsi="Calibri"/>
          <w:b/>
          <w:noProof/>
        </w:rPr>
        <w:t>23</w:t>
      </w:r>
      <w:r w:rsidRPr="00C806D0">
        <w:rPr>
          <w:rFonts w:ascii="Calibri" w:hAnsi="Calibri"/>
          <w:noProof/>
        </w:rPr>
        <w:t>(1):30-38.</w:t>
      </w:r>
      <w:bookmarkEnd w:id="298"/>
    </w:p>
    <w:p w:rsidR="006D4D62" w:rsidRPr="00C806D0" w:rsidRDefault="006D4D62" w:rsidP="006D4D62">
      <w:pPr>
        <w:spacing w:line="240" w:lineRule="auto"/>
        <w:ind w:left="720" w:hanging="720"/>
        <w:rPr>
          <w:rFonts w:ascii="Calibri" w:hAnsi="Calibri"/>
          <w:noProof/>
        </w:rPr>
      </w:pPr>
      <w:bookmarkStart w:id="299" w:name="_ENREF_9_55"/>
      <w:r w:rsidRPr="00C806D0">
        <w:rPr>
          <w:rFonts w:ascii="Calibri" w:hAnsi="Calibri"/>
          <w:noProof/>
        </w:rPr>
        <w:t>55.</w:t>
      </w:r>
      <w:r w:rsidRPr="00C806D0">
        <w:rPr>
          <w:rFonts w:ascii="Calibri" w:hAnsi="Calibri"/>
          <w:noProof/>
        </w:rPr>
        <w:tab/>
        <w:t xml:space="preserve">Leibson CL, Brown AW, Hall Long K, Ransom JE, Mandrekar J, Osler TM, Malec JF: </w:t>
      </w:r>
      <w:r w:rsidRPr="00C806D0">
        <w:rPr>
          <w:rFonts w:ascii="Calibri" w:hAnsi="Calibri"/>
          <w:b/>
          <w:noProof/>
        </w:rPr>
        <w:t>Medical care costs associated with traumatic brain injury over the full spectrum of disease: a controlled population-based study</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2012, </w:t>
      </w:r>
      <w:r w:rsidRPr="00C806D0">
        <w:rPr>
          <w:rFonts w:ascii="Calibri" w:hAnsi="Calibri"/>
          <w:b/>
          <w:noProof/>
        </w:rPr>
        <w:t>29</w:t>
      </w:r>
      <w:r w:rsidRPr="00C806D0">
        <w:rPr>
          <w:rFonts w:ascii="Calibri" w:hAnsi="Calibri"/>
          <w:noProof/>
        </w:rPr>
        <w:t>(11):2038-2049.</w:t>
      </w:r>
      <w:bookmarkEnd w:id="299"/>
    </w:p>
    <w:p w:rsidR="006D4D62" w:rsidRPr="00C806D0" w:rsidRDefault="006D4D62" w:rsidP="006D4D62">
      <w:pPr>
        <w:spacing w:line="240" w:lineRule="auto"/>
        <w:ind w:left="720" w:hanging="720"/>
        <w:rPr>
          <w:rFonts w:ascii="Calibri" w:hAnsi="Calibri"/>
          <w:noProof/>
        </w:rPr>
      </w:pPr>
      <w:bookmarkStart w:id="300" w:name="_ENREF_9_56"/>
      <w:r w:rsidRPr="00C806D0">
        <w:rPr>
          <w:rFonts w:ascii="Calibri" w:hAnsi="Calibri"/>
          <w:noProof/>
        </w:rPr>
        <w:t>56.</w:t>
      </w:r>
      <w:r w:rsidRPr="00C806D0">
        <w:rPr>
          <w:rFonts w:ascii="Calibri" w:hAnsi="Calibri"/>
          <w:noProof/>
        </w:rPr>
        <w:tab/>
        <w:t xml:space="preserve">Faul M, Wald MM, Rutland-Brown W, Sullivent EE, Sattin RW: </w:t>
      </w:r>
      <w:r w:rsidRPr="00C806D0">
        <w:rPr>
          <w:rFonts w:ascii="Calibri" w:hAnsi="Calibri"/>
          <w:b/>
          <w:noProof/>
        </w:rPr>
        <w:t>Using a cost-benefit analysis to estimate outcomes of a clinical treatment guideline: testing theBrain Trauma Foundation guidelines for the treatment of severe traumatic brain injury</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2007, </w:t>
      </w:r>
      <w:r w:rsidRPr="00C806D0">
        <w:rPr>
          <w:rFonts w:ascii="Calibri" w:hAnsi="Calibri"/>
          <w:b/>
          <w:noProof/>
        </w:rPr>
        <w:t>63</w:t>
      </w:r>
      <w:r w:rsidRPr="00C806D0">
        <w:rPr>
          <w:rFonts w:ascii="Calibri" w:hAnsi="Calibri"/>
          <w:noProof/>
        </w:rPr>
        <w:t>(6):1271-1278.</w:t>
      </w:r>
      <w:bookmarkEnd w:id="300"/>
    </w:p>
    <w:p w:rsidR="006D4D62" w:rsidRPr="00C806D0" w:rsidRDefault="006D4D62" w:rsidP="006D4D62">
      <w:pPr>
        <w:spacing w:line="240" w:lineRule="auto"/>
        <w:ind w:left="720" w:hanging="720"/>
        <w:rPr>
          <w:rFonts w:ascii="Calibri" w:hAnsi="Calibri"/>
          <w:noProof/>
        </w:rPr>
      </w:pPr>
      <w:bookmarkStart w:id="301" w:name="_ENREF_9_57"/>
      <w:r w:rsidRPr="00C806D0">
        <w:rPr>
          <w:rFonts w:ascii="Calibri" w:hAnsi="Calibri"/>
          <w:noProof/>
        </w:rPr>
        <w:t>57.</w:t>
      </w:r>
      <w:r w:rsidRPr="00C806D0">
        <w:rPr>
          <w:rFonts w:ascii="Calibri" w:hAnsi="Calibri"/>
          <w:noProof/>
        </w:rPr>
        <w:tab/>
        <w:t xml:space="preserve">Finkelstein E, Corso PS, Miller TR: </w:t>
      </w:r>
      <w:r w:rsidRPr="00C806D0">
        <w:rPr>
          <w:rFonts w:ascii="Calibri" w:hAnsi="Calibri"/>
          <w:b/>
          <w:noProof/>
        </w:rPr>
        <w:t>The incidence and economic burden of injuries in the United States</w:t>
      </w:r>
      <w:r w:rsidRPr="00C806D0">
        <w:rPr>
          <w:rFonts w:ascii="Calibri" w:hAnsi="Calibri"/>
          <w:noProof/>
        </w:rPr>
        <w:t>. Oxford ; New York: Oxford University Press; 2006.</w:t>
      </w:r>
      <w:bookmarkEnd w:id="301"/>
    </w:p>
    <w:p w:rsidR="006D4D62" w:rsidRPr="00C806D0" w:rsidRDefault="006D4D62" w:rsidP="006D4D62">
      <w:pPr>
        <w:spacing w:line="240" w:lineRule="auto"/>
        <w:ind w:left="720" w:hanging="720"/>
        <w:rPr>
          <w:rFonts w:ascii="Calibri" w:hAnsi="Calibri"/>
          <w:noProof/>
        </w:rPr>
      </w:pPr>
      <w:bookmarkStart w:id="302" w:name="_ENREF_9_58"/>
      <w:r w:rsidRPr="00C806D0">
        <w:rPr>
          <w:rFonts w:ascii="Calibri" w:hAnsi="Calibri"/>
          <w:noProof/>
        </w:rPr>
        <w:t>58.</w:t>
      </w:r>
      <w:r w:rsidRPr="00C806D0">
        <w:rPr>
          <w:rFonts w:ascii="Calibri" w:hAnsi="Calibri"/>
          <w:noProof/>
        </w:rPr>
        <w:tab/>
        <w:t xml:space="preserve">Nicholl J TJ, Ohn T, Mason S, Dixon S, Edmonds T.: </w:t>
      </w:r>
      <w:r w:rsidRPr="00C806D0">
        <w:rPr>
          <w:rFonts w:ascii="Calibri" w:hAnsi="Calibri"/>
          <w:b/>
          <w:noProof/>
        </w:rPr>
        <w:t>HALO. Long Term Outcomes of Accidental Injury.</w:t>
      </w:r>
      <w:r w:rsidRPr="00C806D0">
        <w:rPr>
          <w:rFonts w:ascii="Calibri" w:hAnsi="Calibri"/>
          <w:noProof/>
        </w:rPr>
        <w:t xml:space="preserve"> In</w:t>
      </w:r>
      <w:r w:rsidRPr="00C806D0">
        <w:rPr>
          <w:rFonts w:ascii="Calibri" w:hAnsi="Calibri"/>
          <w:i/>
          <w:noProof/>
        </w:rPr>
        <w:t>.</w:t>
      </w:r>
      <w:r w:rsidRPr="00C806D0">
        <w:rPr>
          <w:rFonts w:ascii="Calibri" w:hAnsi="Calibri"/>
          <w:noProof/>
        </w:rPr>
        <w:t>: University of Sheffield; 2006.</w:t>
      </w:r>
      <w:bookmarkEnd w:id="302"/>
    </w:p>
    <w:p w:rsidR="006D4D62" w:rsidRPr="00C806D0" w:rsidRDefault="006D4D62" w:rsidP="006D4D62">
      <w:pPr>
        <w:spacing w:line="240" w:lineRule="auto"/>
        <w:ind w:left="720" w:hanging="720"/>
        <w:rPr>
          <w:rFonts w:ascii="Calibri" w:hAnsi="Calibri"/>
          <w:noProof/>
        </w:rPr>
      </w:pPr>
      <w:bookmarkStart w:id="303" w:name="_ENREF_9_59"/>
      <w:r w:rsidRPr="00C806D0">
        <w:rPr>
          <w:rFonts w:ascii="Calibri" w:hAnsi="Calibri"/>
          <w:noProof/>
        </w:rPr>
        <w:t>59.</w:t>
      </w:r>
      <w:r w:rsidRPr="00C806D0">
        <w:rPr>
          <w:rFonts w:ascii="Calibri" w:hAnsi="Calibri"/>
          <w:noProof/>
        </w:rPr>
        <w:tab/>
        <w:t xml:space="preserve">Tsauo JY, Hwang JS, Chiu WT, Hung CC, Wang JD: </w:t>
      </w:r>
      <w:r w:rsidRPr="00C806D0">
        <w:rPr>
          <w:rFonts w:ascii="Calibri" w:hAnsi="Calibri"/>
          <w:b/>
          <w:noProof/>
        </w:rPr>
        <w:t>Estimation of expected utility gained from the helmet law in Taiwan by quality-adjusted survival time</w:t>
      </w:r>
      <w:r w:rsidRPr="00C806D0">
        <w:rPr>
          <w:rFonts w:ascii="Calibri" w:hAnsi="Calibri"/>
          <w:noProof/>
        </w:rPr>
        <w:t xml:space="preserve">. </w:t>
      </w:r>
      <w:r w:rsidRPr="00C806D0">
        <w:rPr>
          <w:rFonts w:ascii="Calibri" w:hAnsi="Calibri"/>
          <w:i/>
          <w:noProof/>
        </w:rPr>
        <w:t xml:space="preserve">Accident; analysis and prevention </w:t>
      </w:r>
      <w:r w:rsidRPr="00C806D0">
        <w:rPr>
          <w:rFonts w:ascii="Calibri" w:hAnsi="Calibri"/>
          <w:noProof/>
        </w:rPr>
        <w:t xml:space="preserve">1999, </w:t>
      </w:r>
      <w:r w:rsidRPr="00C806D0">
        <w:rPr>
          <w:rFonts w:ascii="Calibri" w:hAnsi="Calibri"/>
          <w:b/>
          <w:noProof/>
        </w:rPr>
        <w:t>31</w:t>
      </w:r>
      <w:r w:rsidRPr="00C806D0">
        <w:rPr>
          <w:rFonts w:ascii="Calibri" w:hAnsi="Calibri"/>
          <w:noProof/>
        </w:rPr>
        <w:t>(3):253-263.</w:t>
      </w:r>
      <w:bookmarkEnd w:id="303"/>
    </w:p>
    <w:p w:rsidR="006D4D62" w:rsidRPr="00C806D0" w:rsidRDefault="006D4D62" w:rsidP="006D4D62">
      <w:pPr>
        <w:spacing w:line="240" w:lineRule="auto"/>
        <w:ind w:left="720" w:hanging="720"/>
        <w:rPr>
          <w:rFonts w:ascii="Calibri" w:hAnsi="Calibri"/>
          <w:noProof/>
        </w:rPr>
      </w:pPr>
      <w:bookmarkStart w:id="304" w:name="_ENREF_9_60"/>
      <w:r w:rsidRPr="00C806D0">
        <w:rPr>
          <w:rFonts w:ascii="Calibri" w:hAnsi="Calibri"/>
          <w:noProof/>
        </w:rPr>
        <w:t>60.</w:t>
      </w:r>
      <w:r w:rsidRPr="00C806D0">
        <w:rPr>
          <w:rFonts w:ascii="Calibri" w:hAnsi="Calibri"/>
          <w:noProof/>
        </w:rPr>
        <w:tab/>
        <w:t>Smits M, Dippel DW, Nederkoorn PJ, Dekker HM, Vos PE, Kool DR, van Rijssel DA, Hofman PA, Twijnstra A, Tanghe HL</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Minor head injury: CT-based strategies for management--a cost-effectiveness analysis</w:t>
      </w:r>
      <w:r w:rsidRPr="00C806D0">
        <w:rPr>
          <w:rFonts w:ascii="Calibri" w:hAnsi="Calibri"/>
          <w:noProof/>
        </w:rPr>
        <w:t xml:space="preserve">. </w:t>
      </w:r>
      <w:r w:rsidRPr="00C806D0">
        <w:rPr>
          <w:rFonts w:ascii="Calibri" w:hAnsi="Calibri"/>
          <w:i/>
          <w:noProof/>
        </w:rPr>
        <w:t xml:space="preserve">Radiology </w:t>
      </w:r>
      <w:r w:rsidRPr="00C806D0">
        <w:rPr>
          <w:rFonts w:ascii="Calibri" w:hAnsi="Calibri"/>
          <w:noProof/>
        </w:rPr>
        <w:t xml:space="preserve">2010, </w:t>
      </w:r>
      <w:r w:rsidRPr="00C806D0">
        <w:rPr>
          <w:rFonts w:ascii="Calibri" w:hAnsi="Calibri"/>
          <w:b/>
          <w:noProof/>
        </w:rPr>
        <w:t>254</w:t>
      </w:r>
      <w:r w:rsidRPr="00C806D0">
        <w:rPr>
          <w:rFonts w:ascii="Calibri" w:hAnsi="Calibri"/>
          <w:noProof/>
        </w:rPr>
        <w:t>(2):532-540.</w:t>
      </w:r>
      <w:bookmarkEnd w:id="304"/>
    </w:p>
    <w:p w:rsidR="006D4D62" w:rsidRPr="00C806D0" w:rsidRDefault="006D4D62" w:rsidP="006D4D62">
      <w:pPr>
        <w:spacing w:line="240" w:lineRule="auto"/>
        <w:ind w:left="720" w:hanging="720"/>
        <w:rPr>
          <w:rFonts w:ascii="Calibri" w:hAnsi="Calibri"/>
          <w:noProof/>
        </w:rPr>
      </w:pPr>
      <w:bookmarkStart w:id="305" w:name="_ENREF_9_61"/>
      <w:r w:rsidRPr="00C806D0">
        <w:rPr>
          <w:rFonts w:ascii="Calibri" w:hAnsi="Calibri"/>
          <w:noProof/>
        </w:rPr>
        <w:t>61.</w:t>
      </w:r>
      <w:r w:rsidRPr="00C806D0">
        <w:rPr>
          <w:rFonts w:ascii="Calibri" w:hAnsi="Calibri"/>
          <w:noProof/>
        </w:rPr>
        <w:tab/>
        <w:t xml:space="preserve">Kosty J, Macyszyn L, Lai K, McCroskery J, Park HR, Stein SC: </w:t>
      </w:r>
      <w:r w:rsidRPr="00C806D0">
        <w:rPr>
          <w:rFonts w:ascii="Calibri" w:hAnsi="Calibri"/>
          <w:b/>
          <w:noProof/>
        </w:rPr>
        <w:t>Relating quality of life to Glasgow outcome scale health states</w:t>
      </w:r>
      <w:r w:rsidRPr="00C806D0">
        <w:rPr>
          <w:rFonts w:ascii="Calibri" w:hAnsi="Calibri"/>
          <w:noProof/>
        </w:rPr>
        <w:t xml:space="preserve">. </w:t>
      </w:r>
      <w:r w:rsidRPr="00C806D0">
        <w:rPr>
          <w:rFonts w:ascii="Calibri" w:hAnsi="Calibri"/>
          <w:i/>
          <w:noProof/>
        </w:rPr>
        <w:t xml:space="preserve">J Neurotrauma </w:t>
      </w:r>
      <w:r w:rsidRPr="00C806D0">
        <w:rPr>
          <w:rFonts w:ascii="Calibri" w:hAnsi="Calibri"/>
          <w:noProof/>
        </w:rPr>
        <w:t xml:space="preserve">2012, </w:t>
      </w:r>
      <w:r w:rsidRPr="00C806D0">
        <w:rPr>
          <w:rFonts w:ascii="Calibri" w:hAnsi="Calibri"/>
          <w:b/>
          <w:noProof/>
        </w:rPr>
        <w:t>29</w:t>
      </w:r>
      <w:r w:rsidRPr="00C806D0">
        <w:rPr>
          <w:rFonts w:ascii="Calibri" w:hAnsi="Calibri"/>
          <w:noProof/>
        </w:rPr>
        <w:t>(7):1322-1327.</w:t>
      </w:r>
      <w:bookmarkEnd w:id="305"/>
    </w:p>
    <w:p w:rsidR="006D4D62" w:rsidRPr="00C806D0" w:rsidRDefault="006D4D62" w:rsidP="006D4D62">
      <w:pPr>
        <w:spacing w:line="240" w:lineRule="auto"/>
        <w:ind w:left="720" w:hanging="720"/>
        <w:rPr>
          <w:rFonts w:ascii="Calibri" w:hAnsi="Calibri"/>
          <w:noProof/>
        </w:rPr>
      </w:pPr>
      <w:bookmarkStart w:id="306" w:name="_ENREF_9_62"/>
      <w:r w:rsidRPr="00C806D0">
        <w:rPr>
          <w:rFonts w:ascii="Calibri" w:hAnsi="Calibri"/>
          <w:noProof/>
        </w:rPr>
        <w:t>62.</w:t>
      </w:r>
      <w:r w:rsidRPr="00C806D0">
        <w:rPr>
          <w:rFonts w:ascii="Calibri" w:hAnsi="Calibri"/>
          <w:noProof/>
        </w:rPr>
        <w:tab/>
        <w:t xml:space="preserve">Dijkers MP: </w:t>
      </w:r>
      <w:r w:rsidRPr="00C806D0">
        <w:rPr>
          <w:rFonts w:ascii="Calibri" w:hAnsi="Calibri"/>
          <w:b/>
          <w:noProof/>
        </w:rPr>
        <w:t>Quality of life after traumatic brain injury: a review of research approaches and findings</w:t>
      </w:r>
      <w:r w:rsidRPr="00C806D0">
        <w:rPr>
          <w:rFonts w:ascii="Calibri" w:hAnsi="Calibri"/>
          <w:noProof/>
        </w:rPr>
        <w:t xml:space="preserve">. </w:t>
      </w:r>
      <w:r w:rsidRPr="00C806D0">
        <w:rPr>
          <w:rFonts w:ascii="Calibri" w:hAnsi="Calibri"/>
          <w:i/>
          <w:noProof/>
        </w:rPr>
        <w:t xml:space="preserve">Archives of physical medicine and rehabilitation </w:t>
      </w:r>
      <w:r w:rsidRPr="00C806D0">
        <w:rPr>
          <w:rFonts w:ascii="Calibri" w:hAnsi="Calibri"/>
          <w:noProof/>
        </w:rPr>
        <w:t xml:space="preserve">2004, </w:t>
      </w:r>
      <w:r w:rsidRPr="00C806D0">
        <w:rPr>
          <w:rFonts w:ascii="Calibri" w:hAnsi="Calibri"/>
          <w:b/>
          <w:noProof/>
        </w:rPr>
        <w:t>85</w:t>
      </w:r>
      <w:r w:rsidRPr="00C806D0">
        <w:rPr>
          <w:rFonts w:ascii="Calibri" w:hAnsi="Calibri"/>
          <w:noProof/>
        </w:rPr>
        <w:t>(4 Suppl 2):S21-35.</w:t>
      </w:r>
      <w:bookmarkEnd w:id="306"/>
    </w:p>
    <w:p w:rsidR="006D4D62" w:rsidRPr="00C806D0" w:rsidRDefault="006D4D62" w:rsidP="006D4D62">
      <w:pPr>
        <w:spacing w:line="240" w:lineRule="auto"/>
        <w:ind w:left="720" w:hanging="720"/>
        <w:rPr>
          <w:rFonts w:ascii="Calibri" w:hAnsi="Calibri"/>
          <w:noProof/>
        </w:rPr>
      </w:pPr>
      <w:bookmarkStart w:id="307" w:name="_ENREF_9_63"/>
      <w:r w:rsidRPr="00C806D0">
        <w:rPr>
          <w:rFonts w:ascii="Calibri" w:hAnsi="Calibri"/>
          <w:noProof/>
        </w:rPr>
        <w:t>63.</w:t>
      </w:r>
      <w:r w:rsidRPr="00C806D0">
        <w:rPr>
          <w:rFonts w:ascii="Calibri" w:hAnsi="Calibri"/>
          <w:noProof/>
        </w:rPr>
        <w:tab/>
        <w:t xml:space="preserve">Aoki N, Kitahara T, Fukui T, Beck JR, Soma K, Yamamoto W, Kamae I, Ohwada T: </w:t>
      </w:r>
      <w:r w:rsidRPr="00C806D0">
        <w:rPr>
          <w:rFonts w:ascii="Calibri" w:hAnsi="Calibri"/>
          <w:b/>
          <w:noProof/>
        </w:rPr>
        <w:t>Management of unruptured intracranial aneurysm in Japan: a Markovian decision analysis with utility measurements based on the Glasgow Outcome Scale</w:t>
      </w:r>
      <w:r w:rsidRPr="00C806D0">
        <w:rPr>
          <w:rFonts w:ascii="Calibri" w:hAnsi="Calibri"/>
          <w:noProof/>
        </w:rPr>
        <w:t xml:space="preserve">. </w:t>
      </w:r>
      <w:r w:rsidRPr="00C806D0">
        <w:rPr>
          <w:rFonts w:ascii="Calibri" w:hAnsi="Calibri"/>
          <w:i/>
          <w:noProof/>
        </w:rPr>
        <w:t xml:space="preserve">Medical decision making : an international journal of the Society for Medical Decision Making </w:t>
      </w:r>
      <w:r w:rsidRPr="00C806D0">
        <w:rPr>
          <w:rFonts w:ascii="Calibri" w:hAnsi="Calibri"/>
          <w:noProof/>
        </w:rPr>
        <w:t xml:space="preserve">1998, </w:t>
      </w:r>
      <w:r w:rsidRPr="00C806D0">
        <w:rPr>
          <w:rFonts w:ascii="Calibri" w:hAnsi="Calibri"/>
          <w:b/>
          <w:noProof/>
        </w:rPr>
        <w:t>18</w:t>
      </w:r>
      <w:r w:rsidRPr="00C806D0">
        <w:rPr>
          <w:rFonts w:ascii="Calibri" w:hAnsi="Calibri"/>
          <w:noProof/>
        </w:rPr>
        <w:t>(4):357-364.</w:t>
      </w:r>
      <w:bookmarkEnd w:id="307"/>
    </w:p>
    <w:p w:rsidR="006D4D62" w:rsidRPr="00C806D0" w:rsidRDefault="006D4D62" w:rsidP="006D4D62">
      <w:pPr>
        <w:spacing w:line="240" w:lineRule="auto"/>
        <w:ind w:left="720" w:hanging="720"/>
        <w:rPr>
          <w:rFonts w:ascii="Calibri" w:hAnsi="Calibri"/>
          <w:noProof/>
        </w:rPr>
      </w:pPr>
      <w:bookmarkStart w:id="308" w:name="_ENREF_9_64"/>
      <w:r w:rsidRPr="00C806D0">
        <w:rPr>
          <w:rFonts w:ascii="Calibri" w:hAnsi="Calibri"/>
          <w:noProof/>
        </w:rPr>
        <w:t>64.</w:t>
      </w:r>
      <w:r w:rsidRPr="00C806D0">
        <w:rPr>
          <w:rFonts w:ascii="Calibri" w:hAnsi="Calibri"/>
          <w:noProof/>
        </w:rPr>
        <w:tab/>
        <w:t xml:space="preserve">Pandor A, Goodacre S, Harnan S, Holmes M, Pickering A, Fitzgerald P, Rees A, Stevenson M: </w:t>
      </w:r>
      <w:r w:rsidRPr="00C806D0">
        <w:rPr>
          <w:rFonts w:ascii="Calibri" w:hAnsi="Calibri"/>
          <w:b/>
          <w:noProof/>
        </w:rPr>
        <w:t>Diagnostic management strategies for adults and children with minor head injury: a systematic review and an economic evaluation</w:t>
      </w:r>
      <w:r w:rsidRPr="00C806D0">
        <w:rPr>
          <w:rFonts w:ascii="Calibri" w:hAnsi="Calibri"/>
          <w:noProof/>
        </w:rPr>
        <w:t xml:space="preserve">. </w:t>
      </w:r>
      <w:r w:rsidRPr="00C806D0">
        <w:rPr>
          <w:rFonts w:ascii="Calibri" w:hAnsi="Calibri"/>
          <w:i/>
          <w:noProof/>
        </w:rPr>
        <w:t xml:space="preserve">Health technology assessment (Winchester, England) </w:t>
      </w:r>
      <w:r w:rsidRPr="00C806D0">
        <w:rPr>
          <w:rFonts w:ascii="Calibri" w:hAnsi="Calibri"/>
          <w:noProof/>
        </w:rPr>
        <w:t xml:space="preserve">2011, </w:t>
      </w:r>
      <w:r w:rsidRPr="00C806D0">
        <w:rPr>
          <w:rFonts w:ascii="Calibri" w:hAnsi="Calibri"/>
          <w:b/>
          <w:noProof/>
        </w:rPr>
        <w:t>15</w:t>
      </w:r>
      <w:r w:rsidRPr="00C806D0">
        <w:rPr>
          <w:rFonts w:ascii="Calibri" w:hAnsi="Calibri"/>
          <w:noProof/>
        </w:rPr>
        <w:t>(27):1-202.</w:t>
      </w:r>
      <w:bookmarkEnd w:id="308"/>
    </w:p>
    <w:p w:rsidR="006D4D62" w:rsidRPr="00C806D0" w:rsidRDefault="006D4D62" w:rsidP="006D4D62">
      <w:pPr>
        <w:spacing w:line="240" w:lineRule="auto"/>
        <w:ind w:left="720" w:hanging="720"/>
        <w:rPr>
          <w:rFonts w:ascii="Calibri" w:hAnsi="Calibri"/>
          <w:noProof/>
        </w:rPr>
      </w:pPr>
      <w:bookmarkStart w:id="309" w:name="_ENREF_9_65"/>
      <w:r w:rsidRPr="00C806D0">
        <w:rPr>
          <w:rFonts w:ascii="Calibri" w:hAnsi="Calibri"/>
          <w:noProof/>
        </w:rPr>
        <w:t>65.</w:t>
      </w:r>
      <w:r w:rsidRPr="00C806D0">
        <w:rPr>
          <w:rFonts w:ascii="Calibri" w:hAnsi="Calibri"/>
          <w:noProof/>
        </w:rPr>
        <w:tab/>
        <w:t xml:space="preserve">Whitmore RG, Thawani JP, Grady MS, Levine JM, Sanborn MR, Stein SC: </w:t>
      </w:r>
      <w:r w:rsidRPr="00C806D0">
        <w:rPr>
          <w:rFonts w:ascii="Calibri" w:hAnsi="Calibri"/>
          <w:b/>
          <w:noProof/>
        </w:rPr>
        <w:t>Is aggressive treatment of traumatic brain injury cost-effective?</w:t>
      </w:r>
      <w:r w:rsidRPr="00C806D0">
        <w:rPr>
          <w:rFonts w:ascii="Calibri" w:hAnsi="Calibri"/>
          <w:noProof/>
        </w:rPr>
        <w:t xml:space="preserve"> </w:t>
      </w:r>
      <w:r w:rsidRPr="00C806D0">
        <w:rPr>
          <w:rFonts w:ascii="Calibri" w:hAnsi="Calibri"/>
          <w:i/>
          <w:noProof/>
        </w:rPr>
        <w:t xml:space="preserve">J Neurosurg </w:t>
      </w:r>
      <w:r w:rsidRPr="00C806D0">
        <w:rPr>
          <w:rFonts w:ascii="Calibri" w:hAnsi="Calibri"/>
          <w:noProof/>
        </w:rPr>
        <w:t xml:space="preserve">2012, </w:t>
      </w:r>
      <w:r w:rsidRPr="00C806D0">
        <w:rPr>
          <w:rFonts w:ascii="Calibri" w:hAnsi="Calibri"/>
          <w:b/>
          <w:noProof/>
        </w:rPr>
        <w:t>116</w:t>
      </w:r>
      <w:r w:rsidRPr="00C806D0">
        <w:rPr>
          <w:rFonts w:ascii="Calibri" w:hAnsi="Calibri"/>
          <w:noProof/>
        </w:rPr>
        <w:t>(5):1106-1113.</w:t>
      </w:r>
      <w:bookmarkEnd w:id="309"/>
    </w:p>
    <w:p w:rsidR="006D4D62" w:rsidRPr="00C806D0" w:rsidRDefault="006D4D62" w:rsidP="006D4D62">
      <w:pPr>
        <w:spacing w:line="240" w:lineRule="auto"/>
        <w:ind w:left="720" w:hanging="720"/>
        <w:rPr>
          <w:rFonts w:ascii="Calibri" w:hAnsi="Calibri"/>
          <w:noProof/>
        </w:rPr>
      </w:pPr>
      <w:bookmarkStart w:id="310" w:name="_ENREF_9_66"/>
      <w:r w:rsidRPr="00C806D0">
        <w:rPr>
          <w:rFonts w:ascii="Calibri" w:hAnsi="Calibri"/>
          <w:noProof/>
        </w:rPr>
        <w:t>66.</w:t>
      </w:r>
      <w:r w:rsidRPr="00C806D0">
        <w:rPr>
          <w:rFonts w:ascii="Calibri" w:hAnsi="Calibri"/>
          <w:noProof/>
        </w:rPr>
        <w:tab/>
        <w:t xml:space="preserve">Stein SC, Fabbri A, Servadei F: </w:t>
      </w:r>
      <w:r w:rsidRPr="00C806D0">
        <w:rPr>
          <w:rFonts w:ascii="Calibri" w:hAnsi="Calibri"/>
          <w:b/>
          <w:noProof/>
        </w:rPr>
        <w:t>Routine serial computed tomographic scans in mild traumatic brain injury: when are they cost-effective?</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2008, </w:t>
      </w:r>
      <w:r w:rsidRPr="00C806D0">
        <w:rPr>
          <w:rFonts w:ascii="Calibri" w:hAnsi="Calibri"/>
          <w:b/>
          <w:noProof/>
        </w:rPr>
        <w:t>65</w:t>
      </w:r>
      <w:r w:rsidRPr="00C806D0">
        <w:rPr>
          <w:rFonts w:ascii="Calibri" w:hAnsi="Calibri"/>
          <w:noProof/>
        </w:rPr>
        <w:t>(1):66-72.</w:t>
      </w:r>
      <w:bookmarkEnd w:id="310"/>
    </w:p>
    <w:p w:rsidR="006D4D62" w:rsidRPr="00C806D0" w:rsidRDefault="006D4D62" w:rsidP="006D4D62">
      <w:pPr>
        <w:spacing w:line="240" w:lineRule="auto"/>
        <w:ind w:left="720" w:hanging="720"/>
        <w:rPr>
          <w:rFonts w:ascii="Calibri" w:hAnsi="Calibri"/>
          <w:noProof/>
        </w:rPr>
      </w:pPr>
      <w:bookmarkStart w:id="311" w:name="_ENREF_9_67"/>
      <w:r w:rsidRPr="00C806D0">
        <w:rPr>
          <w:rFonts w:ascii="Calibri" w:hAnsi="Calibri"/>
          <w:noProof/>
        </w:rPr>
        <w:t>67.</w:t>
      </w:r>
      <w:r w:rsidRPr="00C806D0">
        <w:rPr>
          <w:rFonts w:ascii="Calibri" w:hAnsi="Calibri"/>
          <w:noProof/>
        </w:rPr>
        <w:tab/>
        <w:t xml:space="preserve">Stein SC, Burnett MG, Glick HA: </w:t>
      </w:r>
      <w:r w:rsidRPr="00C806D0">
        <w:rPr>
          <w:rFonts w:ascii="Calibri" w:hAnsi="Calibri"/>
          <w:b/>
          <w:noProof/>
        </w:rPr>
        <w:t>Indications for CT scanning in mild traumatic brain injury: A cost-effectiveness study</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2006, </w:t>
      </w:r>
      <w:r w:rsidRPr="00C806D0">
        <w:rPr>
          <w:rFonts w:ascii="Calibri" w:hAnsi="Calibri"/>
          <w:b/>
          <w:noProof/>
        </w:rPr>
        <w:t>61</w:t>
      </w:r>
      <w:r w:rsidRPr="00C806D0">
        <w:rPr>
          <w:rFonts w:ascii="Calibri" w:hAnsi="Calibri"/>
          <w:noProof/>
        </w:rPr>
        <w:t>(3):558-566.</w:t>
      </w:r>
      <w:bookmarkEnd w:id="311"/>
    </w:p>
    <w:p w:rsidR="006D4D62" w:rsidRPr="00C806D0" w:rsidRDefault="006D4D62" w:rsidP="006D4D62">
      <w:pPr>
        <w:spacing w:line="240" w:lineRule="auto"/>
        <w:ind w:left="720" w:hanging="720"/>
        <w:rPr>
          <w:rFonts w:ascii="Calibri" w:hAnsi="Calibri"/>
          <w:noProof/>
        </w:rPr>
      </w:pPr>
      <w:bookmarkStart w:id="312" w:name="_ENREF_9_68"/>
      <w:r w:rsidRPr="00C806D0">
        <w:rPr>
          <w:rFonts w:ascii="Calibri" w:hAnsi="Calibri"/>
          <w:noProof/>
        </w:rPr>
        <w:t>68.</w:t>
      </w:r>
      <w:r w:rsidRPr="00C806D0">
        <w:rPr>
          <w:rFonts w:ascii="Calibri" w:hAnsi="Calibri"/>
          <w:noProof/>
        </w:rPr>
        <w:tab/>
        <w:t xml:space="preserve">Cotton BA, Kao LS, Kozar R, Holcomb JB: </w:t>
      </w:r>
      <w:r w:rsidRPr="00C806D0">
        <w:rPr>
          <w:rFonts w:ascii="Calibri" w:hAnsi="Calibri"/>
          <w:b/>
          <w:noProof/>
        </w:rPr>
        <w:t>Cost-utility analysis of levetiracetam and phenytoin for posttraumatic seizure prophylaxis</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2011, </w:t>
      </w:r>
      <w:r w:rsidRPr="00C806D0">
        <w:rPr>
          <w:rFonts w:ascii="Calibri" w:hAnsi="Calibri"/>
          <w:b/>
          <w:noProof/>
        </w:rPr>
        <w:t>71</w:t>
      </w:r>
      <w:r w:rsidRPr="00C806D0">
        <w:rPr>
          <w:rFonts w:ascii="Calibri" w:hAnsi="Calibri"/>
          <w:noProof/>
        </w:rPr>
        <w:t>(2):375-379.</w:t>
      </w:r>
      <w:bookmarkEnd w:id="312"/>
    </w:p>
    <w:p w:rsidR="006D4D62" w:rsidRPr="00C806D0" w:rsidRDefault="006D4D62" w:rsidP="006D4D62">
      <w:pPr>
        <w:spacing w:line="240" w:lineRule="auto"/>
        <w:ind w:left="720" w:hanging="720"/>
        <w:rPr>
          <w:rFonts w:ascii="Calibri" w:hAnsi="Calibri"/>
          <w:noProof/>
        </w:rPr>
      </w:pPr>
      <w:bookmarkStart w:id="313" w:name="_ENREF_9_69"/>
      <w:r w:rsidRPr="00C806D0">
        <w:rPr>
          <w:rFonts w:ascii="Calibri" w:hAnsi="Calibri"/>
          <w:noProof/>
        </w:rPr>
        <w:t>69.</w:t>
      </w:r>
      <w:r w:rsidRPr="00C806D0">
        <w:rPr>
          <w:rFonts w:ascii="Calibri" w:hAnsi="Calibri"/>
          <w:noProof/>
        </w:rPr>
        <w:tab/>
        <w:t xml:space="preserve">Carter KJ, Dunham CM, Castro F, Erickson B: </w:t>
      </w:r>
      <w:r w:rsidRPr="00C806D0">
        <w:rPr>
          <w:rFonts w:ascii="Calibri" w:hAnsi="Calibri"/>
          <w:b/>
          <w:noProof/>
        </w:rPr>
        <w:t>Comparative analysis of cervical spine management in a subset of severe traumatic brain injury cases using computer simulation</w:t>
      </w:r>
      <w:r w:rsidRPr="00C806D0">
        <w:rPr>
          <w:rFonts w:ascii="Calibri" w:hAnsi="Calibri"/>
          <w:noProof/>
        </w:rPr>
        <w:t xml:space="preserve">. </w:t>
      </w:r>
      <w:r w:rsidRPr="00C806D0">
        <w:rPr>
          <w:rFonts w:ascii="Calibri" w:hAnsi="Calibri"/>
          <w:i/>
          <w:noProof/>
        </w:rPr>
        <w:t xml:space="preserve">PLoS One </w:t>
      </w:r>
      <w:r w:rsidRPr="00C806D0">
        <w:rPr>
          <w:rFonts w:ascii="Calibri" w:hAnsi="Calibri"/>
          <w:noProof/>
        </w:rPr>
        <w:t xml:space="preserve">2011, </w:t>
      </w:r>
      <w:r w:rsidRPr="00C806D0">
        <w:rPr>
          <w:rFonts w:ascii="Calibri" w:hAnsi="Calibri"/>
          <w:b/>
          <w:noProof/>
        </w:rPr>
        <w:t>6</w:t>
      </w:r>
      <w:r w:rsidRPr="00C806D0">
        <w:rPr>
          <w:rFonts w:ascii="Calibri" w:hAnsi="Calibri"/>
          <w:noProof/>
        </w:rPr>
        <w:t>(4):e19177.</w:t>
      </w:r>
      <w:bookmarkEnd w:id="313"/>
    </w:p>
    <w:p w:rsidR="006D4D62" w:rsidRPr="00C806D0" w:rsidRDefault="006D4D62" w:rsidP="006D4D62">
      <w:pPr>
        <w:spacing w:line="240" w:lineRule="auto"/>
        <w:ind w:left="720" w:hanging="720"/>
        <w:rPr>
          <w:rFonts w:ascii="Calibri" w:hAnsi="Calibri"/>
          <w:noProof/>
        </w:rPr>
      </w:pPr>
      <w:bookmarkStart w:id="314" w:name="_ENREF_9_70"/>
      <w:r w:rsidRPr="00C806D0">
        <w:rPr>
          <w:rFonts w:ascii="Calibri" w:hAnsi="Calibri"/>
          <w:noProof/>
        </w:rPr>
        <w:t>70.</w:t>
      </w:r>
      <w:r w:rsidRPr="00C806D0">
        <w:rPr>
          <w:rFonts w:ascii="Calibri" w:hAnsi="Calibri"/>
          <w:noProof/>
        </w:rPr>
        <w:tab/>
      </w:r>
      <w:r w:rsidRPr="00C806D0">
        <w:rPr>
          <w:rFonts w:ascii="Calibri" w:hAnsi="Calibri"/>
          <w:b/>
          <w:noProof/>
        </w:rPr>
        <w:t xml:space="preserve">Guide to Calculating National Life Tables </w:t>
      </w:r>
      <w:r w:rsidRPr="00C806D0">
        <w:rPr>
          <w:rFonts w:ascii="Calibri" w:hAnsi="Calibri"/>
          <w:noProof/>
        </w:rPr>
        <w:t>[http://www.ons.gov.uk/ons/guide-method/method-quality/specific/population-and-migration/demography/guide-to-calculating-national-life-tables/index.html]</w:t>
      </w:r>
      <w:bookmarkEnd w:id="314"/>
    </w:p>
    <w:p w:rsidR="006D4D62" w:rsidRPr="00C806D0" w:rsidRDefault="006D4D62" w:rsidP="006D4D62">
      <w:pPr>
        <w:spacing w:line="240" w:lineRule="auto"/>
        <w:ind w:left="720" w:hanging="720"/>
        <w:rPr>
          <w:rFonts w:ascii="Calibri" w:hAnsi="Calibri"/>
          <w:noProof/>
        </w:rPr>
      </w:pPr>
      <w:bookmarkStart w:id="315" w:name="_ENREF_9_71"/>
      <w:r w:rsidRPr="00C806D0">
        <w:rPr>
          <w:rFonts w:ascii="Calibri" w:hAnsi="Calibri"/>
          <w:noProof/>
        </w:rPr>
        <w:t>71.</w:t>
      </w:r>
      <w:r w:rsidRPr="00C806D0">
        <w:rPr>
          <w:rFonts w:ascii="Calibri" w:hAnsi="Calibri"/>
          <w:noProof/>
        </w:rPr>
        <w:tab/>
        <w:t xml:space="preserve">Ventura T, Harrison-Felix C, Carlson N, Diguiseppi C, Gabella B, Brown A, Devivo M, Whiteneck G: </w:t>
      </w:r>
      <w:r w:rsidRPr="00C806D0">
        <w:rPr>
          <w:rFonts w:ascii="Calibri" w:hAnsi="Calibri"/>
          <w:b/>
          <w:noProof/>
        </w:rPr>
        <w:t>Mortality after discharge from acute care hospitalization with traumatic brain injury: a population-based study</w:t>
      </w:r>
      <w:r w:rsidRPr="00C806D0">
        <w:rPr>
          <w:rFonts w:ascii="Calibri" w:hAnsi="Calibri"/>
          <w:noProof/>
        </w:rPr>
        <w:t xml:space="preserve">. </w:t>
      </w:r>
      <w:r w:rsidRPr="00C806D0">
        <w:rPr>
          <w:rFonts w:ascii="Calibri" w:hAnsi="Calibri"/>
          <w:i/>
          <w:noProof/>
        </w:rPr>
        <w:t xml:space="preserve">Archives of physical medicine and rehabilitation </w:t>
      </w:r>
      <w:r w:rsidRPr="00C806D0">
        <w:rPr>
          <w:rFonts w:ascii="Calibri" w:hAnsi="Calibri"/>
          <w:noProof/>
        </w:rPr>
        <w:t xml:space="preserve">2010, </w:t>
      </w:r>
      <w:r w:rsidRPr="00C806D0">
        <w:rPr>
          <w:rFonts w:ascii="Calibri" w:hAnsi="Calibri"/>
          <w:b/>
          <w:noProof/>
        </w:rPr>
        <w:t>91</w:t>
      </w:r>
      <w:r w:rsidRPr="00C806D0">
        <w:rPr>
          <w:rFonts w:ascii="Calibri" w:hAnsi="Calibri"/>
          <w:noProof/>
        </w:rPr>
        <w:t>(1):20-29.</w:t>
      </w:r>
      <w:bookmarkEnd w:id="315"/>
    </w:p>
    <w:p w:rsidR="006D4D62" w:rsidRPr="00C806D0" w:rsidRDefault="006D4D62" w:rsidP="006D4D62">
      <w:pPr>
        <w:spacing w:line="240" w:lineRule="auto"/>
        <w:ind w:left="720" w:hanging="720"/>
        <w:rPr>
          <w:rFonts w:ascii="Calibri" w:hAnsi="Calibri"/>
          <w:noProof/>
        </w:rPr>
      </w:pPr>
      <w:bookmarkStart w:id="316" w:name="_ENREF_9_72"/>
      <w:r w:rsidRPr="00C806D0">
        <w:rPr>
          <w:rFonts w:ascii="Calibri" w:hAnsi="Calibri"/>
          <w:noProof/>
        </w:rPr>
        <w:t>72.</w:t>
      </w:r>
      <w:r w:rsidRPr="00C806D0">
        <w:rPr>
          <w:rFonts w:ascii="Calibri" w:hAnsi="Calibri"/>
          <w:noProof/>
        </w:rPr>
        <w:tab/>
        <w:t xml:space="preserve">Shavelle RM, Strauss D, Whyte J, Day SM, Yu YL: </w:t>
      </w:r>
      <w:r w:rsidRPr="00C806D0">
        <w:rPr>
          <w:rFonts w:ascii="Calibri" w:hAnsi="Calibri"/>
          <w:b/>
          <w:noProof/>
        </w:rPr>
        <w:t>Long-term causes of death after traumatic brain injury</w:t>
      </w:r>
      <w:r w:rsidRPr="00C806D0">
        <w:rPr>
          <w:rFonts w:ascii="Calibri" w:hAnsi="Calibri"/>
          <w:noProof/>
        </w:rPr>
        <w:t xml:space="preserve">. </w:t>
      </w:r>
      <w:r w:rsidRPr="00C806D0">
        <w:rPr>
          <w:rFonts w:ascii="Calibri" w:hAnsi="Calibri"/>
          <w:i/>
          <w:noProof/>
        </w:rPr>
        <w:t xml:space="preserve">American journal of physical medicine &amp; rehabilitation / Association of Academic Physiatrists </w:t>
      </w:r>
      <w:r w:rsidRPr="00C806D0">
        <w:rPr>
          <w:rFonts w:ascii="Calibri" w:hAnsi="Calibri"/>
          <w:noProof/>
        </w:rPr>
        <w:t xml:space="preserve">2001, </w:t>
      </w:r>
      <w:r w:rsidRPr="00C806D0">
        <w:rPr>
          <w:rFonts w:ascii="Calibri" w:hAnsi="Calibri"/>
          <w:b/>
          <w:noProof/>
        </w:rPr>
        <w:t>80</w:t>
      </w:r>
      <w:r w:rsidRPr="00C806D0">
        <w:rPr>
          <w:rFonts w:ascii="Calibri" w:hAnsi="Calibri"/>
          <w:noProof/>
        </w:rPr>
        <w:t>(7):510-516; quiz 517-519.</w:t>
      </w:r>
      <w:bookmarkEnd w:id="316"/>
    </w:p>
    <w:p w:rsidR="006D4D62" w:rsidRPr="00C806D0" w:rsidRDefault="006D4D62" w:rsidP="006D4D62">
      <w:pPr>
        <w:spacing w:line="240" w:lineRule="auto"/>
        <w:ind w:left="720" w:hanging="720"/>
        <w:rPr>
          <w:rFonts w:ascii="Calibri" w:hAnsi="Calibri"/>
          <w:noProof/>
        </w:rPr>
      </w:pPr>
      <w:bookmarkStart w:id="317" w:name="_ENREF_9_73"/>
      <w:r w:rsidRPr="00C806D0">
        <w:rPr>
          <w:rFonts w:ascii="Calibri" w:hAnsi="Calibri"/>
          <w:noProof/>
        </w:rPr>
        <w:t>73.</w:t>
      </w:r>
      <w:r w:rsidRPr="00C806D0">
        <w:rPr>
          <w:rFonts w:ascii="Calibri" w:hAnsi="Calibri"/>
          <w:noProof/>
        </w:rPr>
        <w:tab/>
        <w:t xml:space="preserve">Ratcliff G, Colantonio A, Escobar M, Chase S, Vernich L: </w:t>
      </w:r>
      <w:r w:rsidRPr="00C806D0">
        <w:rPr>
          <w:rFonts w:ascii="Calibri" w:hAnsi="Calibri"/>
          <w:b/>
          <w:noProof/>
        </w:rPr>
        <w:t>Long-term survival following traumatic brain injury</w:t>
      </w:r>
      <w:r w:rsidRPr="00C806D0">
        <w:rPr>
          <w:rFonts w:ascii="Calibri" w:hAnsi="Calibri"/>
          <w:noProof/>
        </w:rPr>
        <w:t xml:space="preserve">. </w:t>
      </w:r>
      <w:r w:rsidRPr="00C806D0">
        <w:rPr>
          <w:rFonts w:ascii="Calibri" w:hAnsi="Calibri"/>
          <w:i/>
          <w:noProof/>
        </w:rPr>
        <w:t xml:space="preserve">Disability and rehabilitation </w:t>
      </w:r>
      <w:r w:rsidRPr="00C806D0">
        <w:rPr>
          <w:rFonts w:ascii="Calibri" w:hAnsi="Calibri"/>
          <w:noProof/>
        </w:rPr>
        <w:t xml:space="preserve">2005, </w:t>
      </w:r>
      <w:r w:rsidRPr="00C806D0">
        <w:rPr>
          <w:rFonts w:ascii="Calibri" w:hAnsi="Calibri"/>
          <w:b/>
          <w:noProof/>
        </w:rPr>
        <w:t>27</w:t>
      </w:r>
      <w:r w:rsidRPr="00C806D0">
        <w:rPr>
          <w:rFonts w:ascii="Calibri" w:hAnsi="Calibri"/>
          <w:noProof/>
        </w:rPr>
        <w:t>(6):305-314.</w:t>
      </w:r>
      <w:bookmarkEnd w:id="317"/>
    </w:p>
    <w:p w:rsidR="006D4D62" w:rsidRPr="00C806D0" w:rsidRDefault="006D4D62" w:rsidP="006D4D62">
      <w:pPr>
        <w:spacing w:line="240" w:lineRule="auto"/>
        <w:ind w:left="720" w:hanging="720"/>
        <w:rPr>
          <w:rFonts w:ascii="Calibri" w:hAnsi="Calibri"/>
          <w:noProof/>
        </w:rPr>
      </w:pPr>
      <w:bookmarkStart w:id="318" w:name="_ENREF_9_74"/>
      <w:r w:rsidRPr="00C806D0">
        <w:rPr>
          <w:rFonts w:ascii="Calibri" w:hAnsi="Calibri"/>
          <w:noProof/>
        </w:rPr>
        <w:t>74.</w:t>
      </w:r>
      <w:r w:rsidRPr="00C806D0">
        <w:rPr>
          <w:rFonts w:ascii="Calibri" w:hAnsi="Calibri"/>
          <w:noProof/>
        </w:rPr>
        <w:tab/>
        <w:t xml:space="preserve">McMillan TM, Teasdale GM, Weir CJ, Stewart E: </w:t>
      </w:r>
      <w:r w:rsidRPr="00C806D0">
        <w:rPr>
          <w:rFonts w:ascii="Calibri" w:hAnsi="Calibri"/>
          <w:b/>
          <w:noProof/>
        </w:rPr>
        <w:t>Death after head injury: the 13 year outcome of a case control study</w:t>
      </w:r>
      <w:r w:rsidRPr="00C806D0">
        <w:rPr>
          <w:rFonts w:ascii="Calibri" w:hAnsi="Calibri"/>
          <w:noProof/>
        </w:rPr>
        <w:t xml:space="preserve">. </w:t>
      </w:r>
      <w:r w:rsidRPr="00C806D0">
        <w:rPr>
          <w:rFonts w:ascii="Calibri" w:hAnsi="Calibri"/>
          <w:i/>
          <w:noProof/>
        </w:rPr>
        <w:t xml:space="preserve">Journal of neurology, neurosurgery, and psychiatry </w:t>
      </w:r>
      <w:r w:rsidRPr="00C806D0">
        <w:rPr>
          <w:rFonts w:ascii="Calibri" w:hAnsi="Calibri"/>
          <w:noProof/>
        </w:rPr>
        <w:t xml:space="preserve">2011, </w:t>
      </w:r>
      <w:r w:rsidRPr="00C806D0">
        <w:rPr>
          <w:rFonts w:ascii="Calibri" w:hAnsi="Calibri"/>
          <w:b/>
          <w:noProof/>
        </w:rPr>
        <w:t>82</w:t>
      </w:r>
      <w:r w:rsidRPr="00C806D0">
        <w:rPr>
          <w:rFonts w:ascii="Calibri" w:hAnsi="Calibri"/>
          <w:noProof/>
        </w:rPr>
        <w:t>(8):931-935.</w:t>
      </w:r>
      <w:bookmarkEnd w:id="318"/>
    </w:p>
    <w:p w:rsidR="006D4D62" w:rsidRPr="00C806D0" w:rsidRDefault="006D4D62" w:rsidP="006D4D62">
      <w:pPr>
        <w:spacing w:line="240" w:lineRule="auto"/>
        <w:ind w:left="720" w:hanging="720"/>
        <w:rPr>
          <w:rFonts w:ascii="Calibri" w:hAnsi="Calibri"/>
          <w:noProof/>
        </w:rPr>
      </w:pPr>
      <w:bookmarkStart w:id="319" w:name="_ENREF_9_75"/>
      <w:r w:rsidRPr="00C806D0">
        <w:rPr>
          <w:rFonts w:ascii="Calibri" w:hAnsi="Calibri"/>
          <w:noProof/>
        </w:rPr>
        <w:t>75.</w:t>
      </w:r>
      <w:r w:rsidRPr="00C806D0">
        <w:rPr>
          <w:rFonts w:ascii="Calibri" w:hAnsi="Calibri"/>
          <w:noProof/>
        </w:rPr>
        <w:tab/>
        <w:t xml:space="preserve">Himanen L, Portin R, Hamalainen P, Hurme S, Hiekkanen H, Tenovuo O: </w:t>
      </w:r>
      <w:r w:rsidRPr="00C806D0">
        <w:rPr>
          <w:rFonts w:ascii="Calibri" w:hAnsi="Calibri"/>
          <w:b/>
          <w:noProof/>
        </w:rPr>
        <w:t>Risk factors for reduced survival after traumatic brain injury: a 30-year follow-up study</w:t>
      </w:r>
      <w:r w:rsidRPr="00C806D0">
        <w:rPr>
          <w:rFonts w:ascii="Calibri" w:hAnsi="Calibri"/>
          <w:noProof/>
        </w:rPr>
        <w:t xml:space="preserve">. </w:t>
      </w:r>
      <w:r w:rsidRPr="00C806D0">
        <w:rPr>
          <w:rFonts w:ascii="Calibri" w:hAnsi="Calibri"/>
          <w:i/>
          <w:noProof/>
        </w:rPr>
        <w:t xml:space="preserve">Brain injury : [BI] </w:t>
      </w:r>
      <w:r w:rsidRPr="00C806D0">
        <w:rPr>
          <w:rFonts w:ascii="Calibri" w:hAnsi="Calibri"/>
          <w:noProof/>
        </w:rPr>
        <w:t xml:space="preserve">2011, </w:t>
      </w:r>
      <w:r w:rsidRPr="00C806D0">
        <w:rPr>
          <w:rFonts w:ascii="Calibri" w:hAnsi="Calibri"/>
          <w:b/>
          <w:noProof/>
        </w:rPr>
        <w:t>25</w:t>
      </w:r>
      <w:r w:rsidRPr="00C806D0">
        <w:rPr>
          <w:rFonts w:ascii="Calibri" w:hAnsi="Calibri"/>
          <w:noProof/>
        </w:rPr>
        <w:t>(5):443-452.</w:t>
      </w:r>
      <w:bookmarkEnd w:id="319"/>
    </w:p>
    <w:p w:rsidR="006D4D62" w:rsidRPr="00C806D0" w:rsidRDefault="006D4D62" w:rsidP="006D4D62">
      <w:pPr>
        <w:spacing w:line="240" w:lineRule="auto"/>
        <w:ind w:left="720" w:hanging="720"/>
        <w:rPr>
          <w:rFonts w:ascii="Calibri" w:hAnsi="Calibri"/>
          <w:noProof/>
        </w:rPr>
      </w:pPr>
      <w:bookmarkStart w:id="320" w:name="_ENREF_9_76"/>
      <w:r w:rsidRPr="00C806D0">
        <w:rPr>
          <w:rFonts w:ascii="Calibri" w:hAnsi="Calibri"/>
          <w:noProof/>
        </w:rPr>
        <w:t>76.</w:t>
      </w:r>
      <w:r w:rsidRPr="00C806D0">
        <w:rPr>
          <w:rFonts w:ascii="Calibri" w:hAnsi="Calibri"/>
          <w:noProof/>
        </w:rPr>
        <w:tab/>
        <w:t xml:space="preserve">Colantonio A, Escobar MD, Chipman M, McLellan B, Austin PC, Mirabella G, Ratcliff G: </w:t>
      </w:r>
      <w:r w:rsidRPr="00C806D0">
        <w:rPr>
          <w:rFonts w:ascii="Calibri" w:hAnsi="Calibri"/>
          <w:b/>
          <w:noProof/>
        </w:rPr>
        <w:t>Predictors of postacute mortality following traumatic brain injury in a seriously injured population</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2008, </w:t>
      </w:r>
      <w:r w:rsidRPr="00C806D0">
        <w:rPr>
          <w:rFonts w:ascii="Calibri" w:hAnsi="Calibri"/>
          <w:b/>
          <w:noProof/>
        </w:rPr>
        <w:t>64</w:t>
      </w:r>
      <w:r w:rsidRPr="00C806D0">
        <w:rPr>
          <w:rFonts w:ascii="Calibri" w:hAnsi="Calibri"/>
          <w:noProof/>
        </w:rPr>
        <w:t>(4):876-882.</w:t>
      </w:r>
      <w:bookmarkEnd w:id="320"/>
    </w:p>
    <w:p w:rsidR="006D4D62" w:rsidRPr="00C806D0" w:rsidRDefault="006D4D62" w:rsidP="006D4D62">
      <w:pPr>
        <w:spacing w:line="240" w:lineRule="auto"/>
        <w:ind w:left="720" w:hanging="720"/>
        <w:rPr>
          <w:rFonts w:ascii="Calibri" w:hAnsi="Calibri"/>
          <w:noProof/>
        </w:rPr>
      </w:pPr>
      <w:bookmarkStart w:id="321" w:name="_ENREF_9_77"/>
      <w:r w:rsidRPr="00C806D0">
        <w:rPr>
          <w:rFonts w:ascii="Calibri" w:hAnsi="Calibri"/>
          <w:noProof/>
        </w:rPr>
        <w:t>77.</w:t>
      </w:r>
      <w:r w:rsidRPr="00C806D0">
        <w:rPr>
          <w:rFonts w:ascii="Calibri" w:hAnsi="Calibri"/>
          <w:noProof/>
        </w:rPr>
        <w:tab/>
        <w:t xml:space="preserve">Cameron CM, Purdie DM, Kliewer EV, McClure RJ: </w:t>
      </w:r>
      <w:r w:rsidRPr="00C806D0">
        <w:rPr>
          <w:rFonts w:ascii="Calibri" w:hAnsi="Calibri"/>
          <w:b/>
          <w:noProof/>
        </w:rPr>
        <w:t>Long-term mortality following trauma: 10 year follow-up in a population-based sample of injured adults</w:t>
      </w:r>
      <w:r w:rsidRPr="00C806D0">
        <w:rPr>
          <w:rFonts w:ascii="Calibri" w:hAnsi="Calibri"/>
          <w:noProof/>
        </w:rPr>
        <w:t xml:space="preserve">. </w:t>
      </w:r>
      <w:r w:rsidRPr="00C806D0">
        <w:rPr>
          <w:rFonts w:ascii="Calibri" w:hAnsi="Calibri"/>
          <w:i/>
          <w:noProof/>
        </w:rPr>
        <w:t xml:space="preserve">The Journal of trauma </w:t>
      </w:r>
      <w:r w:rsidRPr="00C806D0">
        <w:rPr>
          <w:rFonts w:ascii="Calibri" w:hAnsi="Calibri"/>
          <w:noProof/>
        </w:rPr>
        <w:t xml:space="preserve">2005, </w:t>
      </w:r>
      <w:r w:rsidRPr="00C806D0">
        <w:rPr>
          <w:rFonts w:ascii="Calibri" w:hAnsi="Calibri"/>
          <w:b/>
          <w:noProof/>
        </w:rPr>
        <w:t>59</w:t>
      </w:r>
      <w:r w:rsidRPr="00C806D0">
        <w:rPr>
          <w:rFonts w:ascii="Calibri" w:hAnsi="Calibri"/>
          <w:noProof/>
        </w:rPr>
        <w:t>(3):639-646.</w:t>
      </w:r>
      <w:bookmarkEnd w:id="321"/>
    </w:p>
    <w:p w:rsidR="006D4D62" w:rsidRPr="00C806D0" w:rsidRDefault="006D4D62" w:rsidP="006D4D62">
      <w:pPr>
        <w:spacing w:line="240" w:lineRule="auto"/>
        <w:ind w:left="720" w:hanging="720"/>
        <w:rPr>
          <w:rFonts w:ascii="Calibri" w:hAnsi="Calibri"/>
          <w:noProof/>
        </w:rPr>
      </w:pPr>
      <w:bookmarkStart w:id="322" w:name="_ENREF_9_78"/>
      <w:r w:rsidRPr="00C806D0">
        <w:rPr>
          <w:rFonts w:ascii="Calibri" w:hAnsi="Calibri"/>
          <w:noProof/>
        </w:rPr>
        <w:t>78.</w:t>
      </w:r>
      <w:r w:rsidRPr="00C806D0">
        <w:rPr>
          <w:rFonts w:ascii="Calibri" w:hAnsi="Calibri"/>
          <w:noProof/>
        </w:rPr>
        <w:tab/>
        <w:t xml:space="preserve">Brown AW, Leibson CL, Mandrekar J, Ransom JE, Malec JF: </w:t>
      </w:r>
      <w:r w:rsidRPr="00C806D0">
        <w:rPr>
          <w:rFonts w:ascii="Calibri" w:hAnsi="Calibri"/>
          <w:b/>
          <w:noProof/>
        </w:rPr>
        <w:t>Long-term survival after traumatic brain injury: a population-based analysis controlled for nonhead trauma</w:t>
      </w:r>
      <w:r w:rsidRPr="00C806D0">
        <w:rPr>
          <w:rFonts w:ascii="Calibri" w:hAnsi="Calibri"/>
          <w:noProof/>
        </w:rPr>
        <w:t xml:space="preserve">. </w:t>
      </w:r>
      <w:r w:rsidRPr="00C806D0">
        <w:rPr>
          <w:rFonts w:ascii="Calibri" w:hAnsi="Calibri"/>
          <w:i/>
          <w:noProof/>
        </w:rPr>
        <w:t xml:space="preserve">The Journal of head trauma rehabilitation </w:t>
      </w:r>
      <w:r w:rsidRPr="00C806D0">
        <w:rPr>
          <w:rFonts w:ascii="Calibri" w:hAnsi="Calibri"/>
          <w:noProof/>
        </w:rPr>
        <w:t xml:space="preserve">2014, </w:t>
      </w:r>
      <w:r w:rsidRPr="00C806D0">
        <w:rPr>
          <w:rFonts w:ascii="Calibri" w:hAnsi="Calibri"/>
          <w:b/>
          <w:noProof/>
        </w:rPr>
        <w:t>29</w:t>
      </w:r>
      <w:r w:rsidRPr="00C806D0">
        <w:rPr>
          <w:rFonts w:ascii="Calibri" w:hAnsi="Calibri"/>
          <w:noProof/>
        </w:rPr>
        <w:t>(1):E1-8.</w:t>
      </w:r>
      <w:bookmarkEnd w:id="322"/>
    </w:p>
    <w:p w:rsidR="006D4D62" w:rsidRPr="00C806D0" w:rsidRDefault="006D4D62" w:rsidP="006D4D62">
      <w:pPr>
        <w:spacing w:line="240" w:lineRule="auto"/>
        <w:ind w:left="720" w:hanging="720"/>
        <w:rPr>
          <w:rFonts w:ascii="Calibri" w:hAnsi="Calibri"/>
          <w:noProof/>
        </w:rPr>
      </w:pPr>
      <w:bookmarkStart w:id="323" w:name="_ENREF_9_79"/>
      <w:r w:rsidRPr="00C806D0">
        <w:rPr>
          <w:rFonts w:ascii="Calibri" w:hAnsi="Calibri"/>
          <w:noProof/>
        </w:rPr>
        <w:t>79.</w:t>
      </w:r>
      <w:r w:rsidRPr="00C806D0">
        <w:rPr>
          <w:rFonts w:ascii="Calibri" w:hAnsi="Calibri"/>
          <w:noProof/>
        </w:rPr>
        <w:tab/>
        <w:t xml:space="preserve">Baguley IJ, Nott MT, Howle AA, Simpson GK, Browne S, King AC, Cotter RE, Hodgkinson A: </w:t>
      </w:r>
      <w:r w:rsidRPr="00C806D0">
        <w:rPr>
          <w:rFonts w:ascii="Calibri" w:hAnsi="Calibri"/>
          <w:b/>
          <w:noProof/>
        </w:rPr>
        <w:t>Late mortality after severe traumatic brain injury in New South Wales: a multicentre study</w:t>
      </w:r>
      <w:r w:rsidRPr="00C806D0">
        <w:rPr>
          <w:rFonts w:ascii="Calibri" w:hAnsi="Calibri"/>
          <w:noProof/>
        </w:rPr>
        <w:t xml:space="preserve">. </w:t>
      </w:r>
      <w:r w:rsidRPr="00C806D0">
        <w:rPr>
          <w:rFonts w:ascii="Calibri" w:hAnsi="Calibri"/>
          <w:i/>
          <w:noProof/>
        </w:rPr>
        <w:t xml:space="preserve">The Medical journal of Australia </w:t>
      </w:r>
      <w:r w:rsidRPr="00C806D0">
        <w:rPr>
          <w:rFonts w:ascii="Calibri" w:hAnsi="Calibri"/>
          <w:noProof/>
        </w:rPr>
        <w:t xml:space="preserve">2012, </w:t>
      </w:r>
      <w:r w:rsidRPr="00C806D0">
        <w:rPr>
          <w:rFonts w:ascii="Calibri" w:hAnsi="Calibri"/>
          <w:b/>
          <w:noProof/>
        </w:rPr>
        <w:t>196</w:t>
      </w:r>
      <w:r w:rsidRPr="00C806D0">
        <w:rPr>
          <w:rFonts w:ascii="Calibri" w:hAnsi="Calibri"/>
          <w:noProof/>
        </w:rPr>
        <w:t>(1):40-45.</w:t>
      </w:r>
      <w:bookmarkEnd w:id="323"/>
    </w:p>
    <w:p w:rsidR="006D4D62" w:rsidRPr="00C806D0" w:rsidRDefault="006D4D62" w:rsidP="006D4D62">
      <w:pPr>
        <w:spacing w:line="240" w:lineRule="auto"/>
        <w:ind w:left="720" w:hanging="720"/>
        <w:rPr>
          <w:rFonts w:ascii="Calibri" w:hAnsi="Calibri"/>
          <w:noProof/>
        </w:rPr>
      </w:pPr>
      <w:bookmarkStart w:id="324" w:name="_ENREF_9_80"/>
      <w:r w:rsidRPr="00C806D0">
        <w:rPr>
          <w:rFonts w:ascii="Calibri" w:hAnsi="Calibri"/>
          <w:noProof/>
        </w:rPr>
        <w:t>80.</w:t>
      </w:r>
      <w:r w:rsidRPr="00C806D0">
        <w:rPr>
          <w:rFonts w:ascii="Calibri" w:hAnsi="Calibri"/>
          <w:noProof/>
        </w:rPr>
        <w:tab/>
        <w:t xml:space="preserve">Price M, J.: </w:t>
      </w:r>
      <w:r w:rsidRPr="00C806D0">
        <w:rPr>
          <w:rFonts w:ascii="Calibri" w:hAnsi="Calibri"/>
          <w:b/>
          <w:noProof/>
        </w:rPr>
        <w:t>Calculating Markov Transition Probabilities when Treatment Effects are Reported as Relative Risks with a Different Cycle Time</w:t>
      </w:r>
      <w:r w:rsidRPr="00C806D0">
        <w:rPr>
          <w:rFonts w:ascii="Calibri" w:hAnsi="Calibri"/>
          <w:noProof/>
        </w:rPr>
        <w:t xml:space="preserve">. In: </w:t>
      </w:r>
      <w:r w:rsidRPr="00C806D0">
        <w:rPr>
          <w:rFonts w:ascii="Calibri" w:hAnsi="Calibri"/>
          <w:i/>
          <w:noProof/>
        </w:rPr>
        <w:t xml:space="preserve">31st Annual Meeting of the Society for Medical Decision Making </w:t>
      </w:r>
      <w:r w:rsidRPr="00C806D0">
        <w:rPr>
          <w:rFonts w:ascii="Calibri" w:hAnsi="Calibri"/>
          <w:noProof/>
        </w:rPr>
        <w:t>2009.</w:t>
      </w:r>
      <w:bookmarkEnd w:id="324"/>
    </w:p>
    <w:p w:rsidR="006D4D62" w:rsidRPr="00C806D0" w:rsidRDefault="006D4D62" w:rsidP="006D4D62">
      <w:pPr>
        <w:spacing w:line="240" w:lineRule="auto"/>
        <w:ind w:left="720" w:hanging="720"/>
        <w:rPr>
          <w:rFonts w:ascii="Calibri" w:hAnsi="Calibri"/>
          <w:noProof/>
        </w:rPr>
      </w:pPr>
      <w:bookmarkStart w:id="325" w:name="_ENREF_9_81"/>
      <w:r w:rsidRPr="00C806D0">
        <w:rPr>
          <w:rFonts w:ascii="Calibri" w:hAnsi="Calibri"/>
          <w:noProof/>
        </w:rPr>
        <w:t>81.</w:t>
      </w:r>
      <w:r w:rsidRPr="00C806D0">
        <w:rPr>
          <w:rFonts w:ascii="Calibri" w:hAnsi="Calibri"/>
          <w:noProof/>
        </w:rPr>
        <w:tab/>
        <w:t xml:space="preserve">Pharoah PD, Hollingworth W: </w:t>
      </w:r>
      <w:r w:rsidRPr="00C806D0">
        <w:rPr>
          <w:rFonts w:ascii="Calibri" w:hAnsi="Calibri"/>
          <w:b/>
          <w:noProof/>
        </w:rPr>
        <w:t>Cost effectiveness of lowering cholesterol concentration with statins in patients with and without pre-existing coronary heart disease: life table method applied to health authority population</w:t>
      </w:r>
      <w:r w:rsidRPr="00C806D0">
        <w:rPr>
          <w:rFonts w:ascii="Calibri" w:hAnsi="Calibri"/>
          <w:noProof/>
        </w:rPr>
        <w:t xml:space="preserve">. </w:t>
      </w:r>
      <w:r w:rsidRPr="00C806D0">
        <w:rPr>
          <w:rFonts w:ascii="Calibri" w:hAnsi="Calibri"/>
          <w:i/>
          <w:noProof/>
        </w:rPr>
        <w:t xml:space="preserve">BMJ (Clinical research ed) </w:t>
      </w:r>
      <w:r w:rsidRPr="00C806D0">
        <w:rPr>
          <w:rFonts w:ascii="Calibri" w:hAnsi="Calibri"/>
          <w:noProof/>
        </w:rPr>
        <w:t xml:space="preserve">1996, </w:t>
      </w:r>
      <w:r w:rsidRPr="00C806D0">
        <w:rPr>
          <w:rFonts w:ascii="Calibri" w:hAnsi="Calibri"/>
          <w:b/>
          <w:noProof/>
        </w:rPr>
        <w:t>312</w:t>
      </w:r>
      <w:r w:rsidRPr="00C806D0">
        <w:rPr>
          <w:rFonts w:ascii="Calibri" w:hAnsi="Calibri"/>
          <w:noProof/>
        </w:rPr>
        <w:t>(7044):1443-1448.</w:t>
      </w:r>
      <w:bookmarkEnd w:id="325"/>
    </w:p>
    <w:p w:rsidR="006D4D62" w:rsidRPr="00C806D0" w:rsidRDefault="006D4D62" w:rsidP="006D4D62">
      <w:pPr>
        <w:spacing w:line="240" w:lineRule="auto"/>
        <w:ind w:left="720" w:hanging="720"/>
        <w:rPr>
          <w:rFonts w:ascii="Calibri" w:hAnsi="Calibri"/>
          <w:noProof/>
        </w:rPr>
      </w:pPr>
      <w:bookmarkStart w:id="326" w:name="_ENREF_9_82"/>
      <w:r w:rsidRPr="00C806D0">
        <w:rPr>
          <w:rFonts w:ascii="Calibri" w:hAnsi="Calibri"/>
          <w:noProof/>
        </w:rPr>
        <w:t>82.</w:t>
      </w:r>
      <w:r w:rsidRPr="00C806D0">
        <w:rPr>
          <w:rFonts w:ascii="Calibri" w:hAnsi="Calibri"/>
          <w:noProof/>
        </w:rPr>
        <w:tab/>
        <w:t xml:space="preserve">Gray AM: </w:t>
      </w:r>
      <w:r w:rsidRPr="00C806D0">
        <w:rPr>
          <w:rFonts w:ascii="Calibri" w:hAnsi="Calibri"/>
          <w:b/>
          <w:noProof/>
        </w:rPr>
        <w:t>Applied methods of cost-effectiveness analysis in health care</w:t>
      </w:r>
      <w:r w:rsidRPr="00C806D0">
        <w:rPr>
          <w:rFonts w:ascii="Calibri" w:hAnsi="Calibri"/>
          <w:noProof/>
        </w:rPr>
        <w:t>. Oxford: Oxford University Press; 2011.</w:t>
      </w:r>
      <w:bookmarkEnd w:id="326"/>
    </w:p>
    <w:p w:rsidR="006D4D62" w:rsidRPr="00C806D0" w:rsidRDefault="006D4D62" w:rsidP="006D4D62">
      <w:pPr>
        <w:spacing w:line="240" w:lineRule="auto"/>
        <w:ind w:left="720" w:hanging="720"/>
        <w:rPr>
          <w:rFonts w:ascii="Calibri" w:hAnsi="Calibri"/>
          <w:noProof/>
        </w:rPr>
      </w:pPr>
      <w:bookmarkStart w:id="327" w:name="_ENREF_9_83"/>
      <w:r w:rsidRPr="00C806D0">
        <w:rPr>
          <w:rFonts w:ascii="Calibri" w:hAnsi="Calibri"/>
          <w:noProof/>
        </w:rPr>
        <w:t>83.</w:t>
      </w:r>
      <w:r w:rsidRPr="00C806D0">
        <w:rPr>
          <w:rFonts w:ascii="Calibri" w:hAnsi="Calibri"/>
          <w:noProof/>
        </w:rPr>
        <w:tab/>
        <w:t>Feigin VL, Theadom A, Barker-Collo S, Starkey NJ, McPherson K, Kahan M, Dowell A, Brown P, Parag V, Kydd R</w:t>
      </w:r>
      <w:r w:rsidRPr="00C806D0">
        <w:rPr>
          <w:rFonts w:ascii="Calibri" w:hAnsi="Calibri"/>
          <w:i/>
          <w:noProof/>
        </w:rPr>
        <w:t xml:space="preserve"> et al</w:t>
      </w:r>
      <w:r w:rsidRPr="00C806D0">
        <w:rPr>
          <w:rFonts w:ascii="Calibri" w:hAnsi="Calibri"/>
          <w:noProof/>
        </w:rPr>
        <w:t xml:space="preserve">: </w:t>
      </w:r>
      <w:r w:rsidRPr="00C806D0">
        <w:rPr>
          <w:rFonts w:ascii="Calibri" w:hAnsi="Calibri"/>
          <w:b/>
          <w:noProof/>
        </w:rPr>
        <w:t>Incidence of traumatic brain injury in New Zealand: a population-based study</w:t>
      </w:r>
      <w:r w:rsidRPr="00C806D0">
        <w:rPr>
          <w:rFonts w:ascii="Calibri" w:hAnsi="Calibri"/>
          <w:noProof/>
        </w:rPr>
        <w:t xml:space="preserve">. </w:t>
      </w:r>
      <w:r w:rsidRPr="00C806D0">
        <w:rPr>
          <w:rFonts w:ascii="Calibri" w:hAnsi="Calibri"/>
          <w:i/>
          <w:noProof/>
        </w:rPr>
        <w:t xml:space="preserve">The Lancet Neurology </w:t>
      </w:r>
      <w:r w:rsidRPr="00C806D0">
        <w:rPr>
          <w:rFonts w:ascii="Calibri" w:hAnsi="Calibri"/>
          <w:noProof/>
        </w:rPr>
        <w:t xml:space="preserve">2013, </w:t>
      </w:r>
      <w:r w:rsidRPr="00C806D0">
        <w:rPr>
          <w:rFonts w:ascii="Calibri" w:hAnsi="Calibri"/>
          <w:b/>
          <w:noProof/>
        </w:rPr>
        <w:t>12</w:t>
      </w:r>
      <w:r w:rsidRPr="00C806D0">
        <w:rPr>
          <w:rFonts w:ascii="Calibri" w:hAnsi="Calibri"/>
          <w:noProof/>
        </w:rPr>
        <w:t>(1):53-64.</w:t>
      </w:r>
      <w:bookmarkEnd w:id="327"/>
    </w:p>
    <w:p w:rsidR="006D4D62" w:rsidRPr="00C806D0" w:rsidRDefault="006D4D62" w:rsidP="006D4D62">
      <w:pPr>
        <w:spacing w:line="240" w:lineRule="auto"/>
        <w:ind w:left="720" w:hanging="720"/>
        <w:rPr>
          <w:rFonts w:ascii="Calibri" w:hAnsi="Calibri"/>
          <w:noProof/>
        </w:rPr>
      </w:pPr>
      <w:bookmarkStart w:id="328" w:name="_ENREF_9_84"/>
      <w:r w:rsidRPr="00C806D0">
        <w:rPr>
          <w:rFonts w:ascii="Calibri" w:hAnsi="Calibri"/>
          <w:noProof/>
        </w:rPr>
        <w:t>84.</w:t>
      </w:r>
      <w:r w:rsidRPr="00C806D0">
        <w:rPr>
          <w:rFonts w:ascii="Calibri" w:hAnsi="Calibri"/>
          <w:noProof/>
        </w:rPr>
        <w:tab/>
        <w:t xml:space="preserve">Lecky F, Bouamra O, Woodford M, Alexandrescu R, O’Brien S: </w:t>
      </w:r>
      <w:r w:rsidRPr="00C806D0">
        <w:rPr>
          <w:rFonts w:ascii="Calibri" w:hAnsi="Calibri"/>
          <w:b/>
          <w:noProof/>
        </w:rPr>
        <w:t>Epidemiology of Polytrauma</w:t>
      </w:r>
      <w:r w:rsidRPr="00C806D0">
        <w:rPr>
          <w:rFonts w:ascii="Calibri" w:hAnsi="Calibri"/>
          <w:noProof/>
        </w:rPr>
        <w:t xml:space="preserve">. In: </w:t>
      </w:r>
      <w:r w:rsidRPr="00C806D0">
        <w:rPr>
          <w:rFonts w:ascii="Calibri" w:hAnsi="Calibri"/>
          <w:i/>
          <w:noProof/>
        </w:rPr>
        <w:t>Damage Control Management in the Polytrauma Patient.</w:t>
      </w:r>
      <w:r w:rsidRPr="00C806D0">
        <w:rPr>
          <w:rFonts w:ascii="Calibri" w:hAnsi="Calibri"/>
          <w:noProof/>
        </w:rPr>
        <w:t xml:space="preserve"> Edited by Pape H-C, Peitzman A, Schwab CW, Giannoudis P: Springer New York; 2010: 13-24.</w:t>
      </w:r>
      <w:bookmarkEnd w:id="328"/>
    </w:p>
    <w:p w:rsidR="006D4D62" w:rsidRPr="00C806D0" w:rsidRDefault="006D4D62" w:rsidP="006D4D62">
      <w:pPr>
        <w:spacing w:line="240" w:lineRule="auto"/>
        <w:ind w:left="720" w:hanging="720"/>
        <w:rPr>
          <w:rFonts w:ascii="Calibri" w:hAnsi="Calibri"/>
          <w:noProof/>
        </w:rPr>
      </w:pPr>
      <w:bookmarkStart w:id="329" w:name="_ENREF_9_85"/>
      <w:r w:rsidRPr="00C806D0">
        <w:rPr>
          <w:rFonts w:ascii="Calibri" w:hAnsi="Calibri"/>
          <w:noProof/>
        </w:rPr>
        <w:t>85.</w:t>
      </w:r>
      <w:r w:rsidRPr="00C806D0">
        <w:rPr>
          <w:rFonts w:ascii="Calibri" w:hAnsi="Calibri"/>
          <w:noProof/>
        </w:rPr>
        <w:tab/>
        <w:t xml:space="preserve">Lecky F RW, Fuller G, McClelland G, Pennington E, Goodacre S, Han K, Curran A, Holliman D, Freeman J, Chapman N, Stevenson M, Byers S, Mason S, Potter H, Coats T, Mackway-Jones K, Peters M, Shewan J, Strong M.: </w:t>
      </w:r>
      <w:r w:rsidRPr="00C806D0">
        <w:rPr>
          <w:rFonts w:ascii="Calibri" w:hAnsi="Calibri"/>
          <w:b/>
          <w:noProof/>
        </w:rPr>
        <w:t xml:space="preserve">The Head Injury Transportation Straight to Neurosurgery (HITSNS) Trial - A Feasibility Study </w:t>
      </w:r>
      <w:r w:rsidRPr="00C806D0">
        <w:rPr>
          <w:rFonts w:ascii="Calibri" w:hAnsi="Calibri"/>
          <w:i/>
          <w:noProof/>
        </w:rPr>
        <w:t xml:space="preserve">Health Technology Assessment </w:t>
      </w:r>
      <w:r w:rsidRPr="00C806D0">
        <w:rPr>
          <w:rFonts w:ascii="Calibri" w:hAnsi="Calibri"/>
          <w:noProof/>
        </w:rPr>
        <w:t xml:space="preserve">2014, </w:t>
      </w:r>
      <w:r w:rsidRPr="00C806D0">
        <w:rPr>
          <w:rFonts w:ascii="Calibri" w:hAnsi="Calibri"/>
          <w:b/>
          <w:noProof/>
        </w:rPr>
        <w:t>In press</w:t>
      </w:r>
      <w:r w:rsidRPr="00C806D0">
        <w:rPr>
          <w:rFonts w:ascii="Calibri" w:hAnsi="Calibri"/>
          <w:noProof/>
        </w:rPr>
        <w:t>.</w:t>
      </w:r>
      <w:bookmarkEnd w:id="329"/>
    </w:p>
    <w:p w:rsidR="006D4D62" w:rsidRPr="00C806D0" w:rsidRDefault="006D4D62" w:rsidP="006D4D62">
      <w:pPr>
        <w:spacing w:line="240" w:lineRule="auto"/>
        <w:ind w:left="720" w:hanging="720"/>
        <w:rPr>
          <w:rFonts w:ascii="Calibri" w:hAnsi="Calibri"/>
          <w:noProof/>
        </w:rPr>
      </w:pPr>
      <w:bookmarkStart w:id="330" w:name="_ENREF_9_86"/>
      <w:r w:rsidRPr="00C806D0">
        <w:rPr>
          <w:rFonts w:ascii="Calibri" w:hAnsi="Calibri"/>
          <w:noProof/>
        </w:rPr>
        <w:t>86.</w:t>
      </w:r>
      <w:r w:rsidRPr="00C806D0">
        <w:rPr>
          <w:rFonts w:ascii="Calibri" w:hAnsi="Calibri"/>
          <w:noProof/>
        </w:rPr>
        <w:tab/>
      </w:r>
      <w:r w:rsidRPr="00C806D0">
        <w:rPr>
          <w:rFonts w:ascii="Calibri" w:hAnsi="Calibri"/>
          <w:b/>
          <w:noProof/>
        </w:rPr>
        <w:t xml:space="preserve">Trauma Audit and Research Network </w:t>
      </w:r>
      <w:r w:rsidRPr="00C806D0">
        <w:rPr>
          <w:rFonts w:ascii="Calibri" w:hAnsi="Calibri"/>
          <w:noProof/>
        </w:rPr>
        <w:t>[www.tarn.ac.uk]</w:t>
      </w:r>
      <w:bookmarkEnd w:id="330"/>
    </w:p>
    <w:p w:rsidR="006D4D62" w:rsidRPr="00C806D0" w:rsidRDefault="006D4D62" w:rsidP="006D4D62">
      <w:pPr>
        <w:spacing w:line="240" w:lineRule="auto"/>
        <w:rPr>
          <w:noProof/>
        </w:rPr>
      </w:pPr>
    </w:p>
    <w:p w:rsidR="00105532" w:rsidRPr="00C806D0" w:rsidRDefault="00105532" w:rsidP="00003A24"/>
    <w:p w:rsidR="00003A24" w:rsidRPr="00C806D0" w:rsidRDefault="00003A24" w:rsidP="0017772C">
      <w:pPr>
        <w:sectPr w:rsidR="00003A24" w:rsidRPr="00C806D0" w:rsidSect="00E31429">
          <w:pgSz w:w="11906" w:h="16838"/>
          <w:pgMar w:top="1134" w:right="1134" w:bottom="1134" w:left="2268" w:header="709" w:footer="709" w:gutter="0"/>
          <w:cols w:space="708"/>
          <w:docGrid w:linePitch="360"/>
        </w:sectPr>
      </w:pPr>
    </w:p>
    <w:p w:rsidR="00003A24" w:rsidRPr="00C806D0" w:rsidRDefault="00003A24" w:rsidP="00003A24">
      <w:pPr>
        <w:pStyle w:val="Heading1"/>
      </w:pPr>
      <w:r w:rsidRPr="00C806D0">
        <w:t>APPENDIX J. ECONOMIC EVALUATION OF MANAGEMENT PATHWAYS FOR ADULT PATIENTS WITH SUSPECTED SIGNIFICANT HEAD INJURY: ADDITIONAL RESULTS</w:t>
      </w:r>
    </w:p>
    <w:p w:rsidR="00003A24" w:rsidRPr="00C806D0" w:rsidRDefault="00003A24" w:rsidP="00003A24">
      <w:pPr>
        <w:pStyle w:val="Heading2"/>
      </w:pPr>
      <w:r w:rsidRPr="00C806D0">
        <w:t>HITSNS model Cost-effectiveness sensitivity analyses</w:t>
      </w:r>
    </w:p>
    <w:p w:rsidR="00003A24" w:rsidRPr="00C806D0" w:rsidRDefault="00003A24" w:rsidP="00003A24">
      <w:r w:rsidRPr="00C806D0">
        <w:t>Uncertainty in model structure and inputs was explored in a series of scenario, threshold, and one-way sensitivity analyses, detailed in Appendix H. Model parameters elicited from expert opinion, potentially susceptible to bias, or considered to be influential in determining cost-effectiveness were examined. Alternative specifications of inputs were assessed, by varying parameterisation of distributions, or fixing distributions at defined quantiles. All other parameters were treated probabilistically. Structural sensitivity analyses varied key assumptions regarding dis</w:t>
      </w:r>
      <w:r w:rsidR="004949B9" w:rsidRPr="00C806D0">
        <w:t xml:space="preserve">count rates, </w:t>
      </w:r>
      <w:r w:rsidRPr="00C806D0">
        <w:t>application of relative effectiveness estimates</w:t>
      </w:r>
      <w:r w:rsidR="004949B9" w:rsidRPr="00C806D0">
        <w:t>, and long term changes in disability level</w:t>
      </w:r>
      <w:r w:rsidRPr="00C806D0">
        <w:t xml:space="preserve">. Theoretical variants of management strategies were also investigated. The robustness and key determinants of the cost-effectiveness results were therefore thoroughly investigated. The results of the sensitivity analyses are summarised in Figure J1 and Table J1, with detailed results presented in subsequent sections. </w:t>
      </w:r>
    </w:p>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BF1676" w:rsidRPr="00C806D0" w:rsidRDefault="00BF1676" w:rsidP="00003A24">
      <w:pPr>
        <w:rPr>
          <w:rFonts w:ascii="Calibri" w:hAnsi="Calibri" w:cs="Arial"/>
          <w:b/>
        </w:r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rPr>
          <w:rFonts w:ascii="Calibri" w:hAnsi="Calibri" w:cs="Arial"/>
          <w:b/>
        </w:rPr>
      </w:pPr>
      <w:r w:rsidRPr="00C806D0">
        <w:rPr>
          <w:rFonts w:ascii="Calibri" w:hAnsi="Calibri" w:cs="Arial"/>
          <w:b/>
        </w:rPr>
        <w:t xml:space="preserve">Table J1. Summary of sensitivity analyses indicating the optimal management strategy at NICE willingness to pay thresholds and corresponding probability of strategy being the most cost-effective. </w:t>
      </w:r>
    </w:p>
    <w:tbl>
      <w:tblPr>
        <w:tblStyle w:val="LightShading1"/>
        <w:tblW w:w="0" w:type="auto"/>
        <w:tblLook w:val="06A0" w:firstRow="1" w:lastRow="0" w:firstColumn="1" w:lastColumn="0" w:noHBand="1" w:noVBand="1"/>
      </w:tblPr>
      <w:tblGrid>
        <w:gridCol w:w="3595"/>
        <w:gridCol w:w="5205"/>
        <w:gridCol w:w="1559"/>
        <w:gridCol w:w="1418"/>
        <w:gridCol w:w="1559"/>
        <w:gridCol w:w="1450"/>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sz w:val="18"/>
                <w:szCs w:val="18"/>
              </w:rPr>
            </w:pPr>
            <w:r w:rsidRPr="00C806D0">
              <w:rPr>
                <w:rFonts w:ascii="Calibri" w:hAnsi="Calibri" w:cs="Arial"/>
                <w:sz w:val="18"/>
                <w:szCs w:val="18"/>
              </w:rPr>
              <w:t>Sensitivity analysis</w:t>
            </w:r>
          </w:p>
        </w:tc>
        <w:tc>
          <w:tcPr>
            <w:tcW w:w="5205" w:type="dxa"/>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Description</w:t>
            </w:r>
          </w:p>
        </w:tc>
        <w:tc>
          <w:tcPr>
            <w:tcW w:w="1559" w:type="dxa"/>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Strategy with highest NMB at λ=£20,000</w:t>
            </w:r>
          </w:p>
        </w:tc>
        <w:tc>
          <w:tcPr>
            <w:tcW w:w="1418" w:type="dxa"/>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Probability most cost-effective strategy</w:t>
            </w:r>
          </w:p>
        </w:tc>
        <w:tc>
          <w:tcPr>
            <w:tcW w:w="1559" w:type="dxa"/>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Strategy with highest NMB at λ=£30,000</w:t>
            </w:r>
          </w:p>
        </w:tc>
        <w:tc>
          <w:tcPr>
            <w:tcW w:w="1450" w:type="dxa"/>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Probability most cost-effective strategy</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shd w:val="clear" w:color="auto" w:fill="D9D9D9" w:themeFill="background1" w:themeFillShade="D9"/>
          </w:tcPr>
          <w:p w:rsidR="00003A24" w:rsidRPr="00C806D0" w:rsidRDefault="00003A24" w:rsidP="002A16B4">
            <w:pPr>
              <w:pStyle w:val="NoSpacing"/>
              <w:rPr>
                <w:rFonts w:ascii="Calibri" w:hAnsi="Calibri" w:cs="Arial"/>
                <w:sz w:val="18"/>
                <w:szCs w:val="18"/>
              </w:rPr>
            </w:pPr>
            <w:r w:rsidRPr="00C806D0">
              <w:rPr>
                <w:rFonts w:ascii="Calibri" w:hAnsi="Calibri" w:cs="Arial"/>
                <w:sz w:val="18"/>
                <w:szCs w:val="18"/>
              </w:rPr>
              <w:t>Base case</w:t>
            </w:r>
          </w:p>
          <w:p w:rsidR="00003A24" w:rsidRPr="00C806D0" w:rsidRDefault="00003A24" w:rsidP="002A16B4">
            <w:pPr>
              <w:pStyle w:val="NoSpacing"/>
              <w:rPr>
                <w:rFonts w:ascii="Calibri" w:hAnsi="Calibri" w:cs="Arial"/>
                <w:sz w:val="18"/>
                <w:szCs w:val="18"/>
              </w:rPr>
            </w:pPr>
          </w:p>
        </w:tc>
        <w:tc>
          <w:tcPr>
            <w:tcW w:w="5205" w:type="dxa"/>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Model inputs set to their most plausible based on HITSNS pilot data, literature reviews, and expert opinion. NICE reference case implemented.</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0.46</w:t>
            </w:r>
          </w:p>
        </w:tc>
        <w:tc>
          <w:tcPr>
            <w:tcW w:w="1559" w:type="dxa"/>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sz w:val="18"/>
                <w:szCs w:val="18"/>
              </w:rPr>
            </w:pPr>
            <w:r w:rsidRPr="00C806D0">
              <w:rPr>
                <w:rFonts w:ascii="Calibri" w:hAnsi="Calibri" w:cs="Arial"/>
                <w:sz w:val="18"/>
                <w:szCs w:val="18"/>
              </w:rPr>
              <w:t>Parameter uncertainty:</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Bypass: favourable scenario</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 costs and effects set to most favourable plausible quartile.</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1.00</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1.00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Bypass: unfavourable scenario</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 costs and effects set to least favourable plausible quartile.</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0.77</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0.79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Bypass: threshold analysis</w:t>
            </w:r>
          </w:p>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(55</w:t>
            </w:r>
            <w:r w:rsidRPr="00C806D0">
              <w:rPr>
                <w:rFonts w:ascii="Calibri" w:hAnsi="Calibri" w:cs="Arial"/>
                <w:b w:val="0"/>
                <w:sz w:val="18"/>
                <w:szCs w:val="18"/>
                <w:vertAlign w:val="superscript"/>
              </w:rPr>
              <w:t>th</w:t>
            </w:r>
            <w:r w:rsidRPr="00C806D0">
              <w:rPr>
                <w:rFonts w:ascii="Calibri" w:hAnsi="Calibri" w:cs="Arial"/>
                <w:b w:val="0"/>
                <w:sz w:val="18"/>
                <w:szCs w:val="18"/>
              </w:rPr>
              <w:t xml:space="preserve"> quantile  of distribution)</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 costs and effects increased gradually from median values to level where bypass has highest NMB.</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0.75</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0.85</w:t>
            </w:r>
          </w:p>
        </w:tc>
      </w:tr>
      <w:tr w:rsidR="00003A24" w:rsidRPr="00C806D0" w:rsidTr="002A16B4">
        <w:trPr>
          <w:trHeight w:val="633"/>
        </w:trPr>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 xml:space="preserve">GOS utilities: scenarios/ standard gamble </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Alternative source of utility estimates used, based on case scenarios and valued by standard gamble by health professionals (Aoki 1998).</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0.43</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0.48</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r>
      <w:tr w:rsidR="00003A24" w:rsidRPr="00C806D0" w:rsidTr="002A16B4">
        <w:trPr>
          <w:trHeight w:val="633"/>
        </w:trPr>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GOS utilities: NICE reference case</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 xml:space="preserve">Alternative source of utility estimates used, based on sample of significant TBI patients from </w:t>
            </w:r>
            <w:r w:rsidR="002A16B4" w:rsidRPr="00C806D0">
              <w:rPr>
                <w:rFonts w:ascii="Calibri" w:hAnsi="Calibri" w:cs="Arial"/>
                <w:sz w:val="18"/>
                <w:szCs w:val="18"/>
              </w:rPr>
              <w:t>VSTR</w:t>
            </w:r>
            <w:r w:rsidRPr="00C806D0">
              <w:rPr>
                <w:rFonts w:ascii="Calibri" w:hAnsi="Calibri" w:cs="Arial"/>
                <w:sz w:val="18"/>
                <w:szCs w:val="18"/>
              </w:rPr>
              <w:t xml:space="preserve"> assessed with </w:t>
            </w:r>
            <w:r w:rsidR="002A16B4" w:rsidRPr="00C806D0">
              <w:rPr>
                <w:rFonts w:ascii="Calibri" w:hAnsi="Calibri" w:cs="Arial"/>
                <w:sz w:val="18"/>
                <w:szCs w:val="18"/>
              </w:rPr>
              <w:t>EQ5D</w:t>
            </w:r>
            <w:r w:rsidRPr="00C806D0">
              <w:rPr>
                <w:rFonts w:ascii="Calibri" w:hAnsi="Calibri" w:cs="Arial"/>
                <w:sz w:val="18"/>
                <w:szCs w:val="18"/>
              </w:rPr>
              <w:t xml:space="preserve"> and UK preference tariff</w:t>
            </w:r>
            <w:r w:rsidR="004949B9" w:rsidRPr="00C806D0">
              <w:rPr>
                <w:rFonts w:ascii="Calibri" w:hAnsi="Calibri" w:cs="Arial"/>
                <w:sz w:val="18"/>
                <w:szCs w:val="18"/>
              </w:rPr>
              <w:t>.</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0.46</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0.51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Acute neurosurgery baseline outcomes: improved outcomes</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 xml:space="preserve">Alternative estimate used for acute neurosurgery baseline outcome (Taussky 2007, external bias adjusted). </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0.44</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0.52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Neurosurgery costs: equal inpatient costs</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Incremental inpatient costs for acute neurosurgery assumed to be equal.</w:t>
            </w:r>
          </w:p>
          <w:p w:rsidR="00D268A0" w:rsidRPr="00C806D0" w:rsidRDefault="00D268A0"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0.62</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0.65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Neurosurgery costs: based on NHIR</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Incremental costs for acute neurosurgery based on costs regression from NHIR data (Fuller 2010).</w:t>
            </w:r>
          </w:p>
          <w:p w:rsidR="004949B9" w:rsidRPr="00C806D0" w:rsidRDefault="004949B9"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0.58</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0.62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Incremental inpatient costs: expert opinion</w:t>
            </w:r>
          </w:p>
          <w:p w:rsidR="00003A24" w:rsidRPr="00C806D0" w:rsidRDefault="00003A24" w:rsidP="002A16B4">
            <w:pPr>
              <w:pStyle w:val="NoSpacing"/>
              <w:rPr>
                <w:rFonts w:ascii="Calibri" w:hAnsi="Calibri" w:cs="Arial"/>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Incremental inpatient costs for bypass elicited from expert opinion</w:t>
            </w:r>
            <w:r w:rsidR="004949B9" w:rsidRPr="00C806D0">
              <w:rPr>
                <w:rFonts w:ascii="Calibri" w:hAnsi="Calibri" w:cs="Arial"/>
                <w:sz w:val="18"/>
                <w:szCs w:val="18"/>
              </w:rPr>
              <w:t>.</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0.60</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0.61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4949B9" w:rsidRPr="00C806D0" w:rsidRDefault="00003A24" w:rsidP="004949B9">
            <w:pPr>
              <w:pStyle w:val="NoSpacing"/>
              <w:rPr>
                <w:rFonts w:ascii="Calibri" w:hAnsi="Calibri" w:cs="Arial"/>
                <w:b w:val="0"/>
                <w:sz w:val="18"/>
                <w:szCs w:val="18"/>
              </w:rPr>
            </w:pPr>
            <w:r w:rsidRPr="00C806D0">
              <w:rPr>
                <w:rFonts w:ascii="Calibri" w:hAnsi="Calibri" w:cs="Arial"/>
                <w:b w:val="0"/>
                <w:sz w:val="18"/>
                <w:szCs w:val="18"/>
              </w:rPr>
              <w:t xml:space="preserve">Relative effectiveness of bypass in major </w:t>
            </w:r>
            <w:r w:rsidR="002A16B4" w:rsidRPr="00C806D0">
              <w:rPr>
                <w:rFonts w:ascii="Calibri" w:hAnsi="Calibri" w:cs="Arial"/>
                <w:b w:val="0"/>
                <w:sz w:val="18"/>
                <w:szCs w:val="18"/>
              </w:rPr>
              <w:t>extracranial</w:t>
            </w:r>
            <w:r w:rsidRPr="00C806D0">
              <w:rPr>
                <w:rFonts w:ascii="Calibri" w:hAnsi="Calibri" w:cs="Arial"/>
                <w:b w:val="0"/>
                <w:sz w:val="18"/>
                <w:szCs w:val="18"/>
              </w:rPr>
              <w:t xml:space="preserve"> injury: </w:t>
            </w:r>
            <w:r w:rsidR="004949B9" w:rsidRPr="00C806D0">
              <w:rPr>
                <w:rFonts w:ascii="Calibri" w:hAnsi="Calibri" w:cs="Arial"/>
                <w:b w:val="0"/>
                <w:sz w:val="18"/>
                <w:szCs w:val="18"/>
              </w:rPr>
              <w:t>expert opinion</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 xml:space="preserve">Odds ratio for survival following major </w:t>
            </w:r>
            <w:r w:rsidR="002A16B4" w:rsidRPr="00C806D0">
              <w:rPr>
                <w:rFonts w:ascii="Calibri" w:hAnsi="Calibri" w:cs="Arial"/>
                <w:sz w:val="18"/>
                <w:szCs w:val="18"/>
              </w:rPr>
              <w:t>extracranial</w:t>
            </w:r>
            <w:r w:rsidRPr="00C806D0">
              <w:rPr>
                <w:rFonts w:ascii="Calibri" w:hAnsi="Calibri" w:cs="Arial"/>
                <w:sz w:val="18"/>
                <w:szCs w:val="18"/>
              </w:rPr>
              <w:t xml:space="preserve"> injury associated with bypass elicited from clinical experts</w:t>
            </w:r>
            <w:r w:rsidR="004949B9" w:rsidRPr="00C806D0">
              <w:rPr>
                <w:rFonts w:ascii="Calibri" w:hAnsi="Calibri" w:cs="Arial"/>
                <w:sz w:val="18"/>
                <w:szCs w:val="18"/>
              </w:rPr>
              <w:t>.</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0.46</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Patient sub-groups: NEAS</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Distribution of patient subgroups based on estimates from NEAS HITSNS data.</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0.45</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0.44</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Patient sub-groups: NWAS</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Distribution of patient subgroups based on estimates from NWAS HITSNS data.</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0.61</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0.70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Post-discharge costs: 2.5</w:t>
            </w:r>
            <w:r w:rsidRPr="00C806D0">
              <w:rPr>
                <w:rFonts w:ascii="Calibri" w:hAnsi="Calibri" w:cs="Arial"/>
                <w:b w:val="0"/>
                <w:sz w:val="18"/>
                <w:szCs w:val="18"/>
                <w:vertAlign w:val="superscript"/>
              </w:rPr>
              <w:t>th</w:t>
            </w:r>
            <w:r w:rsidRPr="00C806D0">
              <w:rPr>
                <w:rFonts w:ascii="Calibri" w:hAnsi="Calibri" w:cs="Arial"/>
                <w:b w:val="0"/>
                <w:sz w:val="18"/>
                <w:szCs w:val="18"/>
              </w:rPr>
              <w:t xml:space="preserve"> quantile</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Post discharge costs set to their 2.5</w:t>
            </w:r>
            <w:r w:rsidRPr="00C806D0">
              <w:rPr>
                <w:rFonts w:ascii="Calibri" w:hAnsi="Calibri" w:cs="Arial"/>
                <w:sz w:val="18"/>
                <w:szCs w:val="18"/>
                <w:vertAlign w:val="superscript"/>
              </w:rPr>
              <w:t>th</w:t>
            </w:r>
            <w:r w:rsidRPr="00C806D0">
              <w:rPr>
                <w:rFonts w:ascii="Calibri" w:hAnsi="Calibri" w:cs="Arial"/>
                <w:sz w:val="18"/>
                <w:szCs w:val="18"/>
              </w:rPr>
              <w:t xml:space="preserve"> quantile.</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0.43</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Decreased life expectancy</w:t>
            </w: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 xml:space="preserve">Life expectancy for TBI and </w:t>
            </w:r>
            <w:r w:rsidR="002A16B4" w:rsidRPr="00C806D0">
              <w:rPr>
                <w:rFonts w:ascii="Calibri" w:hAnsi="Calibri" w:cs="Arial"/>
                <w:sz w:val="18"/>
                <w:szCs w:val="18"/>
              </w:rPr>
              <w:t>extracranial</w:t>
            </w:r>
            <w:r w:rsidRPr="00C806D0">
              <w:rPr>
                <w:rFonts w:ascii="Calibri" w:hAnsi="Calibri" w:cs="Arial"/>
                <w:sz w:val="18"/>
                <w:szCs w:val="18"/>
              </w:rPr>
              <w:t xml:space="preserve"> injury survivors assumed to be reduced (Cameron 2005, </w:t>
            </w:r>
            <w:r w:rsidR="00BE1FEF" w:rsidRPr="00C806D0">
              <w:rPr>
                <w:rFonts w:ascii="Calibri" w:hAnsi="Calibri" w:cs="Arial"/>
                <w:sz w:val="18"/>
                <w:szCs w:val="18"/>
              </w:rPr>
              <w:t>McMillan</w:t>
            </w:r>
            <w:r w:rsidRPr="00C806D0">
              <w:rPr>
                <w:rFonts w:ascii="Calibri" w:hAnsi="Calibri" w:cs="Arial"/>
                <w:sz w:val="18"/>
                <w:szCs w:val="18"/>
              </w:rPr>
              <w:t xml:space="preserve"> 2011).</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0.42</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0.41</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sz w:val="18"/>
                <w:szCs w:val="18"/>
              </w:rPr>
            </w:pPr>
          </w:p>
        </w:tc>
        <w:tc>
          <w:tcPr>
            <w:tcW w:w="5205" w:type="dxa"/>
          </w:tcPr>
          <w:p w:rsidR="00003A24" w:rsidRPr="00C806D0" w:rsidRDefault="00003A24" w:rsidP="005C1B95">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 xml:space="preserve">Life expectancy for TBI assumed to be reduced according to REP parametric survival model described in Chapter </w:t>
            </w:r>
            <w:r w:rsidR="005C1B95" w:rsidRPr="00C806D0">
              <w:rPr>
                <w:rFonts w:ascii="Calibri" w:hAnsi="Calibri" w:cs="Arial"/>
                <w:sz w:val="18"/>
                <w:szCs w:val="18"/>
              </w:rPr>
              <w:t>7.</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0.58</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0.51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sz w:val="18"/>
                <w:szCs w:val="18"/>
              </w:rPr>
            </w:pPr>
            <w:r w:rsidRPr="00C806D0">
              <w:rPr>
                <w:rFonts w:ascii="Calibri" w:hAnsi="Calibri" w:cs="Arial"/>
                <w:sz w:val="18"/>
                <w:szCs w:val="18"/>
              </w:rPr>
              <w:t>Structural uncertainty</w:t>
            </w:r>
          </w:p>
          <w:p w:rsidR="00003A24" w:rsidRPr="00C806D0" w:rsidRDefault="00003A24" w:rsidP="002A16B4">
            <w:pPr>
              <w:pStyle w:val="NoSpacing"/>
              <w:rPr>
                <w:rFonts w:ascii="Calibri" w:hAnsi="Calibri" w:cs="Arial"/>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Relative effectiveness: No proportional odds assumption</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Odds ratio applied to favourable/unfavourable GOS outcomes. Proportions within each dichotomised group equal to that found in the baseline population.</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 xml:space="preserve"> </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0.38</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0.55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Post-discharge level of disability not static</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Proportion of patients with go</w:t>
            </w:r>
            <w:r w:rsidR="004949B9" w:rsidRPr="00C806D0">
              <w:rPr>
                <w:rFonts w:ascii="Calibri" w:hAnsi="Calibri" w:cs="Arial"/>
                <w:sz w:val="18"/>
                <w:szCs w:val="18"/>
              </w:rPr>
              <w:t>o</w:t>
            </w:r>
            <w:r w:rsidRPr="00C806D0">
              <w:rPr>
                <w:rFonts w:ascii="Calibri" w:hAnsi="Calibri" w:cs="Arial"/>
                <w:sz w:val="18"/>
                <w:szCs w:val="18"/>
              </w:rPr>
              <w:t>d recovery, moderate disability and severe disability changes at 6 years post injury</w:t>
            </w:r>
            <w:r w:rsidR="004949B9" w:rsidRPr="00C806D0">
              <w:rPr>
                <w:rFonts w:ascii="Calibri" w:hAnsi="Calibri" w:cs="Arial"/>
                <w:sz w:val="18"/>
                <w:szCs w:val="18"/>
              </w:rPr>
              <w:t>.</w:t>
            </w:r>
          </w:p>
          <w:p w:rsidR="004949B9" w:rsidRPr="00C806D0" w:rsidRDefault="004949B9"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0.45</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0.44</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Discount rate: 1.5%</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Discount rate reduced to 1.5%.</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0.55</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0.59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Discount rate: 6.0%</w:t>
            </w:r>
          </w:p>
          <w:p w:rsidR="00003A24" w:rsidRPr="00C806D0" w:rsidRDefault="00003A24" w:rsidP="002A16B4">
            <w:pPr>
              <w:pStyle w:val="NoSpacing"/>
              <w:rPr>
                <w:rFonts w:ascii="Calibri" w:hAnsi="Calibri" w:cs="Arial"/>
                <w:b w:val="0"/>
                <w:sz w:val="18"/>
                <w:szCs w:val="18"/>
              </w:rPr>
            </w:pPr>
          </w:p>
        </w:tc>
        <w:tc>
          <w:tcPr>
            <w:tcW w:w="5205" w:type="dxa"/>
          </w:tcPr>
          <w:p w:rsidR="00003A24" w:rsidRPr="00C806D0" w:rsidRDefault="00003A24" w:rsidP="004949B9">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 xml:space="preserve">Discount rate </w:t>
            </w:r>
            <w:r w:rsidR="004949B9" w:rsidRPr="00C806D0">
              <w:rPr>
                <w:rFonts w:ascii="Calibri" w:hAnsi="Calibri" w:cs="Arial"/>
                <w:sz w:val="18"/>
                <w:szCs w:val="18"/>
              </w:rPr>
              <w:t>increased</w:t>
            </w:r>
            <w:r w:rsidRPr="00C806D0">
              <w:rPr>
                <w:rFonts w:ascii="Calibri" w:hAnsi="Calibri" w:cs="Arial"/>
                <w:sz w:val="18"/>
                <w:szCs w:val="18"/>
              </w:rPr>
              <w:t xml:space="preserve"> to 6.0%.</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0.45</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Alternative comparators:</w:t>
            </w:r>
          </w:p>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 xml:space="preserve">Bypass (full compliance) </w:t>
            </w:r>
          </w:p>
        </w:tc>
        <w:tc>
          <w:tcPr>
            <w:tcW w:w="5205" w:type="dxa"/>
          </w:tcPr>
          <w:p w:rsidR="00003A24" w:rsidRPr="00C806D0" w:rsidRDefault="002A16B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Prehospital</w:t>
            </w:r>
            <w:r w:rsidR="00003A24" w:rsidRPr="00C806D0">
              <w:rPr>
                <w:rFonts w:ascii="Calibri" w:hAnsi="Calibri" w:cs="Arial"/>
                <w:sz w:val="18"/>
                <w:szCs w:val="18"/>
              </w:rPr>
              <w:t xml:space="preserve"> and triage management pathway replaced by a theoretical strategy with full compliance.</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 (full compliance)</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0.49</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Bypass (full compliance)</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0.58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3595" w:type="dxa"/>
          </w:tcPr>
          <w:p w:rsidR="00003A24" w:rsidRPr="00C806D0" w:rsidRDefault="00003A24" w:rsidP="002A16B4">
            <w:pPr>
              <w:pStyle w:val="NoSpacing"/>
              <w:rPr>
                <w:rFonts w:ascii="Calibri" w:hAnsi="Calibri" w:cs="Arial"/>
                <w:b w:val="0"/>
                <w:sz w:val="18"/>
                <w:szCs w:val="18"/>
              </w:rPr>
            </w:pPr>
            <w:r w:rsidRPr="00C806D0">
              <w:rPr>
                <w:rFonts w:ascii="Calibri" w:hAnsi="Calibri" w:cs="Arial"/>
                <w:b w:val="0"/>
                <w:sz w:val="18"/>
                <w:szCs w:val="18"/>
              </w:rPr>
              <w:t>Considering non-health effects of bypass</w:t>
            </w:r>
          </w:p>
        </w:tc>
        <w:tc>
          <w:tcPr>
            <w:tcW w:w="5205" w:type="dxa"/>
          </w:tcPr>
          <w:p w:rsidR="00003A24" w:rsidRPr="00C806D0" w:rsidRDefault="00003A24" w:rsidP="004949B9">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Utility decrement applied to bypassed patients with mild TBI to reflect the inconvenience of being taken to a distant hospital</w:t>
            </w:r>
            <w:r w:rsidR="004949B9" w:rsidRPr="00C806D0">
              <w:rPr>
                <w:rFonts w:ascii="Calibri" w:hAnsi="Calibri" w:cs="Arial"/>
                <w:sz w:val="18"/>
                <w:szCs w:val="18"/>
              </w:rPr>
              <w:t>.</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18"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0.46</w:t>
            </w:r>
          </w:p>
        </w:tc>
        <w:tc>
          <w:tcPr>
            <w:tcW w:w="1559"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Routine transfer</w:t>
            </w:r>
          </w:p>
        </w:tc>
        <w:tc>
          <w:tcPr>
            <w:tcW w:w="1450" w:type="dxa"/>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C806D0">
              <w:rPr>
                <w:rFonts w:ascii="Calibri" w:hAnsi="Calibri" w:cs="Arial"/>
                <w:sz w:val="18"/>
                <w:szCs w:val="18"/>
              </w:rPr>
              <w:t>0.44</w:t>
            </w:r>
          </w:p>
        </w:tc>
      </w:tr>
    </w:tbl>
    <w:p w:rsidR="004A7689" w:rsidRPr="00C806D0" w:rsidRDefault="00003A24" w:rsidP="00003A24">
      <w:pPr>
        <w:rPr>
          <w:sz w:val="18"/>
          <w:szCs w:val="18"/>
          <w:shd w:val="clear" w:color="auto" w:fill="FFFFFF"/>
        </w:rPr>
      </w:pPr>
      <w:r w:rsidRPr="00C806D0">
        <w:rPr>
          <w:sz w:val="18"/>
          <w:szCs w:val="18"/>
          <w:shd w:val="clear" w:color="auto" w:fill="FFFFFF"/>
        </w:rPr>
        <w:t>Note: Base case results highlighted in grey.</w:t>
      </w:r>
    </w:p>
    <w:p w:rsidR="004A7689" w:rsidRPr="00C806D0" w:rsidRDefault="004A7689" w:rsidP="00003A24">
      <w:pPr>
        <w:rPr>
          <w:sz w:val="18"/>
          <w:szCs w:val="18"/>
          <w:shd w:val="clear" w:color="auto" w:fill="FFFFFF"/>
        </w:rPr>
      </w:pPr>
    </w:p>
    <w:p w:rsidR="00BF1676" w:rsidRPr="00C806D0" w:rsidRDefault="00BF1676" w:rsidP="00003A24">
      <w:pPr>
        <w:rPr>
          <w:b/>
        </w:rPr>
        <w:sectPr w:rsidR="00BF1676" w:rsidRPr="00C806D0" w:rsidSect="00BF1676">
          <w:pgSz w:w="16838" w:h="11906" w:orient="landscape"/>
          <w:pgMar w:top="2268" w:right="1134" w:bottom="1134" w:left="1134" w:header="709" w:footer="709" w:gutter="0"/>
          <w:cols w:space="708"/>
          <w:docGrid w:linePitch="360"/>
        </w:sectPr>
      </w:pPr>
    </w:p>
    <w:p w:rsidR="00003A24" w:rsidRPr="00C806D0" w:rsidRDefault="00003A24" w:rsidP="00003A24">
      <w:pPr>
        <w:rPr>
          <w:b/>
        </w:rPr>
      </w:pPr>
      <w:r w:rsidRPr="00C806D0">
        <w:rPr>
          <w:b/>
        </w:rPr>
        <w:t xml:space="preserve">Figure J1.Mean incremental NMB (λ=£20,000) for competing management strategies </w:t>
      </w:r>
      <w:r w:rsidR="00335B1F" w:rsidRPr="00C806D0">
        <w:rPr>
          <w:b/>
        </w:rPr>
        <w:t>compared with</w:t>
      </w:r>
      <w:r w:rsidRPr="00C806D0">
        <w:rPr>
          <w:b/>
        </w:rPr>
        <w:t xml:space="preserve"> selective secondary transfer in sensitivity analyses examining parameter and structural uncertainty. </w:t>
      </w:r>
    </w:p>
    <w:p w:rsidR="00003A24" w:rsidRPr="00C806D0" w:rsidRDefault="00003A24" w:rsidP="00003A24"/>
    <w:p w:rsidR="00003A24" w:rsidRPr="00C806D0" w:rsidRDefault="009C40A1" w:rsidP="00003A24">
      <w:r w:rsidRPr="00C806D0">
        <w:rPr>
          <w:rFonts w:ascii="Arial" w:hAnsi="Arial" w:cs="Arial"/>
          <w:b/>
          <w:noProof/>
          <w:lang w:eastAsia="zh-TW"/>
        </w:rPr>
        <w:pict>
          <v:shapetype id="_x0000_t202" coordsize="21600,21600" o:spt="202" path="m,l,21600r21600,l21600,xe">
            <v:stroke joinstyle="miter"/>
            <v:path gradientshapeok="t" o:connecttype="rect"/>
          </v:shapetype>
          <v:shape id="_x0000_s1029" type="#_x0000_t202" style="position:absolute;margin-left:316.1pt;margin-top:5.9pt;width:180.5pt;height:27.35pt;z-index:251665408;mso-width-percent:400;mso-height-percent:200;mso-width-percent:400;mso-height-percent:200;mso-width-relative:margin;mso-height-relative:margin" stroked="f">
            <v:textbox style="mso-next-textbox:#_x0000_s1029;mso-fit-shape-to-text:t">
              <w:txbxContent>
                <w:p w:rsidR="00472313" w:rsidRPr="00432629" w:rsidRDefault="00472313" w:rsidP="00003A24">
                  <w:pPr>
                    <w:rPr>
                      <w:b/>
                      <w:u w:val="single"/>
                    </w:rPr>
                  </w:pPr>
                  <w:r w:rsidRPr="00432629">
                    <w:rPr>
                      <w:b/>
                      <w:u w:val="single"/>
                    </w:rPr>
                    <w:t>Sensitivity analysis:</w:t>
                  </w:r>
                </w:p>
              </w:txbxContent>
            </v:textbox>
          </v:shape>
        </w:pict>
      </w:r>
      <w:r w:rsidR="00003A24" w:rsidRPr="00C806D0">
        <w:rPr>
          <w:noProof/>
          <w:lang w:val="en-US"/>
        </w:rPr>
        <w:drawing>
          <wp:inline distT="0" distB="0" distL="0" distR="0">
            <wp:extent cx="6043080" cy="5667153"/>
            <wp:effectExtent l="19050" t="0" r="0" b="0"/>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6055031" cy="5678361"/>
                    </a:xfrm>
                    <a:prstGeom prst="rect">
                      <a:avLst/>
                    </a:prstGeom>
                    <a:noFill/>
                  </pic:spPr>
                </pic:pic>
              </a:graphicData>
            </a:graphic>
          </wp:inline>
        </w:drawing>
      </w:r>
    </w:p>
    <w:p w:rsidR="00003A24" w:rsidRPr="00C806D0" w:rsidRDefault="00003A24" w:rsidP="00003A24"/>
    <w:p w:rsidR="00003A24" w:rsidRPr="00C806D0" w:rsidRDefault="00003A24" w:rsidP="00003A24">
      <w:pPr>
        <w:pStyle w:val="Heading3"/>
        <w:numPr>
          <w:ilvl w:val="0"/>
          <w:numId w:val="0"/>
        </w:numPr>
        <w:ind w:left="862"/>
      </w:pPr>
    </w:p>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003A24"/>
    <w:p w:rsidR="00003A24" w:rsidRPr="00C806D0" w:rsidRDefault="00003A24" w:rsidP="002A360F">
      <w:pPr>
        <w:pStyle w:val="Heading3"/>
      </w:pPr>
      <w:r w:rsidRPr="00C806D0">
        <w:t>Parameter uncertainty sensitivity analyses</w:t>
      </w:r>
    </w:p>
    <w:p w:rsidR="00003A24" w:rsidRPr="00C806D0" w:rsidRDefault="00003A24" w:rsidP="00003A24">
      <w:r w:rsidRPr="00C806D0">
        <w:t>An initial scenario sensitivity analysis explored the influence of model inputs relating to inpatient costs and relative effectiveness for prehospital triage and bypass. The results of fixing relevant parameters to the 25</w:t>
      </w:r>
      <w:r w:rsidRPr="00C806D0">
        <w:rPr>
          <w:vertAlign w:val="superscript"/>
        </w:rPr>
        <w:t>th</w:t>
      </w:r>
      <w:r w:rsidRPr="00C806D0">
        <w:t xml:space="preserve"> or 75</w:t>
      </w:r>
      <w:r w:rsidRPr="00C806D0">
        <w:rPr>
          <w:vertAlign w:val="superscript"/>
        </w:rPr>
        <w:t>th</w:t>
      </w:r>
      <w:r w:rsidRPr="00C806D0">
        <w:t xml:space="preserve"> quantile of their probability distributions are presented in Table J2. In a favourable scenario for prehospital triage and bypass the base case adoption decision at λ=£20,000 would be reversed with bypass providing an incremental NMB of £</w:t>
      </w:r>
      <w:r w:rsidRPr="00C806D0">
        <w:rPr>
          <w:rFonts w:eastAsia="Times New Roman"/>
          <w:color w:val="000000"/>
          <w:lang w:eastAsia="en-GB"/>
        </w:rPr>
        <w:t>7,530 with</w:t>
      </w:r>
      <w:r w:rsidRPr="00C806D0">
        <w:t xml:space="preserve"> 100% probability of cost-effectiveness, (compared with routine transfer NMB=</w:t>
      </w:r>
      <w:r w:rsidRPr="00C806D0">
        <w:rPr>
          <w:rFonts w:eastAsia="Times New Roman"/>
          <w:color w:val="000000" w:themeColor="text1" w:themeShade="BF"/>
          <w:lang w:eastAsia="en-GB"/>
        </w:rPr>
        <w:t>£1,033</w:t>
      </w:r>
      <w:r w:rsidRPr="00C806D0">
        <w:t>, 0% probability of cost-effectiveness). Conversely, in the contingency that bypass parameters were set to more unfavourable, but still plausible values, prehospital triage and bypass was not cost-effective, even at extremely high willingness to pay thresholds. The sensitivity of cost-effectiveness results to specification of model inputs for the prehospital triage and bypass strategy highlights the large degree of parameter uncertainty in the decision analysis model.</w:t>
      </w:r>
    </w:p>
    <w:p w:rsidR="00003A24" w:rsidRPr="00C806D0" w:rsidRDefault="00003A24" w:rsidP="00003A24"/>
    <w:p w:rsidR="00003A24" w:rsidRPr="00C806D0" w:rsidRDefault="00003A24" w:rsidP="00003A24">
      <w:r w:rsidRPr="00C806D0">
        <w:t>In response to these conflicting cost-effectiveness results a threshold sensitivity analysis was performed to establish the parameter values which would be necessary for bypass to be the optimal management strategy at NICE’s willingness to pay threshold of £20,000. Relevant model inputs were initially set at their median values and then fixed sequentially at more favourable vigintiles of their probability density distributions. Thus, relative effectiveness of bypass strategies progressively improved, while associated costs gradually decreased. All other model inputs were examined probabilistically under base case assumptions. This analysis allows decision makers to weigh their beliefs on the likelihood of model inputs required for bypass to become the optimal strategy. Fixing relevant model inputs at 0.05 quantiles from the median value in favour of bypass resulted in this strategy becoming the favoured option at λ=£20,000. Table J3 summarises the results of the threshold analysis, while the parameter values necessary for bypass to be the strategy with the highest expected NMB are presented in Table J4.</w:t>
      </w:r>
    </w:p>
    <w:p w:rsidR="00003A24" w:rsidRPr="00C806D0" w:rsidRDefault="00003A24" w:rsidP="00003A24">
      <w:pPr>
        <w:rPr>
          <w:rFonts w:ascii="Arial" w:hAnsi="Arial" w:cs="Arial"/>
        </w:rPr>
      </w:pPr>
    </w:p>
    <w:p w:rsidR="00003A24" w:rsidRPr="00C806D0" w:rsidRDefault="00003A24" w:rsidP="00003A24">
      <w:pPr>
        <w:rPr>
          <w:rFonts w:ascii="Arial" w:hAnsi="Arial" w:cs="Arial"/>
        </w:rPr>
      </w:pPr>
    </w:p>
    <w:p w:rsidR="00003A24" w:rsidRPr="00C806D0" w:rsidRDefault="00003A24" w:rsidP="00003A24">
      <w:pPr>
        <w:rPr>
          <w:rFonts w:ascii="Arial" w:hAnsi="Arial" w:cs="Arial"/>
        </w:rPr>
      </w:pPr>
    </w:p>
    <w:p w:rsidR="00003A24" w:rsidRPr="00C806D0" w:rsidRDefault="00003A24" w:rsidP="00003A24">
      <w:pPr>
        <w:rPr>
          <w:rFonts w:ascii="Arial" w:hAnsi="Arial" w:cs="Arial"/>
        </w:rPr>
      </w:pPr>
    </w:p>
    <w:p w:rsidR="00003A24" w:rsidRPr="00C806D0" w:rsidRDefault="00003A24" w:rsidP="00003A24">
      <w:pPr>
        <w:rPr>
          <w:rFonts w:ascii="Arial" w:hAnsi="Arial" w:cs="Arial"/>
        </w:rPr>
      </w:pPr>
    </w:p>
    <w:p w:rsidR="00003A24" w:rsidRPr="00C806D0" w:rsidRDefault="00003A24" w:rsidP="00003A24">
      <w:pPr>
        <w:rPr>
          <w:rFonts w:ascii="Arial" w:hAnsi="Arial" w:cs="Arial"/>
        </w:rPr>
      </w:pPr>
    </w:p>
    <w:p w:rsidR="00003A24" w:rsidRPr="00C806D0" w:rsidRDefault="00003A24" w:rsidP="00003A24">
      <w:pPr>
        <w:shd w:val="clear" w:color="auto" w:fill="FFFFFF" w:themeFill="background1"/>
        <w:rPr>
          <w:rFonts w:ascii="Arial" w:hAnsi="Arial" w:cs="Arial"/>
        </w:rPr>
      </w:pPr>
    </w:p>
    <w:p w:rsidR="003A4BDE" w:rsidRPr="00C806D0" w:rsidRDefault="003A4BDE" w:rsidP="00003A24">
      <w:pPr>
        <w:shd w:val="clear" w:color="auto" w:fill="FFFFFF" w:themeFill="background1"/>
        <w:rPr>
          <w:rFonts w:ascii="Arial" w:hAnsi="Arial" w:cs="Arial"/>
        </w:rPr>
      </w:pPr>
    </w:p>
    <w:p w:rsidR="003A4BDE" w:rsidRPr="00C806D0" w:rsidRDefault="003A4BDE" w:rsidP="00003A24">
      <w:pPr>
        <w:shd w:val="clear" w:color="auto" w:fill="FFFFFF" w:themeFill="background1"/>
        <w:rPr>
          <w:rFonts w:ascii="Arial" w:hAnsi="Arial" w:cs="Arial"/>
        </w:rPr>
      </w:pPr>
    </w:p>
    <w:p w:rsidR="00BF1676" w:rsidRPr="00C806D0" w:rsidRDefault="00BF1676" w:rsidP="00003A24">
      <w:pPr>
        <w:pStyle w:val="NoSpacing"/>
        <w:rPr>
          <w:rFonts w:ascii="Calibri" w:hAnsi="Calibri" w:cs="Arial"/>
          <w:b/>
        </w:r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pStyle w:val="NoSpacing"/>
        <w:rPr>
          <w:rFonts w:ascii="Calibri" w:hAnsi="Calibri" w:cs="Arial"/>
          <w:b/>
        </w:rPr>
      </w:pPr>
      <w:r w:rsidRPr="00C806D0">
        <w:rPr>
          <w:rFonts w:ascii="Calibri" w:hAnsi="Calibri" w:cs="Arial"/>
          <w:b/>
        </w:rPr>
        <w:t xml:space="preserve">Table J2. Probabilistic best and worst case scenario analyses examining the influence of bypass parameters on model results. </w:t>
      </w:r>
    </w:p>
    <w:tbl>
      <w:tblPr>
        <w:tblStyle w:val="LightShading1"/>
        <w:tblW w:w="0" w:type="auto"/>
        <w:shd w:val="clear" w:color="auto" w:fill="FFFFFF" w:themeFill="background1"/>
        <w:tblLook w:val="06A0" w:firstRow="1" w:lastRow="0" w:firstColumn="1" w:lastColumn="0" w:noHBand="1" w:noVBand="1"/>
      </w:tblPr>
      <w:tblGrid>
        <w:gridCol w:w="1384"/>
        <w:gridCol w:w="1701"/>
        <w:gridCol w:w="902"/>
        <w:gridCol w:w="907"/>
        <w:gridCol w:w="222"/>
        <w:gridCol w:w="1055"/>
        <w:gridCol w:w="1417"/>
        <w:gridCol w:w="1617"/>
        <w:gridCol w:w="635"/>
        <w:gridCol w:w="222"/>
        <w:gridCol w:w="1055"/>
        <w:gridCol w:w="1417"/>
        <w:gridCol w:w="1617"/>
        <w:gridCol w:w="635"/>
      </w:tblGrid>
      <w:tr w:rsidR="00003A24" w:rsidRPr="00C806D0" w:rsidTr="00C9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nil"/>
            </w:tcBorders>
            <w:shd w:val="clear" w:color="auto" w:fill="FFFFFF" w:themeFill="background1"/>
          </w:tcPr>
          <w:p w:rsidR="00003A24" w:rsidRPr="00C806D0" w:rsidRDefault="00003A24" w:rsidP="002A16B4">
            <w:pPr>
              <w:pStyle w:val="NoSpacing"/>
              <w:rPr>
                <w:rFonts w:ascii="Calibri" w:hAnsi="Calibri" w:cs="Arial"/>
                <w:sz w:val="20"/>
                <w:szCs w:val="20"/>
              </w:rPr>
            </w:pPr>
          </w:p>
        </w:tc>
        <w:tc>
          <w:tcPr>
            <w:tcW w:w="1701" w:type="dxa"/>
            <w:tcBorders>
              <w:top w:val="single" w:sz="4" w:space="0" w:color="auto"/>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902" w:type="dxa"/>
            <w:tcBorders>
              <w:top w:val="single" w:sz="4" w:space="0" w:color="auto"/>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4"/>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λ=£20,000</w:t>
            </w: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3"/>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λ=£30,000</w:t>
            </w:r>
          </w:p>
        </w:tc>
      </w:tr>
      <w:tr w:rsidR="00003A24" w:rsidRPr="00C806D0" w:rsidTr="00C92FBF">
        <w:tc>
          <w:tcPr>
            <w:cnfStyle w:val="001000000000" w:firstRow="0" w:lastRow="0" w:firstColumn="1" w:lastColumn="0" w:oddVBand="0" w:evenVBand="0" w:oddHBand="0" w:evenHBand="0" w:firstRowFirstColumn="0" w:firstRowLastColumn="0" w:lastRowFirstColumn="0" w:lastRowLastColumn="0"/>
            <w:tcW w:w="1384"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Sensitivity analysis</w:t>
            </w:r>
          </w:p>
        </w:tc>
        <w:tc>
          <w:tcPr>
            <w:tcW w:w="1701"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Strategy</w:t>
            </w:r>
          </w:p>
        </w:tc>
        <w:tc>
          <w:tcPr>
            <w:tcW w:w="902"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Cost</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QALY</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tc>
        <w:tc>
          <w:tcPr>
            <w:tcW w:w="0" w:type="auto"/>
            <w:tcBorders>
              <w:top w:val="single" w:sz="4" w:space="0" w:color="auto"/>
              <w:bottom w:val="single" w:sz="4" w:space="0" w:color="auto"/>
            </w:tcBorders>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Error</w:t>
            </w:r>
          </w:p>
        </w:tc>
        <w:tc>
          <w:tcPr>
            <w:tcW w:w="0" w:type="auto"/>
            <w:tcBorders>
              <w:top w:val="nil"/>
              <w:bottom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Error</w:t>
            </w:r>
          </w:p>
        </w:tc>
      </w:tr>
      <w:tr w:rsidR="00003A24" w:rsidRPr="00C806D0" w:rsidTr="00C92FBF">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Bypass:</w:t>
            </w:r>
          </w:p>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 xml:space="preserve">Favourable scenario </w:t>
            </w:r>
          </w:p>
        </w:tc>
        <w:tc>
          <w:tcPr>
            <w:tcW w:w="1701" w:type="dxa"/>
            <w:tcBorders>
              <w:top w:val="single" w:sz="4" w:space="0" w:color="auto"/>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Bypass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902"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£25,996</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13.28</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£239,530</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£7,530</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£372,293</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£10,733</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r>
      <w:tr w:rsidR="00003A24" w:rsidRPr="00C806D0" w:rsidTr="00C92FBF">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00003A24" w:rsidRPr="00C806D0" w:rsidRDefault="00003A24" w:rsidP="002A16B4">
            <w:pPr>
              <w:rPr>
                <w:rFonts w:ascii="Calibri" w:hAnsi="Calibri" w:cs="Arial"/>
                <w:b w:val="0"/>
                <w:sz w:val="20"/>
                <w:szCs w:val="20"/>
              </w:rPr>
            </w:pPr>
          </w:p>
        </w:tc>
        <w:tc>
          <w:tcPr>
            <w:tcW w:w="1701" w:type="dxa"/>
            <w:shd w:val="clear" w:color="auto" w:fill="FFFFFF" w:themeFill="background1"/>
          </w:tcPr>
          <w:p w:rsidR="00003A24" w:rsidRPr="00C806D0" w:rsidRDefault="00003A24" w:rsidP="00C92FBF">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Selective transfer</w:t>
            </w:r>
          </w:p>
          <w:p w:rsidR="00C92FBF" w:rsidRPr="00C806D0" w:rsidRDefault="00C92FBF" w:rsidP="00C92FBF">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90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£27,119</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12.96</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£232,000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£361,560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r>
      <w:tr w:rsidR="00003A24" w:rsidRPr="00C806D0" w:rsidTr="00C92FBF">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FFFFFF" w:themeFill="background1"/>
          </w:tcPr>
          <w:p w:rsidR="00003A24" w:rsidRPr="00C806D0" w:rsidRDefault="00003A24" w:rsidP="002A16B4">
            <w:pPr>
              <w:pStyle w:val="NoSpacing"/>
              <w:rPr>
                <w:rFonts w:ascii="Calibri" w:hAnsi="Calibri" w:cs="Arial"/>
                <w:b w:val="0"/>
                <w:sz w:val="20"/>
                <w:szCs w:val="20"/>
              </w:rPr>
            </w:pPr>
          </w:p>
        </w:tc>
        <w:tc>
          <w:tcPr>
            <w:tcW w:w="1701" w:type="dxa"/>
            <w:tcBorders>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902" w:type="dxa"/>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£27,270</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13.02</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£233,033</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£1,033</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£363,185</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£1,625</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r>
      <w:tr w:rsidR="00003A24" w:rsidRPr="00C806D0" w:rsidTr="00C92FBF">
        <w:tc>
          <w:tcPr>
            <w:cnfStyle w:val="001000000000" w:firstRow="0" w:lastRow="0" w:firstColumn="1" w:lastColumn="0" w:oddVBand="0" w:evenVBand="0" w:oddHBand="0" w:evenHBand="0" w:firstRowFirstColumn="0" w:firstRowLastColumn="0" w:lastRowFirstColumn="0" w:lastRowLastColumn="0"/>
            <w:tcW w:w="1384"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sz w:val="20"/>
                <w:szCs w:val="20"/>
              </w:rPr>
            </w:pPr>
          </w:p>
        </w:tc>
        <w:tc>
          <w:tcPr>
            <w:tcW w:w="1701"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 transfer</w:t>
            </w:r>
          </w:p>
        </w:tc>
        <w:tc>
          <w:tcPr>
            <w:tcW w:w="902"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£26,876</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12.68</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£226,818</w:t>
            </w:r>
          </w:p>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-£5,182</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£353,664</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-£7,896</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r>
      <w:tr w:rsidR="00003A24" w:rsidRPr="00C806D0" w:rsidTr="00C92FBF">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 xml:space="preserve">Bypass: </w:t>
            </w:r>
          </w:p>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Unfavourable scenario</w:t>
            </w:r>
          </w:p>
        </w:tc>
        <w:tc>
          <w:tcPr>
            <w:tcW w:w="1701" w:type="dxa"/>
            <w:tcBorders>
              <w:top w:val="single" w:sz="4" w:space="0" w:color="auto"/>
            </w:tcBorders>
            <w:shd w:val="clear" w:color="auto" w:fill="FFFFFF" w:themeFill="background1"/>
          </w:tcPr>
          <w:p w:rsidR="00003A24" w:rsidRPr="00C806D0" w:rsidRDefault="00003A24" w:rsidP="00C92FBF">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Bypass (observed)</w:t>
            </w:r>
          </w:p>
        </w:tc>
        <w:tc>
          <w:tcPr>
            <w:tcW w:w="902" w:type="dxa"/>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£31,862</w:t>
            </w: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12.94</w:t>
            </w: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£226,962</w:t>
            </w: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-£4,744</w:t>
            </w: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£356,374</w:t>
            </w: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-£4,656</w:t>
            </w: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top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r>
      <w:tr w:rsidR="00003A24" w:rsidRPr="00C806D0" w:rsidTr="00C92FBF">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00003A24" w:rsidRPr="00C806D0" w:rsidRDefault="00003A24" w:rsidP="002A16B4">
            <w:pPr>
              <w:rPr>
                <w:rFonts w:ascii="Calibri" w:hAnsi="Calibri" w:cs="Arial"/>
                <w:b w:val="0"/>
                <w:sz w:val="20"/>
                <w:szCs w:val="20"/>
              </w:rPr>
            </w:pPr>
          </w:p>
        </w:tc>
        <w:tc>
          <w:tcPr>
            <w:tcW w:w="1701" w:type="dxa"/>
            <w:shd w:val="clear" w:color="auto" w:fill="auto"/>
          </w:tcPr>
          <w:p w:rsidR="00003A24" w:rsidRPr="00C806D0" w:rsidRDefault="00003A24" w:rsidP="00C92FBF">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Selective transfer</w:t>
            </w:r>
          </w:p>
          <w:p w:rsidR="00C92FBF" w:rsidRPr="00C806D0" w:rsidRDefault="00C92FBF" w:rsidP="00C92FBF">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902"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£26,942</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12.93</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£231,706</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0.22</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0.78</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£361,030</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0.20</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0.80</w:t>
            </w:r>
          </w:p>
        </w:tc>
      </w:tr>
      <w:tr w:rsidR="00003A24" w:rsidRPr="00C806D0" w:rsidTr="00C92FBF">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00003A24" w:rsidRPr="00C806D0" w:rsidRDefault="00003A24" w:rsidP="002A16B4">
            <w:pPr>
              <w:pStyle w:val="NoSpacing"/>
              <w:rPr>
                <w:rFonts w:ascii="Calibri" w:hAnsi="Calibri" w:cs="Arial"/>
                <w:b w:val="0"/>
                <w:sz w:val="20"/>
                <w:szCs w:val="20"/>
              </w:rPr>
            </w:pPr>
          </w:p>
        </w:tc>
        <w:tc>
          <w:tcPr>
            <w:tcW w:w="1701" w:type="dxa"/>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902" w:type="dxa"/>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£27,094</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12.99</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£232,746</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£1,040</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0.77</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0.23</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£362,666</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£1,636</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0.79</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0.21</w:t>
            </w:r>
          </w:p>
        </w:tc>
      </w:tr>
      <w:tr w:rsidR="00003A24" w:rsidRPr="00C806D0" w:rsidTr="00C92FBF">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00003A24" w:rsidRPr="00C806D0" w:rsidRDefault="00003A24" w:rsidP="002A16B4">
            <w:pPr>
              <w:pStyle w:val="NoSpacing"/>
              <w:rPr>
                <w:rFonts w:ascii="Calibri" w:hAnsi="Calibri" w:cs="Arial"/>
                <w:b w:val="0"/>
                <w:sz w:val="20"/>
                <w:szCs w:val="20"/>
              </w:rPr>
            </w:pPr>
          </w:p>
        </w:tc>
        <w:tc>
          <w:tcPr>
            <w:tcW w:w="1701" w:type="dxa"/>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 transfer</w:t>
            </w:r>
          </w:p>
        </w:tc>
        <w:tc>
          <w:tcPr>
            <w:tcW w:w="90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£26,714</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12.66</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£226,484</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-£5,222</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0.01</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0.99</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£353,083</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-£7,947</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0.01</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0.99</w:t>
            </w:r>
          </w:p>
        </w:tc>
      </w:tr>
      <w:tr w:rsidR="00003A24" w:rsidRPr="00C806D0" w:rsidTr="00C92FBF">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00003A24" w:rsidRPr="00C806D0" w:rsidRDefault="00003A24" w:rsidP="002A16B4">
            <w:pPr>
              <w:pStyle w:val="NoSpacing"/>
              <w:rPr>
                <w:rFonts w:ascii="Calibri" w:hAnsi="Calibri" w:cs="Arial"/>
                <w:sz w:val="20"/>
                <w:szCs w:val="20"/>
              </w:rPr>
            </w:pPr>
          </w:p>
        </w:tc>
        <w:tc>
          <w:tcPr>
            <w:tcW w:w="1701" w:type="dxa"/>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902" w:type="dxa"/>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Bypass relative effectiveness and inpatient cost parameters fixed at the 2.5</w:t>
      </w:r>
      <w:r w:rsidRPr="00C806D0">
        <w:rPr>
          <w:rFonts w:ascii="Calibri" w:hAnsi="Calibri" w:cs="Arial"/>
          <w:sz w:val="20"/>
          <w:szCs w:val="20"/>
          <w:vertAlign w:val="superscript"/>
        </w:rPr>
        <w:t>th</w:t>
      </w:r>
      <w:r w:rsidRPr="00C806D0">
        <w:rPr>
          <w:rFonts w:ascii="Calibri" w:hAnsi="Calibri" w:cs="Arial"/>
          <w:sz w:val="20"/>
          <w:szCs w:val="20"/>
        </w:rPr>
        <w:t>/97.5</w:t>
      </w:r>
      <w:r w:rsidRPr="00C806D0">
        <w:rPr>
          <w:rFonts w:ascii="Calibri" w:hAnsi="Calibri" w:cs="Arial"/>
          <w:sz w:val="20"/>
          <w:szCs w:val="20"/>
          <w:vertAlign w:val="superscript"/>
        </w:rPr>
        <w:t>th</w:t>
      </w:r>
      <w:r w:rsidRPr="00C806D0">
        <w:rPr>
          <w:rFonts w:ascii="Calibri" w:hAnsi="Calibri" w:cs="Arial"/>
          <w:sz w:val="20"/>
          <w:szCs w:val="20"/>
        </w:rPr>
        <w:t xml:space="preserve"> quantiles. Other parameters treated probabilistically. </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C92FBF" w:rsidRPr="00C806D0" w:rsidRDefault="00C92FBF" w:rsidP="00003A24">
      <w:pPr>
        <w:pStyle w:val="NoSpacing"/>
        <w:rPr>
          <w:rFonts w:ascii="Calibri" w:hAnsi="Calibri" w:cs="Arial"/>
          <w:sz w:val="20"/>
          <w:szCs w:val="20"/>
        </w:rPr>
      </w:pPr>
    </w:p>
    <w:p w:rsidR="00C92FBF" w:rsidRPr="00C806D0" w:rsidRDefault="00C92FBF" w:rsidP="00003A24">
      <w:pPr>
        <w:pStyle w:val="NoSpacing"/>
        <w:rPr>
          <w:rFonts w:ascii="Calibri" w:hAnsi="Calibri" w:cs="Arial"/>
          <w:sz w:val="20"/>
          <w:szCs w:val="20"/>
        </w:rPr>
      </w:pPr>
    </w:p>
    <w:p w:rsidR="00C92FBF" w:rsidRPr="00C806D0" w:rsidRDefault="00C92FBF" w:rsidP="00003A24">
      <w:pPr>
        <w:pStyle w:val="NoSpacing"/>
        <w:rPr>
          <w:rFonts w:ascii="Calibri" w:hAnsi="Calibri" w:cs="Arial"/>
          <w:sz w:val="20"/>
          <w:szCs w:val="20"/>
        </w:rPr>
      </w:pPr>
    </w:p>
    <w:p w:rsidR="00BF1676" w:rsidRPr="00C806D0" w:rsidRDefault="00BF1676" w:rsidP="00003A24">
      <w:pPr>
        <w:pStyle w:val="NoSpacing"/>
        <w:rPr>
          <w:rFonts w:ascii="Calibri" w:hAnsi="Calibri" w:cs="Arial"/>
          <w:sz w:val="20"/>
          <w:szCs w:val="20"/>
        </w:rPr>
      </w:pPr>
    </w:p>
    <w:p w:rsidR="00C92FBF" w:rsidRPr="00C806D0" w:rsidRDefault="00C92FBF" w:rsidP="00003A24">
      <w:pPr>
        <w:pStyle w:val="NoSpacing"/>
        <w:rPr>
          <w:rFonts w:ascii="Calibri" w:hAnsi="Calibri" w:cs="Arial"/>
          <w:b/>
          <w:sz w:val="20"/>
          <w:szCs w:val="20"/>
        </w:rPr>
      </w:pPr>
    </w:p>
    <w:p w:rsidR="00003A24" w:rsidRPr="00C806D0" w:rsidRDefault="00003A24" w:rsidP="00003A24">
      <w:pPr>
        <w:pStyle w:val="NoSpacing"/>
        <w:rPr>
          <w:rFonts w:ascii="Calibri" w:hAnsi="Calibri" w:cs="Arial"/>
        </w:rPr>
      </w:pPr>
      <w:r w:rsidRPr="00C806D0">
        <w:rPr>
          <w:rFonts w:ascii="Calibri" w:hAnsi="Calibri" w:cs="Arial"/>
          <w:b/>
        </w:rPr>
        <w:t xml:space="preserve">Table J3.Threshold analysis examining the value of bypass parameters required for cost-effectiveness. </w:t>
      </w:r>
    </w:p>
    <w:tbl>
      <w:tblPr>
        <w:tblStyle w:val="LightShading1"/>
        <w:tblW w:w="0" w:type="auto"/>
        <w:shd w:val="clear" w:color="auto" w:fill="FFFFFF" w:themeFill="background1"/>
        <w:tblLook w:val="06A0" w:firstRow="1" w:lastRow="0" w:firstColumn="1" w:lastColumn="0" w:noHBand="1" w:noVBand="1"/>
      </w:tblPr>
      <w:tblGrid>
        <w:gridCol w:w="1527"/>
        <w:gridCol w:w="1480"/>
        <w:gridCol w:w="973"/>
        <w:gridCol w:w="908"/>
        <w:gridCol w:w="222"/>
        <w:gridCol w:w="1055"/>
        <w:gridCol w:w="1418"/>
        <w:gridCol w:w="1619"/>
        <w:gridCol w:w="635"/>
        <w:gridCol w:w="222"/>
        <w:gridCol w:w="1055"/>
        <w:gridCol w:w="1418"/>
        <w:gridCol w:w="1619"/>
        <w:gridCol w:w="63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bottom w:val="nil"/>
            </w:tcBorders>
            <w:shd w:val="clear" w:color="auto" w:fill="FFFFFF" w:themeFill="background1"/>
          </w:tcPr>
          <w:p w:rsidR="00003A24" w:rsidRPr="00C806D0" w:rsidRDefault="00003A24" w:rsidP="002A16B4">
            <w:pPr>
              <w:pStyle w:val="NoSpacing"/>
              <w:rPr>
                <w:rFonts w:ascii="Calibri" w:hAnsi="Calibri" w:cs="Arial"/>
                <w:sz w:val="20"/>
                <w:szCs w:val="20"/>
              </w:rPr>
            </w:pPr>
          </w:p>
        </w:tc>
        <w:tc>
          <w:tcPr>
            <w:tcW w:w="1479" w:type="dxa"/>
            <w:tcBorders>
              <w:top w:val="single" w:sz="4" w:space="0" w:color="auto"/>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4"/>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λ=£20,000</w:t>
            </w: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3"/>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λ=£30,000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526"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Sensitivity analysis</w:t>
            </w:r>
          </w:p>
        </w:tc>
        <w:tc>
          <w:tcPr>
            <w:tcW w:w="1479"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Strategy</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Cost</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QALY</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tc>
        <w:tc>
          <w:tcPr>
            <w:tcW w:w="0" w:type="auto"/>
            <w:tcBorders>
              <w:top w:val="single" w:sz="4" w:space="0" w:color="auto"/>
              <w:bottom w:val="single" w:sz="4" w:space="0" w:color="auto"/>
            </w:tcBorders>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Error</w:t>
            </w:r>
          </w:p>
        </w:tc>
        <w:tc>
          <w:tcPr>
            <w:tcW w:w="0" w:type="auto"/>
            <w:tcBorders>
              <w:top w:val="nil"/>
              <w:bottom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Error</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Bypass: threshold analysis</w:t>
            </w:r>
          </w:p>
        </w:tc>
        <w:tc>
          <w:tcPr>
            <w:tcW w:w="1479" w:type="dxa"/>
            <w:tcBorders>
              <w:top w:val="single" w:sz="4" w:space="0" w:color="auto"/>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Bypass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£28,458</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13.14</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£234,419</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£2,174</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0.75</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0.25</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£365,857</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£4,100</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0.85</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0.16</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003A24" w:rsidRPr="00C806D0" w:rsidRDefault="00003A24" w:rsidP="002A16B4">
            <w:pPr>
              <w:rPr>
                <w:rFonts w:ascii="Calibri" w:hAnsi="Calibri" w:cs="Arial"/>
                <w:b w:val="0"/>
                <w:sz w:val="20"/>
                <w:szCs w:val="20"/>
              </w:rPr>
            </w:pPr>
          </w:p>
        </w:tc>
        <w:tc>
          <w:tcPr>
            <w:tcW w:w="1479"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Selective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£26,779</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12.95</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£232,245</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£361,757</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FFFFFF" w:themeFill="background1"/>
          </w:tcPr>
          <w:p w:rsidR="00003A24" w:rsidRPr="00C806D0" w:rsidRDefault="00003A24" w:rsidP="002A16B4">
            <w:pPr>
              <w:pStyle w:val="NoSpacing"/>
              <w:rPr>
                <w:rFonts w:ascii="Calibri" w:hAnsi="Calibri" w:cs="Arial"/>
                <w:b w:val="0"/>
                <w:sz w:val="20"/>
                <w:szCs w:val="20"/>
              </w:rPr>
            </w:pPr>
          </w:p>
        </w:tc>
        <w:tc>
          <w:tcPr>
            <w:tcW w:w="1479" w:type="dxa"/>
            <w:tcBorders>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£26,927</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13.01</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£233,334</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£1,089</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0.22</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0.78</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£363,465</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£1,708</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0.15</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0.85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526"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sz w:val="20"/>
                <w:szCs w:val="20"/>
              </w:rPr>
            </w:pPr>
          </w:p>
        </w:tc>
        <w:tc>
          <w:tcPr>
            <w:tcW w:w="1479"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 transfer</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£26,510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12.68</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£227,103</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-£5,142</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£353,909</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-£7,848</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Results are shown for scenario where distributions for bypass parameters are set at the most favourable 0.05th quantile from the median value. Bypass relative effectiveness and inpatient cost parameters fixed at the 55</w:t>
      </w:r>
      <w:r w:rsidRPr="00C806D0">
        <w:rPr>
          <w:rFonts w:ascii="Calibri" w:hAnsi="Calibri" w:cs="Arial"/>
          <w:sz w:val="20"/>
          <w:szCs w:val="20"/>
          <w:vertAlign w:val="superscript"/>
        </w:rPr>
        <w:t>th</w:t>
      </w:r>
      <w:r w:rsidRPr="00C806D0">
        <w:rPr>
          <w:rFonts w:ascii="Calibri" w:hAnsi="Calibri" w:cs="Arial"/>
          <w:sz w:val="20"/>
          <w:szCs w:val="20"/>
        </w:rPr>
        <w:t xml:space="preserve"> quantile. Other parameters treated probabilistically. </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pStyle w:val="NoSpacing"/>
        <w:rPr>
          <w:rFonts w:ascii="Calibri" w:hAnsi="Calibri" w:cs="Arial"/>
          <w:sz w:val="20"/>
          <w:szCs w:val="20"/>
        </w:rPr>
      </w:pPr>
    </w:p>
    <w:p w:rsidR="00BF1676" w:rsidRPr="00C806D0" w:rsidRDefault="00BF1676" w:rsidP="00003A24">
      <w:pPr>
        <w:pStyle w:val="NoSpacing"/>
        <w:rPr>
          <w:rFonts w:ascii="Calibri" w:hAnsi="Calibri" w:cs="Arial"/>
          <w:sz w:val="20"/>
          <w:szCs w:val="20"/>
        </w:rPr>
        <w:sectPr w:rsidR="00BF1676" w:rsidRPr="00C806D0" w:rsidSect="00BF1676">
          <w:pgSz w:w="16838" w:h="11906" w:orient="landscape"/>
          <w:pgMar w:top="2268" w:right="1134" w:bottom="1134" w:left="1134" w:header="709" w:footer="709" w:gutter="0"/>
          <w:cols w:space="708"/>
          <w:docGrid w:linePitch="360"/>
        </w:sectPr>
      </w:pPr>
    </w:p>
    <w:p w:rsidR="00003A24" w:rsidRPr="00C806D0" w:rsidRDefault="00003A24" w:rsidP="00003A24">
      <w:pPr>
        <w:rPr>
          <w:rFonts w:ascii="Calibri" w:hAnsi="Calibri" w:cs="Arial"/>
          <w:b/>
        </w:rPr>
      </w:pPr>
      <w:r w:rsidRPr="00C806D0">
        <w:rPr>
          <w:rFonts w:ascii="Calibri" w:hAnsi="Calibri" w:cs="Arial"/>
          <w:b/>
        </w:rPr>
        <w:t>Table J4. Parameter values required for prehospital triage and bypass to be the strategy with highest expected NMB.</w:t>
      </w:r>
    </w:p>
    <w:tbl>
      <w:tblPr>
        <w:tblStyle w:val="LightShading1"/>
        <w:tblW w:w="0" w:type="auto"/>
        <w:tblLook w:val="06A0" w:firstRow="1" w:lastRow="0" w:firstColumn="1" w:lastColumn="0" w:noHBand="1" w:noVBand="1"/>
      </w:tblPr>
      <w:tblGrid>
        <w:gridCol w:w="1900"/>
        <w:gridCol w:w="2521"/>
        <w:gridCol w:w="1815"/>
        <w:gridCol w:w="2484"/>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Patient subgroup</w:t>
            </w:r>
          </w:p>
        </w:tc>
        <w:tc>
          <w:tcPr>
            <w:tcW w:w="0" w:type="auto"/>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Parameter*</w:t>
            </w:r>
          </w:p>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(bypass v selective transfer)</w:t>
            </w:r>
          </w:p>
        </w:tc>
        <w:tc>
          <w:tcPr>
            <w:tcW w:w="0" w:type="auto"/>
          </w:tcPr>
          <w:p w:rsidR="00003A24" w:rsidRPr="00C806D0" w:rsidRDefault="00003A24" w:rsidP="004949B9">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Distribution</w:t>
            </w:r>
          </w:p>
          <w:p w:rsidR="00003A24" w:rsidRPr="00C806D0" w:rsidRDefault="00003A24" w:rsidP="004949B9">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(mean,</w:t>
            </w:r>
            <w:r w:rsidR="004949B9" w:rsidRPr="00C806D0">
              <w:rPr>
                <w:rFonts w:ascii="Calibri" w:hAnsi="Calibri" w:cs="Arial"/>
                <w:sz w:val="20"/>
                <w:szCs w:val="20"/>
              </w:rPr>
              <w:t xml:space="preserve"> </w:t>
            </w:r>
            <w:r w:rsidRPr="00C806D0">
              <w:rPr>
                <w:rFonts w:ascii="Calibri" w:hAnsi="Calibri" w:cs="Arial"/>
                <w:sz w:val="20"/>
                <w:szCs w:val="20"/>
              </w:rPr>
              <w:t>SE/SD)</w:t>
            </w:r>
          </w:p>
        </w:tc>
        <w:tc>
          <w:tcPr>
            <w:tcW w:w="0" w:type="auto"/>
          </w:tcPr>
          <w:p w:rsidR="00003A24" w:rsidRPr="00C806D0" w:rsidRDefault="00003A24" w:rsidP="004949B9">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Deterministic value at 55</w:t>
            </w:r>
            <w:r w:rsidRPr="00C806D0">
              <w:rPr>
                <w:rFonts w:ascii="Calibri" w:hAnsi="Calibri" w:cs="Arial"/>
                <w:sz w:val="20"/>
                <w:szCs w:val="20"/>
                <w:vertAlign w:val="superscript"/>
              </w:rPr>
              <w:t>th</w:t>
            </w:r>
            <w:r w:rsidRPr="00C806D0">
              <w:rPr>
                <w:rFonts w:ascii="Calibri" w:hAnsi="Calibri" w:cs="Arial"/>
                <w:sz w:val="20"/>
                <w:szCs w:val="20"/>
              </w:rPr>
              <w:t xml:space="preserve"> quantile</w:t>
            </w:r>
          </w:p>
          <w:p w:rsidR="00003A24" w:rsidRPr="00C806D0" w:rsidRDefault="00003A24" w:rsidP="004949B9">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b w:val="0"/>
                <w:sz w:val="20"/>
                <w:szCs w:val="20"/>
              </w:rPr>
            </w:pPr>
            <w:r w:rsidRPr="00C806D0">
              <w:rPr>
                <w:rFonts w:ascii="Calibri" w:hAnsi="Calibri" w:cs="Arial"/>
                <w:b w:val="0"/>
                <w:sz w:val="20"/>
                <w:szCs w:val="20"/>
              </w:rPr>
              <w:t>Mild TBI</w:t>
            </w: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Incremental cost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Normal (63,40)</w:t>
            </w: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£58.30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b w:val="0"/>
                <w:sz w:val="20"/>
                <w:szCs w:val="20"/>
              </w:rPr>
            </w:pPr>
            <w:r w:rsidRPr="00C806D0">
              <w:rPr>
                <w:rFonts w:ascii="Calibri" w:hAnsi="Calibri" w:cs="Arial"/>
                <w:b w:val="0"/>
                <w:sz w:val="20"/>
                <w:szCs w:val="20"/>
              </w:rPr>
              <w:t>TBI requiring critical care</w:t>
            </w: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Relative effectiveness: log odds ratio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Normal (0.00,0.56)</w:t>
            </w: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-0.07  (0.93)</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b w:val="0"/>
                <w:sz w:val="20"/>
                <w:szCs w:val="20"/>
              </w:rPr>
            </w:pP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Incremental cost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Normal (6970,14699)</w:t>
            </w:r>
          </w:p>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£5,123</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b w:val="0"/>
                <w:sz w:val="20"/>
                <w:szCs w:val="20"/>
              </w:rPr>
            </w:pPr>
            <w:r w:rsidRPr="00C806D0">
              <w:rPr>
                <w:rFonts w:ascii="Calibri" w:hAnsi="Calibri" w:cs="Arial"/>
                <w:b w:val="0"/>
                <w:sz w:val="20"/>
                <w:szCs w:val="20"/>
              </w:rPr>
              <w:t>Acute neurosurgery</w:t>
            </w: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Relative effectiveness: log odds ratio</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Normal (-0.68, 0.34)</w:t>
            </w: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-0.72 (0.48)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b w:val="0"/>
                <w:sz w:val="20"/>
                <w:szCs w:val="20"/>
              </w:rPr>
            </w:pP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Incremental cost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Normal (32044,18249)</w:t>
            </w:r>
          </w:p>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£29,751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b w:val="0"/>
                <w:sz w:val="20"/>
                <w:szCs w:val="20"/>
              </w:rPr>
            </w:pPr>
            <w:r w:rsidRPr="00C806D0">
              <w:rPr>
                <w:rFonts w:ascii="Calibri" w:hAnsi="Calibri" w:cs="Arial"/>
                <w:b w:val="0"/>
                <w:sz w:val="20"/>
                <w:szCs w:val="20"/>
              </w:rPr>
              <w:t>TBI requiring ward care</w:t>
            </w: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Relative effectiveness: log odds ratio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Normal (-0.02,0.02)</w:t>
            </w: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-0.02 (0.98)</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b w:val="0"/>
                <w:sz w:val="20"/>
                <w:szCs w:val="20"/>
              </w:rPr>
            </w:pP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Incremental cost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Normal (2353,981)</w:t>
            </w: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£2,229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b w:val="0"/>
                <w:sz w:val="20"/>
                <w:szCs w:val="20"/>
              </w:rPr>
            </w:pPr>
            <w:r w:rsidRPr="00C806D0">
              <w:rPr>
                <w:rFonts w:ascii="Calibri" w:hAnsi="Calibri" w:cs="Arial"/>
                <w:b w:val="0"/>
                <w:sz w:val="20"/>
                <w:szCs w:val="20"/>
              </w:rPr>
              <w:t xml:space="preserve">Major </w:t>
            </w:r>
            <w:r w:rsidR="002A16B4" w:rsidRPr="00C806D0">
              <w:rPr>
                <w:rFonts w:ascii="Calibri" w:hAnsi="Calibri" w:cs="Arial"/>
                <w:b w:val="0"/>
                <w:sz w:val="20"/>
                <w:szCs w:val="20"/>
              </w:rPr>
              <w:t>extracranial</w:t>
            </w:r>
            <w:r w:rsidRPr="00C806D0">
              <w:rPr>
                <w:rFonts w:ascii="Calibri" w:hAnsi="Calibri" w:cs="Arial"/>
                <w:b w:val="0"/>
                <w:sz w:val="20"/>
                <w:szCs w:val="20"/>
              </w:rPr>
              <w:t xml:space="preserve"> injury</w:t>
            </w: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Relative effectiveness: log odds ratio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Normal (-0.22,0.66)</w:t>
            </w: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-0.23, (0.79)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Pr>
          <w:p w:rsidR="00003A24" w:rsidRPr="00C806D0" w:rsidRDefault="00003A24" w:rsidP="002A16B4">
            <w:pPr>
              <w:pStyle w:val="NoSpacing"/>
              <w:rPr>
                <w:rFonts w:ascii="Calibri" w:hAnsi="Calibri" w:cs="Arial"/>
                <w:b w:val="0"/>
                <w:sz w:val="20"/>
                <w:szCs w:val="20"/>
              </w:rPr>
            </w:pPr>
          </w:p>
        </w:tc>
        <w:tc>
          <w:tcPr>
            <w:tcW w:w="0" w:type="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Incremental cost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Normal (2922,5283)</w:t>
            </w:r>
          </w:p>
        </w:tc>
        <w:tc>
          <w:tcPr>
            <w:tcW w:w="0" w:type="auto"/>
          </w:tcPr>
          <w:p w:rsidR="00003A24" w:rsidRPr="00C806D0" w:rsidRDefault="00003A24" w:rsidP="004949B9">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£2258</w:t>
            </w:r>
          </w:p>
        </w:tc>
      </w:tr>
    </w:tbl>
    <w:p w:rsidR="00003A24" w:rsidRPr="00C806D0" w:rsidRDefault="00003A24" w:rsidP="00003A24">
      <w:pPr>
        <w:rPr>
          <w:rFonts w:ascii="Calibri" w:hAnsi="Calibri" w:cs="Arial"/>
          <w:sz w:val="20"/>
          <w:szCs w:val="20"/>
        </w:rPr>
      </w:pPr>
      <w:r w:rsidRPr="00C806D0">
        <w:rPr>
          <w:rFonts w:ascii="Calibri" w:hAnsi="Calibri" w:cs="Arial"/>
          <w:sz w:val="20"/>
          <w:szCs w:val="20"/>
        </w:rPr>
        <w:t>*All bypass parameters changed simultaneously.</w:t>
      </w:r>
    </w:p>
    <w:p w:rsidR="00003A24" w:rsidRPr="00C806D0" w:rsidRDefault="00003A24" w:rsidP="00003A24">
      <w:pPr>
        <w:rPr>
          <w:rFonts w:ascii="Calibri" w:hAnsi="Calibri" w:cs="Arial"/>
          <w:sz w:val="20"/>
          <w:szCs w:val="20"/>
        </w:rPr>
      </w:pPr>
    </w:p>
    <w:p w:rsidR="00003A24" w:rsidRPr="00C806D0" w:rsidRDefault="00003A24" w:rsidP="00003A24">
      <w:r w:rsidRPr="00C806D0">
        <w:t xml:space="preserve">Adoption decisions at NICE willingness to pay thresholds were highly sensitive to modification of model inputs in </w:t>
      </w:r>
      <w:r w:rsidR="004949B9" w:rsidRPr="00C806D0">
        <w:t>further secondary</w:t>
      </w:r>
      <w:r w:rsidRPr="00C806D0">
        <w:t xml:space="preserve"> analyses, emphasising marked second and third order parameter uncertainty. At λ=£20,000 the base case adoption decision was transformed, with bypass now identified as the optimal strategy, when alternative estimates were used for incremental inpatient costs. The case-mix of suspected significant TBI patients was also highly influential in determining cost-effectiveness. When NEAS estimates for population subgroups were used, demonstrating a relatively lower proportion of significant TBI patients, routine transfer was the most cost-effective option at both λ=£20,000 and λ=£30,000. Implementing NWAS estimates, with higher prevalence of more seriously injured patients, suggested bypass was optimal at these thresholds. </w:t>
      </w:r>
    </w:p>
    <w:p w:rsidR="00003A24" w:rsidRPr="00C806D0" w:rsidRDefault="00003A24" w:rsidP="00003A24"/>
    <w:p w:rsidR="00003A24" w:rsidRPr="00C806D0" w:rsidRDefault="00003A24" w:rsidP="00003A24">
      <w:r w:rsidRPr="00C806D0">
        <w:t>Life expectancy following TBI and major trauma was a further important determinant of cost-effectiveness.  Adjusting general population period life tables according to published estimates of increased risk of death following injury resulted in routine secondary transfer being the optimal management strategy across the range of NICE’s stated willingness to pay thresholds. Conversely, basing life expectancy on estimates from REP survival model, desc</w:t>
      </w:r>
      <w:r w:rsidR="005C1B95" w:rsidRPr="00C806D0">
        <w:t xml:space="preserve">ribed in detail in Chapter </w:t>
      </w:r>
      <w:r w:rsidR="004949B9" w:rsidRPr="00C806D0">
        <w:t>Seven</w:t>
      </w:r>
      <w:r w:rsidRPr="00C806D0">
        <w:t xml:space="preserve">, did not alter the base case findings. Alternative assumptions on post-discharge costs, acute neurosurgery baseline outcomes, GOS health state utility values, or the relative effectiveness of bypass in patients with major </w:t>
      </w:r>
      <w:r w:rsidR="002A16B4" w:rsidRPr="00C806D0">
        <w:t>extracranial</w:t>
      </w:r>
      <w:r w:rsidRPr="00C806D0">
        <w:t xml:space="preserve"> injury also did not materially change cost-effectiveness results. The detailed results from these sensitivity analyses are presented in Tables J5 to J12.</w:t>
      </w:r>
    </w:p>
    <w:p w:rsidR="00BF1676" w:rsidRPr="00C806D0" w:rsidRDefault="00BF1676" w:rsidP="00003A24">
      <w:p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pStyle w:val="NoSpacing"/>
        <w:rPr>
          <w:rFonts w:ascii="Calibri" w:hAnsi="Calibri" w:cs="Arial"/>
        </w:rPr>
      </w:pPr>
      <w:r w:rsidRPr="00C806D0">
        <w:rPr>
          <w:rFonts w:ascii="Calibri" w:hAnsi="Calibri" w:cs="Arial"/>
          <w:b/>
        </w:rPr>
        <w:t>Table J5.</w:t>
      </w:r>
      <w:r w:rsidR="004949B9" w:rsidRPr="00C806D0">
        <w:rPr>
          <w:rFonts w:ascii="Calibri" w:hAnsi="Calibri" w:cs="Arial"/>
          <w:b/>
        </w:rPr>
        <w:t xml:space="preserve">  S</w:t>
      </w:r>
      <w:r w:rsidRPr="00C806D0">
        <w:rPr>
          <w:rFonts w:ascii="Calibri" w:hAnsi="Calibri" w:cs="Arial"/>
          <w:b/>
        </w:rPr>
        <w:t xml:space="preserve">ensitivity analysis examining the influence of alternative utility estimates. </w:t>
      </w:r>
    </w:p>
    <w:tbl>
      <w:tblPr>
        <w:tblStyle w:val="LightShading1"/>
        <w:tblW w:w="0" w:type="auto"/>
        <w:shd w:val="clear" w:color="auto" w:fill="FFFFFF" w:themeFill="background1"/>
        <w:tblLook w:val="06A0" w:firstRow="1" w:lastRow="0" w:firstColumn="1" w:lastColumn="0" w:noHBand="1" w:noVBand="1"/>
      </w:tblPr>
      <w:tblGrid>
        <w:gridCol w:w="1313"/>
        <w:gridCol w:w="1159"/>
        <w:gridCol w:w="948"/>
        <w:gridCol w:w="853"/>
        <w:gridCol w:w="1036"/>
        <w:gridCol w:w="1534"/>
        <w:gridCol w:w="1492"/>
        <w:gridCol w:w="635"/>
        <w:gridCol w:w="267"/>
        <w:gridCol w:w="1036"/>
        <w:gridCol w:w="1534"/>
        <w:gridCol w:w="1492"/>
        <w:gridCol w:w="87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Borders>
              <w:bottom w:val="nil"/>
            </w:tcBorders>
            <w:shd w:val="clear" w:color="auto" w:fill="FFFFFF" w:themeFill="background1"/>
          </w:tcPr>
          <w:p w:rsidR="00003A24" w:rsidRPr="00C806D0" w:rsidRDefault="00003A24" w:rsidP="002A16B4">
            <w:pPr>
              <w:pStyle w:val="NoSpacing"/>
              <w:rPr>
                <w:rFonts w:ascii="Calibri" w:hAnsi="Calibri" w:cs="Arial"/>
                <w:color w:val="auto"/>
                <w:sz w:val="20"/>
                <w:szCs w:val="20"/>
              </w:rPr>
            </w:pPr>
          </w:p>
        </w:tc>
        <w:tc>
          <w:tcPr>
            <w:tcW w:w="1159"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48"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853"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4062" w:type="dxa"/>
            <w:gridSpan w:val="3"/>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λ=£20,000</w:t>
            </w:r>
          </w:p>
        </w:tc>
        <w:tc>
          <w:tcPr>
            <w:tcW w:w="635" w:type="dxa"/>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267" w:type="dxa"/>
            <w:tcBorders>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4937" w:type="dxa"/>
            <w:gridSpan w:val="4"/>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λ=£30,000</w:t>
            </w:r>
          </w:p>
          <w:p w:rsidR="00003A24" w:rsidRPr="00C806D0" w:rsidRDefault="00003A24" w:rsidP="002A16B4">
            <w:pPr>
              <w:pStyle w:val="NoSpacing"/>
              <w:tabs>
                <w:tab w:val="left" w:pos="301"/>
              </w:tabs>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ab/>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13"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Sensitivity analysis</w:t>
            </w:r>
          </w:p>
        </w:tc>
        <w:tc>
          <w:tcPr>
            <w:tcW w:w="1159"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Strategy</w:t>
            </w:r>
          </w:p>
        </w:tc>
        <w:tc>
          <w:tcPr>
            <w:tcW w:w="948"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Cost</w:t>
            </w:r>
          </w:p>
        </w:tc>
        <w:tc>
          <w:tcPr>
            <w:tcW w:w="853"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QALY</w:t>
            </w:r>
          </w:p>
        </w:tc>
        <w:tc>
          <w:tcPr>
            <w:tcW w:w="1036"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34"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492"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w:t>
            </w:r>
            <w:r w:rsidRPr="00C806D0">
              <w:rPr>
                <w:rFonts w:ascii="Calibri" w:hAnsi="Calibri" w:cs="Arial"/>
                <w:b/>
                <w:color w:val="auto"/>
                <w:sz w:val="20"/>
                <w:szCs w:val="20"/>
                <w:shd w:val="clear" w:color="auto" w:fill="F2F2F2" w:themeFill="background1" w:themeFillShade="F2"/>
              </w:rPr>
              <w:t>rror</w:t>
            </w:r>
          </w:p>
        </w:tc>
        <w:tc>
          <w:tcPr>
            <w:tcW w:w="267" w:type="dxa"/>
            <w:tcBorders>
              <w:top w:val="nil"/>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1036"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34"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492"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87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Error</w:t>
            </w:r>
          </w:p>
        </w:tc>
      </w:tr>
      <w:tr w:rsidR="00003A24" w:rsidRPr="00C806D0" w:rsidTr="002A16B4">
        <w:trPr>
          <w:trHeight w:val="609"/>
        </w:trPr>
        <w:tc>
          <w:tcPr>
            <w:cnfStyle w:val="001000000000" w:firstRow="0" w:lastRow="0" w:firstColumn="1" w:lastColumn="0" w:oddVBand="0" w:evenVBand="0" w:oddHBand="0" w:evenHBand="0" w:firstRowFirstColumn="0" w:firstRowLastColumn="0" w:lastRowFirstColumn="0" w:lastRowLastColumn="0"/>
            <w:tcW w:w="1313"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sz w:val="20"/>
                <w:szCs w:val="20"/>
              </w:rPr>
              <w:t>Utility estimates (Aoki)</w:t>
            </w:r>
          </w:p>
        </w:tc>
        <w:tc>
          <w:tcPr>
            <w:tcW w:w="1159" w:type="dxa"/>
            <w:tcBorders>
              <w:top w:val="single" w:sz="4" w:space="0" w:color="auto"/>
            </w:tcBorders>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48"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£29,045</w:t>
            </w:r>
          </w:p>
        </w:tc>
        <w:tc>
          <w:tcPr>
            <w:tcW w:w="853"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12.74</w:t>
            </w:r>
          </w:p>
        </w:tc>
        <w:tc>
          <w:tcPr>
            <w:tcW w:w="1036"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£225,709</w:t>
            </w:r>
          </w:p>
        </w:tc>
        <w:tc>
          <w:tcPr>
            <w:tcW w:w="1534"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£433</w:t>
            </w:r>
          </w:p>
        </w:tc>
        <w:tc>
          <w:tcPr>
            <w:tcW w:w="1492"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0.43</w:t>
            </w:r>
          </w:p>
        </w:tc>
        <w:tc>
          <w:tcPr>
            <w:tcW w:w="635"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0.57</w:t>
            </w:r>
          </w:p>
        </w:tc>
        <w:tc>
          <w:tcPr>
            <w:tcW w:w="267" w:type="dxa"/>
            <w:tcBorders>
              <w:top w:val="nil"/>
            </w:tcBorders>
            <w:shd w:val="clear" w:color="auto" w:fill="auto"/>
            <w:vAlign w:val="bottom"/>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36"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£353,086</w:t>
            </w:r>
          </w:p>
        </w:tc>
        <w:tc>
          <w:tcPr>
            <w:tcW w:w="1534"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£1,670</w:t>
            </w:r>
          </w:p>
        </w:tc>
        <w:tc>
          <w:tcPr>
            <w:tcW w:w="1492"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0.48</w:t>
            </w:r>
          </w:p>
        </w:tc>
        <w:tc>
          <w:tcPr>
            <w:tcW w:w="87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13" w:type="dxa"/>
            <w:shd w:val="clear" w:color="auto" w:fill="FFFFFF" w:themeFill="background1"/>
          </w:tcPr>
          <w:p w:rsidR="00003A24" w:rsidRPr="00C806D0" w:rsidRDefault="00003A24" w:rsidP="002A16B4">
            <w:pPr>
              <w:rPr>
                <w:rFonts w:ascii="Calibri" w:hAnsi="Calibri" w:cs="Arial"/>
                <w:b w:val="0"/>
                <w:color w:val="auto"/>
                <w:sz w:val="20"/>
                <w:szCs w:val="20"/>
              </w:rPr>
            </w:pPr>
          </w:p>
        </w:tc>
        <w:tc>
          <w:tcPr>
            <w:tcW w:w="1159"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48"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£27,005</w:t>
            </w:r>
          </w:p>
        </w:tc>
        <w:tc>
          <w:tcPr>
            <w:tcW w:w="85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12.61</w:t>
            </w:r>
          </w:p>
        </w:tc>
        <w:tc>
          <w:tcPr>
            <w:tcW w:w="1036"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£225,275</w:t>
            </w:r>
          </w:p>
        </w:tc>
        <w:tc>
          <w:tcPr>
            <w:tcW w:w="153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149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0.12</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0.88</w:t>
            </w:r>
          </w:p>
        </w:tc>
        <w:tc>
          <w:tcPr>
            <w:tcW w:w="267" w:type="dxa"/>
            <w:shd w:val="clear" w:color="auto" w:fill="FFFFFF" w:themeFill="background1"/>
            <w:vAlign w:val="bottom"/>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36"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£351,416</w:t>
            </w:r>
          </w:p>
        </w:tc>
        <w:tc>
          <w:tcPr>
            <w:tcW w:w="153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149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0.09</w:t>
            </w:r>
          </w:p>
        </w:tc>
        <w:tc>
          <w:tcPr>
            <w:tcW w:w="8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13" w:type="dxa"/>
            <w:tcBorders>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59" w:type="dxa"/>
            <w:tcBorders>
              <w:bottom w:val="nil"/>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48"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£27,160</w:t>
            </w:r>
          </w:p>
        </w:tc>
        <w:tc>
          <w:tcPr>
            <w:tcW w:w="853"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12.67</w:t>
            </w:r>
          </w:p>
        </w:tc>
        <w:tc>
          <w:tcPr>
            <w:tcW w:w="1036"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£226,287</w:t>
            </w:r>
          </w:p>
        </w:tc>
        <w:tc>
          <w:tcPr>
            <w:tcW w:w="1534"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£1,012</w:t>
            </w:r>
          </w:p>
        </w:tc>
        <w:tc>
          <w:tcPr>
            <w:tcW w:w="1492"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0.43</w:t>
            </w:r>
          </w:p>
        </w:tc>
        <w:tc>
          <w:tcPr>
            <w:tcW w:w="63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0.57</w:t>
            </w:r>
          </w:p>
        </w:tc>
        <w:tc>
          <w:tcPr>
            <w:tcW w:w="267" w:type="dxa"/>
            <w:tcBorders>
              <w:bottom w:val="nil"/>
            </w:tcBorders>
            <w:shd w:val="clear" w:color="auto" w:fill="D9D9D9" w:themeFill="background1" w:themeFillShade="D9"/>
            <w:vAlign w:val="bottom"/>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36"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£353,011</w:t>
            </w:r>
          </w:p>
        </w:tc>
        <w:tc>
          <w:tcPr>
            <w:tcW w:w="1534"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£1,595</w:t>
            </w:r>
          </w:p>
        </w:tc>
        <w:tc>
          <w:tcPr>
            <w:tcW w:w="1492"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0.41</w:t>
            </w:r>
          </w:p>
        </w:tc>
        <w:tc>
          <w:tcPr>
            <w:tcW w:w="875"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13" w:type="dxa"/>
            <w:tcBorders>
              <w:top w:val="nil"/>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59" w:type="dxa"/>
            <w:tcBorders>
              <w:top w:val="nil"/>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48"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£26,774</w:t>
            </w:r>
          </w:p>
        </w:tc>
        <w:tc>
          <w:tcPr>
            <w:tcW w:w="853"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12.32</w:t>
            </w:r>
          </w:p>
        </w:tc>
        <w:tc>
          <w:tcPr>
            <w:tcW w:w="1036"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£219,718</w:t>
            </w:r>
          </w:p>
        </w:tc>
        <w:tc>
          <w:tcPr>
            <w:tcW w:w="1534"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-£5,557</w:t>
            </w:r>
          </w:p>
        </w:tc>
        <w:tc>
          <w:tcPr>
            <w:tcW w:w="1492"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63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c>
          <w:tcPr>
            <w:tcW w:w="267" w:type="dxa"/>
            <w:tcBorders>
              <w:top w:val="nil"/>
              <w:bottom w:val="nil"/>
            </w:tcBorders>
            <w:shd w:val="clear" w:color="auto" w:fill="FFFFFF" w:themeFill="background1"/>
            <w:vAlign w:val="bottom"/>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36"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£342,964</w:t>
            </w:r>
          </w:p>
        </w:tc>
        <w:tc>
          <w:tcPr>
            <w:tcW w:w="1534"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-£8,452</w:t>
            </w:r>
          </w:p>
        </w:tc>
        <w:tc>
          <w:tcPr>
            <w:tcW w:w="1492"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87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13"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59"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48"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53"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036"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534"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492"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635"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267" w:type="dxa"/>
            <w:tcBorders>
              <w:top w:val="nil"/>
              <w:bottom w:val="single" w:sz="4" w:space="0" w:color="auto"/>
            </w:tcBorders>
            <w:shd w:val="clear" w:color="auto" w:fill="FFFFFF" w:themeFill="background1"/>
            <w:vAlign w:val="bottom"/>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1036"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534"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492"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75"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r w:rsidR="00003A24" w:rsidRPr="00C806D0" w:rsidTr="002A16B4">
        <w:tblPrEx>
          <w:shd w:val="clear" w:color="auto" w:fill="auto"/>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313" w:type="dxa"/>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sz w:val="20"/>
                <w:szCs w:val="20"/>
              </w:rPr>
              <w:t>Utility estimates (VSTR)</w:t>
            </w:r>
          </w:p>
        </w:tc>
        <w:tc>
          <w:tcPr>
            <w:tcW w:w="1159" w:type="dxa"/>
            <w:shd w:val="clear" w:color="auto" w:fill="FFFFFF" w:themeFill="background1"/>
          </w:tcPr>
          <w:p w:rsidR="00003A24" w:rsidRPr="00C806D0" w:rsidRDefault="00003A24" w:rsidP="002A16B4">
            <w:pPr>
              <w:pStyle w:val="NoSpacing"/>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48"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£29,085</w:t>
            </w:r>
          </w:p>
        </w:tc>
        <w:tc>
          <w:tcPr>
            <w:tcW w:w="853"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13.80</w:t>
            </w:r>
          </w:p>
        </w:tc>
        <w:tc>
          <w:tcPr>
            <w:tcW w:w="1036"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£246,902</w:t>
            </w:r>
          </w:p>
        </w:tc>
        <w:tc>
          <w:tcPr>
            <w:tcW w:w="1534"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£674</w:t>
            </w:r>
          </w:p>
        </w:tc>
        <w:tc>
          <w:tcPr>
            <w:tcW w:w="1492"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0.44</w:t>
            </w:r>
          </w:p>
        </w:tc>
        <w:tc>
          <w:tcPr>
            <w:tcW w:w="635"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0.56</w:t>
            </w:r>
          </w:p>
        </w:tc>
        <w:tc>
          <w:tcPr>
            <w:tcW w:w="267"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p>
        </w:tc>
        <w:tc>
          <w:tcPr>
            <w:tcW w:w="1036"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£384,896</w:t>
            </w:r>
          </w:p>
        </w:tc>
        <w:tc>
          <w:tcPr>
            <w:tcW w:w="1534"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£2,049</w:t>
            </w:r>
          </w:p>
        </w:tc>
        <w:tc>
          <w:tcPr>
            <w:tcW w:w="1492"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0.51</w:t>
            </w:r>
          </w:p>
        </w:tc>
        <w:tc>
          <w:tcPr>
            <w:tcW w:w="875"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0.49</w:t>
            </w:r>
          </w:p>
        </w:tc>
      </w:tr>
      <w:tr w:rsidR="00003A24" w:rsidRPr="00C806D0" w:rsidTr="002A16B4">
        <w:tblPrEx>
          <w:shd w:val="clear" w:color="auto" w:fill="auto"/>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13" w:type="dxa"/>
            <w:shd w:val="clear" w:color="auto" w:fill="FFFFFF" w:themeFill="background1"/>
          </w:tcPr>
          <w:p w:rsidR="00003A24" w:rsidRPr="00C806D0" w:rsidRDefault="00003A24" w:rsidP="002A16B4">
            <w:pPr>
              <w:rPr>
                <w:rFonts w:ascii="Calibri" w:hAnsi="Calibri" w:cs="Arial"/>
                <w:b w:val="0"/>
                <w:color w:val="auto"/>
                <w:sz w:val="20"/>
                <w:szCs w:val="20"/>
              </w:rPr>
            </w:pPr>
          </w:p>
        </w:tc>
        <w:tc>
          <w:tcPr>
            <w:tcW w:w="1159"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48"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£27,009</w:t>
            </w:r>
          </w:p>
        </w:tc>
        <w:tc>
          <w:tcPr>
            <w:tcW w:w="85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13.66</w:t>
            </w:r>
          </w:p>
        </w:tc>
        <w:tc>
          <w:tcPr>
            <w:tcW w:w="1036"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£246,228</w:t>
            </w:r>
          </w:p>
        </w:tc>
        <w:tc>
          <w:tcPr>
            <w:tcW w:w="153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149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0.08</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0.92</w:t>
            </w:r>
          </w:p>
        </w:tc>
        <w:tc>
          <w:tcPr>
            <w:tcW w:w="267"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36"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£382,847</w:t>
            </w:r>
          </w:p>
        </w:tc>
        <w:tc>
          <w:tcPr>
            <w:tcW w:w="153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149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0.05</w:t>
            </w:r>
          </w:p>
        </w:tc>
        <w:tc>
          <w:tcPr>
            <w:tcW w:w="8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0.95</w:t>
            </w:r>
          </w:p>
        </w:tc>
      </w:tr>
      <w:tr w:rsidR="00003A24" w:rsidRPr="00C806D0" w:rsidTr="002A16B4">
        <w:tblPrEx>
          <w:shd w:val="clear" w:color="auto" w:fill="auto"/>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59" w:type="dxa"/>
            <w:shd w:val="clear" w:color="auto" w:fill="D9D9D9" w:themeFill="background1" w:themeFillShade="D9"/>
          </w:tcPr>
          <w:p w:rsidR="00003A24" w:rsidRPr="00C806D0" w:rsidRDefault="00003A24" w:rsidP="002A16B4">
            <w:pPr>
              <w:pStyle w:val="NoSpacing"/>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2A16B4">
            <w:pPr>
              <w:pStyle w:val="NoSpacing"/>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p>
        </w:tc>
        <w:tc>
          <w:tcPr>
            <w:tcW w:w="948"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£27,149</w:t>
            </w:r>
          </w:p>
        </w:tc>
        <w:tc>
          <w:tcPr>
            <w:tcW w:w="853"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13.73</w:t>
            </w:r>
          </w:p>
        </w:tc>
        <w:tc>
          <w:tcPr>
            <w:tcW w:w="1036"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£247,386</w:t>
            </w:r>
          </w:p>
        </w:tc>
        <w:tc>
          <w:tcPr>
            <w:tcW w:w="1534"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£1,158</w:t>
            </w:r>
          </w:p>
        </w:tc>
        <w:tc>
          <w:tcPr>
            <w:tcW w:w="1492"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0.46</w:t>
            </w:r>
          </w:p>
        </w:tc>
        <w:tc>
          <w:tcPr>
            <w:tcW w:w="635"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0.54</w:t>
            </w:r>
          </w:p>
        </w:tc>
        <w:tc>
          <w:tcPr>
            <w:tcW w:w="267"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p>
        </w:tc>
        <w:tc>
          <w:tcPr>
            <w:tcW w:w="1036"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£384,653</w:t>
            </w:r>
          </w:p>
        </w:tc>
        <w:tc>
          <w:tcPr>
            <w:tcW w:w="1534"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£1,806</w:t>
            </w:r>
          </w:p>
        </w:tc>
        <w:tc>
          <w:tcPr>
            <w:tcW w:w="1492"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0.43</w:t>
            </w:r>
          </w:p>
        </w:tc>
        <w:tc>
          <w:tcPr>
            <w:tcW w:w="875"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0.57</w:t>
            </w:r>
          </w:p>
        </w:tc>
      </w:tr>
      <w:tr w:rsidR="00003A24" w:rsidRPr="00C806D0" w:rsidTr="002A16B4">
        <w:tblPrEx>
          <w:shd w:val="clear" w:color="auto" w:fill="auto"/>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13" w:type="dxa"/>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59" w:type="dxa"/>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48"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£26,746</w:t>
            </w:r>
          </w:p>
        </w:tc>
        <w:tc>
          <w:tcPr>
            <w:tcW w:w="85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13.40</w:t>
            </w:r>
          </w:p>
        </w:tc>
        <w:tc>
          <w:tcPr>
            <w:tcW w:w="1036"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£241,157</w:t>
            </w:r>
          </w:p>
        </w:tc>
        <w:tc>
          <w:tcPr>
            <w:tcW w:w="153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-£5,072</w:t>
            </w:r>
          </w:p>
        </w:tc>
        <w:tc>
          <w:tcPr>
            <w:tcW w:w="149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c>
          <w:tcPr>
            <w:tcW w:w="267"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36"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£375,108</w:t>
            </w:r>
          </w:p>
        </w:tc>
        <w:tc>
          <w:tcPr>
            <w:tcW w:w="153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-£7,740</w:t>
            </w:r>
          </w:p>
        </w:tc>
        <w:tc>
          <w:tcPr>
            <w:tcW w:w="149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8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HSPWs for GOS outcome categories changed to those reported by Aoki and colleagues (1998);</w:t>
      </w:r>
      <w:r w:rsidRPr="00C806D0">
        <w:rPr>
          <w:rFonts w:ascii="Calibri" w:hAnsi="Calibri" w:cs="Arial"/>
          <w:noProof/>
          <w:sz w:val="20"/>
          <w:szCs w:val="20"/>
          <w:vertAlign w:val="superscript"/>
        </w:rPr>
        <w:t>[</w:t>
      </w:r>
      <w:r w:rsidR="006D4D62" w:rsidRPr="00C806D0">
        <w:rPr>
          <w:rFonts w:ascii="Calibri" w:hAnsi="Calibri" w:cs="Arial"/>
          <w:noProof/>
          <w:sz w:val="20"/>
          <w:szCs w:val="20"/>
          <w:vertAlign w:val="superscript"/>
        </w:rPr>
        <w:t>1</w:t>
      </w:r>
      <w:r w:rsidRPr="00C806D0">
        <w:rPr>
          <w:rFonts w:ascii="Calibri" w:hAnsi="Calibri" w:cs="Arial"/>
          <w:noProof/>
          <w:sz w:val="20"/>
          <w:szCs w:val="20"/>
          <w:vertAlign w:val="superscript"/>
        </w:rPr>
        <w:t>]</w:t>
      </w:r>
      <w:r w:rsidRPr="00C806D0">
        <w:rPr>
          <w:rFonts w:ascii="Calibri" w:hAnsi="Calibri" w:cs="Arial"/>
          <w:sz w:val="20"/>
          <w:szCs w:val="20"/>
        </w:rPr>
        <w:t xml:space="preserve"> or derived from patients enrolled in the </w:t>
      </w:r>
      <w:r w:rsidR="002A16B4" w:rsidRPr="00C806D0">
        <w:rPr>
          <w:rFonts w:ascii="Calibri" w:hAnsi="Calibri" w:cs="Arial"/>
          <w:sz w:val="20"/>
          <w:szCs w:val="20"/>
        </w:rPr>
        <w:t>VSTR</w:t>
      </w:r>
      <w:r w:rsidRPr="00C806D0">
        <w:rPr>
          <w:rFonts w:ascii="Calibri" w:hAnsi="Calibri" w:cs="Arial"/>
          <w:sz w:val="20"/>
          <w:szCs w:val="20"/>
        </w:rPr>
        <w:t xml:space="preserve"> using the EQ5D and UK preference tariff. Selective transfer is baseline comparator for calculation of mean incremental NMB. Strategy with highest net benefit shaded in grey.</w:t>
      </w:r>
    </w:p>
    <w:p w:rsidR="00003A24" w:rsidRPr="00C806D0" w:rsidRDefault="00003A24" w:rsidP="00003A24">
      <w:pPr>
        <w:pStyle w:val="NoSpacing"/>
        <w:rPr>
          <w:rFonts w:ascii="Calibri" w:hAnsi="Calibri" w:cs="Arial"/>
          <w:b/>
        </w:rPr>
      </w:pPr>
      <w:r w:rsidRPr="00C806D0">
        <w:rPr>
          <w:rFonts w:ascii="Calibri" w:hAnsi="Calibri" w:cs="Arial"/>
          <w:b/>
        </w:rPr>
        <w:t xml:space="preserve">Table J6. </w:t>
      </w:r>
      <w:r w:rsidR="004949B9" w:rsidRPr="00C806D0">
        <w:rPr>
          <w:rFonts w:ascii="Calibri" w:hAnsi="Calibri" w:cs="Arial"/>
          <w:b/>
        </w:rPr>
        <w:t>S</w:t>
      </w:r>
      <w:r w:rsidRPr="00C806D0">
        <w:rPr>
          <w:rFonts w:ascii="Calibri" w:hAnsi="Calibri" w:cs="Arial"/>
          <w:b/>
        </w:rPr>
        <w:t xml:space="preserve">ensitivity analysis examining the influence of alternative estimates for baseline outcomes for patients requiring acute neurosurgery. </w:t>
      </w:r>
    </w:p>
    <w:p w:rsidR="004949B9" w:rsidRPr="00C806D0" w:rsidRDefault="004949B9" w:rsidP="00003A24">
      <w:pPr>
        <w:pStyle w:val="NoSpacing"/>
        <w:rPr>
          <w:rFonts w:ascii="Calibri" w:hAnsi="Calibri" w:cs="Arial"/>
        </w:rPr>
      </w:pPr>
    </w:p>
    <w:tbl>
      <w:tblPr>
        <w:tblStyle w:val="LightShading1"/>
        <w:tblW w:w="0" w:type="auto"/>
        <w:shd w:val="clear" w:color="auto" w:fill="FFFFFF" w:themeFill="background1"/>
        <w:tblLook w:val="06A0" w:firstRow="1" w:lastRow="0" w:firstColumn="1" w:lastColumn="0" w:noHBand="1" w:noVBand="1"/>
      </w:tblPr>
      <w:tblGrid>
        <w:gridCol w:w="1339"/>
        <w:gridCol w:w="1183"/>
        <w:gridCol w:w="956"/>
        <w:gridCol w:w="870"/>
        <w:gridCol w:w="1042"/>
        <w:gridCol w:w="1568"/>
        <w:gridCol w:w="1532"/>
        <w:gridCol w:w="635"/>
        <w:gridCol w:w="272"/>
        <w:gridCol w:w="1042"/>
        <w:gridCol w:w="1568"/>
        <w:gridCol w:w="1532"/>
        <w:gridCol w:w="63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bottom w:val="nil"/>
            </w:tcBorders>
            <w:shd w:val="clear" w:color="auto" w:fill="FFFFFF" w:themeFill="background1"/>
          </w:tcPr>
          <w:p w:rsidR="00003A24" w:rsidRPr="00C806D0" w:rsidRDefault="00003A24" w:rsidP="002A16B4">
            <w:pPr>
              <w:pStyle w:val="NoSpacing"/>
              <w:rPr>
                <w:rFonts w:ascii="Calibri" w:hAnsi="Calibri" w:cs="Arial"/>
                <w:color w:val="auto"/>
                <w:sz w:val="20"/>
                <w:szCs w:val="20"/>
              </w:rPr>
            </w:pPr>
          </w:p>
        </w:tc>
        <w:tc>
          <w:tcPr>
            <w:tcW w:w="1183"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6"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870"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4142" w:type="dxa"/>
            <w:gridSpan w:val="3"/>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λ=£20,000</w:t>
            </w:r>
          </w:p>
        </w:tc>
        <w:tc>
          <w:tcPr>
            <w:tcW w:w="635" w:type="dxa"/>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272" w:type="dxa"/>
            <w:tcBorders>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4777" w:type="dxa"/>
            <w:gridSpan w:val="4"/>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λ=£30,000</w:t>
            </w:r>
          </w:p>
          <w:p w:rsidR="00003A24" w:rsidRPr="00C806D0" w:rsidRDefault="00003A24" w:rsidP="002A16B4">
            <w:pPr>
              <w:pStyle w:val="NoSpacing"/>
              <w:tabs>
                <w:tab w:val="left" w:pos="301"/>
              </w:tabs>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ab/>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39"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Sensitivity analysis</w:t>
            </w:r>
          </w:p>
        </w:tc>
        <w:tc>
          <w:tcPr>
            <w:tcW w:w="1183"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Strategy</w:t>
            </w:r>
          </w:p>
        </w:tc>
        <w:tc>
          <w:tcPr>
            <w:tcW w:w="956"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Cost</w:t>
            </w:r>
          </w:p>
        </w:tc>
        <w:tc>
          <w:tcPr>
            <w:tcW w:w="870"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QALY</w:t>
            </w:r>
          </w:p>
        </w:tc>
        <w:tc>
          <w:tcPr>
            <w:tcW w:w="1042"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68"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532"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w:t>
            </w:r>
            <w:r w:rsidRPr="00C806D0">
              <w:rPr>
                <w:rFonts w:ascii="Calibri" w:hAnsi="Calibri" w:cs="Arial"/>
                <w:b/>
                <w:color w:val="auto"/>
                <w:sz w:val="20"/>
                <w:szCs w:val="20"/>
                <w:shd w:val="clear" w:color="auto" w:fill="F2F2F2" w:themeFill="background1" w:themeFillShade="F2"/>
              </w:rPr>
              <w:t>rror</w:t>
            </w:r>
          </w:p>
        </w:tc>
        <w:tc>
          <w:tcPr>
            <w:tcW w:w="272" w:type="dxa"/>
            <w:tcBorders>
              <w:top w:val="nil"/>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1042"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68"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532"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Error</w:t>
            </w:r>
          </w:p>
        </w:tc>
      </w:tr>
      <w:tr w:rsidR="00003A24" w:rsidRPr="00C806D0" w:rsidTr="002A16B4">
        <w:trPr>
          <w:trHeight w:val="453"/>
        </w:trPr>
        <w:tc>
          <w:tcPr>
            <w:cnfStyle w:val="001000000000" w:firstRow="0" w:lastRow="0" w:firstColumn="1" w:lastColumn="0" w:oddVBand="0" w:evenVBand="0" w:oddHBand="0" w:evenHBand="0" w:firstRowFirstColumn="0" w:firstRowLastColumn="0" w:lastRowFirstColumn="0" w:lastRowLastColumn="0"/>
            <w:tcW w:w="1339"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sz w:val="20"/>
                <w:szCs w:val="20"/>
              </w:rPr>
              <w:t xml:space="preserve">Alternative acute </w:t>
            </w:r>
          </w:p>
        </w:tc>
        <w:tc>
          <w:tcPr>
            <w:tcW w:w="1183" w:type="dxa"/>
            <w:tcBorders>
              <w:top w:val="single" w:sz="4" w:space="0" w:color="auto"/>
            </w:tcBorders>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56"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£29,621</w:t>
            </w:r>
          </w:p>
        </w:tc>
        <w:tc>
          <w:tcPr>
            <w:tcW w:w="870"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13.02</w:t>
            </w:r>
          </w:p>
        </w:tc>
        <w:tc>
          <w:tcPr>
            <w:tcW w:w="1042"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£230,684</w:t>
            </w:r>
          </w:p>
        </w:tc>
        <w:tc>
          <w:tcPr>
            <w:tcW w:w="1568"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£750</w:t>
            </w:r>
          </w:p>
        </w:tc>
        <w:tc>
          <w:tcPr>
            <w:tcW w:w="1532"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0.45</w:t>
            </w:r>
          </w:p>
        </w:tc>
        <w:tc>
          <w:tcPr>
            <w:tcW w:w="635"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0.55</w:t>
            </w:r>
          </w:p>
        </w:tc>
        <w:tc>
          <w:tcPr>
            <w:tcW w:w="272"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42"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£360,837</w:t>
            </w:r>
          </w:p>
        </w:tc>
        <w:tc>
          <w:tcPr>
            <w:tcW w:w="1568"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£2,256</w:t>
            </w:r>
          </w:p>
        </w:tc>
        <w:tc>
          <w:tcPr>
            <w:tcW w:w="1532"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0.52</w:t>
            </w:r>
          </w:p>
        </w:tc>
        <w:tc>
          <w:tcPr>
            <w:tcW w:w="63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0.48</w:t>
            </w:r>
          </w:p>
        </w:tc>
      </w:tr>
      <w:tr w:rsidR="00003A24" w:rsidRPr="00C806D0" w:rsidTr="002A16B4">
        <w:trPr>
          <w:trHeight w:val="541"/>
        </w:trPr>
        <w:tc>
          <w:tcPr>
            <w:cnfStyle w:val="001000000000" w:firstRow="0" w:lastRow="0" w:firstColumn="1" w:lastColumn="0" w:oddVBand="0" w:evenVBand="0" w:oddHBand="0" w:evenHBand="0" w:firstRowFirstColumn="0" w:firstRowLastColumn="0" w:lastRowFirstColumn="0" w:lastRowLastColumn="0"/>
            <w:tcW w:w="1339" w:type="dxa"/>
            <w:shd w:val="clear" w:color="auto" w:fill="FFFFFF" w:themeFill="background1"/>
          </w:tcPr>
          <w:p w:rsidR="00003A24" w:rsidRPr="00C806D0" w:rsidRDefault="00003A24" w:rsidP="002A16B4">
            <w:pPr>
              <w:rPr>
                <w:rFonts w:ascii="Calibri" w:hAnsi="Calibri" w:cs="Arial"/>
                <w:b w:val="0"/>
                <w:color w:val="auto"/>
                <w:sz w:val="20"/>
                <w:szCs w:val="20"/>
              </w:rPr>
            </w:pPr>
            <w:r w:rsidRPr="00C806D0">
              <w:rPr>
                <w:rFonts w:ascii="Calibri" w:hAnsi="Calibri" w:cs="Arial"/>
                <w:sz w:val="20"/>
                <w:szCs w:val="20"/>
              </w:rPr>
              <w:t xml:space="preserve">neurosurgery baseline </w:t>
            </w:r>
          </w:p>
        </w:tc>
        <w:tc>
          <w:tcPr>
            <w:tcW w:w="1183"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tc>
        <w:tc>
          <w:tcPr>
            <w:tcW w:w="956"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£27,361</w:t>
            </w:r>
          </w:p>
        </w:tc>
        <w:tc>
          <w:tcPr>
            <w:tcW w:w="870"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12.86</w:t>
            </w:r>
          </w:p>
        </w:tc>
        <w:tc>
          <w:tcPr>
            <w:tcW w:w="104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£229,934</w:t>
            </w:r>
          </w:p>
        </w:tc>
        <w:tc>
          <w:tcPr>
            <w:tcW w:w="1568"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153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0.09</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0.91</w:t>
            </w:r>
          </w:p>
        </w:tc>
        <w:tc>
          <w:tcPr>
            <w:tcW w:w="27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4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£358,581</w:t>
            </w:r>
          </w:p>
        </w:tc>
        <w:tc>
          <w:tcPr>
            <w:tcW w:w="1568"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153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0.07</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0.93</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39" w:type="dxa"/>
            <w:tcBorders>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r w:rsidRPr="00C806D0">
              <w:rPr>
                <w:rFonts w:ascii="Calibri" w:hAnsi="Calibri" w:cs="Arial"/>
                <w:sz w:val="20"/>
                <w:szCs w:val="20"/>
              </w:rPr>
              <w:t>outcomes (Taussky)</w:t>
            </w:r>
          </w:p>
        </w:tc>
        <w:tc>
          <w:tcPr>
            <w:tcW w:w="1183" w:type="dxa"/>
            <w:tcBorders>
              <w:bottom w:val="nil"/>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6"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£27,492</w:t>
            </w:r>
          </w:p>
        </w:tc>
        <w:tc>
          <w:tcPr>
            <w:tcW w:w="870"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12.93</w:t>
            </w:r>
          </w:p>
        </w:tc>
        <w:tc>
          <w:tcPr>
            <w:tcW w:w="1042"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£231,011</w:t>
            </w:r>
          </w:p>
        </w:tc>
        <w:tc>
          <w:tcPr>
            <w:tcW w:w="1568"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£1,077</w:t>
            </w:r>
          </w:p>
        </w:tc>
        <w:tc>
          <w:tcPr>
            <w:tcW w:w="1532"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0.44</w:t>
            </w:r>
          </w:p>
        </w:tc>
        <w:tc>
          <w:tcPr>
            <w:tcW w:w="63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0.56</w:t>
            </w:r>
          </w:p>
        </w:tc>
        <w:tc>
          <w:tcPr>
            <w:tcW w:w="272"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42"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£360,262</w:t>
            </w:r>
          </w:p>
        </w:tc>
        <w:tc>
          <w:tcPr>
            <w:tcW w:w="1568"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£1,681</w:t>
            </w:r>
          </w:p>
        </w:tc>
        <w:tc>
          <w:tcPr>
            <w:tcW w:w="1532"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w:t>
            </w:r>
          </w:p>
        </w:tc>
        <w:tc>
          <w:tcPr>
            <w:tcW w:w="635"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0.6</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39" w:type="dxa"/>
            <w:tcBorders>
              <w:top w:val="nil"/>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3" w:type="dxa"/>
            <w:tcBorders>
              <w:top w:val="nil"/>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56"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£27,105</w:t>
            </w:r>
          </w:p>
        </w:tc>
        <w:tc>
          <w:tcPr>
            <w:tcW w:w="870"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12.59</w:t>
            </w:r>
          </w:p>
        </w:tc>
        <w:tc>
          <w:tcPr>
            <w:tcW w:w="1042"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£224,769</w:t>
            </w:r>
          </w:p>
        </w:tc>
        <w:tc>
          <w:tcPr>
            <w:tcW w:w="1568"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-£5,165</w:t>
            </w:r>
          </w:p>
        </w:tc>
        <w:tc>
          <w:tcPr>
            <w:tcW w:w="1532"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63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c>
          <w:tcPr>
            <w:tcW w:w="272"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42"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£350,707</w:t>
            </w:r>
          </w:p>
        </w:tc>
        <w:tc>
          <w:tcPr>
            <w:tcW w:w="1568"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-£7,874</w:t>
            </w:r>
          </w:p>
        </w:tc>
        <w:tc>
          <w:tcPr>
            <w:tcW w:w="1532"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63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39"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3"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6"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870"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042"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568"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532"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635"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272" w:type="dxa"/>
            <w:tcBorders>
              <w:top w:val="nil"/>
              <w:bottom w:val="single" w:sz="4" w:space="0" w:color="auto"/>
            </w:tcBorders>
            <w:shd w:val="clear" w:color="auto" w:fill="FFFFFF" w:themeFill="background1"/>
            <w:vAlign w:val="bottom"/>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1042"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568"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532"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635" w:type="dxa"/>
            <w:tcBorders>
              <w:top w:val="nil"/>
              <w:bottom w:val="single" w:sz="4" w:space="0" w:color="auto"/>
            </w:tcBorders>
            <w:shd w:val="clear" w:color="auto" w:fill="FFFFFF" w:themeFill="background1"/>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Alternative outcomes used for subgroup of patients with acute neurosurgical lesions based on those reported by Taussky and colleagues (2008).</w:t>
      </w:r>
      <w:r w:rsidRPr="00C806D0">
        <w:rPr>
          <w:rFonts w:ascii="Calibri" w:hAnsi="Calibri" w:cs="Arial"/>
          <w:noProof/>
          <w:sz w:val="20"/>
          <w:szCs w:val="20"/>
          <w:vertAlign w:val="superscript"/>
        </w:rPr>
        <w:t>[</w:t>
      </w:r>
      <w:r w:rsidR="006D4D62" w:rsidRPr="00C806D0">
        <w:rPr>
          <w:rFonts w:ascii="Calibri" w:hAnsi="Calibri" w:cs="Arial"/>
          <w:noProof/>
          <w:sz w:val="20"/>
          <w:szCs w:val="20"/>
          <w:vertAlign w:val="superscript"/>
        </w:rPr>
        <w:t>2</w:t>
      </w:r>
      <w:r w:rsidRPr="00C806D0">
        <w:rPr>
          <w:rFonts w:ascii="Calibri" w:hAnsi="Calibri" w:cs="Arial"/>
          <w:noProof/>
          <w:sz w:val="20"/>
          <w:szCs w:val="20"/>
          <w:vertAlign w:val="superscript"/>
        </w:rPr>
        <w:t>]</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pStyle w:val="NoSpacing"/>
        <w:rPr>
          <w:rFonts w:ascii="Calibri" w:hAnsi="Calibri" w:cs="Arial"/>
          <w:b/>
        </w:rPr>
      </w:pPr>
      <w:r w:rsidRPr="00C806D0">
        <w:rPr>
          <w:rFonts w:ascii="Calibri" w:hAnsi="Calibri" w:cs="Arial"/>
          <w:b/>
        </w:rPr>
        <w:t xml:space="preserve">Table J7. </w:t>
      </w:r>
      <w:r w:rsidR="004949B9" w:rsidRPr="00C806D0">
        <w:rPr>
          <w:rFonts w:ascii="Calibri" w:hAnsi="Calibri" w:cs="Arial"/>
          <w:b/>
        </w:rPr>
        <w:t>S</w:t>
      </w:r>
      <w:r w:rsidRPr="00C806D0">
        <w:rPr>
          <w:rFonts w:ascii="Calibri" w:hAnsi="Calibri" w:cs="Arial"/>
          <w:b/>
        </w:rPr>
        <w:t xml:space="preserve">ensitivity analysis examining the influence of alternative specification of incremental costs for the acute neurosurgery subgroup. </w:t>
      </w:r>
    </w:p>
    <w:p w:rsidR="00003A24" w:rsidRPr="00C806D0" w:rsidRDefault="00003A24" w:rsidP="00003A24">
      <w:pPr>
        <w:pStyle w:val="NoSpacing"/>
        <w:rPr>
          <w:rFonts w:ascii="Calibri" w:hAnsi="Calibri" w:cs="Arial"/>
        </w:rPr>
      </w:pPr>
    </w:p>
    <w:tbl>
      <w:tblPr>
        <w:tblStyle w:val="LightShading1"/>
        <w:tblW w:w="0" w:type="auto"/>
        <w:shd w:val="clear" w:color="auto" w:fill="FFFFFF" w:themeFill="background1"/>
        <w:tblLook w:val="06A0" w:firstRow="1" w:lastRow="0" w:firstColumn="1" w:lastColumn="0" w:noHBand="1" w:noVBand="1"/>
      </w:tblPr>
      <w:tblGrid>
        <w:gridCol w:w="2177"/>
        <w:gridCol w:w="1211"/>
        <w:gridCol w:w="965"/>
        <w:gridCol w:w="891"/>
        <w:gridCol w:w="1049"/>
        <w:gridCol w:w="1402"/>
        <w:gridCol w:w="1579"/>
        <w:gridCol w:w="635"/>
        <w:gridCol w:w="236"/>
        <w:gridCol w:w="1025"/>
        <w:gridCol w:w="1402"/>
        <w:gridCol w:w="1579"/>
        <w:gridCol w:w="635"/>
      </w:tblGrid>
      <w:tr w:rsidR="00003A24" w:rsidRPr="00C806D0" w:rsidTr="00003A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rsidR="00003A24" w:rsidRPr="00C806D0" w:rsidRDefault="00003A24" w:rsidP="00003A24">
            <w:pPr>
              <w:pStyle w:val="NoSpacing"/>
              <w:spacing w:line="276" w:lineRule="auto"/>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003A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003A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003A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3"/>
            <w:tcBorders>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λ=£20,000</w:t>
            </w:r>
          </w:p>
        </w:tc>
        <w:tc>
          <w:tcPr>
            <w:tcW w:w="0" w:type="auto"/>
            <w:tcBorders>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236" w:type="dxa"/>
            <w:tcBorders>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4641" w:type="dxa"/>
            <w:gridSpan w:val="4"/>
            <w:tcBorders>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λ=£30,000</w:t>
            </w:r>
          </w:p>
          <w:p w:rsidR="00003A24" w:rsidRPr="00C806D0" w:rsidRDefault="00003A24" w:rsidP="00003A2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FFFFFF" w:themeFill="background1"/>
          </w:tcPr>
          <w:p w:rsidR="00003A24" w:rsidRPr="00C806D0" w:rsidRDefault="00003A24" w:rsidP="00003A24">
            <w:pPr>
              <w:pStyle w:val="NoSpacing"/>
              <w:spacing w:line="276" w:lineRule="auto"/>
              <w:rPr>
                <w:rFonts w:ascii="Calibri" w:hAnsi="Calibri" w:cs="Arial"/>
                <w:sz w:val="20"/>
                <w:szCs w:val="20"/>
              </w:rPr>
            </w:pPr>
            <w:r w:rsidRPr="00C806D0">
              <w:rPr>
                <w:rFonts w:ascii="Calibri" w:hAnsi="Calibri" w:cs="Arial"/>
                <w:sz w:val="20"/>
                <w:szCs w:val="20"/>
              </w:rPr>
              <w:t>Sensitivity analysis</w:t>
            </w:r>
          </w:p>
        </w:tc>
        <w:tc>
          <w:tcPr>
            <w:tcW w:w="0" w:type="auto"/>
            <w:tcBorders>
              <w:top w:val="nil"/>
              <w:bottom w:val="single" w:sz="4" w:space="0" w:color="auto"/>
            </w:tcBorders>
            <w:shd w:val="clear" w:color="auto" w:fill="FFFFFF" w:themeFill="background1"/>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Strategy</w:t>
            </w:r>
          </w:p>
        </w:tc>
        <w:tc>
          <w:tcPr>
            <w:tcW w:w="0" w:type="auto"/>
            <w:tcBorders>
              <w:top w:val="nil"/>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Cost</w:t>
            </w:r>
          </w:p>
        </w:tc>
        <w:tc>
          <w:tcPr>
            <w:tcW w:w="0" w:type="auto"/>
            <w:tcBorders>
              <w:top w:val="nil"/>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QALY</w:t>
            </w:r>
          </w:p>
        </w:tc>
        <w:tc>
          <w:tcPr>
            <w:tcW w:w="0" w:type="auto"/>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color w:val="auto"/>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tc>
        <w:tc>
          <w:tcPr>
            <w:tcW w:w="0" w:type="auto"/>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w:t>
            </w:r>
            <w:r w:rsidRPr="00C806D0">
              <w:rPr>
                <w:rFonts w:ascii="Calibri" w:hAnsi="Calibri" w:cs="Arial"/>
                <w:b/>
                <w:sz w:val="20"/>
                <w:szCs w:val="20"/>
                <w:shd w:val="clear" w:color="auto" w:fill="F2F2F2" w:themeFill="background1" w:themeFillShade="F2"/>
              </w:rPr>
              <w:t>rror</w:t>
            </w:r>
          </w:p>
        </w:tc>
        <w:tc>
          <w:tcPr>
            <w:tcW w:w="236" w:type="dxa"/>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1025" w:type="dxa"/>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color w:val="auto"/>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Error</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rsidR="00003A24" w:rsidRPr="00C806D0" w:rsidRDefault="00003A24" w:rsidP="00003A24">
            <w:pPr>
              <w:pStyle w:val="NoSpacing"/>
              <w:spacing w:line="276" w:lineRule="auto"/>
              <w:rPr>
                <w:rFonts w:ascii="Calibri" w:hAnsi="Calibri" w:cs="Arial"/>
                <w:sz w:val="20"/>
                <w:szCs w:val="20"/>
              </w:rPr>
            </w:pPr>
            <w:r w:rsidRPr="00C806D0">
              <w:rPr>
                <w:rFonts w:ascii="Calibri" w:hAnsi="Calibri" w:cs="Arial"/>
                <w:sz w:val="20"/>
                <w:szCs w:val="20"/>
              </w:rPr>
              <w:t>Neurosurgery (transfer costs only)</w:t>
            </w:r>
          </w:p>
        </w:tc>
        <w:tc>
          <w:tcPr>
            <w:tcW w:w="0" w:type="auto"/>
            <w:tcBorders>
              <w:top w:val="single" w:sz="4" w:space="0" w:color="auto"/>
            </w:tcBorders>
            <w:shd w:val="clear" w:color="auto" w:fill="D9D9D9" w:themeFill="background1" w:themeFillShade="D9"/>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shd w:val="clear" w:color="auto" w:fill="D9D9D9" w:themeFill="background1" w:themeFillShade="D9"/>
              </w:rPr>
              <w:t xml:space="preserve">Bypass </w:t>
            </w:r>
          </w:p>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£27,322</w:t>
            </w:r>
          </w:p>
        </w:tc>
        <w:tc>
          <w:tcPr>
            <w:tcW w:w="0" w:type="auto"/>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13.09</w:t>
            </w:r>
          </w:p>
        </w:tc>
        <w:tc>
          <w:tcPr>
            <w:tcW w:w="0" w:type="auto"/>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£234,520</w:t>
            </w:r>
          </w:p>
        </w:tc>
        <w:tc>
          <w:tcPr>
            <w:tcW w:w="0" w:type="auto"/>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£2,957</w:t>
            </w:r>
          </w:p>
        </w:tc>
        <w:tc>
          <w:tcPr>
            <w:tcW w:w="0" w:type="auto"/>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0.62</w:t>
            </w:r>
          </w:p>
        </w:tc>
        <w:tc>
          <w:tcPr>
            <w:tcW w:w="0" w:type="auto"/>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0.38</w:t>
            </w:r>
          </w:p>
        </w:tc>
        <w:tc>
          <w:tcPr>
            <w:tcW w:w="236" w:type="dxa"/>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25" w:type="dxa"/>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£365,441</w:t>
            </w:r>
          </w:p>
        </w:tc>
        <w:tc>
          <w:tcPr>
            <w:tcW w:w="0" w:type="auto"/>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£4,575</w:t>
            </w:r>
          </w:p>
        </w:tc>
        <w:tc>
          <w:tcPr>
            <w:tcW w:w="0" w:type="auto"/>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0.65</w:t>
            </w:r>
          </w:p>
        </w:tc>
        <w:tc>
          <w:tcPr>
            <w:tcW w:w="0" w:type="auto"/>
            <w:tcBorders>
              <w:top w:val="single" w:sz="4" w:space="0" w:color="auto"/>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0.35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003A24" w:rsidRPr="00C806D0" w:rsidRDefault="00003A24" w:rsidP="00003A24">
            <w:pPr>
              <w:spacing w:line="276" w:lineRule="auto"/>
              <w:rPr>
                <w:rFonts w:ascii="Calibri" w:hAnsi="Calibri" w:cs="Arial"/>
                <w:b w:val="0"/>
                <w:sz w:val="20"/>
                <w:szCs w:val="20"/>
              </w:rPr>
            </w:pPr>
          </w:p>
        </w:tc>
        <w:tc>
          <w:tcPr>
            <w:tcW w:w="0" w:type="auto"/>
            <w:shd w:val="clear" w:color="auto" w:fill="auto"/>
          </w:tcPr>
          <w:p w:rsidR="00003A24" w:rsidRPr="00C806D0" w:rsidRDefault="00003A24" w:rsidP="00003A2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Selective transfer</w:t>
            </w:r>
          </w:p>
          <w:p w:rsidR="00003A24" w:rsidRPr="00C806D0" w:rsidRDefault="00003A24" w:rsidP="00003A2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£27,043</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12.93</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£231,563</w:t>
            </w:r>
          </w:p>
        </w:tc>
        <w:tc>
          <w:tcPr>
            <w:tcW w:w="0" w:type="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0.05</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0.95</w:t>
            </w:r>
          </w:p>
        </w:tc>
        <w:tc>
          <w:tcPr>
            <w:tcW w:w="236" w:type="dxa"/>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25"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£360,866</w:t>
            </w:r>
          </w:p>
        </w:tc>
        <w:tc>
          <w:tcPr>
            <w:tcW w:w="0" w:type="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0.04</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0.96</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rsidR="00003A24" w:rsidRPr="00C806D0" w:rsidRDefault="00003A24" w:rsidP="00003A24">
            <w:pPr>
              <w:pStyle w:val="NoSpacing"/>
              <w:spacing w:line="276" w:lineRule="auto"/>
              <w:rPr>
                <w:rFonts w:ascii="Calibri" w:hAnsi="Calibri" w:cs="Arial"/>
                <w:b w:val="0"/>
                <w:sz w:val="20"/>
                <w:szCs w:val="20"/>
              </w:rPr>
            </w:pPr>
          </w:p>
        </w:tc>
        <w:tc>
          <w:tcPr>
            <w:tcW w:w="0" w:type="auto"/>
            <w:tcBorders>
              <w:bottom w:val="nil"/>
            </w:tcBorders>
            <w:shd w:val="clear" w:color="auto" w:fill="FFFFFF" w:themeFill="background1"/>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Routine transfer</w:t>
            </w:r>
          </w:p>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£27,170</w:t>
            </w:r>
          </w:p>
        </w:tc>
        <w:tc>
          <w:tcPr>
            <w:tcW w:w="0" w:type="auto"/>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12.99</w:t>
            </w:r>
          </w:p>
        </w:tc>
        <w:tc>
          <w:tcPr>
            <w:tcW w:w="0" w:type="auto"/>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£232,693</w:t>
            </w:r>
          </w:p>
        </w:tc>
        <w:tc>
          <w:tcPr>
            <w:tcW w:w="0" w:type="auto"/>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£1,130</w:t>
            </w:r>
          </w:p>
        </w:tc>
        <w:tc>
          <w:tcPr>
            <w:tcW w:w="0" w:type="auto"/>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0.31</w:t>
            </w:r>
          </w:p>
        </w:tc>
        <w:tc>
          <w:tcPr>
            <w:tcW w:w="0" w:type="auto"/>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0.69</w:t>
            </w:r>
          </w:p>
        </w:tc>
        <w:tc>
          <w:tcPr>
            <w:tcW w:w="236" w:type="dxa"/>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25" w:type="dxa"/>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£362,624</w:t>
            </w:r>
          </w:p>
        </w:tc>
        <w:tc>
          <w:tcPr>
            <w:tcW w:w="0" w:type="auto"/>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£1,758</w:t>
            </w:r>
          </w:p>
        </w:tc>
        <w:tc>
          <w:tcPr>
            <w:tcW w:w="0" w:type="auto"/>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0.31</w:t>
            </w:r>
          </w:p>
        </w:tc>
        <w:tc>
          <w:tcPr>
            <w:tcW w:w="0" w:type="auto"/>
            <w:tcBorders>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0.69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003A24" w:rsidRPr="00C806D0" w:rsidRDefault="00003A24" w:rsidP="00003A24">
            <w:pPr>
              <w:pStyle w:val="NoSpacing"/>
              <w:spacing w:line="276" w:lineRule="auto"/>
              <w:rPr>
                <w:rFonts w:ascii="Calibri" w:hAnsi="Calibri" w:cs="Arial"/>
                <w:b w:val="0"/>
                <w:sz w:val="20"/>
                <w:szCs w:val="20"/>
              </w:rPr>
            </w:pPr>
          </w:p>
        </w:tc>
        <w:tc>
          <w:tcPr>
            <w:tcW w:w="0" w:type="auto"/>
            <w:tcBorders>
              <w:top w:val="nil"/>
              <w:bottom w:val="single" w:sz="4" w:space="0" w:color="auto"/>
            </w:tcBorders>
            <w:shd w:val="clear" w:color="auto" w:fill="auto"/>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 transfer</w:t>
            </w:r>
          </w:p>
        </w:tc>
        <w:tc>
          <w:tcPr>
            <w:tcW w:w="0" w:type="auto"/>
            <w:tcBorders>
              <w:top w:val="nil"/>
              <w:bottom w:val="single" w:sz="4" w:space="0" w:color="auto"/>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£26,856</w:t>
            </w:r>
          </w:p>
        </w:tc>
        <w:tc>
          <w:tcPr>
            <w:tcW w:w="0" w:type="auto"/>
            <w:tcBorders>
              <w:top w:val="nil"/>
              <w:bottom w:val="single" w:sz="4" w:space="0" w:color="auto"/>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12.66</w:t>
            </w:r>
          </w:p>
        </w:tc>
        <w:tc>
          <w:tcPr>
            <w:tcW w:w="0" w:type="auto"/>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£226,342</w:t>
            </w:r>
          </w:p>
        </w:tc>
        <w:tc>
          <w:tcPr>
            <w:tcW w:w="0" w:type="auto"/>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-£5,221</w:t>
            </w:r>
          </w:p>
        </w:tc>
        <w:tc>
          <w:tcPr>
            <w:tcW w:w="0" w:type="auto"/>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0" w:type="auto"/>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c>
          <w:tcPr>
            <w:tcW w:w="236"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25"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£352,940</w:t>
            </w:r>
          </w:p>
        </w:tc>
        <w:tc>
          <w:tcPr>
            <w:tcW w:w="0" w:type="auto"/>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-£7,926</w:t>
            </w:r>
          </w:p>
        </w:tc>
        <w:tc>
          <w:tcPr>
            <w:tcW w:w="0" w:type="auto"/>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w:t>
            </w:r>
          </w:p>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r>
      <w:tr w:rsidR="00003A24" w:rsidRPr="00C806D0" w:rsidTr="002A16B4">
        <w:tblPrEx>
          <w:shd w:val="clear" w:color="auto" w:fill="auto"/>
          <w:tblLook w:val="04A0" w:firstRow="1" w:lastRow="0" w:firstColumn="1" w:lastColumn="0" w:noHBand="0" w:noVBand="1"/>
        </w:tblPrEx>
        <w:trPr>
          <w:trHeight w:val="4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003A24">
            <w:pPr>
              <w:pStyle w:val="NoSpacing"/>
              <w:spacing w:line="276" w:lineRule="auto"/>
              <w:rPr>
                <w:rFonts w:ascii="Calibri" w:hAnsi="Calibri" w:cs="Arial"/>
                <w:sz w:val="20"/>
                <w:szCs w:val="20"/>
              </w:rPr>
            </w:pPr>
            <w:r w:rsidRPr="00C806D0">
              <w:rPr>
                <w:rFonts w:ascii="Calibri" w:hAnsi="Calibri" w:cs="Arial"/>
                <w:sz w:val="20"/>
                <w:szCs w:val="20"/>
              </w:rPr>
              <w:t>Neurosurgery (NHIR incremental costs)</w:t>
            </w:r>
          </w:p>
        </w:tc>
        <w:tc>
          <w:tcPr>
            <w:tcW w:w="0" w:type="auto"/>
            <w:shd w:val="clear" w:color="auto" w:fill="D9D9D9" w:themeFill="background1" w:themeFillShade="D9"/>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Bypass </w:t>
            </w:r>
          </w:p>
        </w:tc>
        <w:tc>
          <w:tcPr>
            <w:tcW w:w="0" w:type="auto"/>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£27,865</w:t>
            </w:r>
          </w:p>
        </w:tc>
        <w:tc>
          <w:tcPr>
            <w:tcW w:w="0" w:type="auto"/>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13.1</w:t>
            </w:r>
          </w:p>
        </w:tc>
        <w:tc>
          <w:tcPr>
            <w:tcW w:w="0" w:type="auto"/>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£234,225</w:t>
            </w:r>
          </w:p>
        </w:tc>
        <w:tc>
          <w:tcPr>
            <w:tcW w:w="0" w:type="auto"/>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£2,417</w:t>
            </w:r>
          </w:p>
        </w:tc>
        <w:tc>
          <w:tcPr>
            <w:tcW w:w="0" w:type="auto"/>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0.58</w:t>
            </w:r>
          </w:p>
        </w:tc>
        <w:tc>
          <w:tcPr>
            <w:tcW w:w="0" w:type="auto"/>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0.42</w:t>
            </w:r>
          </w:p>
        </w:tc>
        <w:tc>
          <w:tcPr>
            <w:tcW w:w="236" w:type="dxa"/>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25" w:type="dxa"/>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£365,270</w:t>
            </w:r>
          </w:p>
        </w:tc>
        <w:tc>
          <w:tcPr>
            <w:tcW w:w="0" w:type="auto"/>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£4,046</w:t>
            </w:r>
          </w:p>
        </w:tc>
        <w:tc>
          <w:tcPr>
            <w:tcW w:w="0" w:type="auto"/>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0.62</w:t>
            </w:r>
          </w:p>
        </w:tc>
        <w:tc>
          <w:tcPr>
            <w:tcW w:w="0" w:type="auto"/>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0.38</w:t>
            </w:r>
          </w:p>
        </w:tc>
      </w:tr>
      <w:tr w:rsidR="00003A24" w:rsidRPr="00C806D0" w:rsidTr="002A16B4">
        <w:tblPrEx>
          <w:shd w:val="clear" w:color="auto" w:fill="auto"/>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003A24">
            <w:pPr>
              <w:pStyle w:val="NoSpacing"/>
              <w:spacing w:line="276" w:lineRule="auto"/>
              <w:rPr>
                <w:rFonts w:ascii="Calibri" w:hAnsi="Calibri" w:cs="Arial"/>
                <w:b w:val="0"/>
                <w:sz w:val="20"/>
                <w:szCs w:val="20"/>
              </w:rPr>
            </w:pPr>
          </w:p>
        </w:tc>
        <w:tc>
          <w:tcPr>
            <w:tcW w:w="0" w:type="auto"/>
            <w:shd w:val="clear" w:color="auto" w:fill="auto"/>
          </w:tcPr>
          <w:p w:rsidR="00003A24" w:rsidRPr="00C806D0" w:rsidRDefault="00003A24" w:rsidP="00003A2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Selective transfer </w:t>
            </w:r>
          </w:p>
          <w:p w:rsidR="00003A24" w:rsidRPr="00C806D0" w:rsidRDefault="00003A24" w:rsidP="00003A2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£27,024</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12.94</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£231,808</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0.07</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0.93</w:t>
            </w:r>
          </w:p>
        </w:tc>
        <w:tc>
          <w:tcPr>
            <w:tcW w:w="236"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p>
        </w:tc>
        <w:tc>
          <w:tcPr>
            <w:tcW w:w="1025"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£361,224</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0.06</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0.94</w:t>
            </w:r>
          </w:p>
        </w:tc>
      </w:tr>
      <w:tr w:rsidR="00003A24" w:rsidRPr="00C806D0" w:rsidTr="002A16B4">
        <w:tblPrEx>
          <w:shd w:val="clear" w:color="auto" w:fill="auto"/>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003A24">
            <w:pPr>
              <w:spacing w:line="276" w:lineRule="auto"/>
              <w:rPr>
                <w:rFonts w:ascii="Calibri" w:hAnsi="Calibri" w:cs="Arial"/>
                <w:b w:val="0"/>
                <w:sz w:val="20"/>
                <w:szCs w:val="20"/>
              </w:rPr>
            </w:pPr>
          </w:p>
        </w:tc>
        <w:tc>
          <w:tcPr>
            <w:tcW w:w="0" w:type="auto"/>
            <w:shd w:val="clear" w:color="auto" w:fill="auto"/>
          </w:tcPr>
          <w:p w:rsidR="00003A24" w:rsidRPr="00C806D0" w:rsidRDefault="00003A24" w:rsidP="00003A2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Routine transfer</w:t>
            </w:r>
          </w:p>
          <w:p w:rsidR="00003A24" w:rsidRPr="00C806D0" w:rsidRDefault="00003A24" w:rsidP="00003A2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£27,173</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£232,855</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£1,047</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0.33</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0.67</w:t>
            </w:r>
          </w:p>
        </w:tc>
        <w:tc>
          <w:tcPr>
            <w:tcW w:w="236" w:type="dxa"/>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25"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£362,868</w:t>
            </w:r>
          </w:p>
        </w:tc>
        <w:tc>
          <w:tcPr>
            <w:tcW w:w="0" w:type="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£1,644</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0.32</w:t>
            </w:r>
          </w:p>
        </w:tc>
        <w:tc>
          <w:tcPr>
            <w:tcW w:w="0" w:type="auto"/>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0.68</w:t>
            </w:r>
          </w:p>
        </w:tc>
      </w:tr>
      <w:tr w:rsidR="00003A24" w:rsidRPr="00C806D0" w:rsidTr="002A16B4">
        <w:tblPrEx>
          <w:shd w:val="clear" w:color="auto" w:fill="auto"/>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003A24">
            <w:pPr>
              <w:pStyle w:val="NoSpacing"/>
              <w:spacing w:line="276" w:lineRule="auto"/>
              <w:rPr>
                <w:rFonts w:ascii="Calibri" w:hAnsi="Calibri" w:cs="Arial"/>
                <w:b w:val="0"/>
                <w:sz w:val="20"/>
                <w:szCs w:val="20"/>
              </w:rPr>
            </w:pPr>
          </w:p>
        </w:tc>
        <w:tc>
          <w:tcPr>
            <w:tcW w:w="0" w:type="auto"/>
            <w:shd w:val="clear" w:color="auto" w:fill="auto"/>
          </w:tcPr>
          <w:p w:rsidR="00003A24" w:rsidRPr="00C806D0" w:rsidRDefault="00003A24" w:rsidP="00003A2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 transfer</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£26,779</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12.68</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£226,728</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-£5,080</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c>
          <w:tcPr>
            <w:tcW w:w="236"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p>
        </w:tc>
        <w:tc>
          <w:tcPr>
            <w:tcW w:w="1025"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£353,481</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-£7,743</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0" w:type="auto"/>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Alternative estimates used for incremental inpatient costs, between bypass and secondary transfer strategies, for subgroup of patients with acute neurosurgical lesions. Inter-hospital transfer costs considered only, or alternative estimate of incremental costs based on NHIR data used.</w:t>
      </w:r>
      <w:r w:rsidRPr="00C806D0">
        <w:rPr>
          <w:rFonts w:ascii="Calibri" w:hAnsi="Calibri" w:cs="Arial"/>
          <w:noProof/>
          <w:sz w:val="20"/>
          <w:szCs w:val="20"/>
          <w:vertAlign w:val="superscript"/>
        </w:rPr>
        <w:t>[</w:t>
      </w:r>
      <w:r w:rsidR="006D4D62" w:rsidRPr="00C806D0">
        <w:rPr>
          <w:rFonts w:ascii="Calibri" w:hAnsi="Calibri" w:cs="Arial"/>
          <w:noProof/>
          <w:sz w:val="20"/>
          <w:szCs w:val="20"/>
          <w:vertAlign w:val="superscript"/>
        </w:rPr>
        <w:t>3</w:t>
      </w:r>
      <w:r w:rsidRPr="00C806D0">
        <w:rPr>
          <w:rFonts w:ascii="Calibri" w:hAnsi="Calibri" w:cs="Arial"/>
          <w:noProof/>
          <w:sz w:val="20"/>
          <w:szCs w:val="20"/>
          <w:vertAlign w:val="superscript"/>
        </w:rPr>
        <w:t>]</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pStyle w:val="NoSpacing"/>
        <w:rPr>
          <w:rFonts w:ascii="Calibri" w:hAnsi="Calibri" w:cs="Arial"/>
          <w:b/>
        </w:rPr>
      </w:pPr>
      <w:r w:rsidRPr="00C806D0">
        <w:rPr>
          <w:rFonts w:ascii="Calibri" w:hAnsi="Calibri" w:cs="Arial"/>
          <w:b/>
        </w:rPr>
        <w:t xml:space="preserve">Table J8. </w:t>
      </w:r>
      <w:r w:rsidR="004949B9" w:rsidRPr="00C806D0">
        <w:rPr>
          <w:rFonts w:ascii="Calibri" w:hAnsi="Calibri" w:cs="Arial"/>
          <w:b/>
        </w:rPr>
        <w:t>S</w:t>
      </w:r>
      <w:r w:rsidRPr="00C806D0">
        <w:rPr>
          <w:rFonts w:ascii="Calibri" w:hAnsi="Calibri" w:cs="Arial"/>
          <w:b/>
        </w:rPr>
        <w:t xml:space="preserve">ensitivity analysis examining the influence of alternative specification of relative effectiveness for major </w:t>
      </w:r>
      <w:r w:rsidR="002A16B4" w:rsidRPr="00C806D0">
        <w:rPr>
          <w:rFonts w:ascii="Calibri" w:hAnsi="Calibri" w:cs="Arial"/>
          <w:b/>
        </w:rPr>
        <w:t>extracranial</w:t>
      </w:r>
      <w:r w:rsidRPr="00C806D0">
        <w:rPr>
          <w:rFonts w:ascii="Calibri" w:hAnsi="Calibri" w:cs="Arial"/>
          <w:b/>
        </w:rPr>
        <w:t xml:space="preserve"> injury associated with bypass. </w:t>
      </w:r>
    </w:p>
    <w:p w:rsidR="004949B9" w:rsidRPr="00C806D0" w:rsidRDefault="004949B9" w:rsidP="00003A24">
      <w:pPr>
        <w:pStyle w:val="NoSpacing"/>
        <w:rPr>
          <w:rFonts w:ascii="Calibri" w:hAnsi="Calibri" w:cs="Arial"/>
          <w:b/>
        </w:rPr>
      </w:pPr>
    </w:p>
    <w:tbl>
      <w:tblPr>
        <w:tblStyle w:val="LightShading1"/>
        <w:tblW w:w="0" w:type="auto"/>
        <w:shd w:val="clear" w:color="auto" w:fill="FFFFFF" w:themeFill="background1"/>
        <w:tblLook w:val="06A0" w:firstRow="1" w:lastRow="0" w:firstColumn="1" w:lastColumn="0" w:noHBand="1" w:noVBand="1"/>
      </w:tblPr>
      <w:tblGrid>
        <w:gridCol w:w="1346"/>
        <w:gridCol w:w="1188"/>
        <w:gridCol w:w="958"/>
        <w:gridCol w:w="874"/>
        <w:gridCol w:w="1043"/>
        <w:gridCol w:w="1575"/>
        <w:gridCol w:w="1540"/>
        <w:gridCol w:w="635"/>
        <w:gridCol w:w="222"/>
        <w:gridCol w:w="1043"/>
        <w:gridCol w:w="1575"/>
        <w:gridCol w:w="1540"/>
        <w:gridCol w:w="63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Borders>
              <w:bottom w:val="nil"/>
            </w:tcBorders>
            <w:shd w:val="clear" w:color="auto" w:fill="FFFFFF" w:themeFill="background1"/>
          </w:tcPr>
          <w:p w:rsidR="00003A24" w:rsidRPr="00C806D0" w:rsidRDefault="00003A24" w:rsidP="002A16B4">
            <w:pPr>
              <w:pStyle w:val="NoSpacing"/>
              <w:rPr>
                <w:rFonts w:ascii="Calibri" w:hAnsi="Calibri" w:cs="Arial"/>
                <w:color w:val="auto"/>
                <w:sz w:val="20"/>
                <w:szCs w:val="20"/>
              </w:rPr>
            </w:pPr>
          </w:p>
        </w:tc>
        <w:tc>
          <w:tcPr>
            <w:tcW w:w="1188"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874"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4158" w:type="dxa"/>
            <w:gridSpan w:val="3"/>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λ=£20,000</w:t>
            </w:r>
          </w:p>
        </w:tc>
        <w:tc>
          <w:tcPr>
            <w:tcW w:w="635" w:type="dxa"/>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222" w:type="dxa"/>
            <w:tcBorders>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4793" w:type="dxa"/>
            <w:gridSpan w:val="4"/>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λ=£30,000</w:t>
            </w:r>
          </w:p>
          <w:p w:rsidR="00003A24" w:rsidRPr="00C806D0" w:rsidRDefault="00003A24" w:rsidP="002A16B4">
            <w:pPr>
              <w:pStyle w:val="NoSpacing"/>
              <w:tabs>
                <w:tab w:val="left" w:pos="301"/>
              </w:tabs>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ab/>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Sensitivity analysis</w:t>
            </w:r>
          </w:p>
        </w:tc>
        <w:tc>
          <w:tcPr>
            <w:tcW w:w="1188"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Strategy</w:t>
            </w:r>
          </w:p>
        </w:tc>
        <w:tc>
          <w:tcPr>
            <w:tcW w:w="958"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Cost</w:t>
            </w:r>
          </w:p>
        </w:tc>
        <w:tc>
          <w:tcPr>
            <w:tcW w:w="874"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QALY</w:t>
            </w:r>
          </w:p>
        </w:tc>
        <w:tc>
          <w:tcPr>
            <w:tcW w:w="1043"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7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Incremental NMB</w:t>
            </w:r>
          </w:p>
        </w:tc>
        <w:tc>
          <w:tcPr>
            <w:tcW w:w="1540"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w:t>
            </w:r>
            <w:r w:rsidRPr="00C806D0">
              <w:rPr>
                <w:rFonts w:ascii="Calibri" w:hAnsi="Calibri" w:cs="Arial"/>
                <w:b/>
                <w:color w:val="auto"/>
                <w:sz w:val="20"/>
                <w:szCs w:val="20"/>
                <w:shd w:val="clear" w:color="auto" w:fill="F2F2F2" w:themeFill="background1" w:themeFillShade="F2"/>
              </w:rPr>
              <w:t>rror</w:t>
            </w:r>
          </w:p>
        </w:tc>
        <w:tc>
          <w:tcPr>
            <w:tcW w:w="222" w:type="dxa"/>
            <w:tcBorders>
              <w:top w:val="nil"/>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1043"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7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Incremental NMB</w:t>
            </w:r>
          </w:p>
        </w:tc>
        <w:tc>
          <w:tcPr>
            <w:tcW w:w="1540"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Error</w:t>
            </w:r>
          </w:p>
        </w:tc>
      </w:tr>
      <w:tr w:rsidR="00003A24" w:rsidRPr="00C806D0" w:rsidTr="002A16B4">
        <w:trPr>
          <w:trHeight w:val="489"/>
        </w:trPr>
        <w:tc>
          <w:tcPr>
            <w:cnfStyle w:val="001000000000" w:firstRow="0" w:lastRow="0" w:firstColumn="1" w:lastColumn="0" w:oddVBand="0" w:evenVBand="0" w:oddHBand="0" w:evenHBand="0" w:firstRowFirstColumn="0" w:firstRowLastColumn="0" w:lastRowFirstColumn="0" w:lastRowLastColumn="0"/>
            <w:tcW w:w="1346"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 xml:space="preserve">Bypass incremental </w:t>
            </w:r>
          </w:p>
        </w:tc>
        <w:tc>
          <w:tcPr>
            <w:tcW w:w="1188" w:type="dxa"/>
            <w:tcBorders>
              <w:top w:val="single" w:sz="4" w:space="0" w:color="auto"/>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58"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£27,175</w:t>
            </w:r>
          </w:p>
        </w:tc>
        <w:tc>
          <w:tcPr>
            <w:tcW w:w="874"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13.06</w:t>
            </w:r>
          </w:p>
        </w:tc>
        <w:tc>
          <w:tcPr>
            <w:tcW w:w="1043"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£234,065</w:t>
            </w:r>
          </w:p>
        </w:tc>
        <w:tc>
          <w:tcPr>
            <w:tcW w:w="157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£2,611</w:t>
            </w:r>
          </w:p>
        </w:tc>
        <w:tc>
          <w:tcPr>
            <w:tcW w:w="1540" w:type="dxa"/>
            <w:tcBorders>
              <w:top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0.60</w:t>
            </w:r>
          </w:p>
        </w:tc>
        <w:tc>
          <w:tcPr>
            <w:tcW w:w="635" w:type="dxa"/>
            <w:tcBorders>
              <w:top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0.40</w:t>
            </w:r>
          </w:p>
        </w:tc>
        <w:tc>
          <w:tcPr>
            <w:tcW w:w="222" w:type="dxa"/>
            <w:tcBorders>
              <w:top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043"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£364,684</w:t>
            </w:r>
          </w:p>
        </w:tc>
        <w:tc>
          <w:tcPr>
            <w:tcW w:w="157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£3,926</w:t>
            </w:r>
          </w:p>
        </w:tc>
        <w:tc>
          <w:tcPr>
            <w:tcW w:w="1540"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0.61</w:t>
            </w:r>
          </w:p>
        </w:tc>
        <w:tc>
          <w:tcPr>
            <w:tcW w:w="63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0.39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shd w:val="clear" w:color="auto" w:fill="FFFFFF" w:themeFill="background1"/>
          </w:tcPr>
          <w:p w:rsidR="00003A24" w:rsidRPr="00C806D0" w:rsidRDefault="00003A24" w:rsidP="002A16B4">
            <w:pPr>
              <w:rPr>
                <w:rFonts w:ascii="Calibri" w:hAnsi="Calibri" w:cs="Arial"/>
                <w:b w:val="0"/>
                <w:color w:val="auto"/>
                <w:sz w:val="20"/>
                <w:szCs w:val="20"/>
              </w:rPr>
            </w:pPr>
            <w:r w:rsidRPr="00C806D0">
              <w:rPr>
                <w:rFonts w:ascii="Calibri" w:hAnsi="Calibri" w:cs="Arial"/>
                <w:color w:val="auto"/>
                <w:sz w:val="20"/>
                <w:szCs w:val="20"/>
              </w:rPr>
              <w:t>costs (expert opinion)</w:t>
            </w:r>
          </w:p>
        </w:tc>
        <w:tc>
          <w:tcPr>
            <w:tcW w:w="1188"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£27,156</w:t>
            </w:r>
          </w:p>
        </w:tc>
        <w:tc>
          <w:tcPr>
            <w:tcW w:w="87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12.93</w:t>
            </w:r>
          </w:p>
        </w:tc>
        <w:tc>
          <w:tcPr>
            <w:tcW w:w="104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£231,453</w:t>
            </w:r>
          </w:p>
        </w:tc>
        <w:tc>
          <w:tcPr>
            <w:tcW w:w="15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w:t>
            </w:r>
          </w:p>
        </w:tc>
        <w:tc>
          <w:tcPr>
            <w:tcW w:w="1540"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0.06</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0.94</w:t>
            </w:r>
          </w:p>
        </w:tc>
        <w:tc>
          <w:tcPr>
            <w:tcW w:w="22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04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£360,758</w:t>
            </w:r>
          </w:p>
        </w:tc>
        <w:tc>
          <w:tcPr>
            <w:tcW w:w="15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w:t>
            </w:r>
          </w:p>
        </w:tc>
        <w:tc>
          <w:tcPr>
            <w:tcW w:w="1540"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0.05</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0.95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8" w:type="dxa"/>
            <w:tcBorders>
              <w:bottom w:val="nil"/>
            </w:tcBorders>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£27,278</w:t>
            </w:r>
          </w:p>
        </w:tc>
        <w:tc>
          <w:tcPr>
            <w:tcW w:w="874"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12.99</w:t>
            </w:r>
          </w:p>
        </w:tc>
        <w:tc>
          <w:tcPr>
            <w:tcW w:w="1043"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£232,579</w:t>
            </w:r>
          </w:p>
        </w:tc>
        <w:tc>
          <w:tcPr>
            <w:tcW w:w="1575"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£1,126</w:t>
            </w:r>
          </w:p>
        </w:tc>
        <w:tc>
          <w:tcPr>
            <w:tcW w:w="1540"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0.34</w:t>
            </w:r>
          </w:p>
        </w:tc>
        <w:tc>
          <w:tcPr>
            <w:tcW w:w="635"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0.66</w:t>
            </w:r>
          </w:p>
        </w:tc>
        <w:tc>
          <w:tcPr>
            <w:tcW w:w="222" w:type="dxa"/>
            <w:tcBorders>
              <w:bottom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043"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£362,508</w:t>
            </w:r>
          </w:p>
        </w:tc>
        <w:tc>
          <w:tcPr>
            <w:tcW w:w="1575" w:type="dxa"/>
            <w:tcBorders>
              <w:bottom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£1,749</w:t>
            </w:r>
          </w:p>
        </w:tc>
        <w:tc>
          <w:tcPr>
            <w:tcW w:w="1540"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0.34</w:t>
            </w:r>
          </w:p>
        </w:tc>
        <w:tc>
          <w:tcPr>
            <w:tcW w:w="635"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0.66</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8"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58"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£26,920</w:t>
            </w:r>
          </w:p>
        </w:tc>
        <w:tc>
          <w:tcPr>
            <w:tcW w:w="874"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12.66</w:t>
            </w:r>
          </w:p>
        </w:tc>
        <w:tc>
          <w:tcPr>
            <w:tcW w:w="1043"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£226,261</w:t>
            </w:r>
          </w:p>
        </w:tc>
        <w:tc>
          <w:tcPr>
            <w:tcW w:w="157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-£5,192</w:t>
            </w:r>
          </w:p>
        </w:tc>
        <w:tc>
          <w:tcPr>
            <w:tcW w:w="1540"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0.01</w:t>
            </w:r>
          </w:p>
        </w:tc>
        <w:tc>
          <w:tcPr>
            <w:tcW w:w="63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0.99</w:t>
            </w:r>
          </w:p>
        </w:tc>
        <w:tc>
          <w:tcPr>
            <w:tcW w:w="222"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043"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£352,852</w:t>
            </w:r>
          </w:p>
        </w:tc>
        <w:tc>
          <w:tcPr>
            <w:tcW w:w="157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-£7,906</w:t>
            </w:r>
          </w:p>
        </w:tc>
        <w:tc>
          <w:tcPr>
            <w:tcW w:w="1540"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0.01</w:t>
            </w:r>
          </w:p>
        </w:tc>
        <w:tc>
          <w:tcPr>
            <w:tcW w:w="63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0.99</w:t>
            </w: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Alternative estimates, based on expert opinion, used for incremental inpatient costs between bypass and secondary transfer strategies.</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r w:rsidRPr="00C806D0">
        <w:rPr>
          <w:rFonts w:ascii="Calibri" w:hAnsi="Calibri" w:cs="Arial"/>
          <w:b/>
        </w:rPr>
        <w:t>Table J9</w:t>
      </w:r>
      <w:r w:rsidR="004949B9" w:rsidRPr="00C806D0">
        <w:rPr>
          <w:rFonts w:ascii="Calibri" w:hAnsi="Calibri" w:cs="Arial"/>
          <w:b/>
        </w:rPr>
        <w:t>. S</w:t>
      </w:r>
      <w:r w:rsidRPr="00C806D0">
        <w:rPr>
          <w:rFonts w:ascii="Calibri" w:hAnsi="Calibri" w:cs="Arial"/>
          <w:b/>
        </w:rPr>
        <w:t xml:space="preserve">ensitivity analysis examining the influence of alternative specification of relative effectiveness for major </w:t>
      </w:r>
      <w:r w:rsidR="002A16B4" w:rsidRPr="00C806D0">
        <w:rPr>
          <w:rFonts w:ascii="Calibri" w:hAnsi="Calibri" w:cs="Arial"/>
          <w:b/>
        </w:rPr>
        <w:t>extracranial</w:t>
      </w:r>
      <w:r w:rsidRPr="00C806D0">
        <w:rPr>
          <w:rFonts w:ascii="Calibri" w:hAnsi="Calibri" w:cs="Arial"/>
          <w:b/>
        </w:rPr>
        <w:t xml:space="preserve"> injury associated with bypass. </w:t>
      </w:r>
    </w:p>
    <w:p w:rsidR="0085706C" w:rsidRPr="00C806D0" w:rsidRDefault="0085706C" w:rsidP="00003A24">
      <w:pPr>
        <w:pStyle w:val="NoSpacing"/>
        <w:rPr>
          <w:rFonts w:ascii="Calibri" w:hAnsi="Calibri" w:cs="Arial"/>
          <w:b/>
        </w:rPr>
      </w:pPr>
    </w:p>
    <w:tbl>
      <w:tblPr>
        <w:tblStyle w:val="LightShading1"/>
        <w:tblW w:w="0" w:type="auto"/>
        <w:shd w:val="clear" w:color="auto" w:fill="FFFFFF" w:themeFill="background1"/>
        <w:tblLook w:val="06A0" w:firstRow="1" w:lastRow="0" w:firstColumn="1" w:lastColumn="0" w:noHBand="1" w:noVBand="1"/>
      </w:tblPr>
      <w:tblGrid>
        <w:gridCol w:w="1346"/>
        <w:gridCol w:w="1188"/>
        <w:gridCol w:w="958"/>
        <w:gridCol w:w="874"/>
        <w:gridCol w:w="1043"/>
        <w:gridCol w:w="1575"/>
        <w:gridCol w:w="1540"/>
        <w:gridCol w:w="635"/>
        <w:gridCol w:w="222"/>
        <w:gridCol w:w="1043"/>
        <w:gridCol w:w="1575"/>
        <w:gridCol w:w="1540"/>
        <w:gridCol w:w="63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Borders>
              <w:bottom w:val="nil"/>
            </w:tcBorders>
            <w:shd w:val="clear" w:color="auto" w:fill="FFFFFF" w:themeFill="background1"/>
          </w:tcPr>
          <w:p w:rsidR="00003A24" w:rsidRPr="00C806D0" w:rsidRDefault="00003A24" w:rsidP="002A16B4">
            <w:pPr>
              <w:pStyle w:val="NoSpacing"/>
              <w:rPr>
                <w:rFonts w:ascii="Calibri" w:hAnsi="Calibri" w:cs="Arial"/>
                <w:color w:val="auto"/>
                <w:sz w:val="20"/>
                <w:szCs w:val="20"/>
              </w:rPr>
            </w:pPr>
          </w:p>
        </w:tc>
        <w:tc>
          <w:tcPr>
            <w:tcW w:w="1188"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874"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4158" w:type="dxa"/>
            <w:gridSpan w:val="3"/>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λ=£20,000</w:t>
            </w:r>
          </w:p>
        </w:tc>
        <w:tc>
          <w:tcPr>
            <w:tcW w:w="635" w:type="dxa"/>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222" w:type="dxa"/>
            <w:tcBorders>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4793" w:type="dxa"/>
            <w:gridSpan w:val="4"/>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λ=£30,000</w:t>
            </w:r>
          </w:p>
          <w:p w:rsidR="00003A24" w:rsidRPr="00C806D0" w:rsidRDefault="00003A24" w:rsidP="002A16B4">
            <w:pPr>
              <w:pStyle w:val="NoSpacing"/>
              <w:tabs>
                <w:tab w:val="left" w:pos="301"/>
              </w:tabs>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ab/>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Sensitivity analysis</w:t>
            </w:r>
          </w:p>
        </w:tc>
        <w:tc>
          <w:tcPr>
            <w:tcW w:w="1188"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Strategy</w:t>
            </w:r>
          </w:p>
        </w:tc>
        <w:tc>
          <w:tcPr>
            <w:tcW w:w="958"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Cost</w:t>
            </w:r>
          </w:p>
        </w:tc>
        <w:tc>
          <w:tcPr>
            <w:tcW w:w="874"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QALY</w:t>
            </w:r>
          </w:p>
        </w:tc>
        <w:tc>
          <w:tcPr>
            <w:tcW w:w="1043"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7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Incremental NMB</w:t>
            </w:r>
          </w:p>
        </w:tc>
        <w:tc>
          <w:tcPr>
            <w:tcW w:w="1540"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w:t>
            </w:r>
            <w:r w:rsidRPr="00C806D0">
              <w:rPr>
                <w:rFonts w:ascii="Calibri" w:hAnsi="Calibri" w:cs="Arial"/>
                <w:b/>
                <w:color w:val="auto"/>
                <w:sz w:val="20"/>
                <w:szCs w:val="20"/>
                <w:shd w:val="clear" w:color="auto" w:fill="F2F2F2" w:themeFill="background1" w:themeFillShade="F2"/>
              </w:rPr>
              <w:t>rror</w:t>
            </w:r>
          </w:p>
        </w:tc>
        <w:tc>
          <w:tcPr>
            <w:tcW w:w="222" w:type="dxa"/>
            <w:tcBorders>
              <w:top w:val="nil"/>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1043"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7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Incremental NMB</w:t>
            </w:r>
          </w:p>
        </w:tc>
        <w:tc>
          <w:tcPr>
            <w:tcW w:w="1540"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Error</w:t>
            </w:r>
          </w:p>
        </w:tc>
      </w:tr>
      <w:tr w:rsidR="00003A24" w:rsidRPr="00C806D0" w:rsidTr="002A16B4">
        <w:trPr>
          <w:trHeight w:val="609"/>
        </w:trPr>
        <w:tc>
          <w:tcPr>
            <w:cnfStyle w:val="001000000000" w:firstRow="0" w:lastRow="0" w:firstColumn="1" w:lastColumn="0" w:oddVBand="0" w:evenVBand="0" w:oddHBand="0" w:evenHBand="0" w:firstRowFirstColumn="0" w:firstRowLastColumn="0" w:lastRowFirstColumn="0" w:lastRowLastColumn="0"/>
            <w:tcW w:w="1346"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Elicited OR for</w:t>
            </w:r>
          </w:p>
        </w:tc>
        <w:tc>
          <w:tcPr>
            <w:tcW w:w="1188" w:type="dxa"/>
            <w:tcBorders>
              <w:top w:val="single" w:sz="4" w:space="0" w:color="auto"/>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58"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£28,906</w:t>
            </w:r>
          </w:p>
        </w:tc>
        <w:tc>
          <w:tcPr>
            <w:tcW w:w="874"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13.09</w:t>
            </w:r>
          </w:p>
        </w:tc>
        <w:tc>
          <w:tcPr>
            <w:tcW w:w="1043"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£232,902</w:t>
            </w:r>
          </w:p>
        </w:tc>
        <w:tc>
          <w:tcPr>
            <w:tcW w:w="1575"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£651</w:t>
            </w:r>
          </w:p>
        </w:tc>
        <w:tc>
          <w:tcPr>
            <w:tcW w:w="1540"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0.42</w:t>
            </w:r>
          </w:p>
        </w:tc>
        <w:tc>
          <w:tcPr>
            <w:tcW w:w="635"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0.58</w:t>
            </w:r>
          </w:p>
        </w:tc>
        <w:tc>
          <w:tcPr>
            <w:tcW w:w="222" w:type="dxa"/>
            <w:tcBorders>
              <w:top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043"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£363,805</w:t>
            </w:r>
          </w:p>
        </w:tc>
        <w:tc>
          <w:tcPr>
            <w:tcW w:w="157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£2,008</w:t>
            </w:r>
          </w:p>
        </w:tc>
        <w:tc>
          <w:tcPr>
            <w:tcW w:w="1540"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0.48</w:t>
            </w:r>
          </w:p>
        </w:tc>
        <w:tc>
          <w:tcPr>
            <w:tcW w:w="63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shd w:val="clear" w:color="auto" w:fill="FFFFFF" w:themeFill="background1"/>
          </w:tcPr>
          <w:p w:rsidR="00003A24" w:rsidRPr="00C806D0" w:rsidRDefault="002A16B4" w:rsidP="002A16B4">
            <w:pPr>
              <w:rPr>
                <w:rFonts w:ascii="Calibri" w:hAnsi="Calibri" w:cs="Arial"/>
                <w:b w:val="0"/>
                <w:color w:val="auto"/>
                <w:sz w:val="20"/>
                <w:szCs w:val="20"/>
              </w:rPr>
            </w:pPr>
            <w:r w:rsidRPr="00C806D0">
              <w:rPr>
                <w:rFonts w:ascii="Calibri" w:hAnsi="Calibri" w:cs="Arial"/>
                <w:color w:val="auto"/>
                <w:sz w:val="20"/>
                <w:szCs w:val="20"/>
              </w:rPr>
              <w:t>extracranial</w:t>
            </w:r>
            <w:r w:rsidR="00003A24" w:rsidRPr="00C806D0">
              <w:rPr>
                <w:rFonts w:ascii="Calibri" w:hAnsi="Calibri" w:cs="Arial"/>
                <w:color w:val="auto"/>
                <w:sz w:val="20"/>
                <w:szCs w:val="20"/>
              </w:rPr>
              <w:t xml:space="preserve"> injury</w:t>
            </w:r>
          </w:p>
        </w:tc>
        <w:tc>
          <w:tcPr>
            <w:tcW w:w="1188"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£26,843</w:t>
            </w:r>
          </w:p>
        </w:tc>
        <w:tc>
          <w:tcPr>
            <w:tcW w:w="87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12.95</w:t>
            </w:r>
          </w:p>
        </w:tc>
        <w:tc>
          <w:tcPr>
            <w:tcW w:w="104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£232,251</w:t>
            </w:r>
          </w:p>
        </w:tc>
        <w:tc>
          <w:tcPr>
            <w:tcW w:w="15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w:t>
            </w:r>
          </w:p>
        </w:tc>
        <w:tc>
          <w:tcPr>
            <w:tcW w:w="1540"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0.10</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0.90</w:t>
            </w:r>
          </w:p>
        </w:tc>
        <w:tc>
          <w:tcPr>
            <w:tcW w:w="22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04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£361,798</w:t>
            </w:r>
          </w:p>
        </w:tc>
        <w:tc>
          <w:tcPr>
            <w:tcW w:w="15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w:t>
            </w:r>
          </w:p>
        </w:tc>
        <w:tc>
          <w:tcPr>
            <w:tcW w:w="1540"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0.07</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0.93</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8" w:type="dxa"/>
            <w:tcBorders>
              <w:bottom w:val="nil"/>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£26,984</w:t>
            </w:r>
          </w:p>
        </w:tc>
        <w:tc>
          <w:tcPr>
            <w:tcW w:w="874"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13.02</w:t>
            </w:r>
          </w:p>
        </w:tc>
        <w:tc>
          <w:tcPr>
            <w:tcW w:w="1043"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£233,320</w:t>
            </w:r>
          </w:p>
        </w:tc>
        <w:tc>
          <w:tcPr>
            <w:tcW w:w="157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£1,069</w:t>
            </w:r>
          </w:p>
        </w:tc>
        <w:tc>
          <w:tcPr>
            <w:tcW w:w="1540"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0.46</w:t>
            </w:r>
          </w:p>
        </w:tc>
        <w:tc>
          <w:tcPr>
            <w:tcW w:w="63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0.54</w:t>
            </w:r>
          </w:p>
        </w:tc>
        <w:tc>
          <w:tcPr>
            <w:tcW w:w="222" w:type="dxa"/>
            <w:tcBorders>
              <w:bottom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043"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£363,472</w:t>
            </w:r>
          </w:p>
        </w:tc>
        <w:tc>
          <w:tcPr>
            <w:tcW w:w="1575" w:type="dxa"/>
            <w:tcBorders>
              <w:bottom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£1,674</w:t>
            </w:r>
          </w:p>
        </w:tc>
        <w:tc>
          <w:tcPr>
            <w:tcW w:w="1540"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0.44</w:t>
            </w:r>
          </w:p>
        </w:tc>
        <w:tc>
          <w:tcPr>
            <w:tcW w:w="635"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0.56</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8"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58"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£26,583</w:t>
            </w:r>
          </w:p>
        </w:tc>
        <w:tc>
          <w:tcPr>
            <w:tcW w:w="874"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12.68</w:t>
            </w:r>
          </w:p>
        </w:tc>
        <w:tc>
          <w:tcPr>
            <w:tcW w:w="1043"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£226,994</w:t>
            </w:r>
          </w:p>
        </w:tc>
        <w:tc>
          <w:tcPr>
            <w:tcW w:w="157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-£5,257</w:t>
            </w:r>
          </w:p>
        </w:tc>
        <w:tc>
          <w:tcPr>
            <w:tcW w:w="1540"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0.01</w:t>
            </w:r>
          </w:p>
        </w:tc>
        <w:tc>
          <w:tcPr>
            <w:tcW w:w="63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0.99</w:t>
            </w:r>
          </w:p>
        </w:tc>
        <w:tc>
          <w:tcPr>
            <w:tcW w:w="222"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043"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£353,782</w:t>
            </w:r>
          </w:p>
        </w:tc>
        <w:tc>
          <w:tcPr>
            <w:tcW w:w="157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-£8,015</w:t>
            </w:r>
          </w:p>
        </w:tc>
        <w:tc>
          <w:tcPr>
            <w:tcW w:w="1540"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0.01</w:t>
            </w:r>
          </w:p>
        </w:tc>
        <w:tc>
          <w:tcPr>
            <w:tcW w:w="63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0.99</w:t>
            </w: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 xml:space="preserve">Alternative estimates, based on expert opinion, used for relative effectiveness between bypass and secondary transfer strategies for patients with major </w:t>
      </w:r>
      <w:r w:rsidR="002A16B4" w:rsidRPr="00C806D0">
        <w:rPr>
          <w:rFonts w:ascii="Calibri" w:hAnsi="Calibri" w:cs="Arial"/>
          <w:sz w:val="20"/>
          <w:szCs w:val="20"/>
        </w:rPr>
        <w:t>extracranial</w:t>
      </w:r>
      <w:r w:rsidRPr="00C806D0">
        <w:rPr>
          <w:rFonts w:ascii="Calibri" w:hAnsi="Calibri" w:cs="Arial"/>
          <w:sz w:val="20"/>
          <w:szCs w:val="20"/>
        </w:rPr>
        <w:t xml:space="preserve"> trauma.</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pStyle w:val="NoSpacing"/>
        <w:rPr>
          <w:rFonts w:ascii="Calibri" w:hAnsi="Calibri" w:cs="Arial"/>
          <w:b/>
        </w:rPr>
      </w:pPr>
      <w:r w:rsidRPr="00C806D0">
        <w:rPr>
          <w:rFonts w:ascii="Calibri" w:hAnsi="Calibri" w:cs="Arial"/>
          <w:b/>
        </w:rPr>
        <w:t xml:space="preserve">Table J10. </w:t>
      </w:r>
      <w:r w:rsidR="0085706C" w:rsidRPr="00C806D0">
        <w:rPr>
          <w:rFonts w:ascii="Calibri" w:hAnsi="Calibri" w:cs="Arial"/>
          <w:b/>
        </w:rPr>
        <w:t xml:space="preserve">Sensitivity analysis </w:t>
      </w:r>
      <w:r w:rsidRPr="00C806D0">
        <w:rPr>
          <w:rFonts w:ascii="Calibri" w:hAnsi="Calibri" w:cs="Arial"/>
          <w:b/>
        </w:rPr>
        <w:t xml:space="preserve">examining the influence of alternative specification of suspected significant TBI population case-mix. </w:t>
      </w:r>
    </w:p>
    <w:p w:rsidR="00003A24" w:rsidRPr="00C806D0" w:rsidRDefault="00003A24" w:rsidP="00003A24">
      <w:pPr>
        <w:rPr>
          <w:rFonts w:ascii="Calibri" w:hAnsi="Calibri" w:cs="Arial"/>
          <w:b/>
        </w:rPr>
      </w:pPr>
    </w:p>
    <w:tbl>
      <w:tblPr>
        <w:tblStyle w:val="LightShading1"/>
        <w:tblW w:w="0" w:type="auto"/>
        <w:shd w:val="clear" w:color="auto" w:fill="FFFFFF" w:themeFill="background1"/>
        <w:tblLook w:val="06A0" w:firstRow="1" w:lastRow="0" w:firstColumn="1" w:lastColumn="0" w:noHBand="1" w:noVBand="1"/>
      </w:tblPr>
      <w:tblGrid>
        <w:gridCol w:w="1546"/>
        <w:gridCol w:w="1680"/>
        <w:gridCol w:w="975"/>
        <w:gridCol w:w="910"/>
        <w:gridCol w:w="1056"/>
        <w:gridCol w:w="1420"/>
        <w:gridCol w:w="1624"/>
        <w:gridCol w:w="635"/>
        <w:gridCol w:w="236"/>
        <w:gridCol w:w="1025"/>
        <w:gridCol w:w="1420"/>
        <w:gridCol w:w="1624"/>
        <w:gridCol w:w="63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rsidR="00003A24" w:rsidRPr="00C806D0" w:rsidRDefault="00003A24" w:rsidP="002A16B4">
            <w:pPr>
              <w:pStyle w:val="NoSpacing"/>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3"/>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λ=£20,000</w:t>
            </w:r>
          </w:p>
        </w:tc>
        <w:tc>
          <w:tcPr>
            <w:tcW w:w="0" w:type="auto"/>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236" w:type="dxa"/>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4554" w:type="dxa"/>
            <w:gridSpan w:val="4"/>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λ=£30,000</w:t>
            </w:r>
          </w:p>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Sensitivity analysis</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Strategy</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Cost</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QALY</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color w:val="auto"/>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w:t>
            </w:r>
            <w:r w:rsidRPr="00C806D0">
              <w:rPr>
                <w:rFonts w:ascii="Calibri" w:hAnsi="Calibri" w:cs="Arial"/>
                <w:b/>
                <w:sz w:val="20"/>
                <w:szCs w:val="20"/>
                <w:shd w:val="clear" w:color="auto" w:fill="F2F2F2" w:themeFill="background1" w:themeFillShade="F2"/>
              </w:rPr>
              <w:t>rror</w:t>
            </w:r>
          </w:p>
        </w:tc>
        <w:tc>
          <w:tcPr>
            <w:tcW w:w="236"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102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color w:val="auto"/>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Error</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Population subgroups:</w:t>
            </w: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shd w:val="clear" w:color="auto" w:fill="D9D9D9" w:themeFill="background1" w:themeFillShade="D9"/>
              </w:rPr>
              <w:t xml:space="preserve">Bypass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£27,762</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13.25</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£237,291</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£567</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0.43</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0.57</w:t>
            </w:r>
          </w:p>
        </w:tc>
        <w:tc>
          <w:tcPr>
            <w:tcW w:w="236"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2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£369,818</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£1,557</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0.47</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0.53</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003A24" w:rsidRPr="00C806D0" w:rsidRDefault="00003A24" w:rsidP="002A16B4">
            <w:pPr>
              <w:rPr>
                <w:rFonts w:ascii="Calibri" w:hAnsi="Calibri" w:cs="Arial"/>
                <w:b w:val="0"/>
                <w:sz w:val="20"/>
                <w:szCs w:val="20"/>
              </w:rPr>
            </w:pPr>
            <w:r w:rsidRPr="00C806D0">
              <w:rPr>
                <w:rFonts w:ascii="Calibri" w:hAnsi="Calibri" w:cs="Arial"/>
                <w:sz w:val="20"/>
                <w:szCs w:val="20"/>
              </w:rPr>
              <w:t>NEAS estimate</w:t>
            </w:r>
          </w:p>
        </w:tc>
        <w:tc>
          <w:tcPr>
            <w:tcW w:w="0" w:type="auto"/>
            <w:shd w:val="clear" w:color="auto" w:fill="auto"/>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Selective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£26,351</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13.15</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£236,724</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0.1</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w:t>
            </w:r>
          </w:p>
        </w:tc>
        <w:tc>
          <w:tcPr>
            <w:tcW w:w="236" w:type="dxa"/>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25"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£368,261</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0.08</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rsidR="00003A24" w:rsidRPr="00C806D0" w:rsidRDefault="00003A24" w:rsidP="002A16B4">
            <w:pPr>
              <w:pStyle w:val="NoSpacing"/>
              <w:rPr>
                <w:rFonts w:ascii="Calibri" w:hAnsi="Calibri" w:cs="Arial"/>
                <w:b w:val="0"/>
                <w:sz w:val="20"/>
                <w:szCs w:val="20"/>
              </w:rPr>
            </w:pPr>
          </w:p>
        </w:tc>
        <w:tc>
          <w:tcPr>
            <w:tcW w:w="0" w:type="auto"/>
            <w:tcBorders>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£26,527</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13.22</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£237,778</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£1,054</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0.45</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0.55</w:t>
            </w:r>
          </w:p>
        </w:tc>
        <w:tc>
          <w:tcPr>
            <w:tcW w:w="236" w:type="dxa"/>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25" w:type="dxa"/>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£369,930</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£1,669</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0.44</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0.56</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003A24" w:rsidRPr="00C806D0" w:rsidRDefault="00003A24" w:rsidP="002A16B4">
            <w:pPr>
              <w:pStyle w:val="NoSpacing"/>
              <w:rPr>
                <w:rFonts w:ascii="Calibri" w:hAnsi="Calibri" w:cs="Arial"/>
                <w:b w:val="0"/>
                <w:sz w:val="20"/>
                <w:szCs w:val="20"/>
              </w:rPr>
            </w:pPr>
          </w:p>
        </w:tc>
        <w:tc>
          <w:tcPr>
            <w:tcW w:w="0" w:type="auto"/>
            <w:tcBorders>
              <w:top w:val="nil"/>
              <w:bottom w:val="single" w:sz="4" w:space="0" w:color="auto"/>
            </w:tcBorders>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 transfer</w:t>
            </w:r>
          </w:p>
        </w:tc>
        <w:tc>
          <w:tcPr>
            <w:tcW w:w="0" w:type="auto"/>
            <w:tcBorders>
              <w:top w:val="nil"/>
              <w:bottom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themeColor="text1"/>
                <w:sz w:val="20"/>
                <w:szCs w:val="20"/>
              </w:rPr>
            </w:pPr>
            <w:r w:rsidRPr="00C806D0">
              <w:rPr>
                <w:rFonts w:ascii="Calibri" w:hAnsi="Calibri" w:cs="Arial"/>
                <w:bCs/>
                <w:color w:val="000000" w:themeColor="text1"/>
                <w:sz w:val="20"/>
                <w:szCs w:val="20"/>
              </w:rPr>
              <w:t>£26,127</w:t>
            </w:r>
          </w:p>
        </w:tc>
        <w:tc>
          <w:tcPr>
            <w:tcW w:w="0" w:type="auto"/>
            <w:tcBorders>
              <w:top w:val="nil"/>
              <w:bottom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12.89</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£231,585</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-£5,139</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c>
          <w:tcPr>
            <w:tcW w:w="236"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2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£360,441</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-£7,820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r>
      <w:tr w:rsidR="00003A24" w:rsidRPr="00C806D0" w:rsidTr="002A16B4">
        <w:tblPrEx>
          <w:shd w:val="clear" w:color="auto" w:fill="auto"/>
          <w:tblLook w:val="04A0" w:firstRow="1" w:lastRow="0" w:firstColumn="1" w:lastColumn="0" w:noHBand="0" w:noVBand="1"/>
        </w:tblPrEx>
        <w:trPr>
          <w:trHeight w:val="4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Population subgroups:</w:t>
            </w:r>
          </w:p>
        </w:tc>
        <w:tc>
          <w:tcPr>
            <w:tcW w:w="0" w:type="auto"/>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Bypass </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£36,373</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12.29</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£209,535</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£4,315</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0.61</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0.39</w:t>
            </w:r>
          </w:p>
        </w:tc>
        <w:tc>
          <w:tcPr>
            <w:tcW w:w="236" w:type="dxa"/>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025" w:type="dxa"/>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£332,454</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£9,147</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0.7</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0.3</w:t>
            </w:r>
          </w:p>
        </w:tc>
      </w:tr>
      <w:tr w:rsidR="00003A24" w:rsidRPr="00C806D0" w:rsidTr="002A16B4">
        <w:tblPrEx>
          <w:shd w:val="clear" w:color="auto" w:fill="auto"/>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pStyle w:val="NoSpacing"/>
              <w:rPr>
                <w:rFonts w:ascii="Calibri" w:hAnsi="Calibri" w:cs="Arial"/>
                <w:b w:val="0"/>
                <w:sz w:val="20"/>
                <w:szCs w:val="20"/>
              </w:rPr>
            </w:pPr>
            <w:r w:rsidRPr="00C806D0">
              <w:rPr>
                <w:rFonts w:ascii="Calibri" w:hAnsi="Calibri" w:cs="Arial"/>
                <w:sz w:val="20"/>
                <w:szCs w:val="20"/>
              </w:rPr>
              <w:t>NWAS estimate</w:t>
            </w:r>
          </w:p>
        </w:tc>
        <w:tc>
          <w:tcPr>
            <w:tcW w:w="0" w:type="auto"/>
            <w:shd w:val="clear" w:color="auto" w:fill="auto"/>
          </w:tcPr>
          <w:p w:rsidR="00003A24" w:rsidRPr="00C806D0" w:rsidRDefault="00003A24" w:rsidP="002A16B4">
            <w:pPr>
              <w:pStyle w:val="NoSpacing"/>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Selective secondary transfer </w:t>
            </w:r>
          </w:p>
          <w:p w:rsidR="00003A24" w:rsidRPr="00C806D0" w:rsidRDefault="00003A24" w:rsidP="002A16B4">
            <w:pPr>
              <w:pStyle w:val="NoSpacing"/>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£30,954</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11.81</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£205,220</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0.06</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0.94</w:t>
            </w:r>
          </w:p>
        </w:tc>
        <w:tc>
          <w:tcPr>
            <w:tcW w:w="23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p>
        </w:tc>
        <w:tc>
          <w:tcPr>
            <w:tcW w:w="1025"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£323,307</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0.04</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0.96</w:t>
            </w:r>
          </w:p>
        </w:tc>
      </w:tr>
      <w:tr w:rsidR="00003A24" w:rsidRPr="00C806D0" w:rsidTr="002A16B4">
        <w:tblPrEx>
          <w:shd w:val="clear" w:color="auto" w:fill="auto"/>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rPr>
                <w:rFonts w:ascii="Calibri" w:hAnsi="Calibri" w:cs="Arial"/>
                <w:b w:val="0"/>
                <w:sz w:val="20"/>
                <w:szCs w:val="20"/>
              </w:rPr>
            </w:pPr>
          </w:p>
        </w:tc>
        <w:tc>
          <w:tcPr>
            <w:tcW w:w="0" w:type="auto"/>
            <w:shd w:val="clear" w:color="auto" w:fill="auto"/>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Routine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£30,843</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11.88</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£206,688</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£1,468</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0.3</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0.7</w:t>
            </w:r>
          </w:p>
        </w:tc>
        <w:tc>
          <w:tcPr>
            <w:tcW w:w="236" w:type="dxa"/>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1025"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£325,453</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£2,146</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0.26</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0.74</w:t>
            </w:r>
          </w:p>
        </w:tc>
      </w:tr>
      <w:tr w:rsidR="00003A24" w:rsidRPr="00C806D0" w:rsidTr="002A16B4">
        <w:tblPrEx>
          <w:shd w:val="clear" w:color="auto" w:fill="auto"/>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pStyle w:val="NoSpacing"/>
              <w:rPr>
                <w:rFonts w:ascii="Calibri" w:hAnsi="Calibri" w:cs="Arial"/>
                <w:b w:val="0"/>
                <w:sz w:val="20"/>
                <w:szCs w:val="20"/>
              </w:rPr>
            </w:pPr>
          </w:p>
        </w:tc>
        <w:tc>
          <w:tcPr>
            <w:tcW w:w="0" w:type="auto"/>
            <w:shd w:val="clear" w:color="auto" w:fill="auto"/>
          </w:tcPr>
          <w:p w:rsidR="00003A24" w:rsidRPr="00C806D0" w:rsidRDefault="00003A24" w:rsidP="002A16B4">
            <w:pPr>
              <w:pStyle w:val="NoSpacing"/>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 transfer</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£30,699</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sz w:val="20"/>
                <w:szCs w:val="20"/>
              </w:rPr>
              <w:t>11.5</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£199,237</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-£5,983</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w:t>
            </w:r>
          </w:p>
        </w:tc>
        <w:tc>
          <w:tcPr>
            <w:tcW w:w="23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p>
        </w:tc>
        <w:tc>
          <w:tcPr>
            <w:tcW w:w="1025"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£314,205</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-£9,102</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w:t>
            </w: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Alternative estimates, derived from different recruitment areas of HITSNS pilot study,</w:t>
      </w:r>
      <w:r w:rsidRPr="00C806D0">
        <w:rPr>
          <w:rFonts w:ascii="Calibri" w:hAnsi="Calibri" w:cs="Arial"/>
          <w:noProof/>
          <w:sz w:val="20"/>
          <w:szCs w:val="20"/>
          <w:vertAlign w:val="superscript"/>
        </w:rPr>
        <w:t>[</w:t>
      </w:r>
      <w:r w:rsidR="006D4D62" w:rsidRPr="00C806D0">
        <w:rPr>
          <w:rFonts w:ascii="Calibri" w:hAnsi="Calibri" w:cs="Arial"/>
          <w:noProof/>
          <w:sz w:val="20"/>
          <w:szCs w:val="20"/>
          <w:vertAlign w:val="superscript"/>
        </w:rPr>
        <w:t>4</w:t>
      </w:r>
      <w:r w:rsidRPr="00C806D0">
        <w:rPr>
          <w:rFonts w:ascii="Calibri" w:hAnsi="Calibri" w:cs="Arial"/>
          <w:noProof/>
          <w:sz w:val="20"/>
          <w:szCs w:val="20"/>
          <w:vertAlign w:val="superscript"/>
        </w:rPr>
        <w:t>]</w:t>
      </w:r>
      <w:r w:rsidRPr="00C806D0">
        <w:rPr>
          <w:rFonts w:ascii="Calibri" w:hAnsi="Calibri" w:cs="Arial"/>
          <w:sz w:val="20"/>
          <w:szCs w:val="20"/>
        </w:rPr>
        <w:t xml:space="preserve"> used to estimate case-mix of patients presenting with suspected significant TBI.</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rPr>
      </w:pPr>
      <w:r w:rsidRPr="00C806D0">
        <w:rPr>
          <w:rFonts w:ascii="Calibri" w:hAnsi="Calibri" w:cs="Arial"/>
          <w:b/>
        </w:rPr>
        <w:t xml:space="preserve">Table J11. </w:t>
      </w:r>
      <w:r w:rsidR="0085706C" w:rsidRPr="00C806D0">
        <w:rPr>
          <w:rFonts w:ascii="Calibri" w:hAnsi="Calibri" w:cs="Arial"/>
          <w:b/>
        </w:rPr>
        <w:t>S</w:t>
      </w:r>
      <w:r w:rsidRPr="00C806D0">
        <w:rPr>
          <w:rFonts w:ascii="Calibri" w:hAnsi="Calibri" w:cs="Arial"/>
          <w:b/>
        </w:rPr>
        <w:t>ensitivity analysis examining the influence of assumptions regarding pos</w:t>
      </w:r>
      <w:r w:rsidR="0085706C" w:rsidRPr="00C806D0">
        <w:rPr>
          <w:rFonts w:ascii="Calibri" w:hAnsi="Calibri" w:cs="Arial"/>
          <w:b/>
        </w:rPr>
        <w:t>t</w:t>
      </w:r>
      <w:r w:rsidRPr="00C806D0">
        <w:rPr>
          <w:rFonts w:ascii="Calibri" w:hAnsi="Calibri" w:cs="Arial"/>
          <w:b/>
        </w:rPr>
        <w:t xml:space="preserve">-discharge costs. </w:t>
      </w:r>
    </w:p>
    <w:p w:rsidR="00003A24" w:rsidRPr="00C806D0" w:rsidRDefault="00003A24" w:rsidP="00003A24">
      <w:pPr>
        <w:jc w:val="center"/>
        <w:rPr>
          <w:rFonts w:ascii="Calibri" w:hAnsi="Calibri" w:cs="Arial"/>
        </w:rPr>
      </w:pPr>
    </w:p>
    <w:tbl>
      <w:tblPr>
        <w:tblStyle w:val="LightShading1"/>
        <w:tblW w:w="0" w:type="auto"/>
        <w:shd w:val="clear" w:color="auto" w:fill="FFFFFF" w:themeFill="background1"/>
        <w:tblLook w:val="06A0" w:firstRow="1" w:lastRow="0" w:firstColumn="1" w:lastColumn="0" w:noHBand="1" w:noVBand="1"/>
      </w:tblPr>
      <w:tblGrid>
        <w:gridCol w:w="1346"/>
        <w:gridCol w:w="1188"/>
        <w:gridCol w:w="958"/>
        <w:gridCol w:w="874"/>
        <w:gridCol w:w="1043"/>
        <w:gridCol w:w="1575"/>
        <w:gridCol w:w="1540"/>
        <w:gridCol w:w="635"/>
        <w:gridCol w:w="222"/>
        <w:gridCol w:w="1043"/>
        <w:gridCol w:w="1575"/>
        <w:gridCol w:w="1540"/>
        <w:gridCol w:w="63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Borders>
              <w:bottom w:val="nil"/>
            </w:tcBorders>
            <w:shd w:val="clear" w:color="auto" w:fill="FFFFFF" w:themeFill="background1"/>
          </w:tcPr>
          <w:p w:rsidR="00003A24" w:rsidRPr="00C806D0" w:rsidRDefault="00003A24" w:rsidP="002A16B4">
            <w:pPr>
              <w:pStyle w:val="NoSpacing"/>
              <w:rPr>
                <w:rFonts w:ascii="Calibri" w:hAnsi="Calibri" w:cs="Arial"/>
                <w:color w:val="auto"/>
                <w:sz w:val="20"/>
                <w:szCs w:val="20"/>
              </w:rPr>
            </w:pPr>
          </w:p>
        </w:tc>
        <w:tc>
          <w:tcPr>
            <w:tcW w:w="1188"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874"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4158" w:type="dxa"/>
            <w:gridSpan w:val="3"/>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λ=£20,000</w:t>
            </w:r>
          </w:p>
        </w:tc>
        <w:tc>
          <w:tcPr>
            <w:tcW w:w="635" w:type="dxa"/>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222" w:type="dxa"/>
            <w:tcBorders>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4793" w:type="dxa"/>
            <w:gridSpan w:val="4"/>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λ=£30,000</w:t>
            </w:r>
          </w:p>
          <w:p w:rsidR="00003A24" w:rsidRPr="00C806D0" w:rsidRDefault="00003A24" w:rsidP="002A16B4">
            <w:pPr>
              <w:pStyle w:val="NoSpacing"/>
              <w:tabs>
                <w:tab w:val="left" w:pos="301"/>
              </w:tabs>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ab/>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Sensitivity analysis</w:t>
            </w:r>
          </w:p>
        </w:tc>
        <w:tc>
          <w:tcPr>
            <w:tcW w:w="1188"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Strategy</w:t>
            </w:r>
          </w:p>
        </w:tc>
        <w:tc>
          <w:tcPr>
            <w:tcW w:w="958"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Cost</w:t>
            </w:r>
          </w:p>
        </w:tc>
        <w:tc>
          <w:tcPr>
            <w:tcW w:w="874"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QALY</w:t>
            </w:r>
          </w:p>
        </w:tc>
        <w:tc>
          <w:tcPr>
            <w:tcW w:w="1043"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7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540"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w:t>
            </w:r>
            <w:r w:rsidRPr="00C806D0">
              <w:rPr>
                <w:rFonts w:ascii="Calibri" w:hAnsi="Calibri" w:cs="Arial"/>
                <w:b/>
                <w:color w:val="auto"/>
                <w:sz w:val="20"/>
                <w:szCs w:val="20"/>
                <w:shd w:val="clear" w:color="auto" w:fill="F2F2F2" w:themeFill="background1" w:themeFillShade="F2"/>
              </w:rPr>
              <w:t>rror</w:t>
            </w:r>
          </w:p>
        </w:tc>
        <w:tc>
          <w:tcPr>
            <w:tcW w:w="222" w:type="dxa"/>
            <w:tcBorders>
              <w:top w:val="nil"/>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1043"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7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540"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Error</w:t>
            </w:r>
          </w:p>
        </w:tc>
      </w:tr>
      <w:tr w:rsidR="00003A24" w:rsidRPr="00C806D0" w:rsidTr="002A16B4">
        <w:trPr>
          <w:trHeight w:val="609"/>
        </w:trPr>
        <w:tc>
          <w:tcPr>
            <w:cnfStyle w:val="001000000000" w:firstRow="0" w:lastRow="0" w:firstColumn="1" w:lastColumn="0" w:oddVBand="0" w:evenVBand="0" w:oddHBand="0" w:evenHBand="0" w:firstRowFirstColumn="0" w:firstRowLastColumn="0" w:lastRowFirstColumn="0" w:lastRowLastColumn="0"/>
            <w:tcW w:w="1346" w:type="dxa"/>
            <w:tcBorders>
              <w:top w:val="single" w:sz="4" w:space="0" w:color="auto"/>
            </w:tcBorders>
            <w:shd w:val="clear" w:color="auto" w:fill="FFFFFF" w:themeFill="background1"/>
          </w:tcPr>
          <w:p w:rsidR="00003A24" w:rsidRPr="00C806D0" w:rsidRDefault="0085706C" w:rsidP="002A16B4">
            <w:pPr>
              <w:pStyle w:val="NoSpacing"/>
              <w:rPr>
                <w:rFonts w:ascii="Calibri" w:hAnsi="Calibri" w:cs="Arial"/>
                <w:color w:val="auto"/>
                <w:sz w:val="20"/>
                <w:szCs w:val="20"/>
              </w:rPr>
            </w:pPr>
            <w:r w:rsidRPr="00C806D0">
              <w:rPr>
                <w:rFonts w:ascii="Calibri" w:hAnsi="Calibri" w:cs="Arial"/>
                <w:sz w:val="20"/>
                <w:szCs w:val="20"/>
              </w:rPr>
              <w:t>Post discharge costs</w:t>
            </w:r>
          </w:p>
        </w:tc>
        <w:tc>
          <w:tcPr>
            <w:tcW w:w="1188" w:type="dxa"/>
            <w:tcBorders>
              <w:top w:val="single" w:sz="4" w:space="0" w:color="auto"/>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58"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£14,892</w:t>
            </w:r>
          </w:p>
        </w:tc>
        <w:tc>
          <w:tcPr>
            <w:tcW w:w="874"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13.07</w:t>
            </w:r>
          </w:p>
        </w:tc>
        <w:tc>
          <w:tcPr>
            <w:tcW w:w="1043"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£246,533</w:t>
            </w:r>
          </w:p>
        </w:tc>
        <w:tc>
          <w:tcPr>
            <w:tcW w:w="1575"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£324</w:t>
            </w:r>
          </w:p>
        </w:tc>
        <w:tc>
          <w:tcPr>
            <w:tcW w:w="1540"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0.43</w:t>
            </w:r>
          </w:p>
        </w:tc>
        <w:tc>
          <w:tcPr>
            <w:tcW w:w="635"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0.57</w:t>
            </w:r>
          </w:p>
        </w:tc>
        <w:tc>
          <w:tcPr>
            <w:tcW w:w="222" w:type="dxa"/>
            <w:tcBorders>
              <w:top w:val="nil"/>
            </w:tcBorders>
            <w:shd w:val="clear" w:color="auto" w:fill="D9D9D9" w:themeFill="background1" w:themeFillShade="D9"/>
            <w:vAlign w:val="bottom"/>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43"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£377,246</w:t>
            </w:r>
          </w:p>
        </w:tc>
        <w:tc>
          <w:tcPr>
            <w:tcW w:w="157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£1,666</w:t>
            </w:r>
          </w:p>
        </w:tc>
        <w:tc>
          <w:tcPr>
            <w:tcW w:w="1540"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0.48</w:t>
            </w:r>
          </w:p>
        </w:tc>
        <w:tc>
          <w:tcPr>
            <w:tcW w:w="63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shd w:val="clear" w:color="auto" w:fill="FFFFFF" w:themeFill="background1"/>
          </w:tcPr>
          <w:p w:rsidR="00003A24" w:rsidRPr="00C806D0" w:rsidRDefault="00003A24" w:rsidP="002A16B4">
            <w:pPr>
              <w:rPr>
                <w:rFonts w:ascii="Calibri" w:hAnsi="Calibri" w:cs="Arial"/>
                <w:b w:val="0"/>
                <w:color w:val="auto"/>
                <w:sz w:val="20"/>
                <w:szCs w:val="20"/>
              </w:rPr>
            </w:pPr>
          </w:p>
        </w:tc>
        <w:tc>
          <w:tcPr>
            <w:tcW w:w="1188"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£12,532</w:t>
            </w:r>
          </w:p>
        </w:tc>
        <w:tc>
          <w:tcPr>
            <w:tcW w:w="87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12.94</w:t>
            </w:r>
          </w:p>
        </w:tc>
        <w:tc>
          <w:tcPr>
            <w:tcW w:w="104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£246,209</w:t>
            </w:r>
          </w:p>
        </w:tc>
        <w:tc>
          <w:tcPr>
            <w:tcW w:w="15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1540"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0.12</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0.88</w:t>
            </w:r>
          </w:p>
        </w:tc>
        <w:tc>
          <w:tcPr>
            <w:tcW w:w="222" w:type="dxa"/>
            <w:shd w:val="clear" w:color="auto" w:fill="FFFFFF" w:themeFill="background1"/>
            <w:vAlign w:val="bottom"/>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4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£375,580</w:t>
            </w:r>
          </w:p>
        </w:tc>
        <w:tc>
          <w:tcPr>
            <w:tcW w:w="15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1540"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0.09</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8" w:type="dxa"/>
            <w:tcBorders>
              <w:bottom w:val="nil"/>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£12,935</w:t>
            </w:r>
          </w:p>
        </w:tc>
        <w:tc>
          <w:tcPr>
            <w:tcW w:w="874"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13.00</w:t>
            </w:r>
          </w:p>
        </w:tc>
        <w:tc>
          <w:tcPr>
            <w:tcW w:w="1043"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£247,008</w:t>
            </w:r>
          </w:p>
        </w:tc>
        <w:tc>
          <w:tcPr>
            <w:tcW w:w="157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£799</w:t>
            </w:r>
          </w:p>
        </w:tc>
        <w:tc>
          <w:tcPr>
            <w:tcW w:w="1540"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0.43</w:t>
            </w:r>
          </w:p>
        </w:tc>
        <w:tc>
          <w:tcPr>
            <w:tcW w:w="63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0.57</w:t>
            </w:r>
          </w:p>
        </w:tc>
        <w:tc>
          <w:tcPr>
            <w:tcW w:w="222" w:type="dxa"/>
            <w:tcBorders>
              <w:bottom w:val="nil"/>
            </w:tcBorders>
            <w:vAlign w:val="bottom"/>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43"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£376,980</w:t>
            </w:r>
          </w:p>
        </w:tc>
        <w:tc>
          <w:tcPr>
            <w:tcW w:w="1575" w:type="dxa"/>
            <w:tcBorders>
              <w:bottom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£1,400</w:t>
            </w:r>
          </w:p>
        </w:tc>
        <w:tc>
          <w:tcPr>
            <w:tcW w:w="1540"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0.41</w:t>
            </w:r>
          </w:p>
        </w:tc>
        <w:tc>
          <w:tcPr>
            <w:tcW w:w="635" w:type="dxa"/>
            <w:tcBorders>
              <w:bottom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0.59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8" w:type="dxa"/>
            <w:tcBorders>
              <w:top w:val="nil"/>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58"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£11,701</w:t>
            </w:r>
          </w:p>
        </w:tc>
        <w:tc>
          <w:tcPr>
            <w:tcW w:w="874"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12.67</w:t>
            </w:r>
          </w:p>
        </w:tc>
        <w:tc>
          <w:tcPr>
            <w:tcW w:w="1043"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£241,612</w:t>
            </w:r>
          </w:p>
        </w:tc>
        <w:tc>
          <w:tcPr>
            <w:tcW w:w="157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-£4,598</w:t>
            </w:r>
          </w:p>
        </w:tc>
        <w:tc>
          <w:tcPr>
            <w:tcW w:w="1540"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63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c>
          <w:tcPr>
            <w:tcW w:w="222" w:type="dxa"/>
            <w:tcBorders>
              <w:top w:val="nil"/>
              <w:bottom w:val="nil"/>
            </w:tcBorders>
            <w:shd w:val="clear" w:color="auto" w:fill="FFFFFF" w:themeFill="background1"/>
            <w:vAlign w:val="bottom"/>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p>
        </w:tc>
        <w:tc>
          <w:tcPr>
            <w:tcW w:w="1043"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£368,268</w:t>
            </w:r>
          </w:p>
        </w:tc>
        <w:tc>
          <w:tcPr>
            <w:tcW w:w="157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-£7,312</w:t>
            </w:r>
          </w:p>
        </w:tc>
        <w:tc>
          <w:tcPr>
            <w:tcW w:w="1540"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0.01</w:t>
            </w:r>
          </w:p>
        </w:tc>
        <w:tc>
          <w:tcPr>
            <w:tcW w:w="63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0.99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8"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874"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43"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7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40"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63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222"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043"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7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40"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63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r>
    </w:tbl>
    <w:p w:rsidR="00003A24" w:rsidRPr="00C806D0" w:rsidRDefault="00003A24" w:rsidP="00003A24">
      <w:pPr>
        <w:rPr>
          <w:rFonts w:ascii="Calibri" w:hAnsi="Calibri" w:cs="Arial"/>
          <w:sz w:val="20"/>
          <w:szCs w:val="20"/>
        </w:rPr>
      </w:pPr>
      <w:r w:rsidRPr="00C806D0">
        <w:rPr>
          <w:rFonts w:ascii="Calibri" w:hAnsi="Calibri" w:cs="Arial"/>
          <w:sz w:val="20"/>
          <w:szCs w:val="20"/>
        </w:rPr>
        <w:t>Post discharge TBI (1</w:t>
      </w:r>
      <w:r w:rsidRPr="00C806D0">
        <w:rPr>
          <w:rFonts w:ascii="Calibri" w:hAnsi="Calibri" w:cs="Arial"/>
          <w:sz w:val="20"/>
          <w:szCs w:val="20"/>
          <w:vertAlign w:val="superscript"/>
        </w:rPr>
        <w:t>st</w:t>
      </w:r>
      <w:r w:rsidRPr="00C806D0">
        <w:rPr>
          <w:rFonts w:ascii="Calibri" w:hAnsi="Calibri" w:cs="Arial"/>
          <w:sz w:val="20"/>
          <w:szCs w:val="20"/>
        </w:rPr>
        <w:t xml:space="preserve"> year &amp; longer term) costs set to the 2.5th quantile of their elicited probability distributions.</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pStyle w:val="NoSpacing"/>
        <w:rPr>
          <w:rFonts w:ascii="Calibri" w:hAnsi="Calibri" w:cs="Arial"/>
          <w:b/>
        </w:rPr>
      </w:pPr>
      <w:r w:rsidRPr="00C806D0">
        <w:rPr>
          <w:rFonts w:ascii="Calibri" w:hAnsi="Calibri" w:cs="Arial"/>
          <w:b/>
        </w:rPr>
        <w:t xml:space="preserve">Table J12. </w:t>
      </w:r>
      <w:r w:rsidR="0085706C" w:rsidRPr="00C806D0">
        <w:rPr>
          <w:rFonts w:ascii="Calibri" w:hAnsi="Calibri" w:cs="Arial"/>
          <w:b/>
        </w:rPr>
        <w:t>S</w:t>
      </w:r>
      <w:r w:rsidRPr="00C806D0">
        <w:rPr>
          <w:rFonts w:ascii="Calibri" w:hAnsi="Calibri" w:cs="Arial"/>
          <w:b/>
        </w:rPr>
        <w:t xml:space="preserve">ensitivity analysis examining the influence </w:t>
      </w:r>
      <w:r w:rsidR="0085706C" w:rsidRPr="00C806D0">
        <w:rPr>
          <w:rFonts w:ascii="Calibri" w:hAnsi="Calibri" w:cs="Arial"/>
          <w:b/>
        </w:rPr>
        <w:t>of increased mortality rates following TBI</w:t>
      </w:r>
      <w:r w:rsidRPr="00C806D0">
        <w:rPr>
          <w:rFonts w:ascii="Calibri" w:hAnsi="Calibri" w:cs="Arial"/>
          <w:b/>
        </w:rPr>
        <w:t xml:space="preserve"> and major trauma. </w:t>
      </w:r>
    </w:p>
    <w:p w:rsidR="00003A24" w:rsidRPr="00C806D0" w:rsidRDefault="00003A24" w:rsidP="00003A24">
      <w:pPr>
        <w:pStyle w:val="NoSpacing"/>
        <w:rPr>
          <w:rFonts w:ascii="Calibri" w:hAnsi="Calibri" w:cs="Arial"/>
        </w:rPr>
      </w:pPr>
    </w:p>
    <w:tbl>
      <w:tblPr>
        <w:tblStyle w:val="LightShading1"/>
        <w:tblW w:w="0" w:type="auto"/>
        <w:shd w:val="clear" w:color="auto" w:fill="FFFFFF" w:themeFill="background1"/>
        <w:tblLook w:val="06A0" w:firstRow="1" w:lastRow="0" w:firstColumn="1" w:lastColumn="0" w:noHBand="1" w:noVBand="1"/>
      </w:tblPr>
      <w:tblGrid>
        <w:gridCol w:w="1346"/>
        <w:gridCol w:w="1188"/>
        <w:gridCol w:w="958"/>
        <w:gridCol w:w="874"/>
        <w:gridCol w:w="1043"/>
        <w:gridCol w:w="1575"/>
        <w:gridCol w:w="1540"/>
        <w:gridCol w:w="635"/>
        <w:gridCol w:w="222"/>
        <w:gridCol w:w="1043"/>
        <w:gridCol w:w="1575"/>
        <w:gridCol w:w="1540"/>
        <w:gridCol w:w="63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Borders>
              <w:bottom w:val="nil"/>
            </w:tcBorders>
            <w:shd w:val="clear" w:color="auto" w:fill="FFFFFF" w:themeFill="background1"/>
          </w:tcPr>
          <w:p w:rsidR="00003A24" w:rsidRPr="00C806D0" w:rsidRDefault="00003A24" w:rsidP="00003A24">
            <w:pPr>
              <w:pStyle w:val="NoSpacing"/>
              <w:spacing w:line="276" w:lineRule="auto"/>
              <w:rPr>
                <w:rFonts w:ascii="Calibri" w:hAnsi="Calibri" w:cs="Arial"/>
                <w:color w:val="auto"/>
                <w:sz w:val="20"/>
                <w:szCs w:val="20"/>
              </w:rPr>
            </w:pPr>
          </w:p>
        </w:tc>
        <w:tc>
          <w:tcPr>
            <w:tcW w:w="1188" w:type="dxa"/>
            <w:tcBorders>
              <w:bottom w:val="nil"/>
            </w:tcBorders>
            <w:shd w:val="clear" w:color="auto" w:fill="FFFFFF" w:themeFill="background1"/>
          </w:tcPr>
          <w:p w:rsidR="00003A24" w:rsidRPr="00C806D0" w:rsidRDefault="00003A24" w:rsidP="00003A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bottom w:val="nil"/>
            </w:tcBorders>
            <w:shd w:val="clear" w:color="auto" w:fill="FFFFFF" w:themeFill="background1"/>
          </w:tcPr>
          <w:p w:rsidR="00003A24" w:rsidRPr="00C806D0" w:rsidRDefault="00003A24" w:rsidP="00003A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874" w:type="dxa"/>
            <w:tcBorders>
              <w:bottom w:val="nil"/>
            </w:tcBorders>
            <w:shd w:val="clear" w:color="auto" w:fill="FFFFFF" w:themeFill="background1"/>
          </w:tcPr>
          <w:p w:rsidR="00003A24" w:rsidRPr="00C806D0" w:rsidRDefault="00003A24" w:rsidP="00003A24">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4158" w:type="dxa"/>
            <w:gridSpan w:val="3"/>
            <w:tcBorders>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λ=£20,000</w:t>
            </w:r>
          </w:p>
        </w:tc>
        <w:tc>
          <w:tcPr>
            <w:tcW w:w="635" w:type="dxa"/>
            <w:tcBorders>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222" w:type="dxa"/>
            <w:tcBorders>
              <w:bottom w:val="nil"/>
            </w:tcBorders>
            <w:shd w:val="clear" w:color="auto" w:fill="FFFFFF" w:themeFill="background1"/>
          </w:tcPr>
          <w:p w:rsidR="00003A24" w:rsidRPr="00C806D0" w:rsidRDefault="00003A24" w:rsidP="00003A2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4793" w:type="dxa"/>
            <w:gridSpan w:val="4"/>
            <w:tcBorders>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λ=£30,000</w:t>
            </w:r>
          </w:p>
          <w:p w:rsidR="00003A24" w:rsidRPr="00C806D0" w:rsidRDefault="00003A24" w:rsidP="00003A24">
            <w:pPr>
              <w:pStyle w:val="NoSpacing"/>
              <w:tabs>
                <w:tab w:val="left" w:pos="301"/>
              </w:tabs>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ab/>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single" w:sz="4" w:space="0" w:color="auto"/>
            </w:tcBorders>
            <w:shd w:val="clear" w:color="auto" w:fill="FFFFFF" w:themeFill="background1"/>
          </w:tcPr>
          <w:p w:rsidR="00003A24" w:rsidRPr="00C806D0" w:rsidRDefault="00003A24" w:rsidP="00003A24">
            <w:pPr>
              <w:pStyle w:val="NoSpacing"/>
              <w:spacing w:line="276" w:lineRule="auto"/>
              <w:rPr>
                <w:rFonts w:ascii="Calibri" w:hAnsi="Calibri" w:cs="Arial"/>
                <w:color w:val="auto"/>
                <w:sz w:val="20"/>
                <w:szCs w:val="20"/>
              </w:rPr>
            </w:pPr>
            <w:r w:rsidRPr="00C806D0">
              <w:rPr>
                <w:rFonts w:ascii="Calibri" w:hAnsi="Calibri" w:cs="Arial"/>
                <w:color w:val="auto"/>
                <w:sz w:val="20"/>
                <w:szCs w:val="20"/>
              </w:rPr>
              <w:t>Sensitivity analysis</w:t>
            </w:r>
          </w:p>
        </w:tc>
        <w:tc>
          <w:tcPr>
            <w:tcW w:w="1188" w:type="dxa"/>
            <w:tcBorders>
              <w:top w:val="nil"/>
              <w:bottom w:val="single" w:sz="4" w:space="0" w:color="auto"/>
            </w:tcBorders>
            <w:shd w:val="clear" w:color="auto" w:fill="FFFFFF" w:themeFill="background1"/>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Strategy</w:t>
            </w:r>
          </w:p>
        </w:tc>
        <w:tc>
          <w:tcPr>
            <w:tcW w:w="958" w:type="dxa"/>
            <w:tcBorders>
              <w:top w:val="nil"/>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Cost</w:t>
            </w:r>
          </w:p>
        </w:tc>
        <w:tc>
          <w:tcPr>
            <w:tcW w:w="874" w:type="dxa"/>
            <w:tcBorders>
              <w:top w:val="nil"/>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QALY</w:t>
            </w:r>
          </w:p>
        </w:tc>
        <w:tc>
          <w:tcPr>
            <w:tcW w:w="1043" w:type="dxa"/>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75" w:type="dxa"/>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540" w:type="dxa"/>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tc>
        <w:tc>
          <w:tcPr>
            <w:tcW w:w="635" w:type="dxa"/>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w:t>
            </w:r>
            <w:r w:rsidRPr="00C806D0">
              <w:rPr>
                <w:rFonts w:ascii="Calibri" w:hAnsi="Calibri" w:cs="Arial"/>
                <w:b/>
                <w:color w:val="auto"/>
                <w:sz w:val="20"/>
                <w:szCs w:val="20"/>
                <w:shd w:val="clear" w:color="auto" w:fill="F2F2F2" w:themeFill="background1" w:themeFillShade="F2"/>
              </w:rPr>
              <w:t>rror</w:t>
            </w:r>
          </w:p>
        </w:tc>
        <w:tc>
          <w:tcPr>
            <w:tcW w:w="222" w:type="dxa"/>
            <w:tcBorders>
              <w:top w:val="nil"/>
              <w:bottom w:val="nil"/>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1043" w:type="dxa"/>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75" w:type="dxa"/>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540" w:type="dxa"/>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635" w:type="dxa"/>
            <w:tcBorders>
              <w:top w:val="single" w:sz="4" w:space="0" w:color="auto"/>
              <w:bottom w:val="single" w:sz="4" w:space="0" w:color="auto"/>
            </w:tcBorders>
            <w:shd w:val="clear" w:color="auto" w:fill="FFFFFF" w:themeFill="background1"/>
          </w:tcPr>
          <w:p w:rsidR="00003A24" w:rsidRPr="00C806D0" w:rsidRDefault="00003A24" w:rsidP="00003A2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Error</w:t>
            </w:r>
          </w:p>
        </w:tc>
      </w:tr>
      <w:tr w:rsidR="00003A24" w:rsidRPr="00C806D0" w:rsidTr="002A16B4">
        <w:trPr>
          <w:trHeight w:val="609"/>
        </w:trPr>
        <w:tc>
          <w:tcPr>
            <w:cnfStyle w:val="001000000000" w:firstRow="0" w:lastRow="0" w:firstColumn="1" w:lastColumn="0" w:oddVBand="0" w:evenVBand="0" w:oddHBand="0" w:evenHBand="0" w:firstRowFirstColumn="0" w:firstRowLastColumn="0" w:lastRowFirstColumn="0" w:lastRowLastColumn="0"/>
            <w:tcW w:w="1346" w:type="dxa"/>
            <w:tcBorders>
              <w:top w:val="single" w:sz="4" w:space="0" w:color="auto"/>
            </w:tcBorders>
            <w:shd w:val="clear" w:color="auto" w:fill="FFFFFF" w:themeFill="background1"/>
          </w:tcPr>
          <w:p w:rsidR="00003A24" w:rsidRPr="00C806D0" w:rsidRDefault="00003A24" w:rsidP="00003A24">
            <w:pPr>
              <w:pStyle w:val="NoSpacing"/>
              <w:spacing w:line="276" w:lineRule="auto"/>
              <w:rPr>
                <w:rFonts w:ascii="Calibri" w:hAnsi="Calibri" w:cs="Arial"/>
                <w:color w:val="auto"/>
                <w:sz w:val="20"/>
                <w:szCs w:val="20"/>
              </w:rPr>
            </w:pPr>
            <w:r w:rsidRPr="00C806D0">
              <w:rPr>
                <w:rFonts w:ascii="Calibri" w:hAnsi="Calibri" w:cs="Arial"/>
                <w:color w:val="auto"/>
                <w:sz w:val="20"/>
                <w:szCs w:val="20"/>
              </w:rPr>
              <w:t xml:space="preserve">Decreased life expectancy: </w:t>
            </w:r>
          </w:p>
        </w:tc>
        <w:tc>
          <w:tcPr>
            <w:tcW w:w="1188" w:type="dxa"/>
            <w:tcBorders>
              <w:top w:val="single" w:sz="4" w:space="0" w:color="auto"/>
            </w:tcBorders>
            <w:shd w:val="clear" w:color="auto" w:fill="auto"/>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58" w:type="dxa"/>
            <w:tcBorders>
              <w:top w:val="single" w:sz="4" w:space="0" w:color="auto"/>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£27,282</w:t>
            </w:r>
          </w:p>
        </w:tc>
        <w:tc>
          <w:tcPr>
            <w:tcW w:w="874" w:type="dxa"/>
            <w:tcBorders>
              <w:top w:val="single" w:sz="4" w:space="0" w:color="auto"/>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11.91</w:t>
            </w:r>
          </w:p>
        </w:tc>
        <w:tc>
          <w:tcPr>
            <w:tcW w:w="1043" w:type="dxa"/>
            <w:tcBorders>
              <w:top w:val="single" w:sz="4" w:space="0" w:color="auto"/>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£210,836</w:t>
            </w:r>
          </w:p>
        </w:tc>
        <w:tc>
          <w:tcPr>
            <w:tcW w:w="1575" w:type="dxa"/>
            <w:tcBorders>
              <w:top w:val="single" w:sz="4" w:space="0" w:color="auto"/>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£237</w:t>
            </w:r>
          </w:p>
        </w:tc>
        <w:tc>
          <w:tcPr>
            <w:tcW w:w="1540" w:type="dxa"/>
            <w:tcBorders>
              <w:top w:val="nil"/>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0.42</w:t>
            </w:r>
          </w:p>
        </w:tc>
        <w:tc>
          <w:tcPr>
            <w:tcW w:w="635" w:type="dxa"/>
            <w:tcBorders>
              <w:top w:val="nil"/>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0.58</w:t>
            </w:r>
          </w:p>
        </w:tc>
        <w:tc>
          <w:tcPr>
            <w:tcW w:w="222" w:type="dxa"/>
            <w:tcBorders>
              <w:top w:val="nil"/>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1043" w:type="dxa"/>
            <w:tcBorders>
              <w:top w:val="single" w:sz="4" w:space="0" w:color="auto"/>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£329,895</w:t>
            </w:r>
          </w:p>
        </w:tc>
        <w:tc>
          <w:tcPr>
            <w:tcW w:w="1575" w:type="dxa"/>
            <w:tcBorders>
              <w:top w:val="single" w:sz="4" w:space="0" w:color="auto"/>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£1,450</w:t>
            </w:r>
          </w:p>
        </w:tc>
        <w:tc>
          <w:tcPr>
            <w:tcW w:w="1540" w:type="dxa"/>
            <w:tcBorders>
              <w:top w:val="single" w:sz="4" w:space="0" w:color="auto"/>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0.49</w:t>
            </w:r>
          </w:p>
        </w:tc>
        <w:tc>
          <w:tcPr>
            <w:tcW w:w="635" w:type="dxa"/>
            <w:tcBorders>
              <w:top w:val="single" w:sz="4" w:space="0" w:color="auto"/>
            </w:tcBorders>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shd w:val="clear" w:color="auto" w:fill="FFFFFF" w:themeFill="background1"/>
          </w:tcPr>
          <w:p w:rsidR="00003A24" w:rsidRPr="00C806D0" w:rsidRDefault="00003A24" w:rsidP="00003A24">
            <w:pPr>
              <w:spacing w:line="276" w:lineRule="auto"/>
              <w:rPr>
                <w:rFonts w:ascii="Calibri" w:hAnsi="Calibri" w:cs="Arial"/>
                <w:color w:val="auto"/>
                <w:sz w:val="20"/>
                <w:szCs w:val="20"/>
              </w:rPr>
            </w:pPr>
            <w:r w:rsidRPr="00C806D0">
              <w:rPr>
                <w:rFonts w:ascii="Calibri" w:hAnsi="Calibri" w:cs="Arial"/>
                <w:color w:val="auto"/>
                <w:sz w:val="20"/>
                <w:szCs w:val="20"/>
              </w:rPr>
              <w:t>Mcmillan / Cameron estimates</w:t>
            </w:r>
          </w:p>
        </w:tc>
        <w:tc>
          <w:tcPr>
            <w:tcW w:w="1188" w:type="dxa"/>
            <w:shd w:val="clear" w:color="auto" w:fill="FFFFFF" w:themeFill="background1"/>
          </w:tcPr>
          <w:p w:rsidR="00003A24" w:rsidRPr="00C806D0" w:rsidRDefault="00003A24" w:rsidP="00003A2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tc>
        <w:tc>
          <w:tcPr>
            <w:tcW w:w="958"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£25,092</w:t>
            </w:r>
          </w:p>
        </w:tc>
        <w:tc>
          <w:tcPr>
            <w:tcW w:w="874"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11.78</w:t>
            </w:r>
          </w:p>
        </w:tc>
        <w:tc>
          <w:tcPr>
            <w:tcW w:w="1043"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£210,599</w:t>
            </w:r>
          </w:p>
        </w:tc>
        <w:tc>
          <w:tcPr>
            <w:tcW w:w="1575"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w:t>
            </w:r>
          </w:p>
        </w:tc>
        <w:tc>
          <w:tcPr>
            <w:tcW w:w="1540"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0.10</w:t>
            </w:r>
          </w:p>
        </w:tc>
        <w:tc>
          <w:tcPr>
            <w:tcW w:w="635"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0.90</w:t>
            </w:r>
          </w:p>
        </w:tc>
        <w:tc>
          <w:tcPr>
            <w:tcW w:w="222"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1043"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£328,445</w:t>
            </w:r>
          </w:p>
        </w:tc>
        <w:tc>
          <w:tcPr>
            <w:tcW w:w="1575"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w:t>
            </w:r>
          </w:p>
        </w:tc>
        <w:tc>
          <w:tcPr>
            <w:tcW w:w="1540"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0.07</w:t>
            </w:r>
          </w:p>
        </w:tc>
        <w:tc>
          <w:tcPr>
            <w:tcW w:w="635" w:type="dxa"/>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0.93</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bottom w:val="nil"/>
            </w:tcBorders>
            <w:shd w:val="clear" w:color="auto" w:fill="FFFFFF" w:themeFill="background1"/>
          </w:tcPr>
          <w:p w:rsidR="00003A24" w:rsidRPr="00C806D0" w:rsidRDefault="00003A24" w:rsidP="00003A24">
            <w:pPr>
              <w:pStyle w:val="NoSpacing"/>
              <w:spacing w:line="276" w:lineRule="auto"/>
              <w:rPr>
                <w:rFonts w:ascii="Calibri" w:hAnsi="Calibri" w:cs="Arial"/>
                <w:color w:val="auto"/>
                <w:sz w:val="20"/>
                <w:szCs w:val="20"/>
              </w:rPr>
            </w:pPr>
          </w:p>
        </w:tc>
        <w:tc>
          <w:tcPr>
            <w:tcW w:w="1188" w:type="dxa"/>
            <w:tcBorders>
              <w:bottom w:val="nil"/>
            </w:tcBorders>
            <w:shd w:val="clear" w:color="auto" w:fill="D9D9D9" w:themeFill="background1" w:themeFillShade="D9"/>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£25,260</w:t>
            </w:r>
          </w:p>
        </w:tc>
        <w:tc>
          <w:tcPr>
            <w:tcW w:w="874"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11.84</w:t>
            </w:r>
          </w:p>
        </w:tc>
        <w:tc>
          <w:tcPr>
            <w:tcW w:w="1043"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£211,547</w:t>
            </w:r>
          </w:p>
        </w:tc>
        <w:tc>
          <w:tcPr>
            <w:tcW w:w="1575"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£948</w:t>
            </w:r>
          </w:p>
        </w:tc>
        <w:tc>
          <w:tcPr>
            <w:tcW w:w="1540"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0.45</w:t>
            </w:r>
          </w:p>
        </w:tc>
        <w:tc>
          <w:tcPr>
            <w:tcW w:w="635"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0.55</w:t>
            </w:r>
          </w:p>
        </w:tc>
        <w:tc>
          <w:tcPr>
            <w:tcW w:w="222"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1043"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£329,950</w:t>
            </w:r>
          </w:p>
        </w:tc>
        <w:tc>
          <w:tcPr>
            <w:tcW w:w="1575"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£1,506</w:t>
            </w:r>
          </w:p>
        </w:tc>
        <w:tc>
          <w:tcPr>
            <w:tcW w:w="1540"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0.43</w:t>
            </w:r>
          </w:p>
        </w:tc>
        <w:tc>
          <w:tcPr>
            <w:tcW w:w="635" w:type="dxa"/>
            <w:tcBorders>
              <w:bottom w:val="nil"/>
            </w:tcBorders>
            <w:shd w:val="clear" w:color="auto" w:fill="D9D9D9" w:themeFill="background1" w:themeFillShade="D9"/>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0.57</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nil"/>
            </w:tcBorders>
            <w:shd w:val="clear" w:color="auto" w:fill="FFFFFF" w:themeFill="background1"/>
          </w:tcPr>
          <w:p w:rsidR="00003A24" w:rsidRPr="00C806D0" w:rsidRDefault="00003A24" w:rsidP="00003A24">
            <w:pPr>
              <w:pStyle w:val="NoSpacing"/>
              <w:spacing w:line="276" w:lineRule="auto"/>
              <w:rPr>
                <w:rFonts w:ascii="Calibri" w:hAnsi="Calibri" w:cs="Arial"/>
                <w:b w:val="0"/>
                <w:color w:val="auto"/>
                <w:sz w:val="20"/>
                <w:szCs w:val="20"/>
              </w:rPr>
            </w:pPr>
          </w:p>
        </w:tc>
        <w:tc>
          <w:tcPr>
            <w:tcW w:w="1188" w:type="dxa"/>
            <w:tcBorders>
              <w:top w:val="nil"/>
              <w:bottom w:val="nil"/>
            </w:tcBorders>
            <w:shd w:val="clear" w:color="auto" w:fill="FFFFFF" w:themeFill="background1"/>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58"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£24,789</w:t>
            </w:r>
          </w:p>
        </w:tc>
        <w:tc>
          <w:tcPr>
            <w:tcW w:w="874"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11.54</w:t>
            </w:r>
          </w:p>
        </w:tc>
        <w:tc>
          <w:tcPr>
            <w:tcW w:w="1043"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£205,959</w:t>
            </w:r>
          </w:p>
        </w:tc>
        <w:tc>
          <w:tcPr>
            <w:tcW w:w="1575"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-£4,640</w:t>
            </w:r>
          </w:p>
        </w:tc>
        <w:tc>
          <w:tcPr>
            <w:tcW w:w="1540"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0.01</w:t>
            </w:r>
          </w:p>
        </w:tc>
        <w:tc>
          <w:tcPr>
            <w:tcW w:w="635"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0.99</w:t>
            </w:r>
          </w:p>
        </w:tc>
        <w:tc>
          <w:tcPr>
            <w:tcW w:w="222"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1043"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£321,334</w:t>
            </w:r>
          </w:p>
        </w:tc>
        <w:tc>
          <w:tcPr>
            <w:tcW w:w="1575"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-£7,111</w:t>
            </w:r>
          </w:p>
        </w:tc>
        <w:tc>
          <w:tcPr>
            <w:tcW w:w="1540"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0.01</w:t>
            </w:r>
          </w:p>
        </w:tc>
        <w:tc>
          <w:tcPr>
            <w:tcW w:w="635" w:type="dxa"/>
            <w:tcBorders>
              <w:top w:val="nil"/>
              <w:bottom w:val="nil"/>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single" w:sz="4" w:space="0" w:color="auto"/>
            </w:tcBorders>
            <w:shd w:val="clear" w:color="auto" w:fill="FFFFFF" w:themeFill="background1"/>
          </w:tcPr>
          <w:p w:rsidR="00003A24" w:rsidRPr="00C806D0" w:rsidRDefault="00003A24" w:rsidP="00003A24">
            <w:pPr>
              <w:pStyle w:val="NoSpacing"/>
              <w:spacing w:line="276" w:lineRule="auto"/>
              <w:rPr>
                <w:rFonts w:ascii="Calibri" w:hAnsi="Calibri" w:cs="Arial"/>
                <w:b w:val="0"/>
                <w:color w:val="auto"/>
                <w:sz w:val="20"/>
                <w:szCs w:val="20"/>
              </w:rPr>
            </w:pPr>
          </w:p>
        </w:tc>
        <w:tc>
          <w:tcPr>
            <w:tcW w:w="1188" w:type="dxa"/>
            <w:tcBorders>
              <w:top w:val="nil"/>
              <w:bottom w:val="single" w:sz="4" w:space="0" w:color="auto"/>
            </w:tcBorders>
            <w:shd w:val="clear" w:color="auto" w:fill="FFFFFF" w:themeFill="background1"/>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874"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43"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75"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40"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635"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222"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43"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75"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40"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635" w:type="dxa"/>
            <w:tcBorders>
              <w:top w:val="nil"/>
              <w:bottom w:val="single" w:sz="4" w:space="0" w:color="auto"/>
            </w:tcBorders>
            <w:shd w:val="clear" w:color="auto" w:fill="FFFFFF" w:themeFill="background1"/>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r>
      <w:tr w:rsidR="00003A24" w:rsidRPr="00C806D0" w:rsidTr="002A16B4">
        <w:tblPrEx>
          <w:shd w:val="clear" w:color="auto" w:fill="auto"/>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346" w:type="dxa"/>
            <w:shd w:val="clear" w:color="auto" w:fill="auto"/>
          </w:tcPr>
          <w:p w:rsidR="00003A24" w:rsidRPr="00C806D0" w:rsidRDefault="00003A24" w:rsidP="00003A24">
            <w:pPr>
              <w:pStyle w:val="NoSpacing"/>
              <w:spacing w:line="276" w:lineRule="auto"/>
              <w:rPr>
                <w:rFonts w:ascii="Calibri" w:hAnsi="Calibri" w:cs="Arial"/>
                <w:color w:val="auto"/>
                <w:sz w:val="20"/>
                <w:szCs w:val="20"/>
              </w:rPr>
            </w:pPr>
            <w:r w:rsidRPr="00C806D0">
              <w:rPr>
                <w:rFonts w:ascii="Calibri" w:hAnsi="Calibri" w:cs="Arial"/>
                <w:color w:val="auto"/>
                <w:sz w:val="20"/>
                <w:szCs w:val="20"/>
              </w:rPr>
              <w:t>Decreased life expectancy:</w:t>
            </w:r>
          </w:p>
        </w:tc>
        <w:tc>
          <w:tcPr>
            <w:tcW w:w="1188" w:type="dxa"/>
            <w:shd w:val="clear" w:color="auto" w:fill="D9D9D9" w:themeFill="background1" w:themeFillShade="D9"/>
          </w:tcPr>
          <w:p w:rsidR="00003A24" w:rsidRPr="00C806D0" w:rsidRDefault="00003A24" w:rsidP="00003A2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58"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£27,116</w:t>
            </w:r>
          </w:p>
        </w:tc>
        <w:tc>
          <w:tcPr>
            <w:tcW w:w="874"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11.98</w:t>
            </w:r>
          </w:p>
        </w:tc>
        <w:tc>
          <w:tcPr>
            <w:tcW w:w="1043"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£212,400</w:t>
            </w:r>
          </w:p>
        </w:tc>
        <w:tc>
          <w:tcPr>
            <w:tcW w:w="1575"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£423</w:t>
            </w:r>
          </w:p>
        </w:tc>
        <w:tc>
          <w:tcPr>
            <w:tcW w:w="1540"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0.45</w:t>
            </w:r>
          </w:p>
        </w:tc>
        <w:tc>
          <w:tcPr>
            <w:tcW w:w="635"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0.55</w:t>
            </w:r>
          </w:p>
        </w:tc>
        <w:tc>
          <w:tcPr>
            <w:tcW w:w="222"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p>
        </w:tc>
        <w:tc>
          <w:tcPr>
            <w:tcW w:w="1043" w:type="dxa"/>
            <w:shd w:val="clear" w:color="auto" w:fill="D9D9D9" w:themeFill="background1" w:themeFillShade="D9"/>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£332,158</w:t>
            </w:r>
          </w:p>
        </w:tc>
        <w:tc>
          <w:tcPr>
            <w:tcW w:w="1575" w:type="dxa"/>
            <w:shd w:val="clear" w:color="auto" w:fill="D9D9D9" w:themeFill="background1" w:themeFillShade="D9"/>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£1,688</w:t>
            </w:r>
          </w:p>
        </w:tc>
        <w:tc>
          <w:tcPr>
            <w:tcW w:w="1540" w:type="dxa"/>
            <w:shd w:val="clear" w:color="auto" w:fill="D9D9D9" w:themeFill="background1" w:themeFillShade="D9"/>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0.51</w:t>
            </w:r>
          </w:p>
        </w:tc>
        <w:tc>
          <w:tcPr>
            <w:tcW w:w="635" w:type="dxa"/>
            <w:shd w:val="clear" w:color="auto" w:fill="D9D9D9" w:themeFill="background1" w:themeFillShade="D9"/>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0.49</w:t>
            </w:r>
          </w:p>
        </w:tc>
      </w:tr>
      <w:tr w:rsidR="00003A24" w:rsidRPr="00C806D0" w:rsidTr="002A16B4">
        <w:tblPrEx>
          <w:shd w:val="clear" w:color="auto" w:fill="auto"/>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6" w:type="dxa"/>
            <w:shd w:val="clear" w:color="auto" w:fill="auto"/>
          </w:tcPr>
          <w:p w:rsidR="00003A24" w:rsidRPr="00C806D0" w:rsidRDefault="00003A24" w:rsidP="00003A24">
            <w:pPr>
              <w:spacing w:line="276" w:lineRule="auto"/>
              <w:rPr>
                <w:rFonts w:ascii="Calibri" w:hAnsi="Calibri" w:cs="Arial"/>
                <w:color w:val="auto"/>
                <w:sz w:val="20"/>
                <w:szCs w:val="20"/>
              </w:rPr>
            </w:pPr>
            <w:r w:rsidRPr="00C806D0">
              <w:rPr>
                <w:rFonts w:ascii="Calibri" w:hAnsi="Calibri" w:cs="Arial"/>
                <w:color w:val="auto"/>
                <w:sz w:val="20"/>
                <w:szCs w:val="20"/>
              </w:rPr>
              <w:t>REP  estimates</w:t>
            </w:r>
          </w:p>
        </w:tc>
        <w:tc>
          <w:tcPr>
            <w:tcW w:w="1188" w:type="dxa"/>
            <w:shd w:val="clear" w:color="auto" w:fill="auto"/>
          </w:tcPr>
          <w:p w:rsidR="00003A24" w:rsidRPr="00C806D0" w:rsidRDefault="00003A24" w:rsidP="00003A24">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tc>
        <w:tc>
          <w:tcPr>
            <w:tcW w:w="958"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£25,008</w:t>
            </w:r>
          </w:p>
        </w:tc>
        <w:tc>
          <w:tcPr>
            <w:tcW w:w="874"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11.85</w:t>
            </w:r>
          </w:p>
        </w:tc>
        <w:tc>
          <w:tcPr>
            <w:tcW w:w="1043"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£211,977</w:t>
            </w:r>
          </w:p>
        </w:tc>
        <w:tc>
          <w:tcPr>
            <w:tcW w:w="1575"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w:t>
            </w:r>
          </w:p>
        </w:tc>
        <w:tc>
          <w:tcPr>
            <w:tcW w:w="1540"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0.10</w:t>
            </w:r>
          </w:p>
        </w:tc>
        <w:tc>
          <w:tcPr>
            <w:tcW w:w="635"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0.90</w:t>
            </w:r>
          </w:p>
        </w:tc>
        <w:tc>
          <w:tcPr>
            <w:tcW w:w="222"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1043"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£330,470</w:t>
            </w:r>
          </w:p>
        </w:tc>
        <w:tc>
          <w:tcPr>
            <w:tcW w:w="1575"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w:t>
            </w:r>
          </w:p>
        </w:tc>
        <w:tc>
          <w:tcPr>
            <w:tcW w:w="1540"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0.08</w:t>
            </w:r>
          </w:p>
        </w:tc>
        <w:tc>
          <w:tcPr>
            <w:tcW w:w="635"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0.92</w:t>
            </w:r>
          </w:p>
        </w:tc>
      </w:tr>
      <w:tr w:rsidR="00003A24" w:rsidRPr="00C806D0" w:rsidTr="002A16B4">
        <w:tblPrEx>
          <w:shd w:val="clear" w:color="auto" w:fill="auto"/>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shd w:val="clear" w:color="auto" w:fill="auto"/>
          </w:tcPr>
          <w:p w:rsidR="00003A24" w:rsidRPr="00C806D0" w:rsidRDefault="00003A24" w:rsidP="00003A24">
            <w:pPr>
              <w:pStyle w:val="NoSpacing"/>
              <w:spacing w:line="276" w:lineRule="auto"/>
              <w:rPr>
                <w:rFonts w:ascii="Calibri" w:hAnsi="Calibri" w:cs="Arial"/>
                <w:b w:val="0"/>
                <w:color w:val="auto"/>
                <w:sz w:val="20"/>
                <w:szCs w:val="20"/>
              </w:rPr>
            </w:pPr>
          </w:p>
        </w:tc>
        <w:tc>
          <w:tcPr>
            <w:tcW w:w="1188" w:type="dxa"/>
            <w:shd w:val="clear" w:color="auto" w:fill="D9D9D9" w:themeFill="background1" w:themeFillShade="D9"/>
          </w:tcPr>
          <w:p w:rsidR="00003A24" w:rsidRPr="00C806D0" w:rsidRDefault="00003A24" w:rsidP="00003A2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003A2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p>
        </w:tc>
        <w:tc>
          <w:tcPr>
            <w:tcW w:w="958" w:type="dxa"/>
            <w:shd w:val="clear" w:color="auto" w:fill="D9D9D9" w:themeFill="background1" w:themeFillShade="D9"/>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£25,173</w:t>
            </w:r>
          </w:p>
        </w:tc>
        <w:tc>
          <w:tcPr>
            <w:tcW w:w="874" w:type="dxa"/>
            <w:shd w:val="clear" w:color="auto" w:fill="D9D9D9" w:themeFill="background1" w:themeFillShade="D9"/>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11.91</w:t>
            </w:r>
          </w:p>
        </w:tc>
        <w:tc>
          <w:tcPr>
            <w:tcW w:w="1043" w:type="dxa"/>
            <w:shd w:val="clear" w:color="auto" w:fill="D9D9D9" w:themeFill="background1" w:themeFillShade="D9"/>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£212,930</w:t>
            </w:r>
          </w:p>
        </w:tc>
        <w:tc>
          <w:tcPr>
            <w:tcW w:w="1575" w:type="dxa"/>
            <w:shd w:val="clear" w:color="auto" w:fill="D9D9D9" w:themeFill="background1" w:themeFillShade="D9"/>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£952</w:t>
            </w:r>
          </w:p>
        </w:tc>
        <w:tc>
          <w:tcPr>
            <w:tcW w:w="1540" w:type="dxa"/>
            <w:shd w:val="clear" w:color="auto" w:fill="D9D9D9" w:themeFill="background1" w:themeFillShade="D9"/>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0.42</w:t>
            </w:r>
          </w:p>
        </w:tc>
        <w:tc>
          <w:tcPr>
            <w:tcW w:w="635" w:type="dxa"/>
            <w:shd w:val="clear" w:color="auto" w:fill="D9D9D9" w:themeFill="background1" w:themeFillShade="D9"/>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0.58</w:t>
            </w:r>
          </w:p>
        </w:tc>
        <w:tc>
          <w:tcPr>
            <w:tcW w:w="222"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p>
        </w:tc>
        <w:tc>
          <w:tcPr>
            <w:tcW w:w="1043"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£331,981</w:t>
            </w:r>
          </w:p>
        </w:tc>
        <w:tc>
          <w:tcPr>
            <w:tcW w:w="1575"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£1,511</w:t>
            </w:r>
          </w:p>
        </w:tc>
        <w:tc>
          <w:tcPr>
            <w:tcW w:w="1540"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0.41</w:t>
            </w:r>
          </w:p>
        </w:tc>
        <w:tc>
          <w:tcPr>
            <w:tcW w:w="635" w:type="dxa"/>
            <w:shd w:val="clear" w:color="auto" w:fill="auto"/>
          </w:tcPr>
          <w:p w:rsidR="00003A24" w:rsidRPr="00C806D0" w:rsidRDefault="00003A24" w:rsidP="00003A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0.59</w:t>
            </w:r>
          </w:p>
        </w:tc>
      </w:tr>
      <w:tr w:rsidR="00003A24" w:rsidRPr="00C806D0" w:rsidTr="002A16B4">
        <w:tblPrEx>
          <w:shd w:val="clear" w:color="auto" w:fill="auto"/>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46" w:type="dxa"/>
            <w:shd w:val="clear" w:color="auto" w:fill="auto"/>
          </w:tcPr>
          <w:p w:rsidR="00003A24" w:rsidRPr="00C806D0" w:rsidRDefault="00003A24" w:rsidP="00003A24">
            <w:pPr>
              <w:pStyle w:val="NoSpacing"/>
              <w:spacing w:line="276" w:lineRule="auto"/>
              <w:rPr>
                <w:rFonts w:ascii="Calibri" w:hAnsi="Calibri" w:cs="Arial"/>
                <w:b w:val="0"/>
                <w:color w:val="auto"/>
                <w:sz w:val="20"/>
                <w:szCs w:val="20"/>
              </w:rPr>
            </w:pPr>
          </w:p>
        </w:tc>
        <w:tc>
          <w:tcPr>
            <w:tcW w:w="1188" w:type="dxa"/>
            <w:shd w:val="clear" w:color="auto" w:fill="auto"/>
          </w:tcPr>
          <w:p w:rsidR="00003A24" w:rsidRPr="00C806D0" w:rsidRDefault="00003A24" w:rsidP="00003A2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58"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£24,701</w:t>
            </w:r>
          </w:p>
        </w:tc>
        <w:tc>
          <w:tcPr>
            <w:tcW w:w="874"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11.60</w:t>
            </w:r>
          </w:p>
        </w:tc>
        <w:tc>
          <w:tcPr>
            <w:tcW w:w="1043"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£207,374</w:t>
            </w:r>
          </w:p>
        </w:tc>
        <w:tc>
          <w:tcPr>
            <w:tcW w:w="1575"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-£4,603</w:t>
            </w:r>
          </w:p>
        </w:tc>
        <w:tc>
          <w:tcPr>
            <w:tcW w:w="1540"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0.01</w:t>
            </w:r>
          </w:p>
        </w:tc>
        <w:tc>
          <w:tcPr>
            <w:tcW w:w="635"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0.99</w:t>
            </w:r>
          </w:p>
        </w:tc>
        <w:tc>
          <w:tcPr>
            <w:tcW w:w="222"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1043"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£323,412</w:t>
            </w:r>
          </w:p>
        </w:tc>
        <w:tc>
          <w:tcPr>
            <w:tcW w:w="1575"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-£7,058</w:t>
            </w:r>
          </w:p>
        </w:tc>
        <w:tc>
          <w:tcPr>
            <w:tcW w:w="1540"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0.01</w:t>
            </w:r>
          </w:p>
        </w:tc>
        <w:tc>
          <w:tcPr>
            <w:tcW w:w="635" w:type="dxa"/>
            <w:shd w:val="clear" w:color="auto" w:fill="auto"/>
          </w:tcPr>
          <w:p w:rsidR="00003A24" w:rsidRPr="00C806D0" w:rsidRDefault="00003A24" w:rsidP="00003A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0.99</w:t>
            </w: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 xml:space="preserve">Transition probabilities for long term survival adjusted according to relative risks reported by McMillan and colleagues (2011) and Cameron and colleagues </w:t>
      </w:r>
      <w:r w:rsidRPr="00C806D0">
        <w:rPr>
          <w:rFonts w:ascii="Calibri" w:hAnsi="Calibri" w:cs="Arial"/>
          <w:noProof/>
          <w:sz w:val="20"/>
          <w:szCs w:val="20"/>
          <w:vertAlign w:val="superscript"/>
        </w:rPr>
        <w:t>[</w:t>
      </w:r>
      <w:r w:rsidR="006D4D62" w:rsidRPr="00C806D0">
        <w:rPr>
          <w:rFonts w:ascii="Calibri" w:hAnsi="Calibri" w:cs="Arial"/>
          <w:noProof/>
          <w:sz w:val="20"/>
          <w:szCs w:val="20"/>
          <w:vertAlign w:val="superscript"/>
        </w:rPr>
        <w:t>5</w:t>
      </w:r>
      <w:r w:rsidRPr="00C806D0">
        <w:rPr>
          <w:rFonts w:ascii="Calibri" w:hAnsi="Calibri" w:cs="Arial"/>
          <w:noProof/>
          <w:sz w:val="20"/>
          <w:szCs w:val="20"/>
          <w:vertAlign w:val="superscript"/>
        </w:rPr>
        <w:t>]</w:t>
      </w:r>
      <w:r w:rsidRPr="00C806D0">
        <w:rPr>
          <w:rFonts w:ascii="Calibri" w:hAnsi="Calibri" w:cs="Arial"/>
          <w:sz w:val="20"/>
          <w:szCs w:val="20"/>
        </w:rPr>
        <w:t>;</w:t>
      </w:r>
      <w:r w:rsidRPr="00C806D0">
        <w:rPr>
          <w:rFonts w:ascii="Calibri" w:hAnsi="Calibri" w:cs="Arial"/>
          <w:noProof/>
          <w:sz w:val="20"/>
          <w:szCs w:val="20"/>
          <w:vertAlign w:val="superscript"/>
        </w:rPr>
        <w:t>[</w:t>
      </w:r>
      <w:r w:rsidR="006D4D62" w:rsidRPr="00C806D0">
        <w:rPr>
          <w:rFonts w:ascii="Calibri" w:hAnsi="Calibri" w:cs="Arial"/>
          <w:noProof/>
          <w:sz w:val="20"/>
          <w:szCs w:val="20"/>
          <w:vertAlign w:val="superscript"/>
        </w:rPr>
        <w:t>6</w:t>
      </w:r>
      <w:r w:rsidRPr="00C806D0">
        <w:rPr>
          <w:rFonts w:ascii="Calibri" w:hAnsi="Calibri" w:cs="Arial"/>
          <w:noProof/>
          <w:sz w:val="20"/>
          <w:szCs w:val="20"/>
          <w:vertAlign w:val="superscript"/>
        </w:rPr>
        <w:t>]</w:t>
      </w:r>
      <w:r w:rsidR="0085706C" w:rsidRPr="00C806D0">
        <w:rPr>
          <w:rFonts w:ascii="Calibri" w:hAnsi="Calibri" w:cs="Arial"/>
          <w:sz w:val="20"/>
          <w:szCs w:val="20"/>
        </w:rPr>
        <w:t xml:space="preserve"> or based on</w:t>
      </w:r>
      <w:r w:rsidRPr="00C806D0">
        <w:rPr>
          <w:rFonts w:ascii="Calibri" w:hAnsi="Calibri" w:cs="Arial"/>
          <w:sz w:val="20"/>
          <w:szCs w:val="20"/>
        </w:rPr>
        <w:t xml:space="preserve"> parametric survival models derived using REP data. Selective transfer is baseline comparator for calculation of mean incremental NMB. Strategy with highest net benefit shaded in grey.</w:t>
      </w:r>
    </w:p>
    <w:p w:rsidR="00BF1676" w:rsidRPr="00C806D0" w:rsidRDefault="00BF1676" w:rsidP="00C92FBF">
      <w:pPr>
        <w:pStyle w:val="Heading3"/>
        <w:sectPr w:rsidR="00BF1676" w:rsidRPr="00C806D0" w:rsidSect="00BF1676">
          <w:pgSz w:w="16838" w:h="11906" w:orient="landscape"/>
          <w:pgMar w:top="2268" w:right="1134" w:bottom="1134" w:left="1134" w:header="709" w:footer="709" w:gutter="0"/>
          <w:cols w:space="708"/>
          <w:docGrid w:linePitch="360"/>
        </w:sectPr>
      </w:pPr>
    </w:p>
    <w:p w:rsidR="00003A24" w:rsidRPr="00C806D0" w:rsidRDefault="00003A24" w:rsidP="00C92FBF">
      <w:pPr>
        <w:pStyle w:val="Heading3"/>
      </w:pPr>
      <w:r w:rsidRPr="00C806D0">
        <w:t>Structural sensitivity analyses</w:t>
      </w:r>
    </w:p>
    <w:p w:rsidR="003A4BDE" w:rsidRPr="00C806D0" w:rsidRDefault="00003A24" w:rsidP="003A4BDE">
      <w:r w:rsidRPr="00C806D0">
        <w:t>The importance of structural uncertainty was exposed in further sensitivity analyses. A discount rate of 1.5% (for both costs and QALYs) resulted in bypass having the highest mean NMB at NICE thresholds, while considering non-health effects of bypass (applying a small utility decrement for unnecessary bypass in mild TBI cases) resulted in the opposing finding that routine transfer was cost-effective at both λ=£20,000 and λ=£30,000. Modelling the potential for change in disability level after injury indicated that routine secondary transfer may be the optimal adoption decision for relevant cost-effectiveness thresholds. In contrast relaxing the proportional odds assumptions for calculation of relative effectiveness or increasing the discount rate to 6.0% did not alter the base case results. A theoretical variant of the bypass strategy suggested that if maximal compliance with prehospital triage was possible this management could potentially be more cost-effective than routine transfer at λ=£20,000.  A no transfer ‘zero’ option, where all patients were admitted to non-specialist hospitals and remained there regardless of injury severity, unsurprisingly resulted in extremely unfavourable mean incremental NMB. The results of structural sensitivity analyses are presented in detail in Tables J13 to J17.</w:t>
      </w:r>
    </w:p>
    <w:p w:rsidR="003A4BDE" w:rsidRPr="00C806D0" w:rsidRDefault="003A4BDE" w:rsidP="003A4BDE"/>
    <w:p w:rsidR="00BF1676" w:rsidRPr="00C806D0" w:rsidRDefault="00BF1676" w:rsidP="003A4BDE">
      <w:pPr>
        <w:rPr>
          <w:rFonts w:ascii="Calibri" w:hAnsi="Calibri" w:cs="Arial"/>
          <w:b/>
        </w:r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3A4BDE">
      <w:pPr>
        <w:rPr>
          <w:rFonts w:ascii="Calibri" w:hAnsi="Calibri" w:cs="Arial"/>
          <w:b/>
        </w:rPr>
      </w:pPr>
      <w:r w:rsidRPr="00C806D0">
        <w:rPr>
          <w:rFonts w:ascii="Calibri" w:hAnsi="Calibri" w:cs="Arial"/>
          <w:b/>
        </w:rPr>
        <w:t xml:space="preserve">Table J13. </w:t>
      </w:r>
      <w:r w:rsidR="0085706C" w:rsidRPr="00C806D0">
        <w:rPr>
          <w:rFonts w:ascii="Calibri" w:hAnsi="Calibri" w:cs="Arial"/>
          <w:b/>
        </w:rPr>
        <w:t>S</w:t>
      </w:r>
      <w:r w:rsidRPr="00C806D0">
        <w:rPr>
          <w:rFonts w:ascii="Calibri" w:hAnsi="Calibri" w:cs="Arial"/>
          <w:b/>
        </w:rPr>
        <w:t>ensitivity analysis examining the influence of the proportional odds assumption</w:t>
      </w:r>
      <w:r w:rsidR="0085706C" w:rsidRPr="00C806D0">
        <w:rPr>
          <w:rFonts w:ascii="Calibri" w:hAnsi="Calibri" w:cs="Arial"/>
          <w:b/>
        </w:rPr>
        <w:t xml:space="preserve"> for relative effectiveness</w:t>
      </w:r>
      <w:r w:rsidRPr="00C806D0">
        <w:rPr>
          <w:rFonts w:ascii="Calibri" w:hAnsi="Calibri" w:cs="Arial"/>
          <w:b/>
        </w:rPr>
        <w:t xml:space="preserve">. </w:t>
      </w:r>
    </w:p>
    <w:p w:rsidR="00003A24" w:rsidRPr="00C806D0" w:rsidRDefault="00003A24" w:rsidP="00003A24">
      <w:pPr>
        <w:pStyle w:val="NoSpacing"/>
        <w:rPr>
          <w:rFonts w:ascii="Calibri" w:hAnsi="Calibri" w:cs="Arial"/>
        </w:rPr>
      </w:pPr>
    </w:p>
    <w:tbl>
      <w:tblPr>
        <w:tblStyle w:val="LightShading1"/>
        <w:tblW w:w="14283" w:type="dxa"/>
        <w:shd w:val="clear" w:color="auto" w:fill="FFFFFF" w:themeFill="background1"/>
        <w:tblLook w:val="06A0" w:firstRow="1" w:lastRow="0" w:firstColumn="1" w:lastColumn="0" w:noHBand="1" w:noVBand="1"/>
      </w:tblPr>
      <w:tblGrid>
        <w:gridCol w:w="1346"/>
        <w:gridCol w:w="1188"/>
        <w:gridCol w:w="958"/>
        <w:gridCol w:w="874"/>
        <w:gridCol w:w="1043"/>
        <w:gridCol w:w="1575"/>
        <w:gridCol w:w="1540"/>
        <w:gridCol w:w="635"/>
        <w:gridCol w:w="222"/>
        <w:gridCol w:w="1043"/>
        <w:gridCol w:w="1575"/>
        <w:gridCol w:w="1540"/>
        <w:gridCol w:w="744"/>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Borders>
              <w:bottom w:val="nil"/>
            </w:tcBorders>
            <w:shd w:val="clear" w:color="auto" w:fill="FFFFFF" w:themeFill="background1"/>
          </w:tcPr>
          <w:p w:rsidR="00003A24" w:rsidRPr="00C806D0" w:rsidRDefault="00003A24" w:rsidP="002A16B4">
            <w:pPr>
              <w:pStyle w:val="NoSpacing"/>
              <w:rPr>
                <w:rFonts w:ascii="Calibri" w:hAnsi="Calibri" w:cs="Arial"/>
                <w:color w:val="auto"/>
                <w:sz w:val="20"/>
                <w:szCs w:val="20"/>
              </w:rPr>
            </w:pPr>
          </w:p>
        </w:tc>
        <w:tc>
          <w:tcPr>
            <w:tcW w:w="1188"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874"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4158" w:type="dxa"/>
            <w:gridSpan w:val="3"/>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λ=£20,000</w:t>
            </w:r>
          </w:p>
        </w:tc>
        <w:tc>
          <w:tcPr>
            <w:tcW w:w="635" w:type="dxa"/>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222" w:type="dxa"/>
            <w:tcBorders>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4902" w:type="dxa"/>
            <w:gridSpan w:val="4"/>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λ=£30,000</w:t>
            </w:r>
          </w:p>
          <w:p w:rsidR="00003A24" w:rsidRPr="00C806D0" w:rsidRDefault="00003A24" w:rsidP="002A16B4">
            <w:pPr>
              <w:pStyle w:val="NoSpacing"/>
              <w:tabs>
                <w:tab w:val="left" w:pos="301"/>
              </w:tabs>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ab/>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Sensitivity analysis</w:t>
            </w:r>
          </w:p>
        </w:tc>
        <w:tc>
          <w:tcPr>
            <w:tcW w:w="1188"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Strategy</w:t>
            </w:r>
          </w:p>
        </w:tc>
        <w:tc>
          <w:tcPr>
            <w:tcW w:w="958"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Cost</w:t>
            </w:r>
          </w:p>
        </w:tc>
        <w:tc>
          <w:tcPr>
            <w:tcW w:w="874"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QALY</w:t>
            </w:r>
          </w:p>
        </w:tc>
        <w:tc>
          <w:tcPr>
            <w:tcW w:w="1043"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7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540"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w:t>
            </w:r>
            <w:r w:rsidRPr="00C806D0">
              <w:rPr>
                <w:rFonts w:ascii="Calibri" w:hAnsi="Calibri" w:cs="Arial"/>
                <w:b/>
                <w:color w:val="auto"/>
                <w:sz w:val="20"/>
                <w:szCs w:val="20"/>
                <w:shd w:val="clear" w:color="auto" w:fill="F2F2F2" w:themeFill="background1" w:themeFillShade="F2"/>
              </w:rPr>
              <w:t>rror</w:t>
            </w:r>
          </w:p>
        </w:tc>
        <w:tc>
          <w:tcPr>
            <w:tcW w:w="222" w:type="dxa"/>
            <w:tcBorders>
              <w:top w:val="nil"/>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1043"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7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540"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744"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Error</w:t>
            </w:r>
          </w:p>
        </w:tc>
      </w:tr>
      <w:tr w:rsidR="00003A24" w:rsidRPr="00C806D0" w:rsidTr="002A16B4">
        <w:trPr>
          <w:trHeight w:val="609"/>
        </w:trPr>
        <w:tc>
          <w:tcPr>
            <w:cnfStyle w:val="001000000000" w:firstRow="0" w:lastRow="0" w:firstColumn="1" w:lastColumn="0" w:oddVBand="0" w:evenVBand="0" w:oddHBand="0" w:evenHBand="0" w:firstRowFirstColumn="0" w:firstRowLastColumn="0" w:lastRowFirstColumn="0" w:lastRowLastColumn="0"/>
            <w:tcW w:w="1346"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sz w:val="20"/>
                <w:szCs w:val="20"/>
              </w:rPr>
              <w:t xml:space="preserve">Modifying the </w:t>
            </w:r>
          </w:p>
        </w:tc>
        <w:tc>
          <w:tcPr>
            <w:tcW w:w="1188" w:type="dxa"/>
            <w:tcBorders>
              <w:top w:val="single" w:sz="4" w:space="0" w:color="auto"/>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58"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£29,027</w:t>
            </w:r>
          </w:p>
        </w:tc>
        <w:tc>
          <w:tcPr>
            <w:tcW w:w="874"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13.05</w:t>
            </w:r>
          </w:p>
        </w:tc>
        <w:tc>
          <w:tcPr>
            <w:tcW w:w="1043"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£231,986</w:t>
            </w:r>
          </w:p>
        </w:tc>
        <w:tc>
          <w:tcPr>
            <w:tcW w:w="1575"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£648</w:t>
            </w:r>
          </w:p>
        </w:tc>
        <w:tc>
          <w:tcPr>
            <w:tcW w:w="1540"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0.48</w:t>
            </w:r>
          </w:p>
        </w:tc>
        <w:tc>
          <w:tcPr>
            <w:tcW w:w="635"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0.52</w:t>
            </w:r>
          </w:p>
        </w:tc>
        <w:tc>
          <w:tcPr>
            <w:tcW w:w="222"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1043"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£362,493</w:t>
            </w:r>
          </w:p>
        </w:tc>
        <w:tc>
          <w:tcPr>
            <w:tcW w:w="1575"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£1,975</w:t>
            </w:r>
          </w:p>
        </w:tc>
        <w:tc>
          <w:tcPr>
            <w:tcW w:w="1540"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0.55</w:t>
            </w:r>
          </w:p>
        </w:tc>
        <w:tc>
          <w:tcPr>
            <w:tcW w:w="744" w:type="dxa"/>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0.45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shd w:val="clear" w:color="auto" w:fill="FFFFFF" w:themeFill="background1"/>
          </w:tcPr>
          <w:p w:rsidR="00003A24" w:rsidRPr="00C806D0" w:rsidRDefault="0085706C" w:rsidP="002A16B4">
            <w:pPr>
              <w:rPr>
                <w:rFonts w:ascii="Calibri" w:hAnsi="Calibri" w:cs="Arial"/>
                <w:b w:val="0"/>
                <w:color w:val="auto"/>
                <w:sz w:val="20"/>
                <w:szCs w:val="20"/>
              </w:rPr>
            </w:pPr>
            <w:r w:rsidRPr="00C806D0">
              <w:rPr>
                <w:rFonts w:ascii="Calibri" w:hAnsi="Calibri" w:cs="Arial"/>
                <w:sz w:val="20"/>
                <w:szCs w:val="20"/>
              </w:rPr>
              <w:t>proportional odds assumption</w:t>
            </w:r>
          </w:p>
        </w:tc>
        <w:tc>
          <w:tcPr>
            <w:tcW w:w="1188"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£27,020</w:t>
            </w:r>
          </w:p>
        </w:tc>
        <w:tc>
          <w:tcPr>
            <w:tcW w:w="87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12.92</w:t>
            </w:r>
          </w:p>
        </w:tc>
        <w:tc>
          <w:tcPr>
            <w:tcW w:w="104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£231,338</w:t>
            </w:r>
          </w:p>
        </w:tc>
        <w:tc>
          <w:tcPr>
            <w:tcW w:w="15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w:t>
            </w:r>
          </w:p>
        </w:tc>
        <w:tc>
          <w:tcPr>
            <w:tcW w:w="1540"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0.12</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0.88</w:t>
            </w:r>
          </w:p>
        </w:tc>
        <w:tc>
          <w:tcPr>
            <w:tcW w:w="222"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1043"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£360,517</w:t>
            </w:r>
          </w:p>
        </w:tc>
        <w:tc>
          <w:tcPr>
            <w:tcW w:w="15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w:t>
            </w:r>
          </w:p>
        </w:tc>
        <w:tc>
          <w:tcPr>
            <w:tcW w:w="1540"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0.09</w:t>
            </w:r>
          </w:p>
        </w:tc>
        <w:tc>
          <w:tcPr>
            <w:tcW w:w="74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0.91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8" w:type="dxa"/>
            <w:tcBorders>
              <w:bottom w:val="nil"/>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£27,044</w:t>
            </w:r>
          </w:p>
        </w:tc>
        <w:tc>
          <w:tcPr>
            <w:tcW w:w="874"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12.96</w:t>
            </w:r>
          </w:p>
        </w:tc>
        <w:tc>
          <w:tcPr>
            <w:tcW w:w="1043"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£232,107</w:t>
            </w:r>
          </w:p>
        </w:tc>
        <w:tc>
          <w:tcPr>
            <w:tcW w:w="157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£769</w:t>
            </w:r>
          </w:p>
        </w:tc>
        <w:tc>
          <w:tcPr>
            <w:tcW w:w="1540"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0.38</w:t>
            </w:r>
          </w:p>
        </w:tc>
        <w:tc>
          <w:tcPr>
            <w:tcW w:w="63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0.62</w:t>
            </w:r>
          </w:p>
        </w:tc>
        <w:tc>
          <w:tcPr>
            <w:tcW w:w="222"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1043"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£361,683</w:t>
            </w:r>
          </w:p>
        </w:tc>
        <w:tc>
          <w:tcPr>
            <w:tcW w:w="157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£1,166</w:t>
            </w:r>
          </w:p>
        </w:tc>
        <w:tc>
          <w:tcPr>
            <w:tcW w:w="1540"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0.36</w:t>
            </w:r>
          </w:p>
        </w:tc>
        <w:tc>
          <w:tcPr>
            <w:tcW w:w="744"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0.64</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8" w:type="dxa"/>
            <w:tcBorders>
              <w:top w:val="nil"/>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58"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£28,366</w:t>
            </w:r>
          </w:p>
        </w:tc>
        <w:tc>
          <w:tcPr>
            <w:tcW w:w="874"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12.68</w:t>
            </w:r>
          </w:p>
        </w:tc>
        <w:tc>
          <w:tcPr>
            <w:tcW w:w="1043"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£225,294</w:t>
            </w:r>
          </w:p>
        </w:tc>
        <w:tc>
          <w:tcPr>
            <w:tcW w:w="157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-£6,044</w:t>
            </w:r>
          </w:p>
        </w:tc>
        <w:tc>
          <w:tcPr>
            <w:tcW w:w="1540"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0.01</w:t>
            </w:r>
          </w:p>
        </w:tc>
        <w:tc>
          <w:tcPr>
            <w:tcW w:w="63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0.99</w:t>
            </w:r>
          </w:p>
        </w:tc>
        <w:tc>
          <w:tcPr>
            <w:tcW w:w="222"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1043"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£352,123</w:t>
            </w:r>
          </w:p>
        </w:tc>
        <w:tc>
          <w:tcPr>
            <w:tcW w:w="157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-£8,394</w:t>
            </w:r>
          </w:p>
        </w:tc>
        <w:tc>
          <w:tcPr>
            <w:tcW w:w="1540"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0.01</w:t>
            </w:r>
          </w:p>
        </w:tc>
        <w:tc>
          <w:tcPr>
            <w:tcW w:w="744"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1.00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46"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88"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58"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874"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43"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7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40"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63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222"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043"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7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40"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744"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Odds ratio for unfavourable outcome is applied, but the proportions of patients in each constituent GOS category of the dichotomised outcome group is determined by the baseline risk.</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pStyle w:val="NoSpacing"/>
        <w:rPr>
          <w:rFonts w:ascii="Calibri" w:hAnsi="Calibri" w:cs="Arial"/>
        </w:rPr>
      </w:pPr>
    </w:p>
    <w:p w:rsidR="00003A24" w:rsidRPr="00C806D0" w:rsidRDefault="00003A24" w:rsidP="00003A24">
      <w:pPr>
        <w:pStyle w:val="NoSpacing"/>
        <w:rPr>
          <w:rFonts w:ascii="Calibri" w:hAnsi="Calibri"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Calibri" w:hAnsi="Calibri" w:cs="Arial"/>
          <w:b/>
        </w:rPr>
      </w:pPr>
      <w:r w:rsidRPr="00C806D0">
        <w:rPr>
          <w:rFonts w:ascii="Calibri" w:hAnsi="Calibri" w:cs="Arial"/>
          <w:b/>
        </w:rPr>
        <w:t>Table J14.</w:t>
      </w:r>
      <w:r w:rsidR="0085706C" w:rsidRPr="00C806D0">
        <w:rPr>
          <w:rFonts w:ascii="Calibri" w:hAnsi="Calibri" w:cs="Arial"/>
          <w:b/>
        </w:rPr>
        <w:t xml:space="preserve"> S</w:t>
      </w:r>
      <w:r w:rsidRPr="00C806D0">
        <w:rPr>
          <w:rFonts w:ascii="Calibri" w:hAnsi="Calibri" w:cs="Arial"/>
          <w:b/>
        </w:rPr>
        <w:t xml:space="preserve">ensitivity analysis examining the influence of changing disability level post injury. </w:t>
      </w:r>
    </w:p>
    <w:p w:rsidR="00003A24" w:rsidRPr="00C806D0" w:rsidRDefault="00003A24" w:rsidP="00003A24">
      <w:pPr>
        <w:pStyle w:val="NoSpacing"/>
        <w:rPr>
          <w:rFonts w:ascii="Calibri" w:hAnsi="Calibri" w:cs="Arial"/>
        </w:rPr>
      </w:pPr>
    </w:p>
    <w:tbl>
      <w:tblPr>
        <w:tblStyle w:val="LightShading1"/>
        <w:tblW w:w="14283" w:type="dxa"/>
        <w:shd w:val="clear" w:color="auto" w:fill="FFFFFF" w:themeFill="background1"/>
        <w:tblLook w:val="06A0" w:firstRow="1" w:lastRow="0" w:firstColumn="1" w:lastColumn="0" w:noHBand="1" w:noVBand="1"/>
      </w:tblPr>
      <w:tblGrid>
        <w:gridCol w:w="1327"/>
        <w:gridCol w:w="1159"/>
        <w:gridCol w:w="948"/>
        <w:gridCol w:w="854"/>
        <w:gridCol w:w="1003"/>
        <w:gridCol w:w="1534"/>
        <w:gridCol w:w="1492"/>
        <w:gridCol w:w="635"/>
        <w:gridCol w:w="571"/>
        <w:gridCol w:w="1003"/>
        <w:gridCol w:w="1534"/>
        <w:gridCol w:w="1492"/>
        <w:gridCol w:w="731"/>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Borders>
              <w:bottom w:val="nil"/>
            </w:tcBorders>
            <w:shd w:val="clear" w:color="auto" w:fill="FFFFFF" w:themeFill="background1"/>
          </w:tcPr>
          <w:p w:rsidR="00003A24" w:rsidRPr="00C806D0" w:rsidRDefault="00003A24" w:rsidP="002A16B4">
            <w:pPr>
              <w:pStyle w:val="NoSpacing"/>
              <w:rPr>
                <w:rFonts w:ascii="Calibri" w:hAnsi="Calibri" w:cs="Arial"/>
                <w:color w:val="auto"/>
                <w:sz w:val="20"/>
                <w:szCs w:val="20"/>
              </w:rPr>
            </w:pPr>
          </w:p>
        </w:tc>
        <w:tc>
          <w:tcPr>
            <w:tcW w:w="1159"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48"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854"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4029" w:type="dxa"/>
            <w:gridSpan w:val="3"/>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λ=£20,000</w:t>
            </w:r>
          </w:p>
        </w:tc>
        <w:tc>
          <w:tcPr>
            <w:tcW w:w="635" w:type="dxa"/>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571" w:type="dxa"/>
            <w:tcBorders>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4760" w:type="dxa"/>
            <w:gridSpan w:val="4"/>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λ=£30,000</w:t>
            </w:r>
          </w:p>
          <w:p w:rsidR="00003A24" w:rsidRPr="00C806D0" w:rsidRDefault="00003A24" w:rsidP="002A16B4">
            <w:pPr>
              <w:pStyle w:val="NoSpacing"/>
              <w:tabs>
                <w:tab w:val="left" w:pos="301"/>
              </w:tabs>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ab/>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27"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Sensitivity analysis</w:t>
            </w:r>
          </w:p>
        </w:tc>
        <w:tc>
          <w:tcPr>
            <w:tcW w:w="1159"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Strategy</w:t>
            </w:r>
          </w:p>
        </w:tc>
        <w:tc>
          <w:tcPr>
            <w:tcW w:w="948"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Cost</w:t>
            </w:r>
          </w:p>
        </w:tc>
        <w:tc>
          <w:tcPr>
            <w:tcW w:w="854"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QALY</w:t>
            </w:r>
          </w:p>
        </w:tc>
        <w:tc>
          <w:tcPr>
            <w:tcW w:w="1003"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34"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492"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tc>
        <w:tc>
          <w:tcPr>
            <w:tcW w:w="63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w:t>
            </w:r>
            <w:r w:rsidRPr="00C806D0">
              <w:rPr>
                <w:rFonts w:ascii="Calibri" w:hAnsi="Calibri" w:cs="Arial"/>
                <w:b/>
                <w:color w:val="auto"/>
                <w:sz w:val="20"/>
                <w:szCs w:val="20"/>
                <w:shd w:val="clear" w:color="auto" w:fill="F2F2F2" w:themeFill="background1" w:themeFillShade="F2"/>
              </w:rPr>
              <w:t>rror</w:t>
            </w:r>
          </w:p>
        </w:tc>
        <w:tc>
          <w:tcPr>
            <w:tcW w:w="571" w:type="dxa"/>
            <w:tcBorders>
              <w:top w:val="nil"/>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1003"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534"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492"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731"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Error</w:t>
            </w:r>
          </w:p>
        </w:tc>
      </w:tr>
      <w:tr w:rsidR="00003A24" w:rsidRPr="00C806D0" w:rsidTr="002A16B4">
        <w:trPr>
          <w:trHeight w:val="609"/>
        </w:trPr>
        <w:tc>
          <w:tcPr>
            <w:cnfStyle w:val="001000000000" w:firstRow="0" w:lastRow="0" w:firstColumn="1" w:lastColumn="0" w:oddVBand="0" w:evenVBand="0" w:oddHBand="0" w:evenHBand="0" w:firstRowFirstColumn="0" w:firstRowLastColumn="0" w:lastRowFirstColumn="0" w:lastRowLastColumn="0"/>
            <w:tcW w:w="1327"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 xml:space="preserve">Modifying the </w:t>
            </w:r>
          </w:p>
        </w:tc>
        <w:tc>
          <w:tcPr>
            <w:tcW w:w="1159" w:type="dxa"/>
            <w:tcBorders>
              <w:top w:val="single" w:sz="4" w:space="0" w:color="auto"/>
            </w:tcBorders>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48" w:type="dxa"/>
            <w:tcBorders>
              <w:top w:val="single" w:sz="4" w:space="0" w:color="auto"/>
            </w:tcBorders>
            <w:shd w:val="clear" w:color="auto" w:fill="auto"/>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£43,541</w:t>
            </w:r>
          </w:p>
        </w:tc>
        <w:tc>
          <w:tcPr>
            <w:tcW w:w="854" w:type="dxa"/>
            <w:tcBorders>
              <w:top w:val="single" w:sz="4" w:space="0" w:color="auto"/>
            </w:tcBorders>
            <w:shd w:val="clear" w:color="auto" w:fill="auto"/>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11.87</w:t>
            </w:r>
          </w:p>
        </w:tc>
        <w:tc>
          <w:tcPr>
            <w:tcW w:w="1003" w:type="dxa"/>
            <w:tcBorders>
              <w:top w:val="single" w:sz="4" w:space="0" w:color="auto"/>
            </w:tcBorders>
            <w:shd w:val="clear" w:color="auto" w:fill="auto"/>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£193,944</w:t>
            </w:r>
          </w:p>
        </w:tc>
        <w:tc>
          <w:tcPr>
            <w:tcW w:w="1534" w:type="dxa"/>
            <w:tcBorders>
              <w:top w:val="single" w:sz="4" w:space="0" w:color="auto"/>
            </w:tcBorders>
            <w:shd w:val="clear" w:color="auto" w:fill="auto"/>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-£189</w:t>
            </w:r>
          </w:p>
        </w:tc>
        <w:tc>
          <w:tcPr>
            <w:tcW w:w="1492" w:type="dxa"/>
            <w:tcBorders>
              <w:top w:val="nil"/>
            </w:tcBorders>
            <w:shd w:val="clear" w:color="auto" w:fill="auto"/>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0.39</w:t>
            </w:r>
          </w:p>
        </w:tc>
        <w:tc>
          <w:tcPr>
            <w:tcW w:w="635" w:type="dxa"/>
            <w:tcBorders>
              <w:top w:val="nil"/>
            </w:tcBorders>
            <w:shd w:val="clear" w:color="auto" w:fill="auto"/>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0.61</w:t>
            </w:r>
          </w:p>
        </w:tc>
        <w:tc>
          <w:tcPr>
            <w:tcW w:w="571" w:type="dxa"/>
            <w:tcBorders>
              <w:top w:val="nil"/>
            </w:tcBorders>
            <w:shd w:val="clear" w:color="auto" w:fill="auto"/>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03" w:type="dxa"/>
            <w:tcBorders>
              <w:top w:val="single" w:sz="4" w:space="0" w:color="auto"/>
            </w:tcBorders>
            <w:shd w:val="clear" w:color="auto" w:fill="auto"/>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£312,687</w:t>
            </w:r>
          </w:p>
        </w:tc>
        <w:tc>
          <w:tcPr>
            <w:tcW w:w="1534" w:type="dxa"/>
            <w:tcBorders>
              <w:top w:val="single" w:sz="4" w:space="0" w:color="auto"/>
            </w:tcBorders>
            <w:shd w:val="clear" w:color="auto" w:fill="auto"/>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£924</w:t>
            </w:r>
          </w:p>
        </w:tc>
        <w:tc>
          <w:tcPr>
            <w:tcW w:w="1492" w:type="dxa"/>
            <w:tcBorders>
              <w:top w:val="single" w:sz="4" w:space="0" w:color="auto"/>
            </w:tcBorders>
            <w:shd w:val="clear" w:color="auto" w:fill="auto"/>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0.46</w:t>
            </w:r>
          </w:p>
        </w:tc>
        <w:tc>
          <w:tcPr>
            <w:tcW w:w="731" w:type="dxa"/>
            <w:tcBorders>
              <w:top w:val="single" w:sz="4" w:space="0" w:color="auto"/>
            </w:tcBorders>
            <w:shd w:val="clear" w:color="auto" w:fill="auto"/>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0.54</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27" w:type="dxa"/>
            <w:shd w:val="clear" w:color="auto" w:fill="FFFFFF" w:themeFill="background1"/>
          </w:tcPr>
          <w:p w:rsidR="00003A24" w:rsidRPr="00C806D0" w:rsidRDefault="00003A24" w:rsidP="002A16B4">
            <w:pPr>
              <w:rPr>
                <w:rFonts w:ascii="Calibri" w:hAnsi="Calibri" w:cs="Arial"/>
                <w:color w:val="auto"/>
                <w:sz w:val="20"/>
                <w:szCs w:val="20"/>
              </w:rPr>
            </w:pPr>
            <w:r w:rsidRPr="00C806D0">
              <w:rPr>
                <w:rFonts w:ascii="Calibri" w:hAnsi="Calibri" w:cs="Arial"/>
                <w:color w:val="auto"/>
                <w:sz w:val="20"/>
                <w:szCs w:val="20"/>
              </w:rPr>
              <w:t xml:space="preserve">assumption of static GOS </w:t>
            </w:r>
          </w:p>
        </w:tc>
        <w:tc>
          <w:tcPr>
            <w:tcW w:w="1159"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tc>
        <w:tc>
          <w:tcPr>
            <w:tcW w:w="948"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£41,126</w:t>
            </w:r>
          </w:p>
        </w:tc>
        <w:tc>
          <w:tcPr>
            <w:tcW w:w="854"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11.76</w:t>
            </w:r>
          </w:p>
        </w:tc>
        <w:tc>
          <w:tcPr>
            <w:tcW w:w="1003"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£194,133</w:t>
            </w:r>
          </w:p>
        </w:tc>
        <w:tc>
          <w:tcPr>
            <w:tcW w:w="1534"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w:t>
            </w:r>
          </w:p>
        </w:tc>
        <w:tc>
          <w:tcPr>
            <w:tcW w:w="1492"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0.12</w:t>
            </w:r>
          </w:p>
        </w:tc>
        <w:tc>
          <w:tcPr>
            <w:tcW w:w="635"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0.88</w:t>
            </w:r>
          </w:p>
        </w:tc>
        <w:tc>
          <w:tcPr>
            <w:tcW w:w="571"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03"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£311,763</w:t>
            </w:r>
          </w:p>
        </w:tc>
        <w:tc>
          <w:tcPr>
            <w:tcW w:w="1534"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w:t>
            </w:r>
          </w:p>
        </w:tc>
        <w:tc>
          <w:tcPr>
            <w:tcW w:w="1492"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0.09</w:t>
            </w:r>
          </w:p>
        </w:tc>
        <w:tc>
          <w:tcPr>
            <w:tcW w:w="731" w:type="dxa"/>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27" w:type="dxa"/>
            <w:tcBorders>
              <w:bottom w:val="nil"/>
            </w:tcBorders>
            <w:shd w:val="clear" w:color="auto" w:fill="FFFFFF" w:themeFill="background1"/>
          </w:tcPr>
          <w:p w:rsidR="00003A24" w:rsidRPr="00C806D0" w:rsidRDefault="0085706C" w:rsidP="002A16B4">
            <w:pPr>
              <w:pStyle w:val="NoSpacing"/>
              <w:rPr>
                <w:rFonts w:ascii="Calibri" w:hAnsi="Calibri" w:cs="Arial"/>
                <w:color w:val="auto"/>
                <w:sz w:val="20"/>
                <w:szCs w:val="20"/>
              </w:rPr>
            </w:pPr>
            <w:r w:rsidRPr="00C806D0">
              <w:rPr>
                <w:rFonts w:ascii="Calibri" w:hAnsi="Calibri" w:cs="Arial"/>
                <w:color w:val="auto"/>
                <w:sz w:val="20"/>
                <w:szCs w:val="20"/>
              </w:rPr>
              <w:t>health state post injury</w:t>
            </w:r>
          </w:p>
        </w:tc>
        <w:tc>
          <w:tcPr>
            <w:tcW w:w="1159" w:type="dxa"/>
            <w:tcBorders>
              <w:bottom w:val="nil"/>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48"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£41,481</w:t>
            </w:r>
          </w:p>
        </w:tc>
        <w:tc>
          <w:tcPr>
            <w:tcW w:w="854"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11.81</w:t>
            </w:r>
          </w:p>
        </w:tc>
        <w:tc>
          <w:tcPr>
            <w:tcW w:w="1003"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£194,751</w:t>
            </w:r>
          </w:p>
        </w:tc>
        <w:tc>
          <w:tcPr>
            <w:tcW w:w="1534"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£617</w:t>
            </w:r>
          </w:p>
        </w:tc>
        <w:tc>
          <w:tcPr>
            <w:tcW w:w="1492"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0.45</w:t>
            </w:r>
          </w:p>
        </w:tc>
        <w:tc>
          <w:tcPr>
            <w:tcW w:w="635"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0.55</w:t>
            </w:r>
          </w:p>
        </w:tc>
        <w:tc>
          <w:tcPr>
            <w:tcW w:w="571"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03"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£312,867</w:t>
            </w:r>
          </w:p>
        </w:tc>
        <w:tc>
          <w:tcPr>
            <w:tcW w:w="1534"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£1,103</w:t>
            </w:r>
          </w:p>
        </w:tc>
        <w:tc>
          <w:tcPr>
            <w:tcW w:w="1492"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0.44</w:t>
            </w:r>
          </w:p>
        </w:tc>
        <w:tc>
          <w:tcPr>
            <w:tcW w:w="731" w:type="dxa"/>
            <w:tcBorders>
              <w:bottom w:val="nil"/>
            </w:tcBorders>
            <w:shd w:val="clear" w:color="auto" w:fill="D9D9D9" w:themeFill="background1" w:themeFillShade="D9"/>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0.56</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27" w:type="dxa"/>
            <w:tcBorders>
              <w:top w:val="nil"/>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59" w:type="dxa"/>
            <w:tcBorders>
              <w:top w:val="nil"/>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48" w:type="dxa"/>
            <w:tcBorders>
              <w:top w:val="nil"/>
              <w:bottom w:val="nil"/>
            </w:tcBorders>
            <w:shd w:val="clear" w:color="auto" w:fill="FFFFFF" w:themeFill="background1"/>
          </w:tcPr>
          <w:p w:rsidR="00003A24" w:rsidRPr="00C806D0" w:rsidRDefault="00003A24" w:rsidP="002A16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£40,124</w:t>
            </w:r>
          </w:p>
        </w:tc>
        <w:tc>
          <w:tcPr>
            <w:tcW w:w="854" w:type="dxa"/>
            <w:tcBorders>
              <w:top w:val="nil"/>
              <w:bottom w:val="nil"/>
            </w:tcBorders>
            <w:shd w:val="clear" w:color="auto" w:fill="FFFFFF" w:themeFill="background1"/>
          </w:tcPr>
          <w:p w:rsidR="00003A24" w:rsidRPr="00C806D0" w:rsidRDefault="00003A24" w:rsidP="002A16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11.52</w:t>
            </w:r>
          </w:p>
        </w:tc>
        <w:tc>
          <w:tcPr>
            <w:tcW w:w="1003" w:type="dxa"/>
            <w:tcBorders>
              <w:top w:val="nil"/>
              <w:bottom w:val="nil"/>
            </w:tcBorders>
            <w:shd w:val="clear" w:color="auto" w:fill="FFFFFF" w:themeFill="background1"/>
          </w:tcPr>
          <w:p w:rsidR="00003A24" w:rsidRPr="00C806D0" w:rsidRDefault="00003A24" w:rsidP="002A16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£190,367</w:t>
            </w:r>
          </w:p>
        </w:tc>
        <w:tc>
          <w:tcPr>
            <w:tcW w:w="1534" w:type="dxa"/>
            <w:tcBorders>
              <w:top w:val="nil"/>
              <w:bottom w:val="nil"/>
            </w:tcBorders>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-£3,766</w:t>
            </w:r>
          </w:p>
        </w:tc>
        <w:tc>
          <w:tcPr>
            <w:tcW w:w="1492" w:type="dxa"/>
            <w:tcBorders>
              <w:top w:val="nil"/>
              <w:bottom w:val="nil"/>
            </w:tcBorders>
            <w:shd w:val="clear" w:color="auto" w:fill="FFFFFF" w:themeFill="background1"/>
          </w:tcPr>
          <w:p w:rsidR="00003A24" w:rsidRPr="00C806D0" w:rsidRDefault="00003A24" w:rsidP="002A16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0.02</w:t>
            </w:r>
          </w:p>
        </w:tc>
        <w:tc>
          <w:tcPr>
            <w:tcW w:w="635" w:type="dxa"/>
            <w:tcBorders>
              <w:top w:val="nil"/>
              <w:bottom w:val="nil"/>
            </w:tcBorders>
            <w:shd w:val="clear" w:color="auto" w:fill="FFFFFF" w:themeFill="background1"/>
          </w:tcPr>
          <w:p w:rsidR="00003A24" w:rsidRPr="00C806D0" w:rsidRDefault="00003A24" w:rsidP="002A16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0.98</w:t>
            </w:r>
          </w:p>
        </w:tc>
        <w:tc>
          <w:tcPr>
            <w:tcW w:w="571" w:type="dxa"/>
            <w:tcBorders>
              <w:top w:val="nil"/>
              <w:bottom w:val="nil"/>
            </w:tcBorders>
            <w:shd w:val="clear" w:color="auto" w:fill="FFFFFF" w:themeFill="background1"/>
          </w:tcPr>
          <w:p w:rsidR="00003A24" w:rsidRPr="00C806D0" w:rsidRDefault="00003A24" w:rsidP="002A16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03" w:type="dxa"/>
            <w:tcBorders>
              <w:top w:val="nil"/>
              <w:bottom w:val="nil"/>
            </w:tcBorders>
            <w:shd w:val="clear" w:color="auto" w:fill="FFFFFF" w:themeFill="background1"/>
          </w:tcPr>
          <w:p w:rsidR="00003A24" w:rsidRPr="00C806D0" w:rsidRDefault="00003A24" w:rsidP="002A16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£305,613</w:t>
            </w:r>
          </w:p>
        </w:tc>
        <w:tc>
          <w:tcPr>
            <w:tcW w:w="1534" w:type="dxa"/>
            <w:tcBorders>
              <w:top w:val="nil"/>
              <w:bottom w:val="nil"/>
            </w:tcBorders>
            <w:shd w:val="clear" w:color="auto" w:fill="FFFFFF" w:themeFill="background1"/>
          </w:tcPr>
          <w:p w:rsidR="00003A24" w:rsidRPr="00C806D0" w:rsidRDefault="00003A24" w:rsidP="002A16B4">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-£6,150</w:t>
            </w:r>
          </w:p>
        </w:tc>
        <w:tc>
          <w:tcPr>
            <w:tcW w:w="1492" w:type="dxa"/>
            <w:tcBorders>
              <w:top w:val="nil"/>
              <w:bottom w:val="nil"/>
            </w:tcBorders>
            <w:shd w:val="clear" w:color="auto" w:fill="FFFFFF" w:themeFill="background1"/>
          </w:tcPr>
          <w:p w:rsidR="00003A24" w:rsidRPr="00C806D0" w:rsidRDefault="00003A24" w:rsidP="002A16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0.01</w:t>
            </w:r>
          </w:p>
        </w:tc>
        <w:tc>
          <w:tcPr>
            <w:tcW w:w="731" w:type="dxa"/>
            <w:tcBorders>
              <w:top w:val="nil"/>
              <w:bottom w:val="nil"/>
            </w:tcBorders>
            <w:shd w:val="clear" w:color="auto" w:fill="FFFFFF" w:themeFill="background1"/>
          </w:tcPr>
          <w:p w:rsidR="00003A24" w:rsidRPr="00C806D0" w:rsidRDefault="00003A24" w:rsidP="002A16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327"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159"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48"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854"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03"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34"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492"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63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571"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03"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534"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492"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731"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At 6 and 12 years post injury patients may change between different GOS disability health states according to the findings of Whitnall (2006) and McMillan (2012).</w:t>
      </w:r>
      <w:r w:rsidR="00D368BB" w:rsidRPr="00C806D0">
        <w:rPr>
          <w:rFonts w:ascii="Calibri" w:hAnsi="Calibri" w:cs="Arial"/>
          <w:noProof/>
          <w:sz w:val="20"/>
          <w:szCs w:val="20"/>
          <w:vertAlign w:val="superscript"/>
        </w:rPr>
        <w:t>[</w:t>
      </w:r>
      <w:r w:rsidR="006D4D62" w:rsidRPr="00C806D0">
        <w:rPr>
          <w:rFonts w:ascii="Calibri" w:hAnsi="Calibri" w:cs="Arial"/>
          <w:noProof/>
          <w:sz w:val="20"/>
          <w:szCs w:val="20"/>
          <w:vertAlign w:val="superscript"/>
        </w:rPr>
        <w:t>7</w:t>
      </w:r>
      <w:r w:rsidR="00D368BB" w:rsidRPr="00C806D0">
        <w:rPr>
          <w:rFonts w:ascii="Calibri" w:hAnsi="Calibri" w:cs="Arial"/>
          <w:noProof/>
          <w:sz w:val="20"/>
          <w:szCs w:val="20"/>
          <w:vertAlign w:val="superscript"/>
        </w:rPr>
        <w:t xml:space="preserve">, </w:t>
      </w:r>
      <w:r w:rsidR="006D4D62" w:rsidRPr="00C806D0">
        <w:rPr>
          <w:rFonts w:ascii="Calibri" w:hAnsi="Calibri" w:cs="Arial"/>
          <w:noProof/>
          <w:sz w:val="20"/>
          <w:szCs w:val="20"/>
          <w:vertAlign w:val="superscript"/>
        </w:rPr>
        <w:t>8</w:t>
      </w:r>
      <w:r w:rsidR="00D368BB" w:rsidRPr="00C806D0">
        <w:rPr>
          <w:rFonts w:ascii="Calibri" w:hAnsi="Calibri" w:cs="Arial"/>
          <w:noProof/>
          <w:sz w:val="20"/>
          <w:szCs w:val="20"/>
          <w:vertAlign w:val="superscript"/>
        </w:rPr>
        <w:t>]</w:t>
      </w:r>
      <w:r w:rsidRPr="00C806D0">
        <w:rPr>
          <w:rFonts w:ascii="Calibri" w:hAnsi="Calibri" w:cs="Arial"/>
          <w:sz w:val="20"/>
          <w:szCs w:val="20"/>
        </w:rPr>
        <w:t xml:space="preserve"> Thereafter the disability level is unchanged until death.  </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autoSpaceDE w:val="0"/>
        <w:autoSpaceDN w:val="0"/>
        <w:adjustRightInd w:val="0"/>
        <w:spacing w:line="240" w:lineRule="auto"/>
        <w:rPr>
          <w:rFonts w:ascii="HelveticaNeueLTPro-Md" w:hAnsi="HelveticaNeueLTPro-Md" w:cs="HelveticaNeueLTPro-Md"/>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Arial" w:hAnsi="Arial" w:cs="Arial"/>
        </w:rPr>
      </w:pPr>
    </w:p>
    <w:p w:rsidR="00003A24" w:rsidRPr="00C806D0" w:rsidRDefault="00003A24" w:rsidP="00003A24">
      <w:pPr>
        <w:pStyle w:val="NoSpacing"/>
        <w:rPr>
          <w:rFonts w:ascii="Calibri" w:hAnsi="Calibri" w:cs="Arial"/>
        </w:rPr>
      </w:pPr>
      <w:r w:rsidRPr="00C806D0">
        <w:rPr>
          <w:rFonts w:ascii="Calibri" w:hAnsi="Calibri" w:cs="Arial"/>
          <w:b/>
        </w:rPr>
        <w:t>Table J15.</w:t>
      </w:r>
      <w:r w:rsidR="0085706C" w:rsidRPr="00C806D0">
        <w:rPr>
          <w:rFonts w:ascii="Calibri" w:hAnsi="Calibri" w:cs="Arial"/>
          <w:b/>
        </w:rPr>
        <w:t xml:space="preserve"> S</w:t>
      </w:r>
      <w:r w:rsidRPr="00C806D0">
        <w:rPr>
          <w:rFonts w:ascii="Calibri" w:hAnsi="Calibri" w:cs="Arial"/>
          <w:b/>
        </w:rPr>
        <w:t xml:space="preserve">ensitivity analysis examining the influence of discount rate on model results. </w:t>
      </w:r>
    </w:p>
    <w:p w:rsidR="00003A24" w:rsidRPr="00C806D0" w:rsidRDefault="00003A24" w:rsidP="00003A24">
      <w:pPr>
        <w:pStyle w:val="NoSpacing"/>
        <w:rPr>
          <w:rFonts w:ascii="Calibri" w:hAnsi="Calibri" w:cs="Arial"/>
          <w:b/>
        </w:rPr>
      </w:pPr>
    </w:p>
    <w:tbl>
      <w:tblPr>
        <w:tblStyle w:val="LightShading1"/>
        <w:tblW w:w="0" w:type="auto"/>
        <w:shd w:val="clear" w:color="auto" w:fill="FFFFFF" w:themeFill="background1"/>
        <w:tblLook w:val="06A0" w:firstRow="1" w:lastRow="0" w:firstColumn="1" w:lastColumn="0" w:noHBand="1" w:noVBand="1"/>
      </w:tblPr>
      <w:tblGrid>
        <w:gridCol w:w="1492"/>
        <w:gridCol w:w="1394"/>
        <w:gridCol w:w="992"/>
        <w:gridCol w:w="946"/>
        <w:gridCol w:w="1070"/>
        <w:gridCol w:w="1455"/>
        <w:gridCol w:w="1710"/>
        <w:gridCol w:w="635"/>
        <w:gridCol w:w="222"/>
        <w:gridCol w:w="1070"/>
        <w:gridCol w:w="1455"/>
        <w:gridCol w:w="1710"/>
        <w:gridCol w:w="63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rsidR="00003A24" w:rsidRPr="00C806D0" w:rsidRDefault="00003A24" w:rsidP="002A16B4">
            <w:pPr>
              <w:pStyle w:val="NoSpacing"/>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3"/>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λ=£20,000</w:t>
            </w:r>
          </w:p>
        </w:tc>
        <w:tc>
          <w:tcPr>
            <w:tcW w:w="0" w:type="auto"/>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4"/>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λ=£30,000</w:t>
            </w:r>
          </w:p>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Sensitivity analysis</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Strategy</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Cost</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QALY</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color w:val="auto"/>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w:t>
            </w:r>
            <w:r w:rsidRPr="00C806D0">
              <w:rPr>
                <w:rFonts w:ascii="Calibri" w:hAnsi="Calibri" w:cs="Arial"/>
                <w:b/>
                <w:sz w:val="20"/>
                <w:szCs w:val="20"/>
                <w:shd w:val="clear" w:color="auto" w:fill="F2F2F2" w:themeFill="background1" w:themeFillShade="F2"/>
              </w:rPr>
              <w:t>rror</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color w:val="auto"/>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Error</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Discount rate (1.5%)</w:t>
            </w: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shd w:val="clear" w:color="auto" w:fill="D9D9D9" w:themeFill="background1" w:themeFillShade="D9"/>
              </w:rPr>
              <w:t>Bypass (observed</w:t>
            </w:r>
            <w:r w:rsidRPr="00C806D0">
              <w:rPr>
                <w:rFonts w:ascii="Calibri" w:hAnsi="Calibri" w:cs="Arial"/>
                <w:sz w:val="20"/>
                <w:szCs w:val="20"/>
              </w:rPr>
              <w:t>)</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£35,088</w:t>
            </w: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17.06</w:t>
            </w: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£306,172</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£2,476</w:t>
            </w: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0.55</w:t>
            </w: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0.45</w:t>
            </w: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£476,803</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£4,561</w:t>
            </w: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0.59</w:t>
            </w:r>
          </w:p>
        </w:tc>
        <w:tc>
          <w:tcPr>
            <w:tcW w:w="0" w:type="auto"/>
            <w:tcBorders>
              <w:top w:val="single" w:sz="4" w:space="0" w:color="auto"/>
            </w:tcBorders>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0.41</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003A24" w:rsidRPr="00C806D0" w:rsidRDefault="00003A24" w:rsidP="002A16B4">
            <w:pPr>
              <w:rPr>
                <w:rFonts w:ascii="Calibri" w:hAnsi="Calibri" w:cs="Arial"/>
                <w:b w:val="0"/>
                <w:sz w:val="20"/>
                <w:szCs w:val="20"/>
              </w:rPr>
            </w:pPr>
          </w:p>
        </w:tc>
        <w:tc>
          <w:tcPr>
            <w:tcW w:w="0" w:type="auto"/>
            <w:shd w:val="clear" w:color="auto" w:fill="auto"/>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Selective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£33,397</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16.85</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£303,696</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0.06</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0.94</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£472,242</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0.05</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0.95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FFFFFF" w:themeFill="background1"/>
          </w:tcPr>
          <w:p w:rsidR="00003A24" w:rsidRPr="00C806D0" w:rsidRDefault="00003A24" w:rsidP="002A16B4">
            <w:pPr>
              <w:pStyle w:val="NoSpacing"/>
              <w:rPr>
                <w:rFonts w:ascii="Calibri" w:hAnsi="Calibri" w:cs="Arial"/>
                <w:b w:val="0"/>
                <w:sz w:val="20"/>
                <w:szCs w:val="20"/>
              </w:rPr>
            </w:pPr>
          </w:p>
        </w:tc>
        <w:tc>
          <w:tcPr>
            <w:tcW w:w="0" w:type="auto"/>
            <w:tcBorders>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£33,416</w:t>
            </w:r>
          </w:p>
        </w:tc>
        <w:tc>
          <w:tcPr>
            <w:tcW w:w="0" w:type="auto"/>
            <w:tcBorders>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16.93</w:t>
            </w:r>
          </w:p>
        </w:tc>
        <w:tc>
          <w:tcPr>
            <w:tcW w:w="0" w:type="auto"/>
            <w:tcBorders>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£305,275</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£1,579</w:t>
            </w:r>
          </w:p>
        </w:tc>
        <w:tc>
          <w:tcPr>
            <w:tcW w:w="0" w:type="auto"/>
            <w:tcBorders>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0.37</w:t>
            </w:r>
          </w:p>
        </w:tc>
        <w:tc>
          <w:tcPr>
            <w:tcW w:w="0" w:type="auto"/>
            <w:tcBorders>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0.63</w:t>
            </w:r>
          </w:p>
        </w:tc>
        <w:tc>
          <w:tcPr>
            <w:tcW w:w="0" w:type="auto"/>
            <w:tcBorders>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0" w:type="auto"/>
            <w:tcBorders>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£474,620</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£2,378</w:t>
            </w:r>
          </w:p>
        </w:tc>
        <w:tc>
          <w:tcPr>
            <w:tcW w:w="0" w:type="auto"/>
            <w:tcBorders>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0.36</w:t>
            </w:r>
          </w:p>
        </w:tc>
        <w:tc>
          <w:tcPr>
            <w:tcW w:w="0" w:type="auto"/>
            <w:tcBorders>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0.64</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003A24" w:rsidRPr="00C806D0" w:rsidRDefault="00003A24" w:rsidP="002A16B4">
            <w:pPr>
              <w:pStyle w:val="NoSpacing"/>
              <w:rPr>
                <w:rFonts w:ascii="Calibri" w:hAnsi="Calibri" w:cs="Arial"/>
                <w:b w:val="0"/>
                <w:sz w:val="20"/>
                <w:szCs w:val="20"/>
              </w:rPr>
            </w:pPr>
          </w:p>
        </w:tc>
        <w:tc>
          <w:tcPr>
            <w:tcW w:w="0" w:type="auto"/>
            <w:tcBorders>
              <w:top w:val="nil"/>
              <w:bottom w:val="single" w:sz="4" w:space="0" w:color="auto"/>
            </w:tcBorders>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 transfer</w:t>
            </w:r>
          </w:p>
        </w:tc>
        <w:tc>
          <w:tcPr>
            <w:tcW w:w="0" w:type="auto"/>
            <w:tcBorders>
              <w:top w:val="nil"/>
              <w:bottom w:val="single" w:sz="4" w:space="0" w:color="auto"/>
            </w:tcBorders>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£33,368</w:t>
            </w:r>
          </w:p>
        </w:tc>
        <w:tc>
          <w:tcPr>
            <w:tcW w:w="0" w:type="auto"/>
            <w:tcBorders>
              <w:top w:val="nil"/>
              <w:bottom w:val="single" w:sz="4" w:space="0" w:color="auto"/>
            </w:tcBorders>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16.50</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£296,614</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-£7,082</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0.01</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0.99</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£461,606</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-£10,636</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0.00</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1.00</w:t>
            </w:r>
          </w:p>
        </w:tc>
      </w:tr>
      <w:tr w:rsidR="00003A24" w:rsidRPr="00C806D0" w:rsidTr="002A16B4">
        <w:tblPrEx>
          <w:shd w:val="clear" w:color="auto" w:fill="auto"/>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Discount rate (6.0%)</w:t>
            </w:r>
          </w:p>
        </w:tc>
        <w:tc>
          <w:tcPr>
            <w:tcW w:w="0" w:type="auto"/>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Bypass </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£24,231</w:t>
            </w: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9.97</w:t>
            </w: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£175,161</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£283</w:t>
            </w: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0.42</w:t>
            </w: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0.58</w:t>
            </w:r>
          </w:p>
        </w:tc>
        <w:tc>
          <w:tcPr>
            <w:tcW w:w="0" w:type="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0" w:type="auto"/>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£274,857</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£1,513</w:t>
            </w:r>
          </w:p>
        </w:tc>
        <w:tc>
          <w:tcPr>
            <w:tcW w:w="0" w:type="auto"/>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0.48</w:t>
            </w:r>
          </w:p>
        </w:tc>
        <w:tc>
          <w:tcPr>
            <w:tcW w:w="0" w:type="auto"/>
            <w:shd w:val="clear" w:color="auto" w:fill="D9D9D9" w:themeFill="background1" w:themeFillShade="D9"/>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0.52</w:t>
            </w:r>
          </w:p>
        </w:tc>
      </w:tr>
      <w:tr w:rsidR="00003A24" w:rsidRPr="00C806D0" w:rsidTr="002A16B4">
        <w:tblPrEx>
          <w:shd w:val="clear" w:color="auto" w:fill="auto"/>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pStyle w:val="NoSpacing"/>
              <w:rPr>
                <w:rFonts w:ascii="Calibri" w:hAnsi="Calibri" w:cs="Arial"/>
                <w:b w:val="0"/>
                <w:sz w:val="20"/>
                <w:szCs w:val="20"/>
              </w:rPr>
            </w:pPr>
          </w:p>
        </w:tc>
        <w:tc>
          <w:tcPr>
            <w:tcW w:w="0" w:type="auto"/>
            <w:shd w:val="clear" w:color="auto" w:fill="auto"/>
          </w:tcPr>
          <w:p w:rsidR="00003A24" w:rsidRPr="00C806D0" w:rsidRDefault="00003A24" w:rsidP="002A16B4">
            <w:pPr>
              <w:pStyle w:val="NoSpacing"/>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 xml:space="preserve">Selective transfer </w:t>
            </w:r>
          </w:p>
          <w:p w:rsidR="00003A24" w:rsidRPr="00C806D0" w:rsidRDefault="00003A24" w:rsidP="002A16B4">
            <w:pPr>
              <w:pStyle w:val="NoSpacing"/>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£22,054</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9.85</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£174,878</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0.12</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0.88</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eastAsia="en-GB"/>
              </w:rPr>
            </w:pP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£273,344</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£0</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0.09</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0.91</w:t>
            </w:r>
          </w:p>
        </w:tc>
      </w:tr>
      <w:tr w:rsidR="00003A24" w:rsidRPr="00C806D0" w:rsidTr="002A16B4">
        <w:tblPrEx>
          <w:shd w:val="clear" w:color="auto" w:fill="auto"/>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rPr>
                <w:rFonts w:ascii="Calibri" w:hAnsi="Calibri" w:cs="Arial"/>
                <w:b w:val="0"/>
                <w:sz w:val="20"/>
                <w:szCs w:val="20"/>
              </w:rPr>
            </w:pPr>
          </w:p>
        </w:tc>
        <w:tc>
          <w:tcPr>
            <w:tcW w:w="0" w:type="auto"/>
            <w:shd w:val="clear" w:color="auto" w:fill="D9D9D9" w:themeFill="background1" w:themeFillShade="D9"/>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Routine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£22,270</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9.89</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£175,614</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£736</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0.45</w:t>
            </w:r>
          </w:p>
        </w:tc>
        <w:tc>
          <w:tcPr>
            <w:tcW w:w="0" w:type="auto"/>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0.56</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£274,557</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£1,213</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0.42</w:t>
            </w:r>
          </w:p>
        </w:tc>
        <w:tc>
          <w:tcPr>
            <w:tcW w:w="0" w:type="auto"/>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0.58</w:t>
            </w:r>
          </w:p>
        </w:tc>
      </w:tr>
      <w:tr w:rsidR="00003A24" w:rsidRPr="00C806D0" w:rsidTr="002A16B4">
        <w:tblPrEx>
          <w:shd w:val="clear" w:color="auto" w:fill="auto"/>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pStyle w:val="NoSpacing"/>
              <w:rPr>
                <w:rFonts w:ascii="Calibri" w:hAnsi="Calibri" w:cs="Arial"/>
                <w:b w:val="0"/>
                <w:sz w:val="20"/>
                <w:szCs w:val="20"/>
              </w:rPr>
            </w:pPr>
          </w:p>
        </w:tc>
        <w:tc>
          <w:tcPr>
            <w:tcW w:w="0" w:type="auto"/>
            <w:shd w:val="clear" w:color="auto" w:fill="auto"/>
          </w:tcPr>
          <w:p w:rsidR="00003A24" w:rsidRPr="00C806D0" w:rsidRDefault="00003A24" w:rsidP="002A16B4">
            <w:pPr>
              <w:pStyle w:val="NoSpacing"/>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 transfer</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£21,659</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9.64</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eastAsia="Times New Roman" w:hAnsi="Calibri" w:cs="Arial"/>
                <w:sz w:val="20"/>
                <w:szCs w:val="20"/>
                <w:lang w:eastAsia="en-GB"/>
              </w:rPr>
              <w:t>£171,195</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-£3,683</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0.01</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0.99</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eastAsia="en-GB"/>
              </w:rPr>
            </w:pP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eastAsia="en-GB"/>
              </w:rPr>
            </w:pPr>
            <w:r w:rsidRPr="00C806D0">
              <w:rPr>
                <w:rFonts w:ascii="Calibri" w:eastAsia="Times New Roman" w:hAnsi="Calibri" w:cs="Arial"/>
                <w:sz w:val="20"/>
                <w:szCs w:val="20"/>
                <w:lang w:eastAsia="en-GB"/>
              </w:rPr>
              <w:t>£267,622</w:t>
            </w:r>
          </w:p>
        </w:tc>
        <w:tc>
          <w:tcPr>
            <w:tcW w:w="0" w:type="auto"/>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20"/>
                <w:szCs w:val="20"/>
              </w:rPr>
            </w:pPr>
            <w:r w:rsidRPr="00C806D0">
              <w:rPr>
                <w:rFonts w:ascii="Calibri" w:hAnsi="Calibri" w:cs="Arial"/>
                <w:color w:val="000000" w:themeColor="text1"/>
                <w:sz w:val="20"/>
                <w:szCs w:val="20"/>
              </w:rPr>
              <w:t>-£5,722</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0.01</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0.99</w:t>
            </w:r>
          </w:p>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Alternative assumptions on frame of time reference made, with discount rates varied.</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rPr>
          <w:rFonts w:ascii="Calibri" w:hAnsi="Calibri" w:cs="Arial"/>
          <w:b/>
        </w:rPr>
      </w:pPr>
    </w:p>
    <w:p w:rsidR="00003A24" w:rsidRPr="00C806D0" w:rsidRDefault="00003A24" w:rsidP="00003A24">
      <w:pPr>
        <w:pStyle w:val="NoSpacing"/>
        <w:rPr>
          <w:rFonts w:ascii="Calibri" w:hAnsi="Calibri" w:cs="Arial"/>
          <w:b/>
        </w:rPr>
      </w:pPr>
      <w:r w:rsidRPr="00C806D0">
        <w:rPr>
          <w:rFonts w:ascii="Calibri" w:hAnsi="Calibri" w:cs="Arial"/>
          <w:b/>
        </w:rPr>
        <w:t xml:space="preserve">Table J16. </w:t>
      </w:r>
      <w:r w:rsidR="0085706C" w:rsidRPr="00C806D0">
        <w:rPr>
          <w:rFonts w:ascii="Calibri" w:hAnsi="Calibri" w:cs="Arial"/>
          <w:b/>
        </w:rPr>
        <w:t>S</w:t>
      </w:r>
      <w:r w:rsidRPr="00C806D0">
        <w:rPr>
          <w:rFonts w:ascii="Calibri" w:hAnsi="Calibri" w:cs="Arial"/>
          <w:b/>
        </w:rPr>
        <w:t xml:space="preserve">ensitivity analysis examining theoretical strategies of </w:t>
      </w:r>
      <w:r w:rsidR="002A16B4" w:rsidRPr="00C806D0">
        <w:rPr>
          <w:rFonts w:ascii="Calibri" w:hAnsi="Calibri" w:cs="Arial"/>
          <w:b/>
        </w:rPr>
        <w:t>prehospital</w:t>
      </w:r>
      <w:r w:rsidRPr="00C806D0">
        <w:rPr>
          <w:rFonts w:ascii="Calibri" w:hAnsi="Calibri" w:cs="Arial"/>
          <w:b/>
        </w:rPr>
        <w:t xml:space="preserve"> triage with full compliance; and no transfer with no referral of patients requiring acute neurosurgery. </w:t>
      </w:r>
    </w:p>
    <w:p w:rsidR="00003A24" w:rsidRPr="00C806D0" w:rsidRDefault="00003A24" w:rsidP="00003A24">
      <w:pPr>
        <w:rPr>
          <w:rFonts w:ascii="Calibri" w:hAnsi="Calibri" w:cs="Arial"/>
          <w:b/>
        </w:rPr>
      </w:pPr>
    </w:p>
    <w:tbl>
      <w:tblPr>
        <w:tblStyle w:val="LightShading1"/>
        <w:tblW w:w="0" w:type="auto"/>
        <w:shd w:val="clear" w:color="auto" w:fill="FFFFFF" w:themeFill="background1"/>
        <w:tblLook w:val="06A0" w:firstRow="1" w:lastRow="0" w:firstColumn="1" w:lastColumn="0" w:noHBand="1" w:noVBand="1"/>
      </w:tblPr>
      <w:tblGrid>
        <w:gridCol w:w="1527"/>
        <w:gridCol w:w="1480"/>
        <w:gridCol w:w="973"/>
        <w:gridCol w:w="908"/>
        <w:gridCol w:w="222"/>
        <w:gridCol w:w="1055"/>
        <w:gridCol w:w="1418"/>
        <w:gridCol w:w="1619"/>
        <w:gridCol w:w="635"/>
        <w:gridCol w:w="222"/>
        <w:gridCol w:w="1055"/>
        <w:gridCol w:w="1418"/>
        <w:gridCol w:w="1619"/>
        <w:gridCol w:w="63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Borders>
              <w:top w:val="single" w:sz="4" w:space="0" w:color="auto"/>
              <w:bottom w:val="nil"/>
            </w:tcBorders>
            <w:shd w:val="clear" w:color="auto" w:fill="FFFFFF" w:themeFill="background1"/>
          </w:tcPr>
          <w:p w:rsidR="00003A24" w:rsidRPr="00C806D0" w:rsidRDefault="00003A24" w:rsidP="002A16B4">
            <w:pPr>
              <w:pStyle w:val="NoSpacing"/>
              <w:rPr>
                <w:rFonts w:ascii="Calibri" w:hAnsi="Calibri" w:cs="Arial"/>
                <w:sz w:val="20"/>
                <w:szCs w:val="20"/>
              </w:rPr>
            </w:pPr>
          </w:p>
        </w:tc>
        <w:tc>
          <w:tcPr>
            <w:tcW w:w="1480" w:type="dxa"/>
            <w:tcBorders>
              <w:top w:val="single" w:sz="4" w:space="0" w:color="auto"/>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4"/>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λ=£20,000</w:t>
            </w:r>
          </w:p>
        </w:tc>
        <w:tc>
          <w:tcPr>
            <w:tcW w:w="0" w:type="auto"/>
            <w:tcBorders>
              <w:top w:val="single" w:sz="4" w:space="0" w:color="auto"/>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gridSpan w:val="3"/>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λ=£30,000</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527"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Sensitivity analysis</w:t>
            </w:r>
          </w:p>
        </w:tc>
        <w:tc>
          <w:tcPr>
            <w:tcW w:w="1480"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Strategy</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Cost</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QALY</w:t>
            </w:r>
          </w:p>
        </w:tc>
        <w:tc>
          <w:tcPr>
            <w:tcW w:w="0" w:type="auto"/>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tc>
        <w:tc>
          <w:tcPr>
            <w:tcW w:w="0" w:type="auto"/>
            <w:tcBorders>
              <w:top w:val="single" w:sz="4" w:space="0" w:color="auto"/>
              <w:bottom w:val="single" w:sz="4" w:space="0" w:color="auto"/>
            </w:tcBorders>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Error</w:t>
            </w:r>
          </w:p>
        </w:tc>
        <w:tc>
          <w:tcPr>
            <w:tcW w:w="0" w:type="auto"/>
            <w:tcBorders>
              <w:top w:val="nil"/>
              <w:bottom w:val="single" w:sz="4" w:space="0" w:color="auto"/>
            </w:tcBorders>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Mean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Incremental NMB</w:t>
            </w: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0" w:type="auto"/>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r w:rsidRPr="00C806D0">
              <w:rPr>
                <w:rFonts w:ascii="Calibri" w:hAnsi="Calibri" w:cs="Arial"/>
                <w:b/>
                <w:sz w:val="20"/>
                <w:szCs w:val="20"/>
              </w:rPr>
              <w:t>Error</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527"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sz w:val="20"/>
                <w:szCs w:val="20"/>
              </w:rPr>
            </w:pPr>
            <w:r w:rsidRPr="00C806D0">
              <w:rPr>
                <w:rFonts w:ascii="Calibri" w:hAnsi="Calibri" w:cs="Arial"/>
                <w:sz w:val="20"/>
                <w:szCs w:val="20"/>
              </w:rPr>
              <w:t>Alternative comparators:</w:t>
            </w:r>
          </w:p>
        </w:tc>
        <w:tc>
          <w:tcPr>
            <w:tcW w:w="1480" w:type="dxa"/>
            <w:tcBorders>
              <w:top w:val="single" w:sz="4" w:space="0" w:color="auto"/>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Bypass (100% compliance)</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£29,591</w:t>
            </w:r>
          </w:p>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13.12</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£232,889</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£1,466</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0.49</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0.51</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£364,129</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£3,432</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0.58</w:t>
            </w:r>
          </w:p>
        </w:tc>
        <w:tc>
          <w:tcPr>
            <w:tcW w:w="0" w:type="auto"/>
            <w:tcBorders>
              <w:top w:val="single" w:sz="4" w:space="0" w:color="auto"/>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0.42</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527" w:type="dxa"/>
            <w:shd w:val="clear" w:color="auto" w:fill="FFFFFF" w:themeFill="background1"/>
          </w:tcPr>
          <w:p w:rsidR="00003A24" w:rsidRPr="00C806D0" w:rsidRDefault="00003A24" w:rsidP="002A16B4">
            <w:pPr>
              <w:rPr>
                <w:rFonts w:ascii="Calibri" w:hAnsi="Calibri" w:cs="Arial"/>
                <w:b w:val="0"/>
                <w:sz w:val="20"/>
                <w:szCs w:val="20"/>
              </w:rPr>
            </w:pPr>
          </w:p>
        </w:tc>
        <w:tc>
          <w:tcPr>
            <w:tcW w:w="1480"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Selective  transfer</w:t>
            </w:r>
          </w:p>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£27,126</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12.93</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£231,423</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0.09</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0.91</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£360,697</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0.06</w:t>
            </w:r>
          </w:p>
        </w:tc>
        <w:tc>
          <w:tcPr>
            <w:tcW w:w="0" w:type="auto"/>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0.94</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FFFFFF" w:themeFill="background1"/>
          </w:tcPr>
          <w:p w:rsidR="00003A24" w:rsidRPr="00C806D0" w:rsidRDefault="00003A24" w:rsidP="002A16B4">
            <w:pPr>
              <w:pStyle w:val="NoSpacing"/>
              <w:rPr>
                <w:rFonts w:ascii="Calibri" w:hAnsi="Calibri" w:cs="Arial"/>
                <w:b w:val="0"/>
                <w:sz w:val="20"/>
                <w:szCs w:val="20"/>
              </w:rPr>
            </w:pPr>
          </w:p>
        </w:tc>
        <w:tc>
          <w:tcPr>
            <w:tcW w:w="1480" w:type="dxa"/>
            <w:tcBorders>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£27,265</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12.99</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£232,543</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£1,120</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0.40</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0.60</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£362,447</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£1,750</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0.35</w:t>
            </w:r>
          </w:p>
        </w:tc>
        <w:tc>
          <w:tcPr>
            <w:tcW w:w="0" w:type="auto"/>
            <w:tcBorders>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0.65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527"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sz w:val="20"/>
                <w:szCs w:val="20"/>
              </w:rPr>
            </w:pPr>
          </w:p>
        </w:tc>
        <w:tc>
          <w:tcPr>
            <w:tcW w:w="1480"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C806D0">
              <w:rPr>
                <w:rFonts w:ascii="Calibri" w:hAnsi="Calibri" w:cs="Arial"/>
                <w:sz w:val="20"/>
                <w:szCs w:val="20"/>
              </w:rPr>
              <w:t>No transfer (with no neurosurgical transfers)</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£30,333</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12.55</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£220,607</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-£10,816</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£346,076</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-£14,621</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0.00</w:t>
            </w:r>
          </w:p>
        </w:tc>
        <w:tc>
          <w:tcPr>
            <w:tcW w:w="0" w:type="auto"/>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C806D0">
              <w:rPr>
                <w:rFonts w:ascii="Calibri" w:hAnsi="Calibri" w:cs="Arial"/>
                <w:color w:val="000000"/>
                <w:sz w:val="20"/>
                <w:szCs w:val="20"/>
              </w:rPr>
              <w:t>1.00</w:t>
            </w:r>
          </w:p>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Theoretical management strategies of bypass with perfect compliance, and no transfer of any patients from NSAHs, replaced corresponding prehospital triage and bypass and no transfer strategies of base case anlaysis.</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rPr>
          <w:rFonts w:ascii="Calibri" w:hAnsi="Calibri" w:cs="Arial"/>
          <w:b/>
          <w:sz w:val="20"/>
          <w:szCs w:val="20"/>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p>
    <w:p w:rsidR="00003A24" w:rsidRPr="00C806D0" w:rsidRDefault="00003A24" w:rsidP="00003A24">
      <w:pPr>
        <w:pStyle w:val="NoSpacing"/>
        <w:rPr>
          <w:rFonts w:ascii="Calibri" w:hAnsi="Calibri" w:cs="Arial"/>
          <w:b/>
        </w:rPr>
      </w:pPr>
      <w:r w:rsidRPr="00C806D0">
        <w:rPr>
          <w:rFonts w:ascii="Calibri" w:hAnsi="Calibri" w:cs="Arial"/>
          <w:b/>
        </w:rPr>
        <w:t xml:space="preserve">Table J17. </w:t>
      </w:r>
      <w:r w:rsidR="0085706C" w:rsidRPr="00C806D0">
        <w:rPr>
          <w:rFonts w:ascii="Calibri" w:hAnsi="Calibri" w:cs="Arial"/>
          <w:b/>
        </w:rPr>
        <w:t>S</w:t>
      </w:r>
      <w:r w:rsidRPr="00C806D0">
        <w:rPr>
          <w:rFonts w:ascii="Calibri" w:hAnsi="Calibri" w:cs="Arial"/>
          <w:b/>
        </w:rPr>
        <w:t xml:space="preserve">ensitivity analysis examining non-direct health effects of bypass. </w:t>
      </w:r>
    </w:p>
    <w:p w:rsidR="00003A24" w:rsidRPr="00C806D0" w:rsidRDefault="00003A24" w:rsidP="00003A24">
      <w:pPr>
        <w:rPr>
          <w:rFonts w:ascii="Calibri" w:hAnsi="Calibri" w:cs="Arial"/>
          <w:b/>
        </w:rPr>
      </w:pPr>
    </w:p>
    <w:tbl>
      <w:tblPr>
        <w:tblStyle w:val="LightShading1"/>
        <w:tblW w:w="0" w:type="auto"/>
        <w:shd w:val="clear" w:color="auto" w:fill="FFFFFF" w:themeFill="background1"/>
        <w:tblLook w:val="06A0" w:firstRow="1" w:lastRow="0" w:firstColumn="1" w:lastColumn="0" w:noHBand="1" w:noVBand="1"/>
      </w:tblPr>
      <w:tblGrid>
        <w:gridCol w:w="1251"/>
        <w:gridCol w:w="1086"/>
        <w:gridCol w:w="924"/>
        <w:gridCol w:w="801"/>
        <w:gridCol w:w="1015"/>
        <w:gridCol w:w="1429"/>
        <w:gridCol w:w="1369"/>
        <w:gridCol w:w="635"/>
        <w:gridCol w:w="103"/>
        <w:gridCol w:w="284"/>
        <w:gridCol w:w="1604"/>
        <w:gridCol w:w="1429"/>
        <w:gridCol w:w="1369"/>
        <w:gridCol w:w="875"/>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Borders>
              <w:bottom w:val="nil"/>
            </w:tcBorders>
            <w:shd w:val="clear" w:color="auto" w:fill="FFFFFF" w:themeFill="background1"/>
          </w:tcPr>
          <w:p w:rsidR="00003A24" w:rsidRPr="00C806D0" w:rsidRDefault="00003A24" w:rsidP="002A16B4">
            <w:pPr>
              <w:pStyle w:val="NoSpacing"/>
              <w:rPr>
                <w:rFonts w:ascii="Calibri" w:hAnsi="Calibri" w:cs="Arial"/>
                <w:color w:val="auto"/>
                <w:sz w:val="20"/>
                <w:szCs w:val="20"/>
              </w:rPr>
            </w:pPr>
          </w:p>
        </w:tc>
        <w:tc>
          <w:tcPr>
            <w:tcW w:w="1086"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24"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801" w:type="dxa"/>
            <w:tcBorders>
              <w:bottom w:val="nil"/>
            </w:tcBorders>
            <w:shd w:val="clear" w:color="auto" w:fill="FFFFFF" w:themeFill="background1"/>
          </w:tcPr>
          <w:p w:rsidR="00003A24" w:rsidRPr="00C806D0" w:rsidRDefault="00003A24" w:rsidP="002A16B4">
            <w:pPr>
              <w:pStyle w:val="NoSpacing"/>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3813" w:type="dxa"/>
            <w:gridSpan w:val="3"/>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λ=£20,000</w:t>
            </w:r>
          </w:p>
        </w:tc>
        <w:tc>
          <w:tcPr>
            <w:tcW w:w="738" w:type="dxa"/>
            <w:gridSpan w:val="2"/>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284" w:type="dxa"/>
            <w:tcBorders>
              <w:bottom w:val="nil"/>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p>
        </w:tc>
        <w:tc>
          <w:tcPr>
            <w:tcW w:w="5277" w:type="dxa"/>
            <w:gridSpan w:val="4"/>
            <w:tcBorders>
              <w:bottom w:val="single" w:sz="4" w:space="0" w:color="auto"/>
            </w:tcBorders>
            <w:shd w:val="clear" w:color="auto" w:fill="FFFFFF" w:themeFill="background1"/>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λ=£30,000</w:t>
            </w:r>
          </w:p>
          <w:p w:rsidR="00003A24" w:rsidRPr="00C806D0" w:rsidRDefault="00003A24" w:rsidP="002A16B4">
            <w:pPr>
              <w:pStyle w:val="NoSpacing"/>
              <w:tabs>
                <w:tab w:val="left" w:pos="301"/>
              </w:tabs>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ab/>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251"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Sensitivity analysis</w:t>
            </w:r>
          </w:p>
        </w:tc>
        <w:tc>
          <w:tcPr>
            <w:tcW w:w="1086"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Strategy</w:t>
            </w:r>
          </w:p>
        </w:tc>
        <w:tc>
          <w:tcPr>
            <w:tcW w:w="924"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Cost</w:t>
            </w:r>
          </w:p>
        </w:tc>
        <w:tc>
          <w:tcPr>
            <w:tcW w:w="801" w:type="dxa"/>
            <w:tcBorders>
              <w:top w:val="nil"/>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QALY</w:t>
            </w:r>
          </w:p>
        </w:tc>
        <w:tc>
          <w:tcPr>
            <w:tcW w:w="101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429"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369"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tc>
        <w:tc>
          <w:tcPr>
            <w:tcW w:w="738" w:type="dxa"/>
            <w:gridSpan w:val="2"/>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w:t>
            </w:r>
            <w:r w:rsidRPr="00C806D0">
              <w:rPr>
                <w:rFonts w:ascii="Calibri" w:hAnsi="Calibri" w:cs="Arial"/>
                <w:b/>
                <w:color w:val="auto"/>
                <w:sz w:val="20"/>
                <w:szCs w:val="20"/>
                <w:shd w:val="clear" w:color="auto" w:fill="F2F2F2" w:themeFill="background1" w:themeFillShade="F2"/>
              </w:rPr>
              <w:t>rror</w:t>
            </w:r>
          </w:p>
        </w:tc>
        <w:tc>
          <w:tcPr>
            <w:tcW w:w="284" w:type="dxa"/>
            <w:tcBorders>
              <w:top w:val="nil"/>
              <w:bottom w:val="nil"/>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sz w:val="20"/>
                <w:szCs w:val="20"/>
              </w:rPr>
            </w:pPr>
          </w:p>
        </w:tc>
        <w:tc>
          <w:tcPr>
            <w:tcW w:w="1604"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Mean NMB</w:t>
            </w:r>
          </w:p>
        </w:tc>
        <w:tc>
          <w:tcPr>
            <w:tcW w:w="1429"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Incremental NMB</w:t>
            </w:r>
          </w:p>
        </w:tc>
        <w:tc>
          <w:tcPr>
            <w:tcW w:w="1369"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Probability cost effective</w:t>
            </w:r>
          </w:p>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p>
        </w:tc>
        <w:tc>
          <w:tcPr>
            <w:tcW w:w="875" w:type="dxa"/>
            <w:tcBorders>
              <w:top w:val="single" w:sz="4" w:space="0" w:color="auto"/>
              <w:bottom w:val="single" w:sz="4" w:space="0" w:color="auto"/>
            </w:tcBorders>
            <w:shd w:val="clear" w:color="auto" w:fill="FFFFFF" w:themeFill="background1"/>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auto"/>
                <w:sz w:val="20"/>
                <w:szCs w:val="20"/>
              </w:rPr>
            </w:pPr>
            <w:r w:rsidRPr="00C806D0">
              <w:rPr>
                <w:rFonts w:ascii="Calibri" w:hAnsi="Calibri" w:cs="Arial"/>
                <w:b/>
                <w:color w:val="auto"/>
                <w:sz w:val="20"/>
                <w:szCs w:val="20"/>
              </w:rPr>
              <w:t>Error</w:t>
            </w:r>
          </w:p>
        </w:tc>
      </w:tr>
      <w:tr w:rsidR="00003A24" w:rsidRPr="00C806D0" w:rsidTr="002A16B4">
        <w:trPr>
          <w:trHeight w:val="491"/>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tcBorders>
            <w:shd w:val="clear" w:color="auto" w:fill="FFFFFF" w:themeFill="background1"/>
          </w:tcPr>
          <w:p w:rsidR="00003A24" w:rsidRPr="00C806D0" w:rsidRDefault="00003A24" w:rsidP="002A16B4">
            <w:pPr>
              <w:pStyle w:val="NoSpacing"/>
              <w:rPr>
                <w:rFonts w:ascii="Calibri" w:hAnsi="Calibri" w:cs="Arial"/>
                <w:color w:val="auto"/>
                <w:sz w:val="20"/>
                <w:szCs w:val="20"/>
              </w:rPr>
            </w:pPr>
            <w:r w:rsidRPr="00C806D0">
              <w:rPr>
                <w:rFonts w:ascii="Calibri" w:hAnsi="Calibri" w:cs="Arial"/>
                <w:color w:val="auto"/>
                <w:sz w:val="20"/>
                <w:szCs w:val="20"/>
              </w:rPr>
              <w:t>Utility decrement</w:t>
            </w:r>
          </w:p>
        </w:tc>
        <w:tc>
          <w:tcPr>
            <w:tcW w:w="1086" w:type="dxa"/>
            <w:tcBorders>
              <w:top w:val="single" w:sz="4" w:space="0" w:color="auto"/>
            </w:tcBorders>
            <w:shd w:val="clear" w:color="auto" w:fill="auto"/>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Bypass</w:t>
            </w:r>
          </w:p>
        </w:tc>
        <w:tc>
          <w:tcPr>
            <w:tcW w:w="924"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£28,934</w:t>
            </w:r>
          </w:p>
        </w:tc>
        <w:tc>
          <w:tcPr>
            <w:tcW w:w="801"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13.04</w:t>
            </w:r>
          </w:p>
        </w:tc>
        <w:tc>
          <w:tcPr>
            <w:tcW w:w="1015"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£231,955</w:t>
            </w:r>
          </w:p>
        </w:tc>
        <w:tc>
          <w:tcPr>
            <w:tcW w:w="1429"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£509</w:t>
            </w:r>
          </w:p>
        </w:tc>
        <w:tc>
          <w:tcPr>
            <w:tcW w:w="1369"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0.42</w:t>
            </w:r>
          </w:p>
        </w:tc>
        <w:tc>
          <w:tcPr>
            <w:tcW w:w="738" w:type="dxa"/>
            <w:gridSpan w:val="2"/>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0.58</w:t>
            </w:r>
          </w:p>
        </w:tc>
        <w:tc>
          <w:tcPr>
            <w:tcW w:w="284"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604"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£362,399</w:t>
            </w:r>
          </w:p>
        </w:tc>
        <w:tc>
          <w:tcPr>
            <w:tcW w:w="1429"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£1,664</w:t>
            </w:r>
          </w:p>
        </w:tc>
        <w:tc>
          <w:tcPr>
            <w:tcW w:w="1369"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0.48</w:t>
            </w:r>
          </w:p>
        </w:tc>
        <w:tc>
          <w:tcPr>
            <w:tcW w:w="875"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0.52</w:t>
            </w:r>
          </w:p>
        </w:tc>
      </w:tr>
      <w:tr w:rsidR="00003A24" w:rsidRPr="00C806D0" w:rsidTr="002A16B4">
        <w:trPr>
          <w:trHeight w:val="558"/>
        </w:trPr>
        <w:tc>
          <w:tcPr>
            <w:cnfStyle w:val="001000000000" w:firstRow="0" w:lastRow="0" w:firstColumn="1" w:lastColumn="0" w:oddVBand="0" w:evenVBand="0" w:oddHBand="0" w:evenHBand="0" w:firstRowFirstColumn="0" w:firstRowLastColumn="0" w:lastRowFirstColumn="0" w:lastRowLastColumn="0"/>
            <w:tcW w:w="1251" w:type="dxa"/>
            <w:shd w:val="clear" w:color="auto" w:fill="FFFFFF" w:themeFill="background1"/>
          </w:tcPr>
          <w:p w:rsidR="00003A24" w:rsidRPr="00C806D0" w:rsidRDefault="00003A24" w:rsidP="002A16B4">
            <w:pPr>
              <w:rPr>
                <w:rFonts w:ascii="Calibri" w:hAnsi="Calibri" w:cs="Arial"/>
                <w:color w:val="auto"/>
                <w:sz w:val="20"/>
                <w:szCs w:val="20"/>
              </w:rPr>
            </w:pPr>
            <w:r w:rsidRPr="00C806D0">
              <w:rPr>
                <w:rFonts w:ascii="Calibri" w:hAnsi="Calibri" w:cs="Arial"/>
                <w:color w:val="auto"/>
                <w:sz w:val="20"/>
                <w:szCs w:val="20"/>
              </w:rPr>
              <w:t>for bypassing</w:t>
            </w:r>
          </w:p>
          <w:p w:rsidR="00003A24" w:rsidRPr="00C806D0" w:rsidRDefault="00003A24" w:rsidP="002A16B4">
            <w:pPr>
              <w:rPr>
                <w:rFonts w:ascii="Calibri" w:hAnsi="Calibri" w:cs="Arial"/>
                <w:b w:val="0"/>
                <w:color w:val="auto"/>
                <w:sz w:val="20"/>
                <w:szCs w:val="20"/>
              </w:rPr>
            </w:pPr>
          </w:p>
        </w:tc>
        <w:tc>
          <w:tcPr>
            <w:tcW w:w="1086" w:type="dxa"/>
            <w:shd w:val="clear" w:color="auto" w:fill="FFFFFF" w:themeFill="background1"/>
          </w:tcPr>
          <w:p w:rsidR="00003A24" w:rsidRPr="00C806D0" w:rsidRDefault="00003A24" w:rsidP="002A16B4">
            <w:pP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Selective transfer</w:t>
            </w:r>
          </w:p>
        </w:tc>
        <w:tc>
          <w:tcPr>
            <w:tcW w:w="92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£27,133</w:t>
            </w:r>
          </w:p>
        </w:tc>
        <w:tc>
          <w:tcPr>
            <w:tcW w:w="801"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12.93</w:t>
            </w:r>
          </w:p>
        </w:tc>
        <w:tc>
          <w:tcPr>
            <w:tcW w:w="101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£231,446</w:t>
            </w:r>
          </w:p>
        </w:tc>
        <w:tc>
          <w:tcPr>
            <w:tcW w:w="1429"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w:t>
            </w:r>
          </w:p>
        </w:tc>
        <w:tc>
          <w:tcPr>
            <w:tcW w:w="1369"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0.10</w:t>
            </w:r>
          </w:p>
        </w:tc>
        <w:tc>
          <w:tcPr>
            <w:tcW w:w="63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0.90</w:t>
            </w:r>
          </w:p>
        </w:tc>
        <w:tc>
          <w:tcPr>
            <w:tcW w:w="387" w:type="dxa"/>
            <w:gridSpan w:val="2"/>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604"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£360,735</w:t>
            </w:r>
          </w:p>
        </w:tc>
        <w:tc>
          <w:tcPr>
            <w:tcW w:w="1429"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w:t>
            </w:r>
          </w:p>
        </w:tc>
        <w:tc>
          <w:tcPr>
            <w:tcW w:w="1369"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0.07</w:t>
            </w:r>
          </w:p>
        </w:tc>
        <w:tc>
          <w:tcPr>
            <w:tcW w:w="875" w:type="dxa"/>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0.93</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251" w:type="dxa"/>
            <w:tcBorders>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r w:rsidRPr="00C806D0">
              <w:rPr>
                <w:rFonts w:ascii="Calibri" w:hAnsi="Calibri" w:cs="Arial"/>
                <w:color w:val="auto"/>
                <w:sz w:val="20"/>
                <w:szCs w:val="20"/>
              </w:rPr>
              <w:t>mild TBI cases</w:t>
            </w:r>
          </w:p>
        </w:tc>
        <w:tc>
          <w:tcPr>
            <w:tcW w:w="1086" w:type="dxa"/>
            <w:tcBorders>
              <w:bottom w:val="nil"/>
            </w:tcBorders>
            <w:shd w:val="clear" w:color="auto" w:fill="D9D9D9" w:themeFill="background1" w:themeFillShade="D9"/>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Routine transfer</w:t>
            </w:r>
          </w:p>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24"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£27,259</w:t>
            </w:r>
          </w:p>
        </w:tc>
        <w:tc>
          <w:tcPr>
            <w:tcW w:w="801"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12.99</w:t>
            </w:r>
          </w:p>
        </w:tc>
        <w:tc>
          <w:tcPr>
            <w:tcW w:w="101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£232,557</w:t>
            </w:r>
          </w:p>
        </w:tc>
        <w:tc>
          <w:tcPr>
            <w:tcW w:w="1429"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£1,111</w:t>
            </w:r>
          </w:p>
        </w:tc>
        <w:tc>
          <w:tcPr>
            <w:tcW w:w="1369"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0.46</w:t>
            </w:r>
          </w:p>
        </w:tc>
        <w:tc>
          <w:tcPr>
            <w:tcW w:w="63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0.54</w:t>
            </w:r>
          </w:p>
        </w:tc>
        <w:tc>
          <w:tcPr>
            <w:tcW w:w="387" w:type="dxa"/>
            <w:gridSpan w:val="2"/>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604"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£362,465</w:t>
            </w:r>
          </w:p>
        </w:tc>
        <w:tc>
          <w:tcPr>
            <w:tcW w:w="1429"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£1,730</w:t>
            </w:r>
          </w:p>
        </w:tc>
        <w:tc>
          <w:tcPr>
            <w:tcW w:w="1369"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0.44</w:t>
            </w:r>
          </w:p>
        </w:tc>
        <w:tc>
          <w:tcPr>
            <w:tcW w:w="875" w:type="dxa"/>
            <w:tcBorders>
              <w:bottom w:val="nil"/>
            </w:tcBorders>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0.56</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251" w:type="dxa"/>
            <w:tcBorders>
              <w:top w:val="nil"/>
              <w:bottom w:val="nil"/>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086" w:type="dxa"/>
            <w:tcBorders>
              <w:top w:val="nil"/>
              <w:bottom w:val="nil"/>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C806D0">
              <w:rPr>
                <w:rFonts w:ascii="Calibri" w:hAnsi="Calibri" w:cs="Arial"/>
                <w:color w:val="auto"/>
                <w:sz w:val="20"/>
                <w:szCs w:val="20"/>
              </w:rPr>
              <w:t>No transfer</w:t>
            </w:r>
          </w:p>
        </w:tc>
        <w:tc>
          <w:tcPr>
            <w:tcW w:w="924"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£26,904</w:t>
            </w:r>
          </w:p>
        </w:tc>
        <w:tc>
          <w:tcPr>
            <w:tcW w:w="801"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12.65</w:t>
            </w:r>
          </w:p>
        </w:tc>
        <w:tc>
          <w:tcPr>
            <w:tcW w:w="101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£226,188</w:t>
            </w:r>
          </w:p>
        </w:tc>
        <w:tc>
          <w:tcPr>
            <w:tcW w:w="1429"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-£5,257</w:t>
            </w:r>
          </w:p>
        </w:tc>
        <w:tc>
          <w:tcPr>
            <w:tcW w:w="1369"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0.01</w:t>
            </w:r>
          </w:p>
        </w:tc>
        <w:tc>
          <w:tcPr>
            <w:tcW w:w="63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0.99</w:t>
            </w:r>
          </w:p>
        </w:tc>
        <w:tc>
          <w:tcPr>
            <w:tcW w:w="387" w:type="dxa"/>
            <w:gridSpan w:val="2"/>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604"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£352,735</w:t>
            </w:r>
          </w:p>
        </w:tc>
        <w:tc>
          <w:tcPr>
            <w:tcW w:w="1429"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-£8,001</w:t>
            </w:r>
          </w:p>
        </w:tc>
        <w:tc>
          <w:tcPr>
            <w:tcW w:w="1369"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0.01</w:t>
            </w:r>
          </w:p>
        </w:tc>
        <w:tc>
          <w:tcPr>
            <w:tcW w:w="875" w:type="dxa"/>
            <w:tcBorders>
              <w:top w:val="nil"/>
              <w:bottom w:val="nil"/>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r w:rsidRPr="00C806D0">
              <w:rPr>
                <w:rFonts w:ascii="Calibri" w:eastAsia="Times New Roman" w:hAnsi="Calibri" w:cs="Arial"/>
                <w:color w:val="auto"/>
                <w:sz w:val="20"/>
                <w:szCs w:val="20"/>
                <w:lang w:eastAsia="en-GB"/>
              </w:rPr>
              <w:t>0.99</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1251" w:type="dxa"/>
            <w:tcBorders>
              <w:top w:val="nil"/>
              <w:bottom w:val="single" w:sz="4" w:space="0" w:color="auto"/>
            </w:tcBorders>
            <w:shd w:val="clear" w:color="auto" w:fill="FFFFFF" w:themeFill="background1"/>
          </w:tcPr>
          <w:p w:rsidR="00003A24" w:rsidRPr="00C806D0" w:rsidRDefault="00003A24" w:rsidP="002A16B4">
            <w:pPr>
              <w:pStyle w:val="NoSpacing"/>
              <w:rPr>
                <w:rFonts w:ascii="Calibri" w:hAnsi="Calibri" w:cs="Arial"/>
                <w:b w:val="0"/>
                <w:color w:val="auto"/>
                <w:sz w:val="20"/>
                <w:szCs w:val="20"/>
              </w:rPr>
            </w:pPr>
          </w:p>
        </w:tc>
        <w:tc>
          <w:tcPr>
            <w:tcW w:w="1086" w:type="dxa"/>
            <w:tcBorders>
              <w:top w:val="nil"/>
              <w:bottom w:val="single" w:sz="4" w:space="0" w:color="auto"/>
            </w:tcBorders>
            <w:shd w:val="clear" w:color="auto" w:fill="FFFFFF" w:themeFill="background1"/>
          </w:tcPr>
          <w:p w:rsidR="00003A24" w:rsidRPr="00C806D0" w:rsidRDefault="00003A24" w:rsidP="002A16B4">
            <w:pPr>
              <w:pStyle w:val="NoSpacing"/>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p>
        </w:tc>
        <w:tc>
          <w:tcPr>
            <w:tcW w:w="924"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801"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01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429"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369"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63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387" w:type="dxa"/>
            <w:gridSpan w:val="2"/>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p>
        </w:tc>
        <w:tc>
          <w:tcPr>
            <w:tcW w:w="1604"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429"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1369"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c>
          <w:tcPr>
            <w:tcW w:w="875" w:type="dxa"/>
            <w:tcBorders>
              <w:top w:val="nil"/>
              <w:bottom w:val="single" w:sz="4" w:space="0" w:color="auto"/>
            </w:tcBorders>
            <w:shd w:val="clear" w:color="auto" w:fill="FFFFFF" w:themeFill="background1"/>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20"/>
                <w:szCs w:val="20"/>
                <w:lang w:eastAsia="en-GB"/>
              </w:rPr>
            </w:pPr>
          </w:p>
        </w:tc>
      </w:tr>
    </w:tbl>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Very small utility decrement applied to inappropriately bypassed mild TBI patients to account for inconvenience of transport to distant hospital.</w:t>
      </w:r>
    </w:p>
    <w:p w:rsidR="00003A24" w:rsidRPr="00C806D0" w:rsidRDefault="00003A24" w:rsidP="00003A24">
      <w:pPr>
        <w:pStyle w:val="NoSpacing"/>
        <w:rPr>
          <w:rFonts w:ascii="Calibri" w:hAnsi="Calibri" w:cs="Arial"/>
          <w:sz w:val="20"/>
          <w:szCs w:val="20"/>
        </w:rPr>
      </w:pPr>
      <w:r w:rsidRPr="00C806D0">
        <w:rPr>
          <w:rFonts w:ascii="Calibri" w:hAnsi="Calibri" w:cs="Arial"/>
          <w:sz w:val="20"/>
          <w:szCs w:val="20"/>
        </w:rPr>
        <w:t>Selective transfer is baseline comparator for calculation of mean incremental NMB. Strategy with highest net benefit shaded in grey.</w:t>
      </w: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BF1676" w:rsidRPr="00C806D0" w:rsidRDefault="00BF1676" w:rsidP="00003A24">
      <w:pPr>
        <w:rPr>
          <w:rFonts w:ascii="Arial" w:hAnsi="Arial" w:cs="Arial"/>
          <w:b/>
        </w:rPr>
        <w:sectPr w:rsidR="00BF1676" w:rsidRPr="00C806D0" w:rsidSect="00BF1676">
          <w:pgSz w:w="16838" w:h="11906" w:orient="landscape"/>
          <w:pgMar w:top="2268" w:right="1134" w:bottom="1134" w:left="1134" w:header="709" w:footer="709" w:gutter="0"/>
          <w:cols w:space="708"/>
          <w:docGrid w:linePitch="360"/>
        </w:sectPr>
      </w:pPr>
    </w:p>
    <w:p w:rsidR="00003A24" w:rsidRPr="00C806D0" w:rsidRDefault="00003A24" w:rsidP="00003A24">
      <w:pPr>
        <w:pStyle w:val="Heading2"/>
      </w:pPr>
      <w:r w:rsidRPr="00C806D0">
        <w:t>expected value of information additional results</w:t>
      </w:r>
    </w:p>
    <w:p w:rsidR="00003A24" w:rsidRPr="00C806D0" w:rsidRDefault="00003A24" w:rsidP="00C92FBF">
      <w:pPr>
        <w:pStyle w:val="Heading3"/>
      </w:pPr>
      <w:r w:rsidRPr="00C806D0">
        <w:t>Expected value of perfect information sensitivity analyses</w:t>
      </w:r>
    </w:p>
    <w:p w:rsidR="00003A24" w:rsidRPr="00C806D0" w:rsidRDefault="00003A24" w:rsidP="00003A24">
      <w:r w:rsidRPr="00C806D0">
        <w:t xml:space="preserve">Estimates for population EVPI remained substantial in both pessimistic and optimistic scenario sensitivity analyses, varying from £10.9 million to £70.7 million at λ=£20,000, and £15.6 million to £101.3 million at λ=£30,000, as detailed in Table J18. </w:t>
      </w:r>
    </w:p>
    <w:p w:rsidR="00003A24" w:rsidRPr="00C806D0" w:rsidRDefault="00003A24" w:rsidP="00003A24"/>
    <w:p w:rsidR="00003A24" w:rsidRPr="00C806D0" w:rsidRDefault="00003A24" w:rsidP="00003A24">
      <w:pPr>
        <w:rPr>
          <w:rFonts w:ascii="Calibri" w:hAnsi="Calibri" w:cs="Arial"/>
          <w:b/>
        </w:rPr>
      </w:pPr>
      <w:r w:rsidRPr="00C806D0">
        <w:rPr>
          <w:rFonts w:ascii="Calibri" w:hAnsi="Calibri" w:cs="Arial"/>
          <w:b/>
        </w:rPr>
        <w:t xml:space="preserve">Table J18.  Population EVPI at different cost-effectiveness thresholds, under different assumptions for population that might benefit from future research. </w:t>
      </w:r>
    </w:p>
    <w:tbl>
      <w:tblPr>
        <w:tblStyle w:val="LightShading1"/>
        <w:tblW w:w="0" w:type="auto"/>
        <w:tblLayout w:type="fixed"/>
        <w:tblLook w:val="06A0" w:firstRow="1" w:lastRow="0" w:firstColumn="1" w:lastColumn="0" w:noHBand="1" w:noVBand="1"/>
      </w:tblPr>
      <w:tblGrid>
        <w:gridCol w:w="1101"/>
        <w:gridCol w:w="1275"/>
        <w:gridCol w:w="426"/>
        <w:gridCol w:w="850"/>
        <w:gridCol w:w="1276"/>
        <w:gridCol w:w="1276"/>
        <w:gridCol w:w="1275"/>
        <w:gridCol w:w="1241"/>
      </w:tblGrid>
      <w:tr w:rsidR="00003A24" w:rsidRPr="00C806D0" w:rsidTr="008570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bottom w:val="nil"/>
            </w:tcBorders>
            <w:noWrap/>
            <w:hideMark/>
          </w:tcPr>
          <w:p w:rsidR="00003A24" w:rsidRPr="00C806D0" w:rsidRDefault="00003A24" w:rsidP="002A16B4">
            <w:pPr>
              <w:jc w:val="center"/>
              <w:rPr>
                <w:rFonts w:ascii="Calibri" w:eastAsia="Times New Roman" w:hAnsi="Calibri" w:cs="Arial"/>
                <w:color w:val="000000"/>
                <w:sz w:val="19"/>
                <w:szCs w:val="19"/>
                <w:lang w:eastAsia="en-GB"/>
              </w:rPr>
            </w:pPr>
          </w:p>
        </w:tc>
        <w:tc>
          <w:tcPr>
            <w:tcW w:w="7619" w:type="dxa"/>
            <w:gridSpan w:val="7"/>
            <w:tcBorders>
              <w:top w:val="single" w:sz="4" w:space="0" w:color="auto"/>
              <w:bottom w:val="nil"/>
            </w:tcBorders>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9"/>
                <w:szCs w:val="19"/>
                <w:lang w:eastAsia="en-GB"/>
              </w:rPr>
            </w:pPr>
            <w:r w:rsidRPr="00C806D0">
              <w:rPr>
                <w:rFonts w:ascii="Calibri" w:eastAsia="Times New Roman" w:hAnsi="Calibri" w:cs="Arial"/>
                <w:color w:val="000000"/>
                <w:sz w:val="19"/>
                <w:szCs w:val="19"/>
                <w:lang w:eastAsia="en-GB"/>
              </w:rPr>
              <w:t>Population EVPI (λ=)</w:t>
            </w:r>
          </w:p>
        </w:tc>
      </w:tr>
      <w:tr w:rsidR="00003A24" w:rsidRPr="00C806D0" w:rsidTr="0085706C">
        <w:trPr>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sz="4" w:space="0" w:color="auto"/>
            </w:tcBorders>
            <w:noWrap/>
            <w:hideMark/>
          </w:tcPr>
          <w:p w:rsidR="00003A24" w:rsidRPr="00C806D0" w:rsidRDefault="00003A24" w:rsidP="002A16B4">
            <w:pPr>
              <w:jc w:val="center"/>
              <w:rPr>
                <w:rFonts w:ascii="Calibri" w:eastAsia="Times New Roman" w:hAnsi="Calibri" w:cs="Arial"/>
                <w:color w:val="000000"/>
                <w:sz w:val="19"/>
                <w:szCs w:val="19"/>
                <w:lang w:eastAsia="en-GB"/>
              </w:rPr>
            </w:pPr>
          </w:p>
        </w:tc>
        <w:tc>
          <w:tcPr>
            <w:tcW w:w="1701" w:type="dxa"/>
            <w:gridSpan w:val="2"/>
            <w:tcBorders>
              <w:top w:val="nil"/>
              <w:bottom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9"/>
                <w:szCs w:val="19"/>
                <w:lang w:eastAsia="en-GB"/>
              </w:rPr>
            </w:pPr>
            <w:r w:rsidRPr="00C806D0">
              <w:rPr>
                <w:rFonts w:ascii="Calibri" w:eastAsia="Times New Roman" w:hAnsi="Calibri" w:cs="Arial"/>
                <w:b/>
                <w:color w:val="000000"/>
                <w:sz w:val="19"/>
                <w:szCs w:val="19"/>
                <w:lang w:eastAsia="en-GB"/>
              </w:rPr>
              <w:t>£0</w:t>
            </w:r>
          </w:p>
        </w:tc>
        <w:tc>
          <w:tcPr>
            <w:tcW w:w="850" w:type="dxa"/>
            <w:tcBorders>
              <w:top w:val="nil"/>
              <w:bottom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9"/>
                <w:szCs w:val="19"/>
                <w:lang w:eastAsia="en-GB"/>
              </w:rPr>
            </w:pPr>
            <w:r w:rsidRPr="00C806D0">
              <w:rPr>
                <w:rFonts w:ascii="Calibri" w:eastAsia="Times New Roman" w:hAnsi="Calibri" w:cs="Arial"/>
                <w:b/>
                <w:color w:val="000000"/>
                <w:sz w:val="19"/>
                <w:szCs w:val="19"/>
                <w:lang w:eastAsia="en-GB"/>
              </w:rPr>
              <w:t>£10,000</w:t>
            </w:r>
          </w:p>
        </w:tc>
        <w:tc>
          <w:tcPr>
            <w:tcW w:w="1276" w:type="dxa"/>
            <w:tcBorders>
              <w:top w:val="nil"/>
              <w:bottom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9"/>
                <w:szCs w:val="19"/>
                <w:lang w:eastAsia="en-GB"/>
              </w:rPr>
            </w:pPr>
            <w:r w:rsidRPr="00C806D0">
              <w:rPr>
                <w:rFonts w:ascii="Calibri" w:eastAsia="Times New Roman" w:hAnsi="Calibri" w:cs="Arial"/>
                <w:b/>
                <w:color w:val="000000"/>
                <w:sz w:val="19"/>
                <w:szCs w:val="19"/>
                <w:lang w:eastAsia="en-GB"/>
              </w:rPr>
              <w:t>£20,000</w:t>
            </w:r>
          </w:p>
        </w:tc>
        <w:tc>
          <w:tcPr>
            <w:tcW w:w="1276" w:type="dxa"/>
            <w:tcBorders>
              <w:top w:val="nil"/>
              <w:bottom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sz w:val="19"/>
                <w:szCs w:val="19"/>
              </w:rPr>
            </w:pPr>
            <w:r w:rsidRPr="00C806D0">
              <w:rPr>
                <w:rFonts w:ascii="Calibri" w:eastAsia="Times New Roman" w:hAnsi="Calibri" w:cs="Arial"/>
                <w:b/>
                <w:color w:val="000000"/>
                <w:sz w:val="19"/>
                <w:szCs w:val="19"/>
                <w:lang w:eastAsia="en-GB"/>
              </w:rPr>
              <w:t>£30,000</w:t>
            </w:r>
          </w:p>
        </w:tc>
        <w:tc>
          <w:tcPr>
            <w:tcW w:w="1275" w:type="dxa"/>
            <w:tcBorders>
              <w:top w:val="nil"/>
              <w:bottom w:val="single" w:sz="4" w:space="0" w:color="auto"/>
            </w:tcBorders>
          </w:tcPr>
          <w:p w:rsidR="00003A24" w:rsidRPr="00C806D0" w:rsidRDefault="00003A24" w:rsidP="002A16B4">
            <w:pPr>
              <w:tabs>
                <w:tab w:val="left" w:pos="234"/>
                <w:tab w:val="center" w:pos="739"/>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9"/>
                <w:szCs w:val="19"/>
                <w:lang w:eastAsia="en-GB"/>
              </w:rPr>
            </w:pPr>
            <w:r w:rsidRPr="00C806D0">
              <w:rPr>
                <w:rFonts w:ascii="Calibri" w:eastAsia="Times New Roman" w:hAnsi="Calibri" w:cs="Arial"/>
                <w:b/>
                <w:color w:val="000000"/>
                <w:sz w:val="19"/>
                <w:szCs w:val="19"/>
                <w:lang w:eastAsia="en-GB"/>
              </w:rPr>
              <w:tab/>
            </w:r>
            <w:r w:rsidRPr="00C806D0">
              <w:rPr>
                <w:rFonts w:ascii="Calibri" w:eastAsia="Times New Roman" w:hAnsi="Calibri" w:cs="Arial"/>
                <w:b/>
                <w:color w:val="000000"/>
                <w:sz w:val="19"/>
                <w:szCs w:val="19"/>
                <w:lang w:eastAsia="en-GB"/>
              </w:rPr>
              <w:tab/>
              <w:t>£40,000</w:t>
            </w:r>
          </w:p>
        </w:tc>
        <w:tc>
          <w:tcPr>
            <w:tcW w:w="1241" w:type="dxa"/>
            <w:tcBorders>
              <w:top w:val="nil"/>
              <w:bottom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sz w:val="19"/>
                <w:szCs w:val="19"/>
                <w:lang w:eastAsia="en-GB"/>
              </w:rPr>
            </w:pPr>
            <w:r w:rsidRPr="00C806D0">
              <w:rPr>
                <w:rFonts w:ascii="Calibri" w:eastAsia="Times New Roman" w:hAnsi="Calibri" w:cs="Arial"/>
                <w:b/>
                <w:color w:val="000000"/>
                <w:sz w:val="19"/>
                <w:szCs w:val="19"/>
                <w:lang w:eastAsia="en-GB"/>
              </w:rPr>
              <w:t>£50,000</w:t>
            </w:r>
          </w:p>
        </w:tc>
      </w:tr>
      <w:tr w:rsidR="00003A24" w:rsidRPr="00C806D0" w:rsidTr="0085706C">
        <w:trPr>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tcBorders>
            <w:noWrap/>
            <w:hideMark/>
          </w:tcPr>
          <w:p w:rsidR="00003A24" w:rsidRPr="00C806D0" w:rsidRDefault="00003A24" w:rsidP="002A16B4">
            <w:pPr>
              <w:rPr>
                <w:rFonts w:ascii="Calibri" w:eastAsia="Times New Roman" w:hAnsi="Calibri" w:cs="Arial"/>
                <w:b w:val="0"/>
                <w:color w:val="000000"/>
                <w:sz w:val="19"/>
                <w:szCs w:val="19"/>
                <w:lang w:eastAsia="en-GB"/>
              </w:rPr>
            </w:pPr>
            <w:r w:rsidRPr="00C806D0">
              <w:rPr>
                <w:rFonts w:ascii="Calibri" w:eastAsia="Times New Roman" w:hAnsi="Calibri" w:cs="Arial"/>
                <w:b w:val="0"/>
                <w:color w:val="000000"/>
                <w:sz w:val="19"/>
                <w:szCs w:val="19"/>
                <w:lang w:eastAsia="en-GB"/>
              </w:rPr>
              <w:t>Base case</w:t>
            </w:r>
          </w:p>
          <w:p w:rsidR="00003A24" w:rsidRPr="00C806D0" w:rsidRDefault="00003A24" w:rsidP="002A16B4">
            <w:pPr>
              <w:rPr>
                <w:rFonts w:ascii="Calibri" w:eastAsia="Times New Roman" w:hAnsi="Calibri" w:cs="Arial"/>
                <w:b w:val="0"/>
                <w:color w:val="000000"/>
                <w:sz w:val="19"/>
                <w:szCs w:val="19"/>
                <w:lang w:eastAsia="en-GB"/>
              </w:rPr>
            </w:pPr>
          </w:p>
        </w:tc>
        <w:tc>
          <w:tcPr>
            <w:tcW w:w="1275" w:type="dxa"/>
            <w:tcBorders>
              <w:top w:val="single" w:sz="4" w:space="0" w:color="auto"/>
            </w:tcBorders>
            <w:noWrap/>
            <w:hideMark/>
          </w:tcPr>
          <w:p w:rsidR="00003A24" w:rsidRPr="00C806D0" w:rsidRDefault="00003A24" w:rsidP="0085706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£8,756,236</w:t>
            </w:r>
          </w:p>
        </w:tc>
        <w:tc>
          <w:tcPr>
            <w:tcW w:w="1276" w:type="dxa"/>
            <w:gridSpan w:val="2"/>
            <w:tcBorders>
              <w:top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£19,416,946</w:t>
            </w:r>
          </w:p>
        </w:tc>
        <w:tc>
          <w:tcPr>
            <w:tcW w:w="1276" w:type="dxa"/>
            <w:tcBorders>
              <w:top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£35,589,507</w:t>
            </w:r>
          </w:p>
        </w:tc>
        <w:tc>
          <w:tcPr>
            <w:tcW w:w="1276" w:type="dxa"/>
            <w:tcBorders>
              <w:top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£51,079,936</w:t>
            </w:r>
          </w:p>
        </w:tc>
        <w:tc>
          <w:tcPr>
            <w:tcW w:w="1275" w:type="dxa"/>
            <w:tcBorders>
              <w:top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£57,648,281</w:t>
            </w:r>
          </w:p>
        </w:tc>
        <w:tc>
          <w:tcPr>
            <w:tcW w:w="1241" w:type="dxa"/>
            <w:tcBorders>
              <w:top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£64,824,398</w:t>
            </w:r>
          </w:p>
        </w:tc>
      </w:tr>
      <w:tr w:rsidR="00003A24" w:rsidRPr="00C806D0" w:rsidTr="0085706C">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003A24" w:rsidRPr="00C806D0" w:rsidRDefault="00003A24" w:rsidP="002A16B4">
            <w:pPr>
              <w:rPr>
                <w:rFonts w:ascii="Calibri" w:eastAsia="Times New Roman" w:hAnsi="Calibri" w:cs="Arial"/>
                <w:b w:val="0"/>
                <w:color w:val="000000"/>
                <w:sz w:val="19"/>
                <w:szCs w:val="19"/>
                <w:lang w:eastAsia="en-GB"/>
              </w:rPr>
            </w:pPr>
            <w:r w:rsidRPr="00C806D0">
              <w:rPr>
                <w:rFonts w:ascii="Calibri" w:eastAsia="Times New Roman" w:hAnsi="Calibri" w:cs="Arial"/>
                <w:b w:val="0"/>
                <w:color w:val="000000"/>
                <w:sz w:val="19"/>
                <w:szCs w:val="19"/>
                <w:lang w:eastAsia="en-GB"/>
              </w:rPr>
              <w:t>Optimistic scenario</w:t>
            </w:r>
          </w:p>
          <w:p w:rsidR="00003A24" w:rsidRPr="00C806D0" w:rsidRDefault="00003A24" w:rsidP="002A16B4">
            <w:pPr>
              <w:rPr>
                <w:rFonts w:ascii="Calibri" w:eastAsia="Times New Roman" w:hAnsi="Calibri" w:cs="Arial"/>
                <w:b w:val="0"/>
                <w:color w:val="000000"/>
                <w:sz w:val="19"/>
                <w:szCs w:val="19"/>
                <w:lang w:eastAsia="en-GB"/>
              </w:rPr>
            </w:pPr>
          </w:p>
        </w:tc>
        <w:tc>
          <w:tcPr>
            <w:tcW w:w="1275" w:type="dxa"/>
            <w:noWrap/>
            <w:hideMark/>
          </w:tcPr>
          <w:p w:rsidR="00003A24" w:rsidRPr="00C806D0" w:rsidRDefault="00003A24" w:rsidP="0085706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£17,366,923</w:t>
            </w:r>
          </w:p>
        </w:tc>
        <w:tc>
          <w:tcPr>
            <w:tcW w:w="1276" w:type="dxa"/>
            <w:gridSpan w:val="2"/>
            <w:noWrap/>
            <w:hideMark/>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£38,511,136</w:t>
            </w:r>
          </w:p>
        </w:tc>
        <w:tc>
          <w:tcPr>
            <w:tcW w:w="1276" w:type="dxa"/>
            <w:noWrap/>
            <w:hideMark/>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£70,587,431</w:t>
            </w:r>
          </w:p>
        </w:tc>
        <w:tc>
          <w:tcPr>
            <w:tcW w:w="1276" w:type="dxa"/>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£101,310,801</w:t>
            </w:r>
          </w:p>
        </w:tc>
        <w:tc>
          <w:tcPr>
            <w:tcW w:w="1275" w:type="dxa"/>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£114,338,310</w:t>
            </w:r>
          </w:p>
        </w:tc>
        <w:tc>
          <w:tcPr>
            <w:tcW w:w="1241" w:type="dxa"/>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8"/>
              </w:rPr>
            </w:pPr>
            <w:r w:rsidRPr="00C806D0">
              <w:rPr>
                <w:rFonts w:ascii="Calibri" w:hAnsi="Calibri" w:cs="Arial"/>
                <w:color w:val="000000"/>
                <w:sz w:val="18"/>
                <w:szCs w:val="18"/>
              </w:rPr>
              <w:t>£128,571,260</w:t>
            </w:r>
          </w:p>
        </w:tc>
      </w:tr>
      <w:tr w:rsidR="00003A24" w:rsidRPr="00C806D0" w:rsidTr="0085706C">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003A24" w:rsidRPr="00C806D0" w:rsidRDefault="00003A24" w:rsidP="002A16B4">
            <w:pPr>
              <w:rPr>
                <w:rFonts w:ascii="Calibri" w:eastAsia="Times New Roman" w:hAnsi="Calibri" w:cs="Arial"/>
                <w:b w:val="0"/>
                <w:color w:val="000000"/>
                <w:sz w:val="19"/>
                <w:szCs w:val="19"/>
                <w:lang w:eastAsia="en-GB"/>
              </w:rPr>
            </w:pPr>
            <w:r w:rsidRPr="00C806D0">
              <w:rPr>
                <w:rFonts w:ascii="Calibri" w:eastAsia="Times New Roman" w:hAnsi="Calibri" w:cs="Arial"/>
                <w:b w:val="0"/>
                <w:color w:val="000000"/>
                <w:sz w:val="19"/>
                <w:szCs w:val="19"/>
                <w:lang w:eastAsia="en-GB"/>
              </w:rPr>
              <w:t>Pessimistic scenario</w:t>
            </w:r>
          </w:p>
          <w:p w:rsidR="00003A24" w:rsidRPr="00C806D0" w:rsidRDefault="00003A24" w:rsidP="002A16B4">
            <w:pPr>
              <w:rPr>
                <w:rFonts w:ascii="Calibri" w:eastAsia="Times New Roman" w:hAnsi="Calibri" w:cs="Arial"/>
                <w:b w:val="0"/>
                <w:color w:val="000000"/>
                <w:sz w:val="19"/>
                <w:szCs w:val="19"/>
                <w:lang w:eastAsia="en-GB"/>
              </w:rPr>
            </w:pPr>
          </w:p>
        </w:tc>
        <w:tc>
          <w:tcPr>
            <w:tcW w:w="1275" w:type="dxa"/>
            <w:noWrap/>
            <w:hideMark/>
          </w:tcPr>
          <w:p w:rsidR="00003A24" w:rsidRPr="00C806D0" w:rsidRDefault="00003A24" w:rsidP="0085706C">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£2,674,605</w:t>
            </w:r>
          </w:p>
        </w:tc>
        <w:tc>
          <w:tcPr>
            <w:tcW w:w="1276" w:type="dxa"/>
            <w:gridSpan w:val="2"/>
            <w:noWrap/>
            <w:hideMark/>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£5,930,934</w:t>
            </w:r>
          </w:p>
        </w:tc>
        <w:tc>
          <w:tcPr>
            <w:tcW w:w="1276" w:type="dxa"/>
            <w:noWrap/>
            <w:hideMark/>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£10,870,866</w:t>
            </w:r>
          </w:p>
        </w:tc>
        <w:tc>
          <w:tcPr>
            <w:tcW w:w="1276" w:type="dxa"/>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£15,602,439</w:t>
            </w:r>
          </w:p>
        </w:tc>
        <w:tc>
          <w:tcPr>
            <w:tcW w:w="1275" w:type="dxa"/>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£17,608,750</w:t>
            </w:r>
          </w:p>
        </w:tc>
        <w:tc>
          <w:tcPr>
            <w:tcW w:w="1241" w:type="dxa"/>
          </w:tcPr>
          <w:p w:rsidR="00003A24" w:rsidRPr="00C806D0" w:rsidRDefault="00003A24" w:rsidP="002A16B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9"/>
                <w:szCs w:val="19"/>
              </w:rPr>
            </w:pPr>
            <w:r w:rsidRPr="00C806D0">
              <w:rPr>
                <w:rFonts w:ascii="Calibri" w:hAnsi="Calibri" w:cs="Arial"/>
                <w:color w:val="000000"/>
                <w:sz w:val="19"/>
                <w:szCs w:val="19"/>
              </w:rPr>
              <w:t>£19,800,705</w:t>
            </w:r>
          </w:p>
        </w:tc>
      </w:tr>
    </w:tbl>
    <w:p w:rsidR="002A16B4" w:rsidRPr="00C806D0" w:rsidRDefault="002A16B4" w:rsidP="00003A24">
      <w:pPr>
        <w:pStyle w:val="NoSpacing"/>
        <w:rPr>
          <w:rFonts w:ascii="Calibri" w:hAnsi="Calibri" w:cs="Arial"/>
          <w:sz w:val="19"/>
          <w:szCs w:val="19"/>
        </w:rPr>
      </w:pPr>
    </w:p>
    <w:p w:rsidR="00003A24" w:rsidRPr="00C806D0" w:rsidRDefault="00003A24" w:rsidP="00C92FBF">
      <w:pPr>
        <w:pStyle w:val="Heading3"/>
      </w:pPr>
      <w:r w:rsidRPr="00C806D0">
        <w:t xml:space="preserve">Expected value of partial perfect information </w:t>
      </w:r>
    </w:p>
    <w:p w:rsidR="00003A24" w:rsidRPr="00C806D0" w:rsidRDefault="00003A24" w:rsidP="00003A24">
      <w:pPr>
        <w:rPr>
          <w:color w:val="000000"/>
        </w:rPr>
      </w:pPr>
      <w:r w:rsidRPr="00C806D0">
        <w:t xml:space="preserve">The individual EVPPI, and concomitant population EVPPI, for each individual model parameter across a relevant range of willingness to pay thresholds are detailed in Tables J19 and J20. The key model parameters for which there is highest additional value in future research are relative outcomes, and incremental inpatients costs, between selective transfer and bypass strategies, particularly in patients requiring acute neurosurgery and critical care. The upper limit for returns to research on these individual parameters ranged from </w:t>
      </w:r>
      <w:r w:rsidRPr="00C806D0">
        <w:rPr>
          <w:color w:val="000000"/>
        </w:rPr>
        <w:t xml:space="preserve">£5.1 million to £26.0 million under base case assumptions and λ=£20,000. </w:t>
      </w:r>
    </w:p>
    <w:p w:rsidR="00003A24" w:rsidRPr="00C806D0" w:rsidRDefault="00003A24" w:rsidP="00003A24">
      <w:pPr>
        <w:rPr>
          <w:color w:val="000000"/>
        </w:rPr>
      </w:pPr>
    </w:p>
    <w:p w:rsidR="00003A24" w:rsidRPr="00C806D0" w:rsidRDefault="00003A24" w:rsidP="00003A24">
      <w:pPr>
        <w:rPr>
          <w:rFonts w:ascii="Calibri" w:hAnsi="Calibri" w:cs="Arial"/>
        </w:rPr>
      </w:pPr>
      <w:r w:rsidRPr="00C806D0">
        <w:rPr>
          <w:color w:val="000000"/>
        </w:rPr>
        <w:t xml:space="preserve">Five categories of parameters, reflecting potential future research designs, were considered in base case EVPPI analyses: case-mix of suspected significant TBI patients; long term costs; utility values for GOS health states; and incremental costs and effects between selective transfer and bypass strategies. </w:t>
      </w:r>
      <w:r w:rsidRPr="00C806D0">
        <w:t>Population EVPPI results for these groups of parameters, under optimistic and pessimistic scenarios for the numbers of patients who may gain from future research, are shown in Table J21.</w:t>
      </w:r>
    </w:p>
    <w:p w:rsidR="003A4BDE" w:rsidRPr="00C806D0" w:rsidRDefault="003A4BDE" w:rsidP="00003A24">
      <w:pPr>
        <w:rPr>
          <w:rFonts w:ascii="Calibri" w:hAnsi="Calibri" w:cs="Arial"/>
          <w:b/>
        </w:rPr>
      </w:pPr>
    </w:p>
    <w:p w:rsidR="00BF1676" w:rsidRPr="00C806D0" w:rsidRDefault="00BF1676" w:rsidP="00003A24">
      <w:pPr>
        <w:rPr>
          <w:rFonts w:ascii="Calibri" w:hAnsi="Calibri" w:cs="Arial"/>
          <w:b/>
        </w:r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rPr>
          <w:rFonts w:ascii="Calibri" w:hAnsi="Calibri" w:cs="Arial"/>
        </w:rPr>
      </w:pPr>
      <w:r w:rsidRPr="00C806D0">
        <w:rPr>
          <w:rFonts w:ascii="Calibri" w:hAnsi="Calibri" w:cs="Arial"/>
          <w:b/>
        </w:rPr>
        <w:t xml:space="preserve">Table J19. Individual EVPPI for model parameters under base case assumptions. </w:t>
      </w:r>
    </w:p>
    <w:tbl>
      <w:tblPr>
        <w:tblW w:w="5000" w:type="pct"/>
        <w:shd w:val="clear" w:color="auto" w:fill="FFFFFF" w:themeFill="background1"/>
        <w:tblLook w:val="04A0" w:firstRow="1" w:lastRow="0" w:firstColumn="1" w:lastColumn="0" w:noHBand="0" w:noVBand="1"/>
      </w:tblPr>
      <w:tblGrid>
        <w:gridCol w:w="3130"/>
        <w:gridCol w:w="3958"/>
        <w:gridCol w:w="2286"/>
        <w:gridCol w:w="586"/>
        <w:gridCol w:w="964"/>
        <w:gridCol w:w="964"/>
        <w:gridCol w:w="964"/>
        <w:gridCol w:w="964"/>
        <w:gridCol w:w="970"/>
      </w:tblGrid>
      <w:tr w:rsidR="00003A24" w:rsidRPr="00C806D0" w:rsidTr="002A16B4">
        <w:trPr>
          <w:trHeight w:val="300"/>
        </w:trPr>
        <w:tc>
          <w:tcPr>
            <w:tcW w:w="1058" w:type="pct"/>
            <w:tcBorders>
              <w:top w:val="single" w:sz="4" w:space="0" w:color="auto"/>
              <w:left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single" w:sz="4" w:space="0" w:color="auto"/>
              <w:left w:val="nil"/>
              <w:right w:val="nil"/>
            </w:tcBorders>
            <w:shd w:val="clear" w:color="auto" w:fill="FFFFFF" w:themeFill="background1"/>
            <w:noWrap/>
            <w:hideMark/>
          </w:tcPr>
          <w:p w:rsidR="00003A24" w:rsidRPr="00C806D0" w:rsidRDefault="00003A24" w:rsidP="002A16B4">
            <w:pPr>
              <w:rPr>
                <w:rFonts w:ascii="Calibri" w:eastAsia="Times New Roman" w:hAnsi="Calibri" w:cs="Arial"/>
                <w:b/>
                <w:color w:val="000000"/>
                <w:sz w:val="18"/>
                <w:szCs w:val="18"/>
                <w:lang w:eastAsia="en-GB"/>
              </w:rPr>
            </w:pPr>
          </w:p>
        </w:tc>
        <w:tc>
          <w:tcPr>
            <w:tcW w:w="773" w:type="pct"/>
            <w:tcBorders>
              <w:top w:val="single" w:sz="4" w:space="0" w:color="auto"/>
              <w:left w:val="nil"/>
              <w:right w:val="nil"/>
            </w:tcBorders>
            <w:shd w:val="clear" w:color="auto" w:fill="FFFFFF" w:themeFill="background1"/>
            <w:noWrap/>
            <w:hideMark/>
          </w:tcPr>
          <w:p w:rsidR="00003A24" w:rsidRPr="00C806D0" w:rsidRDefault="00003A24" w:rsidP="002A16B4">
            <w:pPr>
              <w:rPr>
                <w:rFonts w:ascii="Calibri" w:eastAsia="Times New Roman" w:hAnsi="Calibri" w:cs="Arial"/>
                <w:b/>
                <w:color w:val="000000"/>
                <w:sz w:val="18"/>
                <w:szCs w:val="18"/>
                <w:lang w:eastAsia="en-GB"/>
              </w:rPr>
            </w:pPr>
          </w:p>
        </w:tc>
        <w:tc>
          <w:tcPr>
            <w:tcW w:w="1830" w:type="pct"/>
            <w:gridSpan w:val="6"/>
            <w:tcBorders>
              <w:top w:val="single" w:sz="4" w:space="0" w:color="auto"/>
              <w:left w:val="nil"/>
              <w:right w:val="nil"/>
            </w:tcBorders>
            <w:shd w:val="clear" w:color="auto" w:fill="FFFFFF" w:themeFill="background1"/>
            <w:noWrap/>
            <w:hideMark/>
          </w:tcPr>
          <w:p w:rsidR="00003A24" w:rsidRPr="00C806D0" w:rsidRDefault="00EF31E0" w:rsidP="002A16B4">
            <w:pPr>
              <w:jc w:val="center"/>
              <w:rPr>
                <w:rFonts w:ascii="Calibri" w:hAnsi="Calibri" w:cs="Arial"/>
                <w:b/>
                <w:color w:val="000000"/>
                <w:sz w:val="18"/>
                <w:szCs w:val="18"/>
              </w:rPr>
            </w:pPr>
            <w:r w:rsidRPr="00C806D0">
              <w:rPr>
                <w:rFonts w:ascii="Calibri" w:hAnsi="Calibri" w:cs="Arial"/>
                <w:b/>
                <w:color w:val="000000"/>
                <w:sz w:val="18"/>
                <w:szCs w:val="18"/>
              </w:rPr>
              <w:t>Individual</w:t>
            </w:r>
            <w:r w:rsidR="00003A24" w:rsidRPr="00C806D0">
              <w:rPr>
                <w:rFonts w:ascii="Calibri" w:hAnsi="Calibri" w:cs="Arial"/>
                <w:b/>
                <w:color w:val="000000"/>
                <w:sz w:val="18"/>
                <w:szCs w:val="18"/>
              </w:rPr>
              <w:t xml:space="preserve"> EVPPI at λ=</w:t>
            </w:r>
          </w:p>
        </w:tc>
      </w:tr>
      <w:tr w:rsidR="00003A24" w:rsidRPr="00C806D0" w:rsidTr="002A16B4">
        <w:trPr>
          <w:trHeight w:val="300"/>
        </w:trPr>
        <w:tc>
          <w:tcPr>
            <w:tcW w:w="1058" w:type="pct"/>
            <w:tcBorders>
              <w:left w:val="nil"/>
              <w:bottom w:val="single" w:sz="4" w:space="0" w:color="auto"/>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Parameter category</w:t>
            </w:r>
          </w:p>
        </w:tc>
        <w:tc>
          <w:tcPr>
            <w:tcW w:w="1338" w:type="pct"/>
            <w:tcBorders>
              <w:left w:val="nil"/>
              <w:bottom w:val="single" w:sz="4" w:space="0" w:color="auto"/>
              <w:right w:val="nil"/>
            </w:tcBorders>
            <w:shd w:val="clear" w:color="auto" w:fill="FFFFFF" w:themeFill="background1"/>
            <w:noWrap/>
            <w:hideMark/>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Relevant model inputs</w:t>
            </w:r>
          </w:p>
        </w:tc>
        <w:tc>
          <w:tcPr>
            <w:tcW w:w="773" w:type="pct"/>
            <w:tcBorders>
              <w:left w:val="nil"/>
              <w:bottom w:val="single" w:sz="4" w:space="0" w:color="auto"/>
              <w:right w:val="nil"/>
            </w:tcBorders>
            <w:shd w:val="clear" w:color="auto" w:fill="FFFFFF" w:themeFill="background1"/>
            <w:noWrap/>
            <w:hideMark/>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Input type</w:t>
            </w:r>
          </w:p>
        </w:tc>
        <w:tc>
          <w:tcPr>
            <w:tcW w:w="198" w:type="pct"/>
            <w:tcBorders>
              <w:left w:val="nil"/>
              <w:bottom w:val="single" w:sz="4" w:space="0" w:color="auto"/>
              <w:right w:val="nil"/>
            </w:tcBorders>
            <w:shd w:val="clear" w:color="auto" w:fill="FFFFFF" w:themeFill="background1"/>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£0</w:t>
            </w:r>
          </w:p>
        </w:tc>
        <w:tc>
          <w:tcPr>
            <w:tcW w:w="326" w:type="pct"/>
            <w:tcBorders>
              <w:left w:val="nil"/>
              <w:bottom w:val="single" w:sz="4" w:space="0" w:color="auto"/>
              <w:right w:val="nil"/>
            </w:tcBorders>
            <w:shd w:val="clear" w:color="auto" w:fill="FFFFFF" w:themeFill="background1"/>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£10,000</w:t>
            </w:r>
          </w:p>
        </w:tc>
        <w:tc>
          <w:tcPr>
            <w:tcW w:w="326" w:type="pct"/>
            <w:tcBorders>
              <w:left w:val="nil"/>
              <w:bottom w:val="single" w:sz="4" w:space="0" w:color="auto"/>
              <w:right w:val="nil"/>
            </w:tcBorders>
            <w:shd w:val="clear" w:color="auto" w:fill="FFFFFF" w:themeFill="background1"/>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£20,000</w:t>
            </w:r>
          </w:p>
        </w:tc>
        <w:tc>
          <w:tcPr>
            <w:tcW w:w="326" w:type="pct"/>
            <w:tcBorders>
              <w:left w:val="nil"/>
              <w:bottom w:val="single" w:sz="4" w:space="0" w:color="auto"/>
              <w:right w:val="nil"/>
            </w:tcBorders>
            <w:shd w:val="clear" w:color="auto" w:fill="FFFFFF" w:themeFill="background1"/>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£30,000</w:t>
            </w:r>
          </w:p>
        </w:tc>
        <w:tc>
          <w:tcPr>
            <w:tcW w:w="326" w:type="pct"/>
            <w:tcBorders>
              <w:left w:val="nil"/>
              <w:bottom w:val="single" w:sz="4" w:space="0" w:color="auto"/>
              <w:right w:val="nil"/>
            </w:tcBorders>
            <w:shd w:val="clear" w:color="auto" w:fill="FFFFFF" w:themeFill="background1"/>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£40,000</w:t>
            </w:r>
          </w:p>
        </w:tc>
        <w:tc>
          <w:tcPr>
            <w:tcW w:w="326" w:type="pct"/>
            <w:tcBorders>
              <w:left w:val="nil"/>
              <w:bottom w:val="single" w:sz="4" w:space="0" w:color="auto"/>
              <w:right w:val="nil"/>
            </w:tcBorders>
            <w:shd w:val="clear" w:color="auto" w:fill="FFFFFF" w:themeFill="background1"/>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£50,000</w:t>
            </w:r>
          </w:p>
        </w:tc>
      </w:tr>
      <w:tr w:rsidR="00003A24" w:rsidRPr="00C806D0" w:rsidTr="002A16B4">
        <w:trPr>
          <w:trHeight w:val="300"/>
        </w:trPr>
        <w:tc>
          <w:tcPr>
            <w:tcW w:w="1058" w:type="pct"/>
            <w:tcBorders>
              <w:top w:val="single" w:sz="4" w:space="0" w:color="auto"/>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Population subgroups</w:t>
            </w:r>
          </w:p>
        </w:tc>
        <w:tc>
          <w:tcPr>
            <w:tcW w:w="1338" w:type="pct"/>
            <w:tcBorders>
              <w:top w:val="single" w:sz="4" w:space="0" w:color="auto"/>
              <w:left w:val="nil"/>
              <w:bottom w:val="nil"/>
              <w:right w:val="nil"/>
            </w:tcBorders>
            <w:shd w:val="clear" w:color="auto" w:fill="FFFFFF" w:themeFill="background1"/>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Mild TBI</w:t>
            </w:r>
          </w:p>
        </w:tc>
        <w:tc>
          <w:tcPr>
            <w:tcW w:w="773" w:type="pct"/>
            <w:tcBorders>
              <w:top w:val="single" w:sz="4" w:space="0" w:color="auto"/>
              <w:left w:val="nil"/>
              <w:bottom w:val="nil"/>
              <w:right w:val="nil"/>
            </w:tcBorders>
            <w:shd w:val="clear" w:color="auto" w:fill="FFFFFF" w:themeFill="background1"/>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w:t>
            </w:r>
          </w:p>
        </w:tc>
        <w:tc>
          <w:tcPr>
            <w:tcW w:w="198" w:type="pct"/>
            <w:tcBorders>
              <w:top w:val="single" w:sz="4" w:space="0" w:color="auto"/>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single" w:sz="4" w:space="0" w:color="auto"/>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single" w:sz="4" w:space="0" w:color="auto"/>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single" w:sz="4" w:space="0" w:color="auto"/>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w:t>
            </w:r>
          </w:p>
        </w:tc>
        <w:tc>
          <w:tcPr>
            <w:tcW w:w="326" w:type="pct"/>
            <w:tcBorders>
              <w:top w:val="single" w:sz="4" w:space="0" w:color="auto"/>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single" w:sz="4" w:space="0" w:color="auto"/>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Acute neurosurgery</w:t>
            </w:r>
          </w:p>
        </w:tc>
        <w:tc>
          <w:tcPr>
            <w:tcW w:w="773" w:type="pct"/>
            <w:tcBorders>
              <w:top w:val="nil"/>
              <w:left w:val="nil"/>
              <w:bottom w:val="nil"/>
              <w:right w:val="nil"/>
            </w:tcBorders>
            <w:shd w:val="clear" w:color="auto" w:fill="FFFFFF" w:themeFill="background1"/>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w:t>
            </w:r>
          </w:p>
        </w:tc>
        <w:tc>
          <w:tcPr>
            <w:tcW w:w="198"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£18</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£260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£150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£106</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Head injury requiring critical care</w:t>
            </w:r>
          </w:p>
        </w:tc>
        <w:tc>
          <w:tcPr>
            <w:tcW w:w="773" w:type="pct"/>
            <w:tcBorders>
              <w:top w:val="nil"/>
              <w:left w:val="nil"/>
              <w:bottom w:val="nil"/>
              <w:right w:val="nil"/>
            </w:tcBorders>
            <w:shd w:val="clear" w:color="auto" w:fill="FFFFFF" w:themeFill="background1"/>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w:t>
            </w:r>
          </w:p>
        </w:tc>
        <w:tc>
          <w:tcPr>
            <w:tcW w:w="198"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£172</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£64</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£29</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Head injury requiring ward care</w:t>
            </w:r>
          </w:p>
        </w:tc>
        <w:tc>
          <w:tcPr>
            <w:tcW w:w="773" w:type="pct"/>
            <w:tcBorders>
              <w:top w:val="nil"/>
              <w:left w:val="nil"/>
              <w:bottom w:val="nil"/>
              <w:right w:val="nil"/>
            </w:tcBorders>
            <w:shd w:val="clear" w:color="auto" w:fill="FFFFFF" w:themeFill="background1"/>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w:t>
            </w:r>
          </w:p>
        </w:tc>
        <w:tc>
          <w:tcPr>
            <w:tcW w:w="198"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£28</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Major </w:t>
            </w:r>
            <w:r w:rsidR="002A16B4" w:rsidRPr="00C806D0">
              <w:rPr>
                <w:rFonts w:ascii="Calibri" w:eastAsia="Times New Roman" w:hAnsi="Calibri" w:cs="Arial"/>
                <w:color w:val="000000"/>
                <w:sz w:val="18"/>
                <w:szCs w:val="18"/>
                <w:lang w:eastAsia="en-GB"/>
              </w:rPr>
              <w:t>extracranial</w:t>
            </w:r>
            <w:r w:rsidRPr="00C806D0">
              <w:rPr>
                <w:rFonts w:ascii="Calibri" w:eastAsia="Times New Roman" w:hAnsi="Calibri" w:cs="Arial"/>
                <w:color w:val="000000"/>
                <w:sz w:val="18"/>
                <w:szCs w:val="18"/>
                <w:lang w:eastAsia="en-GB"/>
              </w:rPr>
              <w:t xml:space="preserve"> injury</w:t>
            </w:r>
          </w:p>
          <w:p w:rsidR="00003A24" w:rsidRPr="00C806D0" w:rsidRDefault="00003A24" w:rsidP="002A16B4">
            <w:pPr>
              <w:rPr>
                <w:rFonts w:ascii="Calibri" w:eastAsia="Times New Roman" w:hAnsi="Calibri" w:cs="Arial"/>
                <w:color w:val="000000"/>
                <w:sz w:val="18"/>
                <w:szCs w:val="18"/>
                <w:lang w:eastAsia="en-GB"/>
              </w:rPr>
            </w:pPr>
          </w:p>
        </w:tc>
        <w:tc>
          <w:tcPr>
            <w:tcW w:w="773" w:type="pct"/>
            <w:tcBorders>
              <w:top w:val="nil"/>
              <w:left w:val="nil"/>
              <w:bottom w:val="nil"/>
              <w:right w:val="nil"/>
            </w:tcBorders>
            <w:shd w:val="clear" w:color="auto" w:fill="FFFFFF" w:themeFill="background1"/>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Proportion </w:t>
            </w:r>
          </w:p>
        </w:tc>
        <w:tc>
          <w:tcPr>
            <w:tcW w:w="198"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£42</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 xml:space="preserve">Relative effectiveness outcomes </w:t>
            </w: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Acute neurosurgery: </w:t>
            </w:r>
            <w:r w:rsidR="00EF31E0" w:rsidRPr="00C806D0">
              <w:rPr>
                <w:rFonts w:ascii="Calibri" w:eastAsia="Times New Roman" w:hAnsi="Calibri" w:cs="Arial"/>
                <w:color w:val="000000"/>
                <w:sz w:val="18"/>
                <w:szCs w:val="18"/>
                <w:lang w:eastAsia="en-GB"/>
              </w:rPr>
              <w:t>S</w:t>
            </w:r>
            <w:r w:rsidRPr="00C806D0">
              <w:rPr>
                <w:rFonts w:ascii="Calibri" w:eastAsia="Times New Roman" w:hAnsi="Calibri" w:cs="Arial"/>
                <w:color w:val="000000"/>
                <w:sz w:val="18"/>
                <w:szCs w:val="18"/>
                <w:lang w:eastAsia="en-GB"/>
              </w:rPr>
              <w:t>NC care</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Proportional odds ratio</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£302</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£728</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£654</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£623</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(v selective transfer)</w:t>
            </w: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TBI requiring critical care: Bypass </w:t>
            </w:r>
          </w:p>
          <w:p w:rsidR="00003A24" w:rsidRPr="00C806D0" w:rsidRDefault="00003A24" w:rsidP="002A16B4">
            <w:pPr>
              <w:rPr>
                <w:rFonts w:ascii="Calibri" w:eastAsia="Times New Roman" w:hAnsi="Calibri" w:cs="Arial"/>
                <w:color w:val="000000"/>
                <w:sz w:val="18"/>
                <w:szCs w:val="18"/>
                <w:lang w:eastAsia="en-GB"/>
              </w:rPr>
            </w:pP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Proportional odds ratio</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£15</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£511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£1,322</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£2,133</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£2,388</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£2,664</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TBI requiring critical care: Routine transfer</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Proportional odds ratio</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£39</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£16</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£250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£616</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£499</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£435</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TBI requiring critical care: No transfer</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Proportional odds ratio</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£25</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£13</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£11</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TBI requiring ward care: Bypass</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Proportional odds ratio</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£32</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Major </w:t>
            </w:r>
            <w:r w:rsidR="002A16B4" w:rsidRPr="00C806D0">
              <w:rPr>
                <w:rFonts w:ascii="Calibri" w:eastAsia="Times New Roman" w:hAnsi="Calibri" w:cs="Arial"/>
                <w:color w:val="000000"/>
                <w:sz w:val="18"/>
                <w:szCs w:val="18"/>
                <w:lang w:eastAsia="en-GB"/>
              </w:rPr>
              <w:t>extracranial</w:t>
            </w:r>
            <w:r w:rsidRPr="00C806D0">
              <w:rPr>
                <w:rFonts w:ascii="Calibri" w:eastAsia="Times New Roman" w:hAnsi="Calibri" w:cs="Arial"/>
                <w:color w:val="000000"/>
                <w:sz w:val="18"/>
                <w:szCs w:val="18"/>
                <w:lang w:eastAsia="en-GB"/>
              </w:rPr>
              <w:t xml:space="preserve"> injury: Bypass</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Odds ratio</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Inpatient costs</w:t>
            </w: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Mild TBI: bypass</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£104</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£33</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£28</w:t>
            </w:r>
          </w:p>
        </w:tc>
      </w:tr>
      <w:tr w:rsidR="00003A24" w:rsidRPr="00C806D0" w:rsidTr="002A16B4">
        <w:trPr>
          <w:trHeight w:val="318"/>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(v selective transfer)</w:t>
            </w: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Acute neurosurgery: </w:t>
            </w:r>
            <w:r w:rsidR="00EF31E0" w:rsidRPr="00C806D0">
              <w:rPr>
                <w:rFonts w:ascii="Calibri" w:eastAsia="Times New Roman" w:hAnsi="Calibri" w:cs="Arial"/>
                <w:color w:val="000000"/>
                <w:sz w:val="18"/>
                <w:szCs w:val="18"/>
                <w:lang w:eastAsia="en-GB"/>
              </w:rPr>
              <w:t>S</w:t>
            </w:r>
            <w:r w:rsidRPr="00C806D0">
              <w:rPr>
                <w:rFonts w:ascii="Calibri" w:eastAsia="Times New Roman" w:hAnsi="Calibri" w:cs="Arial"/>
                <w:color w:val="000000"/>
                <w:sz w:val="18"/>
                <w:szCs w:val="18"/>
                <w:lang w:eastAsia="en-GB"/>
              </w:rPr>
              <w:t>NC care</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£161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£340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£114</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£27</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TBI requiring critical care: Bypass </w:t>
            </w:r>
          </w:p>
          <w:p w:rsidR="00003A24" w:rsidRPr="00C806D0" w:rsidRDefault="00003A24" w:rsidP="002A16B4">
            <w:pPr>
              <w:rPr>
                <w:rFonts w:ascii="Calibri" w:eastAsia="Times New Roman" w:hAnsi="Calibri" w:cs="Arial"/>
                <w:color w:val="000000"/>
                <w:sz w:val="18"/>
                <w:szCs w:val="18"/>
                <w:lang w:eastAsia="en-GB"/>
              </w:rPr>
            </w:pP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£74</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£251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£472</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£694</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£424</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£241</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TBI requiring critical care: Routine transfer</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TBI requiring critical care: No transfer</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TBI requiring ward care: Bypass </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£36</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Major </w:t>
            </w:r>
            <w:r w:rsidR="002A16B4" w:rsidRPr="00C806D0">
              <w:rPr>
                <w:rFonts w:ascii="Calibri" w:eastAsia="Times New Roman" w:hAnsi="Calibri" w:cs="Arial"/>
                <w:color w:val="000000"/>
                <w:sz w:val="18"/>
                <w:szCs w:val="18"/>
                <w:lang w:eastAsia="en-GB"/>
              </w:rPr>
              <w:t>extracranial</w:t>
            </w:r>
            <w:r w:rsidRPr="00C806D0">
              <w:rPr>
                <w:rFonts w:ascii="Calibri" w:eastAsia="Times New Roman" w:hAnsi="Calibri" w:cs="Arial"/>
                <w:color w:val="000000"/>
                <w:sz w:val="18"/>
                <w:szCs w:val="18"/>
                <w:lang w:eastAsia="en-GB"/>
              </w:rPr>
              <w:t xml:space="preserve"> injury: Bypass</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£78</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First year post discharge costs</w:t>
            </w: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severe disability</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£18</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moderate disability</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good recovery</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EC injury survivors</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Long term costs</w:t>
            </w: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severe disability</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£43</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moderate disability</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good recovery</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£8</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£73</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EC injury survivors</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£22</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Utilities</w:t>
            </w: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severe disability</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utility</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moderate disability</w:t>
            </w:r>
          </w:p>
        </w:tc>
        <w:tc>
          <w:tcPr>
            <w:tcW w:w="773" w:type="pct"/>
            <w:tcBorders>
              <w:top w:val="nil"/>
              <w:left w:val="nil"/>
              <w:bottom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utility</w:t>
            </w:r>
          </w:p>
        </w:tc>
        <w:tc>
          <w:tcPr>
            <w:tcW w:w="198"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good recovery</w:t>
            </w:r>
          </w:p>
        </w:tc>
        <w:tc>
          <w:tcPr>
            <w:tcW w:w="773" w:type="pct"/>
            <w:tcBorders>
              <w:top w:val="nil"/>
              <w:left w:val="nil"/>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utility</w:t>
            </w:r>
          </w:p>
        </w:tc>
        <w:tc>
          <w:tcPr>
            <w:tcW w:w="198" w:type="pct"/>
            <w:tcBorders>
              <w:top w:val="nil"/>
              <w:left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£40</w:t>
            </w:r>
          </w:p>
        </w:tc>
        <w:tc>
          <w:tcPr>
            <w:tcW w:w="326" w:type="pct"/>
            <w:tcBorders>
              <w:top w:val="nil"/>
              <w:left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1058" w:type="pct"/>
            <w:tcBorders>
              <w:top w:val="nil"/>
              <w:left w:val="nil"/>
              <w:bottom w:val="single" w:sz="4" w:space="0" w:color="auto"/>
              <w:right w:val="nil"/>
            </w:tcBorders>
            <w:shd w:val="clear" w:color="auto" w:fill="FFFFFF" w:themeFill="background1"/>
          </w:tcPr>
          <w:p w:rsidR="00003A24" w:rsidRPr="00C806D0" w:rsidRDefault="00003A24" w:rsidP="002A16B4">
            <w:pPr>
              <w:rPr>
                <w:rFonts w:ascii="Calibri" w:eastAsia="Times New Roman" w:hAnsi="Calibri" w:cs="Arial"/>
                <w:b/>
                <w:color w:val="000000"/>
                <w:sz w:val="18"/>
                <w:szCs w:val="18"/>
                <w:lang w:eastAsia="en-GB"/>
              </w:rPr>
            </w:pPr>
          </w:p>
        </w:tc>
        <w:tc>
          <w:tcPr>
            <w:tcW w:w="1338" w:type="pct"/>
            <w:tcBorders>
              <w:top w:val="nil"/>
              <w:left w:val="nil"/>
              <w:bottom w:val="single" w:sz="4" w:space="0" w:color="auto"/>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EC injury survivors</w:t>
            </w:r>
          </w:p>
        </w:tc>
        <w:tc>
          <w:tcPr>
            <w:tcW w:w="773" w:type="pct"/>
            <w:tcBorders>
              <w:top w:val="nil"/>
              <w:left w:val="nil"/>
              <w:bottom w:val="single" w:sz="4" w:space="0" w:color="auto"/>
              <w:right w:val="nil"/>
            </w:tcBorders>
            <w:shd w:val="clear" w:color="auto" w:fill="FFFFFF" w:themeFill="background1"/>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utility</w:t>
            </w:r>
          </w:p>
        </w:tc>
        <w:tc>
          <w:tcPr>
            <w:tcW w:w="198" w:type="pct"/>
            <w:tcBorders>
              <w:top w:val="nil"/>
              <w:left w:val="nil"/>
              <w:bottom w:val="single" w:sz="4" w:space="0" w:color="auto"/>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single" w:sz="4" w:space="0" w:color="auto"/>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single" w:sz="4" w:space="0" w:color="auto"/>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single" w:sz="4" w:space="0" w:color="auto"/>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£8</w:t>
            </w:r>
          </w:p>
        </w:tc>
        <w:tc>
          <w:tcPr>
            <w:tcW w:w="326" w:type="pct"/>
            <w:tcBorders>
              <w:top w:val="nil"/>
              <w:left w:val="nil"/>
              <w:bottom w:val="single" w:sz="4" w:space="0" w:color="auto"/>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326" w:type="pct"/>
            <w:tcBorders>
              <w:top w:val="nil"/>
              <w:left w:val="nil"/>
              <w:bottom w:val="single" w:sz="4" w:space="0" w:color="auto"/>
              <w:right w:val="nil"/>
            </w:tcBorders>
            <w:shd w:val="clear" w:color="auto" w:fill="FFFFFF" w:themeFill="background1"/>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bl>
    <w:p w:rsidR="00003A24" w:rsidRPr="00C806D0" w:rsidRDefault="00EF31E0" w:rsidP="00EF31E0">
      <w:pPr>
        <w:rPr>
          <w:rFonts w:ascii="Calibri" w:hAnsi="Calibri" w:cs="Arial"/>
        </w:rPr>
      </w:pPr>
      <w:r w:rsidRPr="00C806D0">
        <w:rPr>
          <w:rFonts w:ascii="Calibri" w:hAnsi="Calibri" w:cs="Arial"/>
        </w:rPr>
        <w:t>EC: Extracranial</w:t>
      </w: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Calibri" w:hAnsi="Calibri" w:cs="Arial"/>
          <w:b/>
        </w:rPr>
      </w:pPr>
    </w:p>
    <w:p w:rsidR="00003A24" w:rsidRPr="00C806D0" w:rsidRDefault="00003A24" w:rsidP="00003A24">
      <w:pPr>
        <w:rPr>
          <w:rFonts w:ascii="Arial" w:hAnsi="Arial" w:cs="Arial"/>
          <w:b/>
        </w:rPr>
      </w:pPr>
    </w:p>
    <w:p w:rsidR="00003A24" w:rsidRPr="00C806D0" w:rsidRDefault="00003A24" w:rsidP="00003A24">
      <w:pPr>
        <w:rPr>
          <w:rFonts w:ascii="Arial" w:hAnsi="Arial" w:cs="Arial"/>
          <w:b/>
        </w:rPr>
      </w:pPr>
    </w:p>
    <w:p w:rsidR="00003A24" w:rsidRPr="00C806D0" w:rsidRDefault="00003A24" w:rsidP="00003A24">
      <w:pPr>
        <w:rPr>
          <w:rFonts w:ascii="Calibri" w:hAnsi="Calibri" w:cs="Arial"/>
        </w:rPr>
      </w:pPr>
      <w:r w:rsidRPr="00C806D0">
        <w:rPr>
          <w:rFonts w:ascii="Calibri" w:hAnsi="Calibri" w:cs="Arial"/>
          <w:b/>
        </w:rPr>
        <w:t xml:space="preserve">Table J20. Population EVPPI for model parameters under base case assumptions. </w:t>
      </w:r>
    </w:p>
    <w:tbl>
      <w:tblPr>
        <w:tblW w:w="0" w:type="auto"/>
        <w:tblLook w:val="04A0" w:firstRow="1" w:lastRow="0" w:firstColumn="1" w:lastColumn="0" w:noHBand="0" w:noVBand="1"/>
      </w:tblPr>
      <w:tblGrid>
        <w:gridCol w:w="2626"/>
        <w:gridCol w:w="3320"/>
        <w:gridCol w:w="1919"/>
        <w:gridCol w:w="1036"/>
        <w:gridCol w:w="1127"/>
        <w:gridCol w:w="1127"/>
        <w:gridCol w:w="1127"/>
        <w:gridCol w:w="1127"/>
        <w:gridCol w:w="1127"/>
      </w:tblGrid>
      <w:tr w:rsidR="00003A24" w:rsidRPr="00C806D0" w:rsidTr="002A16B4">
        <w:trPr>
          <w:trHeight w:val="300"/>
        </w:trPr>
        <w:tc>
          <w:tcPr>
            <w:tcW w:w="0" w:type="auto"/>
            <w:tcBorders>
              <w:top w:val="single" w:sz="4" w:space="0" w:color="auto"/>
              <w:left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single" w:sz="4" w:space="0" w:color="auto"/>
              <w:left w:val="nil"/>
              <w:right w:val="nil"/>
            </w:tcBorders>
            <w:shd w:val="clear" w:color="auto" w:fill="auto"/>
            <w:noWrap/>
            <w:hideMark/>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single" w:sz="4" w:space="0" w:color="auto"/>
              <w:left w:val="nil"/>
              <w:right w:val="nil"/>
            </w:tcBorders>
            <w:shd w:val="clear" w:color="auto" w:fill="auto"/>
            <w:noWrap/>
            <w:hideMark/>
          </w:tcPr>
          <w:p w:rsidR="00003A24" w:rsidRPr="00C806D0" w:rsidRDefault="00003A24" w:rsidP="002A16B4">
            <w:pPr>
              <w:rPr>
                <w:rFonts w:ascii="Calibri" w:eastAsia="Times New Roman" w:hAnsi="Calibri" w:cs="Arial"/>
                <w:b/>
                <w:color w:val="000000"/>
                <w:sz w:val="18"/>
                <w:szCs w:val="18"/>
                <w:lang w:eastAsia="en-GB"/>
              </w:rPr>
            </w:pPr>
          </w:p>
        </w:tc>
        <w:tc>
          <w:tcPr>
            <w:tcW w:w="0" w:type="auto"/>
            <w:gridSpan w:val="6"/>
            <w:tcBorders>
              <w:top w:val="single" w:sz="4" w:space="0" w:color="auto"/>
              <w:left w:val="nil"/>
              <w:right w:val="nil"/>
            </w:tcBorders>
            <w:shd w:val="clear" w:color="auto" w:fill="auto"/>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Population EVPPI at λ=</w:t>
            </w:r>
          </w:p>
        </w:tc>
      </w:tr>
      <w:tr w:rsidR="00003A24" w:rsidRPr="00C806D0" w:rsidTr="002A16B4">
        <w:trPr>
          <w:trHeight w:val="300"/>
        </w:trPr>
        <w:tc>
          <w:tcPr>
            <w:tcW w:w="0" w:type="auto"/>
            <w:tcBorders>
              <w:left w:val="nil"/>
              <w:bottom w:val="single" w:sz="4" w:space="0" w:color="auto"/>
              <w:right w:val="nil"/>
            </w:tcBorders>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Parameter category</w:t>
            </w:r>
          </w:p>
        </w:tc>
        <w:tc>
          <w:tcPr>
            <w:tcW w:w="0" w:type="auto"/>
            <w:tcBorders>
              <w:left w:val="nil"/>
              <w:bottom w:val="single" w:sz="4" w:space="0" w:color="auto"/>
              <w:right w:val="nil"/>
            </w:tcBorders>
            <w:shd w:val="clear" w:color="auto" w:fill="auto"/>
            <w:noWrap/>
            <w:hideMark/>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Relevant model inputs</w:t>
            </w:r>
          </w:p>
        </w:tc>
        <w:tc>
          <w:tcPr>
            <w:tcW w:w="0" w:type="auto"/>
            <w:tcBorders>
              <w:left w:val="nil"/>
              <w:bottom w:val="single" w:sz="4" w:space="0" w:color="auto"/>
              <w:right w:val="nil"/>
            </w:tcBorders>
            <w:shd w:val="clear" w:color="auto" w:fill="auto"/>
            <w:noWrap/>
            <w:hideMark/>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Input type</w:t>
            </w:r>
          </w:p>
        </w:tc>
        <w:tc>
          <w:tcPr>
            <w:tcW w:w="0" w:type="auto"/>
            <w:tcBorders>
              <w:left w:val="nil"/>
              <w:bottom w:val="single" w:sz="4" w:space="0" w:color="auto"/>
              <w:right w:val="nil"/>
            </w:tcBorders>
            <w:shd w:val="clear" w:color="auto" w:fill="auto"/>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£0</w:t>
            </w:r>
          </w:p>
        </w:tc>
        <w:tc>
          <w:tcPr>
            <w:tcW w:w="0" w:type="auto"/>
            <w:tcBorders>
              <w:left w:val="nil"/>
              <w:bottom w:val="single" w:sz="4" w:space="0" w:color="auto"/>
              <w:right w:val="nil"/>
            </w:tcBorders>
            <w:shd w:val="clear" w:color="auto" w:fill="auto"/>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£10,000</w:t>
            </w:r>
          </w:p>
        </w:tc>
        <w:tc>
          <w:tcPr>
            <w:tcW w:w="0" w:type="auto"/>
            <w:tcBorders>
              <w:left w:val="nil"/>
              <w:bottom w:val="single" w:sz="4" w:space="0" w:color="auto"/>
              <w:right w:val="nil"/>
            </w:tcBorders>
            <w:shd w:val="clear" w:color="auto" w:fill="auto"/>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£20,000</w:t>
            </w:r>
          </w:p>
        </w:tc>
        <w:tc>
          <w:tcPr>
            <w:tcW w:w="0" w:type="auto"/>
            <w:tcBorders>
              <w:left w:val="nil"/>
              <w:bottom w:val="single" w:sz="4" w:space="0" w:color="auto"/>
              <w:right w:val="nil"/>
            </w:tcBorders>
            <w:shd w:val="clear" w:color="auto" w:fill="auto"/>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£30,000</w:t>
            </w:r>
          </w:p>
        </w:tc>
        <w:tc>
          <w:tcPr>
            <w:tcW w:w="0" w:type="auto"/>
            <w:tcBorders>
              <w:left w:val="nil"/>
              <w:bottom w:val="single" w:sz="4" w:space="0" w:color="auto"/>
              <w:right w:val="nil"/>
            </w:tcBorders>
            <w:shd w:val="clear" w:color="auto" w:fill="auto"/>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£40,000</w:t>
            </w:r>
          </w:p>
        </w:tc>
        <w:tc>
          <w:tcPr>
            <w:tcW w:w="0" w:type="auto"/>
            <w:tcBorders>
              <w:left w:val="nil"/>
              <w:bottom w:val="single" w:sz="4" w:space="0" w:color="auto"/>
              <w:right w:val="nil"/>
            </w:tcBorders>
            <w:shd w:val="clear" w:color="auto" w:fill="auto"/>
            <w:noWrap/>
            <w:hideMark/>
          </w:tcPr>
          <w:p w:rsidR="00003A24" w:rsidRPr="00C806D0" w:rsidRDefault="00003A24" w:rsidP="002A16B4">
            <w:pPr>
              <w:jc w:val="center"/>
              <w:rPr>
                <w:rFonts w:ascii="Calibri" w:hAnsi="Calibri" w:cs="Arial"/>
                <w:b/>
                <w:color w:val="000000"/>
                <w:sz w:val="18"/>
                <w:szCs w:val="18"/>
              </w:rPr>
            </w:pPr>
            <w:r w:rsidRPr="00C806D0">
              <w:rPr>
                <w:rFonts w:ascii="Calibri" w:hAnsi="Calibri" w:cs="Arial"/>
                <w:b/>
                <w:color w:val="000000"/>
                <w:sz w:val="18"/>
                <w:szCs w:val="18"/>
              </w:rPr>
              <w:t>£50,000</w:t>
            </w:r>
          </w:p>
        </w:tc>
      </w:tr>
      <w:tr w:rsidR="00003A24" w:rsidRPr="00C806D0" w:rsidTr="002A16B4">
        <w:trPr>
          <w:trHeight w:val="300"/>
        </w:trPr>
        <w:tc>
          <w:tcPr>
            <w:tcW w:w="0" w:type="auto"/>
            <w:tcBorders>
              <w:top w:val="single" w:sz="4" w:space="0" w:color="auto"/>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Population subgroups</w:t>
            </w:r>
          </w:p>
        </w:tc>
        <w:tc>
          <w:tcPr>
            <w:tcW w:w="0" w:type="auto"/>
            <w:tcBorders>
              <w:top w:val="single" w:sz="4" w:space="0" w:color="auto"/>
              <w:left w:val="nil"/>
              <w:bottom w:val="nil"/>
              <w:right w:val="nil"/>
            </w:tcBorders>
            <w:shd w:val="clear" w:color="auto" w:fill="auto"/>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Mild TBI</w:t>
            </w:r>
          </w:p>
        </w:tc>
        <w:tc>
          <w:tcPr>
            <w:tcW w:w="0" w:type="auto"/>
            <w:tcBorders>
              <w:top w:val="single" w:sz="4" w:space="0" w:color="auto"/>
              <w:left w:val="nil"/>
              <w:bottom w:val="nil"/>
              <w:right w:val="nil"/>
            </w:tcBorders>
            <w:shd w:val="clear" w:color="auto" w:fill="auto"/>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w:t>
            </w:r>
          </w:p>
        </w:tc>
        <w:tc>
          <w:tcPr>
            <w:tcW w:w="0" w:type="auto"/>
            <w:tcBorders>
              <w:top w:val="single" w:sz="4" w:space="0" w:color="auto"/>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single" w:sz="4" w:space="0" w:color="auto"/>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single" w:sz="4" w:space="0" w:color="auto"/>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single" w:sz="4" w:space="0" w:color="auto"/>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£20,744</w:t>
            </w:r>
          </w:p>
        </w:tc>
        <w:tc>
          <w:tcPr>
            <w:tcW w:w="0" w:type="auto"/>
            <w:tcBorders>
              <w:top w:val="single" w:sz="4" w:space="0" w:color="auto"/>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single" w:sz="4" w:space="0" w:color="auto"/>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D9D9D9" w:themeFill="background1" w:themeFillShade="D9"/>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Acute neurosurgery</w:t>
            </w:r>
          </w:p>
        </w:tc>
        <w:tc>
          <w:tcPr>
            <w:tcW w:w="0" w:type="auto"/>
            <w:tcBorders>
              <w:top w:val="nil"/>
              <w:left w:val="nil"/>
              <w:bottom w:val="nil"/>
              <w:right w:val="nil"/>
            </w:tcBorders>
            <w:shd w:val="clear" w:color="auto" w:fill="D9D9D9" w:themeFill="background1" w:themeFillShade="D9"/>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w:t>
            </w:r>
          </w:p>
        </w:tc>
        <w:tc>
          <w:tcPr>
            <w:tcW w:w="0" w:type="auto"/>
            <w:tcBorders>
              <w:top w:val="nil"/>
              <w:left w:val="nil"/>
              <w:bottom w:val="nil"/>
              <w:right w:val="nil"/>
            </w:tcBorders>
            <w:shd w:val="clear" w:color="auto" w:fill="D9D9D9" w:themeFill="background1" w:themeFillShade="D9"/>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£347,385</w:t>
            </w:r>
          </w:p>
        </w:tc>
        <w:tc>
          <w:tcPr>
            <w:tcW w:w="0" w:type="auto"/>
            <w:tcBorders>
              <w:top w:val="nil"/>
              <w:left w:val="nil"/>
              <w:bottom w:val="nil"/>
              <w:right w:val="nil"/>
            </w:tcBorders>
            <w:shd w:val="clear" w:color="auto" w:fill="D9D9D9" w:themeFill="background1" w:themeFillShade="D9"/>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£5,125,420</w:t>
            </w:r>
          </w:p>
        </w:tc>
        <w:tc>
          <w:tcPr>
            <w:tcW w:w="0" w:type="auto"/>
            <w:tcBorders>
              <w:top w:val="nil"/>
              <w:left w:val="nil"/>
              <w:bottom w:val="nil"/>
              <w:right w:val="nil"/>
            </w:tcBorders>
            <w:shd w:val="clear" w:color="auto" w:fill="D9D9D9" w:themeFill="background1" w:themeFillShade="D9"/>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£2,945,377</w:t>
            </w:r>
          </w:p>
        </w:tc>
        <w:tc>
          <w:tcPr>
            <w:tcW w:w="0" w:type="auto"/>
            <w:tcBorders>
              <w:top w:val="nil"/>
              <w:left w:val="nil"/>
              <w:bottom w:val="nil"/>
              <w:right w:val="nil"/>
            </w:tcBorders>
            <w:shd w:val="clear" w:color="auto" w:fill="D9D9D9" w:themeFill="background1" w:themeFillShade="D9"/>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£2,094,278</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Head injury requiring critical care</w:t>
            </w:r>
          </w:p>
        </w:tc>
        <w:tc>
          <w:tcPr>
            <w:tcW w:w="0" w:type="auto"/>
            <w:tcBorders>
              <w:top w:val="nil"/>
              <w:left w:val="nil"/>
              <w:bottom w:val="nil"/>
              <w:right w:val="nil"/>
            </w:tcBorders>
            <w:shd w:val="clear" w:color="auto" w:fill="auto"/>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£4,551</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£78</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£3,395,577</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£1,265,634</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£573,440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Head injury requiring ward care</w:t>
            </w:r>
          </w:p>
        </w:tc>
        <w:tc>
          <w:tcPr>
            <w:tcW w:w="0" w:type="auto"/>
            <w:tcBorders>
              <w:top w:val="nil"/>
              <w:left w:val="nil"/>
              <w:bottom w:val="nil"/>
              <w:right w:val="nil"/>
            </w:tcBorders>
            <w:shd w:val="clear" w:color="auto" w:fill="auto"/>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£545,185</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Major </w:t>
            </w:r>
            <w:r w:rsidR="002A16B4" w:rsidRPr="00C806D0">
              <w:rPr>
                <w:rFonts w:ascii="Calibri" w:eastAsia="Times New Roman" w:hAnsi="Calibri" w:cs="Arial"/>
                <w:color w:val="000000"/>
                <w:sz w:val="18"/>
                <w:szCs w:val="18"/>
                <w:lang w:eastAsia="en-GB"/>
              </w:rPr>
              <w:t>extracranial</w:t>
            </w:r>
            <w:r w:rsidRPr="00C806D0">
              <w:rPr>
                <w:rFonts w:ascii="Calibri" w:eastAsia="Times New Roman" w:hAnsi="Calibri" w:cs="Arial"/>
                <w:color w:val="000000"/>
                <w:sz w:val="18"/>
                <w:szCs w:val="18"/>
                <w:lang w:eastAsia="en-GB"/>
              </w:rPr>
              <w:t xml:space="preserve"> injury</w:t>
            </w:r>
          </w:p>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hideMark/>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Proportion </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£7,741</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£52,908</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£820,492</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hideMark/>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 xml:space="preserve">Relative effectiveness outcomes </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Acute neurosurgery: NC care</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Proportional odds ratio</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£387,949</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£5,950,242</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£14,341,036</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£12,887,713</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£12,273,609</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(v selective transfer)</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TBI requiring critical care: Bypass </w:t>
            </w:r>
          </w:p>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Proportional odds ratio</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£291,628</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£10,053,152</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£26,030,719</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£42,001,498</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£47,032,039</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£52,453,233</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TBI requiring critical care: Routine transfer</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Proportional odds ratio</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£770,554</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£320,195</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£4,918,315</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£12,131,555</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£9,828,163</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£8,565,781</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TBI requiring critical care: No transfer</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Proportional odds ratio</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£496,243</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£407,628</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£808,166</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£254,226</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£212,872</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TBI requiring ward care: Bypass</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Proportional odds ratio</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£13,981</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£622,469</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£1,969</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Major </w:t>
            </w:r>
            <w:r w:rsidR="002A16B4" w:rsidRPr="00C806D0">
              <w:rPr>
                <w:rFonts w:ascii="Calibri" w:eastAsia="Times New Roman" w:hAnsi="Calibri" w:cs="Arial"/>
                <w:color w:val="000000"/>
                <w:sz w:val="18"/>
                <w:szCs w:val="18"/>
                <w:lang w:eastAsia="en-GB"/>
              </w:rPr>
              <w:t>extracranial</w:t>
            </w:r>
            <w:r w:rsidRPr="00C806D0">
              <w:rPr>
                <w:rFonts w:ascii="Calibri" w:eastAsia="Times New Roman" w:hAnsi="Calibri" w:cs="Arial"/>
                <w:color w:val="000000"/>
                <w:sz w:val="18"/>
                <w:szCs w:val="18"/>
                <w:lang w:eastAsia="en-GB"/>
              </w:rPr>
              <w:t xml:space="preserve"> injury: Bypass</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Odds ratio</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£70,892</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Inpatient costs</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Mild TBI: bypass</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£2,042,851</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£643,573</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£553,572</w:t>
            </w:r>
          </w:p>
        </w:tc>
      </w:tr>
      <w:tr w:rsidR="00003A24" w:rsidRPr="00C806D0" w:rsidTr="002A16B4">
        <w:trPr>
          <w:trHeight w:val="318"/>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(v selective transfer)</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Acute neurosurgery: NC care</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£58,426</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£784,175</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£3,173,639</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£6,698,113</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£2,252,809</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£525,606</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TBI requiring critical care: Bypass </w:t>
            </w:r>
          </w:p>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£1,465,843</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£4,941,885</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£9,303,495</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£13,673,458</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£8,343,931</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£4,750,486</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TBI requiring critical care: Routine transfer</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£10,129</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TBI requiring critical care: No transfer</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£12,809</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TBI requiring ward care: Bypass </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£709,539</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£807</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 xml:space="preserve">Major </w:t>
            </w:r>
            <w:r w:rsidR="002A16B4" w:rsidRPr="00C806D0">
              <w:rPr>
                <w:rFonts w:ascii="Calibri" w:eastAsia="Times New Roman" w:hAnsi="Calibri" w:cs="Arial"/>
                <w:color w:val="000000"/>
                <w:sz w:val="18"/>
                <w:szCs w:val="18"/>
                <w:lang w:eastAsia="en-GB"/>
              </w:rPr>
              <w:t>extracranial</w:t>
            </w:r>
            <w:r w:rsidRPr="00C806D0">
              <w:rPr>
                <w:rFonts w:ascii="Calibri" w:eastAsia="Times New Roman" w:hAnsi="Calibri" w:cs="Arial"/>
                <w:color w:val="000000"/>
                <w:sz w:val="18"/>
                <w:szCs w:val="18"/>
                <w:lang w:eastAsia="en-GB"/>
              </w:rPr>
              <w:t xml:space="preserve"> injury: Bypass</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Incremental cost</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£45,775</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£1,539,086</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£12,438</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First year post discharge costs</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severe disability</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£363,534</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moderate disability</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£28,111</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good recovery</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£15,928</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£69,894</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EC injury survivors</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Long term costs</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severe disability</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£839,124</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£44,478</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moderate disability</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£51</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£47,796</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good recovery</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£152,706</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£1,440,957</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EC injury survivors</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cost</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£437,994</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r w:rsidRPr="00C806D0">
              <w:rPr>
                <w:rFonts w:ascii="Calibri" w:eastAsia="Times New Roman" w:hAnsi="Calibri" w:cs="Arial"/>
                <w:b/>
                <w:color w:val="000000"/>
                <w:sz w:val="18"/>
                <w:szCs w:val="18"/>
                <w:lang w:eastAsia="en-GB"/>
              </w:rPr>
              <w:t>Utilities</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severe disability</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utility</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£608,237</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moderate disability</w:t>
            </w:r>
          </w:p>
        </w:tc>
        <w:tc>
          <w:tcPr>
            <w:tcW w:w="0" w:type="auto"/>
            <w:tcBorders>
              <w:top w:val="nil"/>
              <w:left w:val="nil"/>
              <w:bottom w:val="nil"/>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utility</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£11,555</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nil"/>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GOS good recovery</w:t>
            </w:r>
          </w:p>
        </w:tc>
        <w:tc>
          <w:tcPr>
            <w:tcW w:w="0" w:type="auto"/>
            <w:tcBorders>
              <w:top w:val="nil"/>
              <w:left w:val="nil"/>
              <w:right w:val="nil"/>
            </w:tcBorders>
            <w:shd w:val="clear" w:color="auto" w:fill="D9D9D9" w:themeFill="background1" w:themeFillShade="D9"/>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utility</w:t>
            </w:r>
          </w:p>
        </w:tc>
        <w:tc>
          <w:tcPr>
            <w:tcW w:w="0" w:type="auto"/>
            <w:tcBorders>
              <w:top w:val="nil"/>
              <w:left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£787,818</w:t>
            </w:r>
          </w:p>
        </w:tc>
        <w:tc>
          <w:tcPr>
            <w:tcW w:w="0" w:type="auto"/>
            <w:tcBorders>
              <w:top w:val="nil"/>
              <w:left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right w:val="nil"/>
            </w:tcBorders>
            <w:shd w:val="clear" w:color="auto" w:fill="D9D9D9" w:themeFill="background1" w:themeFillShade="D9"/>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r w:rsidR="00003A24" w:rsidRPr="00C806D0" w:rsidTr="002A16B4">
        <w:trPr>
          <w:trHeight w:val="300"/>
        </w:trPr>
        <w:tc>
          <w:tcPr>
            <w:tcW w:w="0" w:type="auto"/>
            <w:tcBorders>
              <w:top w:val="nil"/>
              <w:left w:val="nil"/>
              <w:bottom w:val="single" w:sz="4" w:space="0" w:color="auto"/>
              <w:right w:val="nil"/>
            </w:tcBorders>
          </w:tcPr>
          <w:p w:rsidR="00003A24" w:rsidRPr="00C806D0" w:rsidRDefault="00003A24" w:rsidP="002A16B4">
            <w:pPr>
              <w:rPr>
                <w:rFonts w:ascii="Calibri" w:eastAsia="Times New Roman" w:hAnsi="Calibri" w:cs="Arial"/>
                <w:b/>
                <w:color w:val="000000"/>
                <w:sz w:val="18"/>
                <w:szCs w:val="18"/>
                <w:lang w:eastAsia="en-GB"/>
              </w:rPr>
            </w:pPr>
          </w:p>
        </w:tc>
        <w:tc>
          <w:tcPr>
            <w:tcW w:w="0" w:type="auto"/>
            <w:tcBorders>
              <w:top w:val="nil"/>
              <w:left w:val="nil"/>
              <w:bottom w:val="single" w:sz="4" w:space="0" w:color="auto"/>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EC injury survivors</w:t>
            </w:r>
          </w:p>
        </w:tc>
        <w:tc>
          <w:tcPr>
            <w:tcW w:w="0" w:type="auto"/>
            <w:tcBorders>
              <w:top w:val="nil"/>
              <w:left w:val="nil"/>
              <w:bottom w:val="single" w:sz="4" w:space="0" w:color="auto"/>
              <w:right w:val="nil"/>
            </w:tcBorders>
            <w:shd w:val="clear" w:color="auto" w:fill="auto"/>
            <w:noWrap/>
          </w:tcPr>
          <w:p w:rsidR="00003A24" w:rsidRPr="00C806D0" w:rsidRDefault="00003A24" w:rsidP="002A16B4">
            <w:pPr>
              <w:rPr>
                <w:rFonts w:ascii="Calibri" w:eastAsia="Times New Roman" w:hAnsi="Calibri" w:cs="Arial"/>
                <w:color w:val="000000"/>
                <w:sz w:val="18"/>
                <w:szCs w:val="18"/>
                <w:lang w:eastAsia="en-GB"/>
              </w:rPr>
            </w:pPr>
            <w:r w:rsidRPr="00C806D0">
              <w:rPr>
                <w:rFonts w:ascii="Calibri" w:eastAsia="Times New Roman" w:hAnsi="Calibri" w:cs="Arial"/>
                <w:color w:val="000000"/>
                <w:sz w:val="18"/>
                <w:szCs w:val="18"/>
                <w:lang w:eastAsia="en-GB"/>
              </w:rPr>
              <w:t>Mean utility</w:t>
            </w:r>
          </w:p>
        </w:tc>
        <w:tc>
          <w:tcPr>
            <w:tcW w:w="0" w:type="auto"/>
            <w:tcBorders>
              <w:top w:val="nil"/>
              <w:left w:val="nil"/>
              <w:bottom w:val="single" w:sz="4" w:space="0" w:color="auto"/>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single" w:sz="4" w:space="0" w:color="auto"/>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single" w:sz="4" w:space="0" w:color="auto"/>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single" w:sz="4" w:space="0" w:color="auto"/>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£153,447</w:t>
            </w:r>
          </w:p>
        </w:tc>
        <w:tc>
          <w:tcPr>
            <w:tcW w:w="0" w:type="auto"/>
            <w:tcBorders>
              <w:top w:val="nil"/>
              <w:left w:val="nil"/>
              <w:bottom w:val="single" w:sz="4" w:space="0" w:color="auto"/>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c>
          <w:tcPr>
            <w:tcW w:w="0" w:type="auto"/>
            <w:tcBorders>
              <w:top w:val="nil"/>
              <w:left w:val="nil"/>
              <w:bottom w:val="single" w:sz="4" w:space="0" w:color="auto"/>
              <w:right w:val="nil"/>
            </w:tcBorders>
            <w:shd w:val="clear" w:color="auto" w:fill="auto"/>
            <w:noWrap/>
          </w:tcPr>
          <w:p w:rsidR="00003A24" w:rsidRPr="00C806D0" w:rsidRDefault="00003A24" w:rsidP="002A16B4">
            <w:pPr>
              <w:jc w:val="center"/>
              <w:rPr>
                <w:rFonts w:ascii="Calibri" w:hAnsi="Calibri" w:cs="Arial"/>
                <w:color w:val="000000"/>
                <w:sz w:val="18"/>
                <w:szCs w:val="18"/>
              </w:rPr>
            </w:pPr>
            <w:r w:rsidRPr="00C806D0">
              <w:rPr>
                <w:rFonts w:ascii="Calibri" w:hAnsi="Calibri" w:cs="Arial"/>
                <w:color w:val="000000"/>
                <w:sz w:val="18"/>
                <w:szCs w:val="18"/>
              </w:rPr>
              <w:t>£0</w:t>
            </w:r>
          </w:p>
        </w:tc>
      </w:tr>
    </w:tbl>
    <w:p w:rsidR="00003A24" w:rsidRPr="00C806D0" w:rsidRDefault="00003A24" w:rsidP="00003A24">
      <w:pPr>
        <w:rPr>
          <w:rFonts w:ascii="Calibri" w:hAnsi="Calibri" w:cs="Arial"/>
          <w:sz w:val="20"/>
          <w:szCs w:val="20"/>
        </w:rPr>
      </w:pPr>
      <w:r w:rsidRPr="00C806D0">
        <w:rPr>
          <w:rFonts w:ascii="Calibri" w:hAnsi="Calibri" w:cs="Arial"/>
          <w:sz w:val="20"/>
          <w:szCs w:val="20"/>
        </w:rPr>
        <w:t>Model inputs shaded in grey have large expected values of partial perfect information at NICE willingness to pay thresholds (&gt;£0.5 million).</w:t>
      </w:r>
    </w:p>
    <w:p w:rsidR="00003A24" w:rsidRPr="00C806D0" w:rsidRDefault="00003A24" w:rsidP="00003A24">
      <w:pPr>
        <w:jc w:val="center"/>
        <w:rPr>
          <w:rFonts w:ascii="Calibri" w:hAnsi="Calibri" w:cs="Arial"/>
        </w:rPr>
      </w:pPr>
    </w:p>
    <w:p w:rsidR="00003A24" w:rsidRPr="00C806D0" w:rsidRDefault="00003A24" w:rsidP="00003A24">
      <w:pPr>
        <w:jc w:val="center"/>
        <w:rPr>
          <w:rFonts w:ascii="Arial" w:hAnsi="Arial" w:cs="Arial"/>
        </w:rPr>
      </w:pPr>
    </w:p>
    <w:p w:rsidR="00003A24" w:rsidRPr="00C806D0" w:rsidRDefault="00003A24" w:rsidP="00003A24">
      <w:pPr>
        <w:jc w:val="center"/>
        <w:rPr>
          <w:rFonts w:ascii="Arial" w:hAnsi="Arial" w:cs="Arial"/>
        </w:rPr>
      </w:pPr>
    </w:p>
    <w:p w:rsidR="00003A24" w:rsidRPr="00C806D0" w:rsidRDefault="00003A24" w:rsidP="00003A24">
      <w:pPr>
        <w:jc w:val="center"/>
        <w:rPr>
          <w:rFonts w:ascii="Arial" w:hAnsi="Arial" w:cs="Arial"/>
        </w:rPr>
      </w:pPr>
    </w:p>
    <w:p w:rsidR="00003A24" w:rsidRPr="00C806D0" w:rsidRDefault="00003A24" w:rsidP="00003A24">
      <w:pPr>
        <w:jc w:val="center"/>
        <w:rPr>
          <w:rFonts w:ascii="Arial" w:hAnsi="Arial" w:cs="Arial"/>
        </w:rPr>
      </w:pPr>
    </w:p>
    <w:p w:rsidR="00003A24" w:rsidRPr="00C806D0" w:rsidRDefault="00003A24" w:rsidP="00003A24">
      <w:pPr>
        <w:jc w:val="center"/>
        <w:rPr>
          <w:rFonts w:ascii="Arial" w:hAnsi="Arial" w:cs="Arial"/>
        </w:rPr>
      </w:pPr>
    </w:p>
    <w:p w:rsidR="00003A24" w:rsidRPr="00C806D0" w:rsidRDefault="00003A24" w:rsidP="00003A24">
      <w:pPr>
        <w:jc w:val="center"/>
        <w:rPr>
          <w:rFonts w:ascii="Arial" w:hAnsi="Arial" w:cs="Arial"/>
        </w:rPr>
      </w:pPr>
    </w:p>
    <w:p w:rsidR="00003A24" w:rsidRPr="00C806D0" w:rsidRDefault="00003A24" w:rsidP="00003A24">
      <w:pPr>
        <w:rPr>
          <w:rFonts w:ascii="Calibri" w:hAnsi="Calibri" w:cs="Arial"/>
          <w:b/>
        </w:rPr>
      </w:pPr>
      <w:r w:rsidRPr="00C806D0">
        <w:rPr>
          <w:rFonts w:ascii="Calibri" w:hAnsi="Calibri" w:cs="Arial"/>
          <w:b/>
        </w:rPr>
        <w:t>Table J21. Population EVPPI for model parameters, grouped by potential study design, under optimistic assumptions for population that might benefit from future research.</w:t>
      </w:r>
    </w:p>
    <w:p w:rsidR="00003A24" w:rsidRPr="00C806D0" w:rsidRDefault="00003A24" w:rsidP="00003A24">
      <w:pPr>
        <w:rPr>
          <w:rFonts w:ascii="Calibri" w:hAnsi="Calibri" w:cs="Arial"/>
        </w:rPr>
      </w:pPr>
    </w:p>
    <w:tbl>
      <w:tblPr>
        <w:tblStyle w:val="LightShading1"/>
        <w:tblW w:w="14188" w:type="dxa"/>
        <w:tblLook w:val="06A0" w:firstRow="1" w:lastRow="0" w:firstColumn="1" w:lastColumn="0" w:noHBand="1" w:noVBand="1"/>
      </w:tblPr>
      <w:tblGrid>
        <w:gridCol w:w="2234"/>
        <w:gridCol w:w="945"/>
        <w:gridCol w:w="1026"/>
        <w:gridCol w:w="1026"/>
        <w:gridCol w:w="1026"/>
        <w:gridCol w:w="1026"/>
        <w:gridCol w:w="1107"/>
        <w:gridCol w:w="222"/>
        <w:gridCol w:w="824"/>
        <w:gridCol w:w="945"/>
        <w:gridCol w:w="945"/>
        <w:gridCol w:w="1026"/>
        <w:gridCol w:w="1026"/>
        <w:gridCol w:w="1026"/>
      </w:tblGrid>
      <w:tr w:rsidR="00003A24" w:rsidRPr="00C806D0" w:rsidTr="002A16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noWrap/>
            <w:hideMark/>
          </w:tcPr>
          <w:p w:rsidR="00003A24" w:rsidRPr="00C806D0" w:rsidRDefault="00003A24" w:rsidP="002A16B4">
            <w:pPr>
              <w:jc w:val="center"/>
              <w:rPr>
                <w:rFonts w:ascii="Calibri" w:eastAsia="Times New Roman" w:hAnsi="Calibri" w:cs="Arial"/>
                <w:color w:val="000000"/>
                <w:sz w:val="16"/>
                <w:szCs w:val="16"/>
                <w:lang w:eastAsia="en-GB"/>
              </w:rPr>
            </w:pPr>
          </w:p>
        </w:tc>
        <w:tc>
          <w:tcPr>
            <w:tcW w:w="6058" w:type="dxa"/>
            <w:gridSpan w:val="6"/>
            <w:tcBorders>
              <w:top w:val="single" w:sz="4" w:space="0" w:color="auto"/>
              <w:bottom w:val="nil"/>
            </w:tcBorders>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Optimistic scenario</w:t>
            </w:r>
          </w:p>
        </w:tc>
        <w:tc>
          <w:tcPr>
            <w:tcW w:w="236" w:type="dxa"/>
            <w:tcBorders>
              <w:top w:val="single" w:sz="4" w:space="0" w:color="auto"/>
              <w:bottom w:val="nil"/>
            </w:tcBorders>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5702" w:type="dxa"/>
            <w:gridSpan w:val="6"/>
            <w:tcBorders>
              <w:top w:val="single" w:sz="4" w:space="0" w:color="auto"/>
              <w:bottom w:val="nil"/>
            </w:tcBorders>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 xml:space="preserve">Pessimistic scenario </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noWrap/>
            <w:hideMark/>
          </w:tcPr>
          <w:p w:rsidR="00003A24" w:rsidRPr="00C806D0" w:rsidRDefault="00003A24" w:rsidP="002A16B4">
            <w:pPr>
              <w:jc w:val="center"/>
              <w:rPr>
                <w:rFonts w:ascii="Calibri" w:eastAsia="Times New Roman" w:hAnsi="Calibri" w:cs="Arial"/>
                <w:color w:val="000000"/>
                <w:sz w:val="16"/>
                <w:szCs w:val="16"/>
                <w:lang w:eastAsia="en-GB"/>
              </w:rPr>
            </w:pPr>
          </w:p>
        </w:tc>
        <w:tc>
          <w:tcPr>
            <w:tcW w:w="6058" w:type="dxa"/>
            <w:gridSpan w:val="6"/>
            <w:tcBorders>
              <w:top w:val="single" w:sz="4" w:space="0" w:color="auto"/>
              <w:bottom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Population EVPPI (λ=)</w:t>
            </w:r>
          </w:p>
        </w:tc>
        <w:tc>
          <w:tcPr>
            <w:tcW w:w="236" w:type="dxa"/>
            <w:tcBorders>
              <w:top w:val="nil"/>
              <w:bottom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5702" w:type="dxa"/>
            <w:gridSpan w:val="6"/>
            <w:tcBorders>
              <w:top w:val="single" w:sz="4" w:space="0" w:color="auto"/>
              <w:bottom w:val="nil"/>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Population EVPPI (λ=)</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noWrap/>
            <w:hideMark/>
          </w:tcPr>
          <w:p w:rsidR="00003A24" w:rsidRPr="00C806D0" w:rsidRDefault="00003A24" w:rsidP="002A16B4">
            <w:pPr>
              <w:jc w:val="center"/>
              <w:rPr>
                <w:rFonts w:ascii="Calibri" w:eastAsia="Times New Roman" w:hAnsi="Calibri" w:cs="Arial"/>
                <w:color w:val="000000"/>
                <w:sz w:val="16"/>
                <w:szCs w:val="16"/>
                <w:lang w:eastAsia="en-GB"/>
              </w:rPr>
            </w:pPr>
          </w:p>
        </w:tc>
        <w:tc>
          <w:tcPr>
            <w:tcW w:w="0" w:type="auto"/>
            <w:tcBorders>
              <w:top w:val="nil"/>
              <w:bottom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£0</w:t>
            </w:r>
          </w:p>
        </w:tc>
        <w:tc>
          <w:tcPr>
            <w:tcW w:w="0" w:type="auto"/>
            <w:tcBorders>
              <w:top w:val="nil"/>
              <w:bottom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£10,000</w:t>
            </w:r>
          </w:p>
        </w:tc>
        <w:tc>
          <w:tcPr>
            <w:tcW w:w="0" w:type="auto"/>
            <w:tcBorders>
              <w:top w:val="nil"/>
              <w:bottom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£20,000</w:t>
            </w:r>
          </w:p>
        </w:tc>
        <w:tc>
          <w:tcPr>
            <w:tcW w:w="0" w:type="auto"/>
            <w:tcBorders>
              <w:top w:val="nil"/>
              <w:bottom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eastAsia="Times New Roman" w:hAnsi="Calibri" w:cs="Arial"/>
                <w:color w:val="000000"/>
                <w:sz w:val="16"/>
                <w:szCs w:val="16"/>
                <w:lang w:eastAsia="en-GB"/>
              </w:rPr>
              <w:t>£30,000</w:t>
            </w:r>
          </w:p>
        </w:tc>
        <w:tc>
          <w:tcPr>
            <w:tcW w:w="0" w:type="auto"/>
            <w:tcBorders>
              <w:top w:val="nil"/>
              <w:bottom w:val="single" w:sz="4" w:space="0" w:color="auto"/>
            </w:tcBorders>
          </w:tcPr>
          <w:p w:rsidR="00003A24" w:rsidRPr="00C806D0" w:rsidRDefault="00003A24" w:rsidP="002A16B4">
            <w:pPr>
              <w:tabs>
                <w:tab w:val="left" w:pos="234"/>
                <w:tab w:val="center" w:pos="739"/>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£40,000</w:t>
            </w:r>
          </w:p>
        </w:tc>
        <w:tc>
          <w:tcPr>
            <w:tcW w:w="1089" w:type="dxa"/>
            <w:tcBorders>
              <w:top w:val="nil"/>
              <w:bottom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£50,000</w:t>
            </w:r>
          </w:p>
        </w:tc>
        <w:tc>
          <w:tcPr>
            <w:tcW w:w="236" w:type="dxa"/>
            <w:tcBorders>
              <w:top w:val="nil"/>
              <w:bottom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812" w:type="dxa"/>
            <w:tcBorders>
              <w:top w:val="nil"/>
              <w:bottom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£0</w:t>
            </w:r>
          </w:p>
        </w:tc>
        <w:tc>
          <w:tcPr>
            <w:tcW w:w="0" w:type="auto"/>
            <w:tcBorders>
              <w:top w:val="nil"/>
              <w:bottom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£10,000</w:t>
            </w:r>
          </w:p>
        </w:tc>
        <w:tc>
          <w:tcPr>
            <w:tcW w:w="0" w:type="auto"/>
            <w:tcBorders>
              <w:top w:val="nil"/>
              <w:bottom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£20,000</w:t>
            </w:r>
          </w:p>
        </w:tc>
        <w:tc>
          <w:tcPr>
            <w:tcW w:w="0" w:type="auto"/>
            <w:tcBorders>
              <w:top w:val="nil"/>
              <w:bottom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eastAsia="Times New Roman" w:hAnsi="Calibri" w:cs="Arial"/>
                <w:color w:val="000000"/>
                <w:sz w:val="16"/>
                <w:szCs w:val="16"/>
                <w:lang w:eastAsia="en-GB"/>
              </w:rPr>
              <w:t>£30,000</w:t>
            </w:r>
          </w:p>
        </w:tc>
        <w:tc>
          <w:tcPr>
            <w:tcW w:w="0" w:type="auto"/>
            <w:tcBorders>
              <w:top w:val="nil"/>
              <w:bottom w:val="single" w:sz="4" w:space="0" w:color="auto"/>
            </w:tcBorders>
          </w:tcPr>
          <w:p w:rsidR="00003A24" w:rsidRPr="00C806D0" w:rsidRDefault="00003A24" w:rsidP="002A16B4">
            <w:pPr>
              <w:tabs>
                <w:tab w:val="left" w:pos="234"/>
                <w:tab w:val="center" w:pos="739"/>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ab/>
            </w:r>
            <w:r w:rsidRPr="00C806D0">
              <w:rPr>
                <w:rFonts w:ascii="Calibri" w:eastAsia="Times New Roman" w:hAnsi="Calibri" w:cs="Arial"/>
                <w:color w:val="000000"/>
                <w:sz w:val="16"/>
                <w:szCs w:val="16"/>
                <w:lang w:eastAsia="en-GB"/>
              </w:rPr>
              <w:tab/>
              <w:t>£40,000</w:t>
            </w:r>
          </w:p>
        </w:tc>
        <w:tc>
          <w:tcPr>
            <w:tcW w:w="0" w:type="auto"/>
            <w:tcBorders>
              <w:top w:val="nil"/>
              <w:bottom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£50,000</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rsidR="00003A24" w:rsidRPr="00C806D0" w:rsidRDefault="00003A24" w:rsidP="002A16B4">
            <w:pPr>
              <w:rPr>
                <w:rFonts w:ascii="Calibri" w:eastAsia="Times New Roman" w:hAnsi="Calibri" w:cs="Arial"/>
                <w:b w:val="0"/>
                <w:color w:val="000000"/>
                <w:sz w:val="16"/>
                <w:szCs w:val="16"/>
                <w:lang w:eastAsia="en-GB"/>
              </w:rPr>
            </w:pPr>
            <w:r w:rsidRPr="00C806D0">
              <w:rPr>
                <w:rFonts w:ascii="Calibri" w:eastAsia="Times New Roman" w:hAnsi="Calibri" w:cs="Arial"/>
                <w:b w:val="0"/>
                <w:color w:val="000000"/>
                <w:sz w:val="16"/>
                <w:szCs w:val="16"/>
                <w:lang w:eastAsia="en-GB"/>
              </w:rPr>
              <w:t>Patient subgroups</w:t>
            </w:r>
          </w:p>
          <w:p w:rsidR="00003A24" w:rsidRPr="00C806D0" w:rsidRDefault="00003A24" w:rsidP="002A16B4">
            <w:pPr>
              <w:rPr>
                <w:rFonts w:ascii="Calibri" w:eastAsia="Times New Roman" w:hAnsi="Calibri" w:cs="Arial"/>
                <w:b w:val="0"/>
                <w:color w:val="000000"/>
                <w:sz w:val="16"/>
                <w:szCs w:val="16"/>
                <w:lang w:eastAsia="en-GB"/>
              </w:rPr>
            </w:pPr>
          </w:p>
        </w:tc>
        <w:tc>
          <w:tcPr>
            <w:tcW w:w="0" w:type="auto"/>
            <w:tcBorders>
              <w:top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£818</w:t>
            </w:r>
          </w:p>
        </w:tc>
        <w:tc>
          <w:tcPr>
            <w:tcW w:w="0" w:type="auto"/>
            <w:tcBorders>
              <w:top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0" w:type="auto"/>
            <w:tcBorders>
              <w:top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£1,714,159</w:t>
            </w:r>
          </w:p>
        </w:tc>
        <w:tc>
          <w:tcPr>
            <w:tcW w:w="0" w:type="auto"/>
            <w:tcBorders>
              <w:top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£12,370,184</w:t>
            </w:r>
          </w:p>
        </w:tc>
        <w:tc>
          <w:tcPr>
            <w:tcW w:w="0" w:type="auto"/>
            <w:tcBorders>
              <w:top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£7,986,953</w:t>
            </w:r>
          </w:p>
        </w:tc>
        <w:tc>
          <w:tcPr>
            <w:tcW w:w="1089" w:type="dxa"/>
            <w:tcBorders>
              <w:top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£6,158,436</w:t>
            </w:r>
          </w:p>
        </w:tc>
        <w:tc>
          <w:tcPr>
            <w:tcW w:w="236" w:type="dxa"/>
            <w:tcBorders>
              <w:top w:val="nil"/>
              <w:bottom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p>
        </w:tc>
        <w:tc>
          <w:tcPr>
            <w:tcW w:w="812" w:type="dxa"/>
            <w:tcBorders>
              <w:top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£126</w:t>
            </w:r>
          </w:p>
        </w:tc>
        <w:tc>
          <w:tcPr>
            <w:tcW w:w="0" w:type="auto"/>
            <w:tcBorders>
              <w:top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0" w:type="auto"/>
            <w:tcBorders>
              <w:top w:val="single" w:sz="4" w:space="0" w:color="auto"/>
            </w:tcBorders>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£264,005</w:t>
            </w:r>
          </w:p>
        </w:tc>
        <w:tc>
          <w:tcPr>
            <w:tcW w:w="0" w:type="auto"/>
            <w:tcBorders>
              <w:top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£1,905,187</w:t>
            </w:r>
          </w:p>
        </w:tc>
        <w:tc>
          <w:tcPr>
            <w:tcW w:w="0" w:type="auto"/>
            <w:tcBorders>
              <w:top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£1,230,106</w:t>
            </w:r>
          </w:p>
        </w:tc>
        <w:tc>
          <w:tcPr>
            <w:tcW w:w="0" w:type="auto"/>
            <w:tcBorders>
              <w:top w:val="single" w:sz="4" w:space="0" w:color="auto"/>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£948,488</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03A24" w:rsidRPr="00C806D0" w:rsidRDefault="00003A24" w:rsidP="002A16B4">
            <w:pPr>
              <w:rPr>
                <w:rFonts w:ascii="Calibri" w:eastAsia="Times New Roman" w:hAnsi="Calibri" w:cs="Arial"/>
                <w:b w:val="0"/>
                <w:color w:val="000000"/>
                <w:sz w:val="16"/>
                <w:szCs w:val="16"/>
                <w:lang w:eastAsia="en-GB"/>
              </w:rPr>
            </w:pPr>
            <w:r w:rsidRPr="00C806D0">
              <w:rPr>
                <w:rFonts w:ascii="Calibri" w:eastAsia="Times New Roman" w:hAnsi="Calibri" w:cs="Arial"/>
                <w:b w:val="0"/>
                <w:color w:val="000000"/>
                <w:sz w:val="16"/>
                <w:szCs w:val="16"/>
                <w:lang w:eastAsia="en-GB"/>
              </w:rPr>
              <w:t>TBI utilities</w:t>
            </w:r>
          </w:p>
          <w:p w:rsidR="00003A24" w:rsidRPr="00C806D0" w:rsidRDefault="00003A24" w:rsidP="002A16B4">
            <w:pPr>
              <w:rPr>
                <w:rFonts w:ascii="Calibri" w:eastAsia="Times New Roman" w:hAnsi="Calibri" w:cs="Arial"/>
                <w:b w:val="0"/>
                <w:color w:val="000000"/>
                <w:sz w:val="16"/>
                <w:szCs w:val="16"/>
                <w:lang w:eastAsia="en-GB"/>
              </w:rPr>
            </w:pP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£7,443</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£558,526</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£4,421,639</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£1,291,890</w:t>
            </w:r>
          </w:p>
        </w:tc>
        <w:tc>
          <w:tcPr>
            <w:tcW w:w="1089" w:type="dxa"/>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£716,864</w:t>
            </w:r>
          </w:p>
        </w:tc>
        <w:tc>
          <w:tcPr>
            <w:tcW w:w="236" w:type="dxa"/>
            <w:tcBorders>
              <w:top w:val="nil"/>
            </w:tcBorders>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p>
        </w:tc>
        <w:tc>
          <w:tcPr>
            <w:tcW w:w="812" w:type="dxa"/>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0" w:type="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£1,146</w:t>
            </w:r>
          </w:p>
        </w:tc>
        <w:tc>
          <w:tcPr>
            <w:tcW w:w="0" w:type="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£86,021</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£680,996</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£198,970</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£110,407</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03A24" w:rsidRPr="00C806D0" w:rsidRDefault="00003A24" w:rsidP="002A16B4">
            <w:pPr>
              <w:rPr>
                <w:rFonts w:ascii="Calibri" w:eastAsia="Times New Roman" w:hAnsi="Calibri" w:cs="Arial"/>
                <w:b w:val="0"/>
                <w:color w:val="000000"/>
                <w:sz w:val="16"/>
                <w:szCs w:val="16"/>
                <w:lang w:eastAsia="en-GB"/>
              </w:rPr>
            </w:pPr>
            <w:r w:rsidRPr="00C806D0">
              <w:rPr>
                <w:rFonts w:ascii="Calibri" w:eastAsia="Times New Roman" w:hAnsi="Calibri" w:cs="Arial"/>
                <w:b w:val="0"/>
                <w:color w:val="000000"/>
                <w:sz w:val="16"/>
                <w:szCs w:val="16"/>
                <w:lang w:eastAsia="en-GB"/>
              </w:rPr>
              <w:t>Post discharge costs</w:t>
            </w:r>
          </w:p>
          <w:p w:rsidR="00003A24" w:rsidRPr="00C806D0" w:rsidRDefault="00003A24" w:rsidP="002A16B4">
            <w:pPr>
              <w:rPr>
                <w:rFonts w:ascii="Calibri" w:eastAsia="Times New Roman" w:hAnsi="Calibri" w:cs="Arial"/>
                <w:b w:val="0"/>
                <w:color w:val="000000"/>
                <w:sz w:val="16"/>
                <w:szCs w:val="16"/>
                <w:lang w:eastAsia="en-GB"/>
              </w:rPr>
            </w:pP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£1,755,955</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£11,120</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£751,228</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£5,392,692</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£1,024,809</w:t>
            </w:r>
          </w:p>
        </w:tc>
        <w:tc>
          <w:tcPr>
            <w:tcW w:w="1089" w:type="dxa"/>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£490,302</w:t>
            </w:r>
          </w:p>
        </w:tc>
        <w:tc>
          <w:tcPr>
            <w:tcW w:w="236" w:type="dxa"/>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p>
        </w:tc>
        <w:tc>
          <w:tcPr>
            <w:tcW w:w="812" w:type="dxa"/>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£270,443</w:t>
            </w:r>
          </w:p>
        </w:tc>
        <w:tc>
          <w:tcPr>
            <w:tcW w:w="0" w:type="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£1,713</w:t>
            </w:r>
          </w:p>
        </w:tc>
        <w:tc>
          <w:tcPr>
            <w:tcW w:w="0" w:type="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£115,700</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£830,553</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£157,835</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£75,514</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03A24" w:rsidRPr="00C806D0" w:rsidRDefault="00003A24" w:rsidP="002A16B4">
            <w:pPr>
              <w:rPr>
                <w:rFonts w:ascii="Calibri" w:eastAsia="Times New Roman" w:hAnsi="Calibri" w:cs="Arial"/>
                <w:b w:val="0"/>
                <w:color w:val="000000"/>
                <w:sz w:val="16"/>
                <w:szCs w:val="16"/>
                <w:lang w:eastAsia="en-GB"/>
              </w:rPr>
            </w:pPr>
            <w:r w:rsidRPr="00C806D0">
              <w:rPr>
                <w:rFonts w:ascii="Calibri" w:eastAsia="Times New Roman" w:hAnsi="Calibri" w:cs="Arial"/>
                <w:b w:val="0"/>
                <w:color w:val="000000"/>
                <w:sz w:val="16"/>
                <w:szCs w:val="16"/>
                <w:lang w:eastAsia="en-GB"/>
              </w:rPr>
              <w:t>Bypass: Relative effectiveness*</w:t>
            </w:r>
          </w:p>
          <w:p w:rsidR="00003A24" w:rsidRPr="00C806D0" w:rsidRDefault="00003A24" w:rsidP="002A16B4">
            <w:pPr>
              <w:rPr>
                <w:rFonts w:ascii="Calibri" w:eastAsia="Times New Roman" w:hAnsi="Calibri" w:cs="Arial"/>
                <w:b w:val="0"/>
                <w:color w:val="000000"/>
                <w:sz w:val="16"/>
                <w:szCs w:val="16"/>
                <w:lang w:eastAsia="en-GB"/>
              </w:rPr>
            </w:pP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£812,668</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£21,724,345</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£54,793,856</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£87,830,169</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£99,243,879</w:t>
            </w:r>
          </w:p>
        </w:tc>
        <w:tc>
          <w:tcPr>
            <w:tcW w:w="1089" w:type="dxa"/>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£111,251,485</w:t>
            </w:r>
          </w:p>
        </w:tc>
        <w:tc>
          <w:tcPr>
            <w:tcW w:w="236" w:type="dxa"/>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p>
        </w:tc>
        <w:tc>
          <w:tcPr>
            <w:tcW w:w="812" w:type="dxa"/>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£125,163</w:t>
            </w:r>
          </w:p>
        </w:tc>
        <w:tc>
          <w:tcPr>
            <w:tcW w:w="0" w:type="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£3,345,863</w:t>
            </w:r>
          </w:p>
        </w:tc>
        <w:tc>
          <w:tcPr>
            <w:tcW w:w="0" w:type="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£8,439,046</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£13,527,116</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£15,284,993</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£17,134,338</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03A24" w:rsidRPr="00C806D0" w:rsidRDefault="00003A24" w:rsidP="002A16B4">
            <w:pPr>
              <w:rPr>
                <w:rFonts w:ascii="Calibri" w:hAnsi="Calibri" w:cs="Arial"/>
                <w:b w:val="0"/>
                <w:color w:val="000000"/>
                <w:sz w:val="16"/>
                <w:szCs w:val="16"/>
              </w:rPr>
            </w:pPr>
            <w:r w:rsidRPr="00C806D0">
              <w:rPr>
                <w:rFonts w:ascii="Calibri" w:hAnsi="Calibri" w:cs="Arial"/>
                <w:b w:val="0"/>
                <w:color w:val="000000"/>
                <w:sz w:val="16"/>
                <w:szCs w:val="16"/>
              </w:rPr>
              <w:t>Bypass: Inpatient costs*</w:t>
            </w:r>
          </w:p>
          <w:p w:rsidR="00003A24" w:rsidRPr="00C806D0" w:rsidRDefault="00003A24" w:rsidP="002A16B4">
            <w:pPr>
              <w:rPr>
                <w:rFonts w:ascii="Calibri" w:eastAsia="Times New Roman" w:hAnsi="Calibri" w:cs="Arial"/>
                <w:b w:val="0"/>
                <w:color w:val="000000"/>
                <w:sz w:val="16"/>
                <w:szCs w:val="16"/>
                <w:lang w:eastAsia="en-GB"/>
              </w:rPr>
            </w:pP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£4,639,278</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£12,995,632</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£22,287,924</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£31,067,488</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£20,106,639</w:t>
            </w:r>
          </w:p>
        </w:tc>
        <w:tc>
          <w:tcPr>
            <w:tcW w:w="1089" w:type="dxa"/>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£12,487,650</w:t>
            </w:r>
          </w:p>
        </w:tc>
        <w:tc>
          <w:tcPr>
            <w:tcW w:w="236" w:type="dxa"/>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p>
        </w:tc>
        <w:tc>
          <w:tcPr>
            <w:tcW w:w="812" w:type="dxa"/>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£714,516</w:t>
            </w:r>
          </w:p>
        </w:tc>
        <w:tc>
          <w:tcPr>
            <w:tcW w:w="0" w:type="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£2,001,515</w:t>
            </w:r>
          </w:p>
        </w:tc>
        <w:tc>
          <w:tcPr>
            <w:tcW w:w="0" w:type="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£3,432,663</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£4,784,843</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£3,096,713</w:t>
            </w:r>
          </w:p>
        </w:tc>
        <w:tc>
          <w:tcPr>
            <w:tcW w:w="0" w:type="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£1,923,279</w:t>
            </w:r>
          </w:p>
        </w:tc>
      </w:tr>
    </w:tbl>
    <w:p w:rsidR="00003A24" w:rsidRPr="00C806D0" w:rsidRDefault="00003A24" w:rsidP="00003A24">
      <w:pPr>
        <w:rPr>
          <w:rFonts w:ascii="Calibri" w:hAnsi="Calibri" w:cs="Arial"/>
          <w:sz w:val="18"/>
          <w:szCs w:val="18"/>
        </w:rPr>
      </w:pPr>
      <w:r w:rsidRPr="00C806D0">
        <w:rPr>
          <w:rFonts w:ascii="Calibri" w:hAnsi="Calibri" w:cs="Arial"/>
          <w:sz w:val="18"/>
          <w:szCs w:val="18"/>
        </w:rPr>
        <w:t>*</w:t>
      </w:r>
      <w:r w:rsidR="00335B1F" w:rsidRPr="00C806D0">
        <w:rPr>
          <w:rFonts w:ascii="Calibri" w:hAnsi="Calibri" w:cs="Arial"/>
          <w:sz w:val="18"/>
          <w:szCs w:val="18"/>
        </w:rPr>
        <w:t>compared with</w:t>
      </w:r>
      <w:r w:rsidRPr="00C806D0">
        <w:rPr>
          <w:rFonts w:ascii="Calibri" w:hAnsi="Calibri" w:cs="Arial"/>
          <w:sz w:val="18"/>
          <w:szCs w:val="18"/>
        </w:rPr>
        <w:t xml:space="preserve"> selective transfer</w:t>
      </w:r>
    </w:p>
    <w:p w:rsidR="00003A24" w:rsidRPr="00C806D0" w:rsidRDefault="00003A24" w:rsidP="00003A24">
      <w:pPr>
        <w:jc w:val="center"/>
        <w:rPr>
          <w:rFonts w:ascii="Calibri" w:hAnsi="Calibri" w:cs="Arial"/>
        </w:rPr>
      </w:pPr>
    </w:p>
    <w:p w:rsidR="00003A24" w:rsidRPr="00C806D0" w:rsidRDefault="00003A24" w:rsidP="00003A24">
      <w:pPr>
        <w:rPr>
          <w:rFonts w:ascii="Calibri" w:hAnsi="Calibri" w:cs="Arial"/>
        </w:rPr>
      </w:pPr>
    </w:p>
    <w:p w:rsidR="00003A24" w:rsidRPr="00C806D0" w:rsidRDefault="00003A24" w:rsidP="00003A24">
      <w:pPr>
        <w:rPr>
          <w:rFonts w:ascii="Calibri" w:hAnsi="Calibri" w:cs="Arial"/>
        </w:rPr>
      </w:pPr>
    </w:p>
    <w:p w:rsidR="00BF1676" w:rsidRPr="00C806D0" w:rsidRDefault="00BF1676" w:rsidP="00003A24">
      <w:pPr>
        <w:rPr>
          <w:rFonts w:ascii="Calibri" w:hAnsi="Calibri" w:cs="Arial"/>
        </w:rPr>
        <w:sectPr w:rsidR="00BF1676" w:rsidRPr="00C806D0" w:rsidSect="00BF1676">
          <w:pgSz w:w="16838" w:h="11906" w:orient="landscape"/>
          <w:pgMar w:top="2268" w:right="1134" w:bottom="1134" w:left="1134" w:header="709" w:footer="709" w:gutter="0"/>
          <w:cols w:space="708"/>
          <w:docGrid w:linePitch="360"/>
        </w:sectPr>
      </w:pPr>
    </w:p>
    <w:p w:rsidR="00003A24" w:rsidRPr="00C806D0" w:rsidRDefault="00003A24" w:rsidP="00C92FBF">
      <w:pPr>
        <w:pStyle w:val="Heading3"/>
      </w:pPr>
      <w:r w:rsidRPr="00C806D0">
        <w:t>Expected net benefit of sampling</w:t>
      </w:r>
    </w:p>
    <w:p w:rsidR="00003A24" w:rsidRPr="00C806D0" w:rsidRDefault="00003A24" w:rsidP="00003A24">
      <w:r w:rsidRPr="00C806D0">
        <w:t xml:space="preserve">The optimal trial design for a future definitive HITSNS study, comparing prehospital triage and bypass with selective secondary transfer, was sensitive to varying assumptions on trial characteristics, disease incidence, technology lifespan, and patient recruitment limits. Taking an optimistic viewpoint on these factors, the most cost-effective trial design at NICE thresholds would be achieved with a trial of 2,052 patients recruited from 10 ambulance services, in 480 ambulance stations, and lasting a total of 2 years. Taking pessimistic assumptions resulted in much lower ENBS, but a future trial was still shown to be cost-effective, with the most favourable trial recruiting 636 patients (5 ambulance services, 140 clusters, 5 years in total) at both λ=£20,000 and λ=£30,000. The study characteristics for a definitive trial envisaged in the original HITSNS pilot study protocol resulted in a very similar optimum design of 624 patients (4 ambulance services, 120 clusters, 4 years in total). Interestingly, careful enumeration of fixed and variable trial expenditure, informed by HITSNS pilot study funding, gave very similar trial costs to the base case estimate using a marginal per patient estimate (data not shown).  </w:t>
      </w:r>
    </w:p>
    <w:p w:rsidR="00003A24" w:rsidRPr="00C806D0" w:rsidRDefault="00003A24" w:rsidP="00003A24"/>
    <w:p w:rsidR="00003A24" w:rsidRPr="00C806D0" w:rsidRDefault="00003A24" w:rsidP="00003A24">
      <w:r w:rsidRPr="00C806D0">
        <w:t xml:space="preserve">Methodology and assumptions for sensitivity analyses examining ENBS and properties of optimal trials in different scenarios were detailed </w:t>
      </w:r>
      <w:r w:rsidR="00EF31E0" w:rsidRPr="00C806D0">
        <w:t>in Chapter Eight</w:t>
      </w:r>
      <w:r w:rsidRPr="00C806D0">
        <w:t>. Results from these analyses are summarised in Table J22, and presented in detail in Tables J23 to J25, and Figures J2 to J7.</w:t>
      </w:r>
    </w:p>
    <w:p w:rsidR="00003A24" w:rsidRPr="00C806D0" w:rsidRDefault="00003A24" w:rsidP="00003A24"/>
    <w:p w:rsidR="00003A24" w:rsidRPr="00C806D0" w:rsidRDefault="00003A24" w:rsidP="00003A24">
      <w:pPr>
        <w:rPr>
          <w:rFonts w:ascii="Calibri" w:hAnsi="Calibri" w:cs="Arial"/>
          <w:b/>
        </w:rPr>
      </w:pPr>
      <w:r w:rsidRPr="00C806D0">
        <w:rPr>
          <w:rFonts w:ascii="Calibri" w:hAnsi="Calibri" w:cs="Arial"/>
          <w:b/>
        </w:rPr>
        <w:t>Table J22. Summary of optimal trial designs under different assumptions for recruitment and trial characteristics.</w:t>
      </w:r>
    </w:p>
    <w:tbl>
      <w:tblPr>
        <w:tblStyle w:val="LightShading1"/>
        <w:tblW w:w="0" w:type="auto"/>
        <w:tblLook w:val="04A0" w:firstRow="1" w:lastRow="0" w:firstColumn="1" w:lastColumn="0" w:noHBand="0" w:noVBand="1"/>
      </w:tblPr>
      <w:tblGrid>
        <w:gridCol w:w="2106"/>
        <w:gridCol w:w="1351"/>
        <w:gridCol w:w="1487"/>
        <w:gridCol w:w="2176"/>
        <w:gridCol w:w="1600"/>
      </w:tblGrid>
      <w:tr w:rsidR="00003A24" w:rsidRPr="00C806D0" w:rsidTr="002A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003A24" w:rsidRPr="00C806D0" w:rsidRDefault="00003A24" w:rsidP="002A16B4">
            <w:pPr>
              <w:pStyle w:val="NoSpacing"/>
              <w:rPr>
                <w:rFonts w:ascii="Calibri" w:hAnsi="Calibri" w:cs="Arial"/>
              </w:rPr>
            </w:pPr>
            <w:r w:rsidRPr="00C806D0">
              <w:rPr>
                <w:rFonts w:ascii="Calibri" w:hAnsi="Calibri" w:cs="Arial"/>
              </w:rPr>
              <w:t>Scenario*</w:t>
            </w:r>
          </w:p>
        </w:tc>
        <w:tc>
          <w:tcPr>
            <w:tcW w:w="0" w:type="auto"/>
            <w:tcBorders>
              <w:top w:val="single" w:sz="4" w:space="0" w:color="auto"/>
              <w:bottom w:val="single" w:sz="4" w:space="0" w:color="auto"/>
            </w:tcBorders>
            <w:shd w:val="clear" w:color="auto" w:fill="auto"/>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Total sample size</w:t>
            </w:r>
          </w:p>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p>
        </w:tc>
        <w:tc>
          <w:tcPr>
            <w:tcW w:w="0" w:type="auto"/>
            <w:tcBorders>
              <w:top w:val="single" w:sz="4" w:space="0" w:color="auto"/>
              <w:bottom w:val="single" w:sz="4" w:space="0" w:color="auto"/>
            </w:tcBorders>
            <w:shd w:val="clear" w:color="auto" w:fill="auto"/>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Number of clusters</w:t>
            </w:r>
          </w:p>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p>
        </w:tc>
        <w:tc>
          <w:tcPr>
            <w:tcW w:w="0" w:type="auto"/>
            <w:tcBorders>
              <w:top w:val="single" w:sz="4" w:space="0" w:color="auto"/>
              <w:bottom w:val="single" w:sz="4" w:space="0" w:color="auto"/>
            </w:tcBorders>
            <w:shd w:val="clear" w:color="auto" w:fill="auto"/>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Number of ambulance services</w:t>
            </w:r>
          </w:p>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p>
        </w:tc>
        <w:tc>
          <w:tcPr>
            <w:tcW w:w="0" w:type="auto"/>
            <w:tcBorders>
              <w:top w:val="single" w:sz="4" w:space="0" w:color="auto"/>
              <w:bottom w:val="single" w:sz="4" w:space="0" w:color="auto"/>
            </w:tcBorders>
            <w:shd w:val="clear" w:color="auto" w:fill="auto"/>
          </w:tcPr>
          <w:p w:rsidR="00003A24" w:rsidRPr="00C806D0" w:rsidRDefault="00003A24" w:rsidP="002A16B4">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Trial duration (years)</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003A24" w:rsidRPr="00C806D0" w:rsidRDefault="00003A24" w:rsidP="002A16B4">
            <w:pPr>
              <w:pStyle w:val="NoSpacing"/>
              <w:rPr>
                <w:rFonts w:ascii="Calibri" w:hAnsi="Calibri" w:cs="Arial"/>
                <w:b w:val="0"/>
              </w:rPr>
            </w:pPr>
            <w:r w:rsidRPr="00C806D0">
              <w:rPr>
                <w:rFonts w:ascii="Calibri" w:hAnsi="Calibri" w:cs="Arial"/>
                <w:b w:val="0"/>
              </w:rPr>
              <w:t>Base case</w:t>
            </w:r>
          </w:p>
          <w:p w:rsidR="00003A24" w:rsidRPr="00C806D0" w:rsidRDefault="00003A24" w:rsidP="002A16B4">
            <w:pPr>
              <w:pStyle w:val="NoSpacing"/>
              <w:rPr>
                <w:rFonts w:ascii="Calibri" w:hAnsi="Calibri" w:cs="Arial"/>
                <w:b w:val="0"/>
              </w:rPr>
            </w:pPr>
          </w:p>
        </w:tc>
        <w:tc>
          <w:tcPr>
            <w:tcW w:w="0" w:type="auto"/>
            <w:tcBorders>
              <w:top w:val="single" w:sz="4" w:space="0" w:color="auto"/>
            </w:tcBorders>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C806D0">
              <w:rPr>
                <w:rFonts w:ascii="Calibri" w:hAnsi="Calibri" w:cs="Arial"/>
              </w:rPr>
              <w:t>1,040</w:t>
            </w:r>
          </w:p>
        </w:tc>
        <w:tc>
          <w:tcPr>
            <w:tcW w:w="0" w:type="auto"/>
            <w:tcBorders>
              <w:top w:val="single" w:sz="4" w:space="0" w:color="auto"/>
            </w:tcBorders>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C806D0">
              <w:rPr>
                <w:rFonts w:ascii="Calibri" w:hAnsi="Calibri" w:cs="Arial"/>
              </w:rPr>
              <w:t>347</w:t>
            </w:r>
          </w:p>
        </w:tc>
        <w:tc>
          <w:tcPr>
            <w:tcW w:w="0" w:type="auto"/>
            <w:tcBorders>
              <w:top w:val="nil"/>
            </w:tcBorders>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C806D0">
              <w:rPr>
                <w:rFonts w:ascii="Calibri" w:hAnsi="Calibri" w:cs="Arial"/>
              </w:rPr>
              <w:t>8</w:t>
            </w:r>
          </w:p>
        </w:tc>
        <w:tc>
          <w:tcPr>
            <w:tcW w:w="0" w:type="auto"/>
            <w:tcBorders>
              <w:top w:val="nil"/>
            </w:tcBorders>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C806D0">
              <w:rPr>
                <w:rFonts w:ascii="Calibri" w:hAnsi="Calibri" w:cs="Arial"/>
              </w:rPr>
              <w:t>3</w:t>
            </w:r>
          </w:p>
        </w:tc>
      </w:tr>
      <w:tr w:rsidR="00003A24" w:rsidRPr="00C806D0" w:rsidTr="002A16B4">
        <w:trPr>
          <w:trHeight w:val="47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pStyle w:val="NoSpacing"/>
              <w:rPr>
                <w:rFonts w:ascii="Calibri" w:hAnsi="Calibri" w:cs="Arial"/>
                <w:b w:val="0"/>
              </w:rPr>
            </w:pPr>
            <w:r w:rsidRPr="00C806D0">
              <w:rPr>
                <w:rFonts w:ascii="Calibri" w:hAnsi="Calibri" w:cs="Arial"/>
                <w:b w:val="0"/>
              </w:rPr>
              <w:t>Optimistic scenario</w:t>
            </w:r>
          </w:p>
          <w:p w:rsidR="00003A24" w:rsidRPr="00C806D0" w:rsidRDefault="00003A24" w:rsidP="002A16B4">
            <w:pPr>
              <w:pStyle w:val="NoSpacing"/>
              <w:rPr>
                <w:rFonts w:ascii="Calibri" w:hAnsi="Calibri" w:cs="Arial"/>
                <w:b w:val="0"/>
              </w:rPr>
            </w:pP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2,052</w:t>
            </w:r>
          </w:p>
        </w:tc>
        <w:tc>
          <w:tcPr>
            <w:tcW w:w="0" w:type="auto"/>
            <w:shd w:val="clear" w:color="auto" w:fill="auto"/>
          </w:tcPr>
          <w:p w:rsidR="00003A24" w:rsidRPr="00C806D0" w:rsidRDefault="00003A24" w:rsidP="002A16B4">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480</w:t>
            </w: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10</w:t>
            </w: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2</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pStyle w:val="NoSpacing"/>
              <w:rPr>
                <w:rFonts w:ascii="Calibri" w:hAnsi="Calibri" w:cs="Arial"/>
                <w:b w:val="0"/>
              </w:rPr>
            </w:pPr>
            <w:r w:rsidRPr="00C806D0">
              <w:rPr>
                <w:rFonts w:ascii="Calibri" w:hAnsi="Calibri" w:cs="Arial"/>
                <w:b w:val="0"/>
              </w:rPr>
              <w:t>Pessimistic scenario</w:t>
            </w:r>
          </w:p>
          <w:p w:rsidR="00003A24" w:rsidRPr="00C806D0" w:rsidRDefault="00003A24" w:rsidP="002A16B4">
            <w:pPr>
              <w:pStyle w:val="NoSpacing"/>
              <w:rPr>
                <w:rFonts w:ascii="Calibri" w:hAnsi="Calibri" w:cs="Arial"/>
                <w:b w:val="0"/>
              </w:rPr>
            </w:pP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C806D0">
              <w:rPr>
                <w:rFonts w:ascii="Calibri" w:hAnsi="Calibri" w:cs="Arial"/>
              </w:rPr>
              <w:t>636</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C806D0">
              <w:rPr>
                <w:rFonts w:ascii="Calibri" w:hAnsi="Calibri" w:cs="Arial"/>
              </w:rPr>
              <w:t>140</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C806D0">
              <w:rPr>
                <w:rFonts w:ascii="Calibri" w:hAnsi="Calibri" w:cs="Arial"/>
              </w:rPr>
              <w:t>5</w:t>
            </w:r>
          </w:p>
        </w:tc>
        <w:tc>
          <w:tcPr>
            <w:tcW w:w="0" w:type="auto"/>
            <w:shd w:val="clear" w:color="auto" w:fill="auto"/>
          </w:tcPr>
          <w:p w:rsidR="00003A24" w:rsidRPr="00C806D0" w:rsidRDefault="00003A24" w:rsidP="002A16B4">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Arial"/>
              </w:rPr>
            </w:pPr>
            <w:r w:rsidRPr="00C806D0">
              <w:rPr>
                <w:rFonts w:ascii="Calibri" w:hAnsi="Calibri" w:cs="Arial"/>
              </w:rPr>
              <w:t>5</w:t>
            </w:r>
          </w:p>
        </w:tc>
      </w:tr>
      <w:tr w:rsidR="00003A24" w:rsidRPr="00C806D0" w:rsidTr="002A16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03A24" w:rsidRPr="00C806D0" w:rsidRDefault="00003A24" w:rsidP="002A16B4">
            <w:pPr>
              <w:pStyle w:val="NoSpacing"/>
              <w:rPr>
                <w:rFonts w:ascii="Calibri" w:hAnsi="Calibri" w:cs="Arial"/>
                <w:b w:val="0"/>
              </w:rPr>
            </w:pPr>
            <w:r w:rsidRPr="00C806D0">
              <w:rPr>
                <w:rFonts w:ascii="Calibri" w:hAnsi="Calibri" w:cs="Arial"/>
                <w:b w:val="0"/>
              </w:rPr>
              <w:t>Planned definitive HITSNS trial</w:t>
            </w:r>
          </w:p>
          <w:p w:rsidR="00EF31E0" w:rsidRPr="00C806D0" w:rsidRDefault="00EF31E0" w:rsidP="002A16B4">
            <w:pPr>
              <w:pStyle w:val="NoSpacing"/>
              <w:rPr>
                <w:rFonts w:ascii="Calibri" w:hAnsi="Calibri" w:cs="Arial"/>
                <w:b w:val="0"/>
              </w:rPr>
            </w:pP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624</w:t>
            </w: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120</w:t>
            </w: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4</w:t>
            </w:r>
          </w:p>
        </w:tc>
        <w:tc>
          <w:tcPr>
            <w:tcW w:w="0" w:type="auto"/>
            <w:shd w:val="clear" w:color="auto" w:fill="auto"/>
          </w:tcPr>
          <w:p w:rsidR="00003A24" w:rsidRPr="00C806D0" w:rsidRDefault="00003A24" w:rsidP="002A16B4">
            <w:pPr>
              <w:pStyle w:val="NoSpacing"/>
              <w:jc w:val="cente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806D0">
              <w:rPr>
                <w:rFonts w:ascii="Calibri" w:hAnsi="Calibri" w:cs="Arial"/>
              </w:rPr>
              <w:t>4</w:t>
            </w:r>
          </w:p>
        </w:tc>
      </w:tr>
    </w:tbl>
    <w:p w:rsidR="00003A24" w:rsidRPr="00C806D0" w:rsidRDefault="00003A24" w:rsidP="00003A24">
      <w:pPr>
        <w:rPr>
          <w:rFonts w:ascii="Calibri" w:hAnsi="Calibri"/>
          <w:sz w:val="20"/>
          <w:szCs w:val="20"/>
          <w:shd w:val="clear" w:color="auto" w:fill="FFFFFF"/>
        </w:rPr>
      </w:pPr>
      <w:r w:rsidRPr="00C806D0">
        <w:rPr>
          <w:rFonts w:ascii="Calibri" w:hAnsi="Calibri"/>
          <w:sz w:val="20"/>
          <w:szCs w:val="20"/>
          <w:shd w:val="clear" w:color="auto" w:fill="FFFFFF"/>
        </w:rPr>
        <w:t>*Assumptions of different scenarios were detailed in Chapter 8.</w:t>
      </w:r>
    </w:p>
    <w:p w:rsidR="00003A24" w:rsidRPr="00C806D0" w:rsidRDefault="00003A24" w:rsidP="00003A24"/>
    <w:p w:rsidR="00BF1676" w:rsidRPr="00C806D0" w:rsidRDefault="00BF1676" w:rsidP="00003A24">
      <w:pPr>
        <w:rPr>
          <w:rFonts w:ascii="Calibri" w:hAnsi="Calibri" w:cs="Arial"/>
          <w:b/>
        </w:r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rPr>
          <w:rFonts w:ascii="Calibri" w:hAnsi="Calibri" w:cs="Arial"/>
        </w:rPr>
      </w:pPr>
      <w:r w:rsidRPr="00C806D0">
        <w:rPr>
          <w:rFonts w:ascii="Calibri" w:hAnsi="Calibri" w:cs="Arial"/>
          <w:b/>
        </w:rPr>
        <w:t xml:space="preserve">Table J23. Expected net benefit of sampling and study characteristics of definitive HITSNS trial with differing sample sizes under optimistic assumptions. </w:t>
      </w:r>
    </w:p>
    <w:tbl>
      <w:tblPr>
        <w:tblStyle w:val="LightShading1"/>
        <w:tblW w:w="0" w:type="auto"/>
        <w:tblLayout w:type="fixed"/>
        <w:tblLook w:val="04A0" w:firstRow="1" w:lastRow="0" w:firstColumn="1" w:lastColumn="0" w:noHBand="0" w:noVBand="1"/>
      </w:tblPr>
      <w:tblGrid>
        <w:gridCol w:w="788"/>
        <w:gridCol w:w="880"/>
        <w:gridCol w:w="1091"/>
        <w:gridCol w:w="1191"/>
        <w:gridCol w:w="1403"/>
        <w:gridCol w:w="284"/>
        <w:gridCol w:w="1417"/>
        <w:gridCol w:w="1559"/>
        <w:gridCol w:w="1418"/>
        <w:gridCol w:w="283"/>
        <w:gridCol w:w="1276"/>
        <w:gridCol w:w="1134"/>
        <w:gridCol w:w="1450"/>
      </w:tblGrid>
      <w:tr w:rsidR="00003A24" w:rsidRPr="00C806D0" w:rsidTr="002A16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noWrap/>
            <w:hideMark/>
          </w:tcPr>
          <w:p w:rsidR="00003A24" w:rsidRPr="00C806D0" w:rsidRDefault="00003A24" w:rsidP="002A16B4">
            <w:pPr>
              <w:rPr>
                <w:rFonts w:ascii="Calibri" w:eastAsia="Times New Roman" w:hAnsi="Calibri" w:cs="Arial"/>
                <w:color w:val="000000"/>
                <w:sz w:val="16"/>
                <w:szCs w:val="16"/>
                <w:lang w:eastAsia="en-GB"/>
              </w:rPr>
            </w:pPr>
          </w:p>
        </w:tc>
        <w:tc>
          <w:tcPr>
            <w:tcW w:w="880" w:type="dxa"/>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1091" w:type="dxa"/>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1191" w:type="dxa"/>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03" w:type="dxa"/>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284" w:type="dxa"/>
            <w:tcBorders>
              <w:bottom w:val="nil"/>
            </w:tcBorders>
            <w:shd w:val="clear" w:color="auto" w:fill="auto"/>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4394" w:type="dxa"/>
            <w:gridSpan w:val="3"/>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λ=£20,000</w:t>
            </w:r>
          </w:p>
        </w:tc>
        <w:tc>
          <w:tcPr>
            <w:tcW w:w="283" w:type="dxa"/>
            <w:tcBorders>
              <w:bottom w:val="nil"/>
            </w:tcBorders>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3860" w:type="dxa"/>
            <w:gridSpan w:val="3"/>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r w:rsidRPr="00C806D0">
              <w:rPr>
                <w:rFonts w:ascii="Calibri" w:eastAsia="Times New Roman" w:hAnsi="Calibri" w:cs="Arial"/>
                <w:color w:val="000000"/>
                <w:sz w:val="16"/>
                <w:szCs w:val="16"/>
                <w:lang w:eastAsia="en-GB"/>
              </w:rPr>
              <w:t>λ=£30,000</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tcBorders>
              <w:bottom w:val="single" w:sz="4" w:space="0" w:color="auto"/>
            </w:tcBorders>
            <w:shd w:val="clear" w:color="auto" w:fill="auto"/>
            <w:noWrap/>
            <w:hideMark/>
          </w:tcPr>
          <w:p w:rsidR="00003A24" w:rsidRPr="00C806D0" w:rsidRDefault="00003A24" w:rsidP="002A16B4">
            <w:pPr>
              <w:rPr>
                <w:rFonts w:ascii="Calibri" w:eastAsia="Times New Roman" w:hAnsi="Calibri" w:cs="Arial"/>
                <w:b w:val="0"/>
                <w:color w:val="000000"/>
                <w:sz w:val="16"/>
                <w:szCs w:val="16"/>
                <w:lang w:eastAsia="en-GB"/>
              </w:rPr>
            </w:pPr>
            <w:r w:rsidRPr="00C806D0">
              <w:rPr>
                <w:rFonts w:ascii="Calibri" w:eastAsia="Times New Roman" w:hAnsi="Calibri" w:cs="Arial"/>
                <w:b w:val="0"/>
                <w:color w:val="000000"/>
                <w:sz w:val="16"/>
                <w:szCs w:val="16"/>
                <w:lang w:eastAsia="en-GB"/>
              </w:rPr>
              <w:t xml:space="preserve">Sample size </w:t>
            </w:r>
          </w:p>
        </w:tc>
        <w:tc>
          <w:tcPr>
            <w:tcW w:w="880"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Number of clusters</w:t>
            </w:r>
          </w:p>
        </w:tc>
        <w:tc>
          <w:tcPr>
            <w:tcW w:w="1091"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Number of ambulance services</w:t>
            </w:r>
          </w:p>
        </w:tc>
        <w:tc>
          <w:tcPr>
            <w:tcW w:w="1191"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color w:val="000000"/>
                <w:sz w:val="16"/>
                <w:szCs w:val="16"/>
                <w:lang w:eastAsia="en-GB"/>
              </w:rPr>
              <w:t>Total trial duration (years)*</w:t>
            </w:r>
          </w:p>
        </w:tc>
        <w:tc>
          <w:tcPr>
            <w:tcW w:w="1403"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Trial costs</w:t>
            </w:r>
          </w:p>
        </w:tc>
        <w:tc>
          <w:tcPr>
            <w:tcW w:w="284" w:type="dxa"/>
            <w:tcBorders>
              <w:top w:val="nil"/>
              <w:bottom w:val="nil"/>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p>
        </w:tc>
        <w:tc>
          <w:tcPr>
            <w:tcW w:w="1417"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Individual EVSI</w:t>
            </w:r>
          </w:p>
        </w:tc>
        <w:tc>
          <w:tcPr>
            <w:tcW w:w="1559"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color w:val="000000"/>
                <w:sz w:val="16"/>
                <w:szCs w:val="16"/>
                <w:lang w:eastAsia="en-GB"/>
              </w:rPr>
              <w:t xml:space="preserve">Population </w:t>
            </w:r>
            <w:r w:rsidRPr="00C806D0">
              <w:rPr>
                <w:rFonts w:ascii="Calibri" w:eastAsia="Times New Roman" w:hAnsi="Calibri" w:cs="Arial"/>
                <w:b/>
                <w:bCs/>
                <w:color w:val="000000"/>
                <w:sz w:val="16"/>
                <w:szCs w:val="16"/>
                <w:lang w:eastAsia="en-GB"/>
              </w:rPr>
              <w:t>EVSI</w:t>
            </w:r>
          </w:p>
        </w:tc>
        <w:tc>
          <w:tcPr>
            <w:tcW w:w="1418"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color w:val="000000"/>
                <w:sz w:val="16"/>
                <w:szCs w:val="16"/>
                <w:lang w:eastAsia="en-GB"/>
              </w:rPr>
              <w:t>ENBS</w:t>
            </w:r>
          </w:p>
        </w:tc>
        <w:tc>
          <w:tcPr>
            <w:tcW w:w="283" w:type="dxa"/>
            <w:tcBorders>
              <w:top w:val="nil"/>
              <w:bottom w:val="nil"/>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p>
        </w:tc>
        <w:tc>
          <w:tcPr>
            <w:tcW w:w="1276"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Individual EVSI</w:t>
            </w:r>
          </w:p>
        </w:tc>
        <w:tc>
          <w:tcPr>
            <w:tcW w:w="1134"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color w:val="000000"/>
                <w:sz w:val="16"/>
                <w:szCs w:val="16"/>
                <w:lang w:eastAsia="en-GB"/>
              </w:rPr>
              <w:t xml:space="preserve">Population </w:t>
            </w:r>
            <w:r w:rsidRPr="00C806D0">
              <w:rPr>
                <w:rFonts w:ascii="Calibri" w:eastAsia="Times New Roman" w:hAnsi="Calibri" w:cs="Arial"/>
                <w:b/>
                <w:bCs/>
                <w:color w:val="000000"/>
                <w:sz w:val="16"/>
                <w:szCs w:val="16"/>
                <w:lang w:eastAsia="en-GB"/>
              </w:rPr>
              <w:t>EVSI</w:t>
            </w:r>
          </w:p>
        </w:tc>
        <w:tc>
          <w:tcPr>
            <w:tcW w:w="1450"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ENBS</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tcBorders>
              <w:top w:val="single" w:sz="4" w:space="0" w:color="auto"/>
            </w:tcBorders>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0</w:t>
            </w:r>
          </w:p>
        </w:tc>
        <w:tc>
          <w:tcPr>
            <w:tcW w:w="880"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091"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191"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03"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£0</w:t>
            </w:r>
          </w:p>
        </w:tc>
        <w:tc>
          <w:tcPr>
            <w:tcW w:w="284"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£0</w:t>
            </w:r>
          </w:p>
        </w:tc>
        <w:tc>
          <w:tcPr>
            <w:tcW w:w="1559"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283"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£0</w:t>
            </w:r>
          </w:p>
        </w:tc>
        <w:tc>
          <w:tcPr>
            <w:tcW w:w="1134"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£0</w:t>
            </w:r>
          </w:p>
        </w:tc>
        <w:tc>
          <w:tcPr>
            <w:tcW w:w="1450"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£0</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103</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29</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£51,300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£240</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£7,811,733</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£7,760,433</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£644</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£20,966,309</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£20,915,009</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205</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57</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£102,600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£420</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£13,660,193</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£13,557,593</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£915</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£29,776,163</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£29,673,563</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257</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71</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£128,250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£535</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£17,413,016</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£17,284,766</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£990</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£32,221,950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£32,093,700</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513</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143</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£256,500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£741</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£24,130,840</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£23,874,340</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£1,310</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£42,638,364</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£42,381,864</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616</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171</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£307,800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£837</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£27,252,741</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£26,944,941</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£1,338</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£43,542,955</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£43,235,155</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821</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228</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£410,400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£882</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£28,691,377</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£28,280,977</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£1,510</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£49,134,396</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£48,723,996</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FFFFFF" w:themeFill="background1"/>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1026</w:t>
            </w:r>
          </w:p>
        </w:tc>
        <w:tc>
          <w:tcPr>
            <w:tcW w:w="880" w:type="dxa"/>
            <w:shd w:val="clear" w:color="auto" w:fill="FFFFFF" w:themeFill="background1"/>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285</w:t>
            </w:r>
          </w:p>
        </w:tc>
        <w:tc>
          <w:tcPr>
            <w:tcW w:w="1091" w:type="dxa"/>
            <w:shd w:val="clear" w:color="auto" w:fill="FFFFFF" w:themeFill="background1"/>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FFFFFF" w:themeFill="background1"/>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403" w:type="dxa"/>
            <w:shd w:val="clear" w:color="auto" w:fill="FFFFFF" w:themeFill="background1"/>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£513,000</w:t>
            </w:r>
          </w:p>
        </w:tc>
        <w:tc>
          <w:tcPr>
            <w:tcW w:w="284"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FFFFFF" w:themeFill="background1"/>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£919</w:t>
            </w:r>
          </w:p>
        </w:tc>
        <w:tc>
          <w:tcPr>
            <w:tcW w:w="1559"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£29,922,343</w:t>
            </w:r>
          </w:p>
        </w:tc>
        <w:tc>
          <w:tcPr>
            <w:tcW w:w="1418"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£29,409,343</w:t>
            </w:r>
          </w:p>
        </w:tc>
        <w:tc>
          <w:tcPr>
            <w:tcW w:w="283"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£1,583</w:t>
            </w:r>
          </w:p>
        </w:tc>
        <w:tc>
          <w:tcPr>
            <w:tcW w:w="1134"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£51,514,712</w:t>
            </w:r>
          </w:p>
        </w:tc>
        <w:tc>
          <w:tcPr>
            <w:tcW w:w="1450"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£51,001,712</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1231</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342</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£615,600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£976</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£31,753,108</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£31,137,508</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£1,694</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£55,125,459</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£54,509,859</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1642</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456</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£820,800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£1,032</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£33,594,604</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£32,773,804</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£1,791</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£58,271,886</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£57,451,086</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D9D9D9" w:themeFill="background1" w:themeFillShade="D9"/>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2052</w:t>
            </w:r>
          </w:p>
        </w:tc>
        <w:tc>
          <w:tcPr>
            <w:tcW w:w="880" w:type="dxa"/>
            <w:shd w:val="clear" w:color="auto" w:fill="D9D9D9" w:themeFill="background1" w:themeFillShade="D9"/>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480</w:t>
            </w:r>
          </w:p>
        </w:tc>
        <w:tc>
          <w:tcPr>
            <w:tcW w:w="1091" w:type="dxa"/>
            <w:shd w:val="clear" w:color="auto" w:fill="D9D9D9" w:themeFill="background1" w:themeFillShade="D9"/>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w:t>
            </w:r>
          </w:p>
        </w:tc>
        <w:tc>
          <w:tcPr>
            <w:tcW w:w="1191" w:type="dxa"/>
            <w:shd w:val="clear" w:color="auto" w:fill="D9D9D9" w:themeFill="background1" w:themeFillShade="D9"/>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403" w:type="dxa"/>
            <w:shd w:val="clear" w:color="auto" w:fill="D9D9D9" w:themeFill="background1" w:themeFillShade="D9"/>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£1,026,000</w:t>
            </w:r>
          </w:p>
        </w:tc>
        <w:tc>
          <w:tcPr>
            <w:tcW w:w="284" w:type="dxa"/>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D9D9D9" w:themeFill="background1" w:themeFillShade="D9"/>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£1,104</w:t>
            </w:r>
          </w:p>
        </w:tc>
        <w:tc>
          <w:tcPr>
            <w:tcW w:w="1559" w:type="dxa"/>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£35,924,767</w:t>
            </w:r>
          </w:p>
        </w:tc>
        <w:tc>
          <w:tcPr>
            <w:tcW w:w="1418" w:type="dxa"/>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£34,898,767</w:t>
            </w:r>
          </w:p>
        </w:tc>
        <w:tc>
          <w:tcPr>
            <w:tcW w:w="283" w:type="dxa"/>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£1,869</w:t>
            </w:r>
          </w:p>
        </w:tc>
        <w:tc>
          <w:tcPr>
            <w:tcW w:w="1134" w:type="dxa"/>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£60,825,699</w:t>
            </w:r>
          </w:p>
        </w:tc>
        <w:tc>
          <w:tcPr>
            <w:tcW w:w="1450" w:type="dxa"/>
            <w:shd w:val="clear" w:color="auto" w:fill="D9D9D9" w:themeFill="background1" w:themeFillShade="D9"/>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£59,799,699</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3078</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480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£1,539,000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£1,174</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£34,465,433</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£32,926,433</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£1,975</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£57,983,380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£56,444,380</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4104</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480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£2,052,000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£1,228</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£36,051,502</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£33,999,502</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£2,001</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£58,749,093</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£56,697,093</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5130</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480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£2,565,000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£1,264</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£33,144,144</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£30,579,144</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£2,067</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£54,194,420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£51,629,420</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8208</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480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£4,104,000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£1,315</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£30,432,323</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£26,328,323</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£2,130</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£49,280,849</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£45,176,849</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10260</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480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sz w:val="16"/>
                <w:szCs w:val="16"/>
              </w:rPr>
              <w:t>£5,130,000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£1,337</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£26,859,074</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£21,729,074</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£2,151</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£43,205,532</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C806D0">
              <w:rPr>
                <w:rFonts w:ascii="Calibri" w:hAnsi="Calibri"/>
                <w:color w:val="000000"/>
                <w:sz w:val="16"/>
                <w:szCs w:val="16"/>
              </w:rPr>
              <w:t>£38,075,532</w:t>
            </w:r>
          </w:p>
        </w:tc>
      </w:tr>
    </w:tbl>
    <w:p w:rsidR="00003A24" w:rsidRPr="00C806D0" w:rsidRDefault="00003A24" w:rsidP="00003A24">
      <w:pPr>
        <w:rPr>
          <w:rFonts w:ascii="Calibri" w:hAnsi="Calibri" w:cs="Arial"/>
          <w:sz w:val="20"/>
          <w:szCs w:val="20"/>
        </w:rPr>
      </w:pPr>
      <w:r w:rsidRPr="00C806D0">
        <w:rPr>
          <w:rFonts w:ascii="Calibri" w:hAnsi="Calibri" w:cs="Arial"/>
          <w:sz w:val="20"/>
          <w:szCs w:val="20"/>
        </w:rPr>
        <w:t xml:space="preserve">*Including analysis, reporting, dissemination and implementation. </w:t>
      </w:r>
    </w:p>
    <w:p w:rsidR="00BF1676" w:rsidRPr="00C806D0" w:rsidRDefault="00003A24" w:rsidP="003A4BDE">
      <w:pPr>
        <w:rPr>
          <w:rFonts w:ascii="Calibri" w:hAnsi="Calibri" w:cs="Arial"/>
          <w:sz w:val="20"/>
          <w:szCs w:val="20"/>
        </w:rPr>
        <w:sectPr w:rsidR="00BF1676" w:rsidRPr="00C806D0" w:rsidSect="00BF1676">
          <w:pgSz w:w="16838" w:h="11906" w:orient="landscape"/>
          <w:pgMar w:top="2268" w:right="1134" w:bottom="1134" w:left="1134" w:header="709" w:footer="709" w:gutter="0"/>
          <w:cols w:space="708"/>
          <w:docGrid w:linePitch="360"/>
        </w:sectPr>
      </w:pPr>
      <w:r w:rsidRPr="00C806D0">
        <w:rPr>
          <w:rFonts w:ascii="Calibri" w:hAnsi="Calibri" w:cs="Arial"/>
          <w:sz w:val="20"/>
          <w:szCs w:val="20"/>
        </w:rPr>
        <w:t>Optimal trial highlighted in grey.</w:t>
      </w:r>
    </w:p>
    <w:p w:rsidR="00003A24" w:rsidRPr="00C806D0" w:rsidRDefault="00003A24" w:rsidP="003A4BDE">
      <w:pPr>
        <w:rPr>
          <w:rFonts w:ascii="Calibri" w:hAnsi="Calibri" w:cs="Arial"/>
        </w:rPr>
      </w:pPr>
      <w:r w:rsidRPr="00C806D0">
        <w:rPr>
          <w:rFonts w:ascii="Calibri" w:hAnsi="Calibri" w:cs="Arial"/>
          <w:noProof/>
          <w:lang w:val="en-US"/>
        </w:rPr>
        <w:drawing>
          <wp:inline distT="0" distB="0" distL="0" distR="0">
            <wp:extent cx="5107638" cy="3019647"/>
            <wp:effectExtent l="19050" t="0" r="0" b="0"/>
            <wp:docPr id="69" name="Picture 1" descr="Appendix_optimistic_EN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optimistic_ENBS.jpg"/>
                    <pic:cNvPicPr/>
                  </pic:nvPicPr>
                  <pic:blipFill>
                    <a:blip r:embed="rId57" cstate="print"/>
                    <a:stretch>
                      <a:fillRect/>
                    </a:stretch>
                  </pic:blipFill>
                  <pic:spPr>
                    <a:xfrm>
                      <a:off x="0" y="0"/>
                      <a:ext cx="5110057" cy="3021077"/>
                    </a:xfrm>
                    <a:prstGeom prst="rect">
                      <a:avLst/>
                    </a:prstGeom>
                  </pic:spPr>
                </pic:pic>
              </a:graphicData>
            </a:graphic>
          </wp:inline>
        </w:drawing>
      </w:r>
    </w:p>
    <w:p w:rsidR="00003A24" w:rsidRPr="00C806D0" w:rsidRDefault="00003A24" w:rsidP="00003A24">
      <w:pPr>
        <w:rPr>
          <w:rFonts w:ascii="Calibri" w:hAnsi="Calibri" w:cs="Arial"/>
        </w:rPr>
      </w:pPr>
    </w:p>
    <w:p w:rsidR="00003A24" w:rsidRPr="00C806D0" w:rsidRDefault="00003A24" w:rsidP="00003A24">
      <w:pPr>
        <w:rPr>
          <w:rFonts w:ascii="Calibri" w:hAnsi="Calibri" w:cs="Arial"/>
          <w:b/>
        </w:rPr>
      </w:pPr>
      <w:r w:rsidRPr="00C806D0">
        <w:rPr>
          <w:rFonts w:ascii="Calibri" w:hAnsi="Calibri" w:cs="Arial"/>
          <w:b/>
        </w:rPr>
        <w:t>Figure J2. Expected net benefit of sampling for a definitive HITSNS cluster randomised trial at λ=£20,000 (optimistic assumptions).</w:t>
      </w:r>
    </w:p>
    <w:p w:rsidR="00003A24" w:rsidRPr="00C806D0" w:rsidRDefault="00003A24" w:rsidP="00003A24">
      <w:pPr>
        <w:rPr>
          <w:rFonts w:ascii="Calibri" w:hAnsi="Calibri" w:cs="Arial"/>
        </w:rPr>
      </w:pPr>
    </w:p>
    <w:p w:rsidR="00003A24" w:rsidRPr="00C806D0" w:rsidRDefault="00003A24" w:rsidP="00003A24">
      <w:pPr>
        <w:rPr>
          <w:rFonts w:ascii="Calibri" w:hAnsi="Calibri" w:cs="Arial"/>
        </w:rPr>
      </w:pPr>
    </w:p>
    <w:p w:rsidR="00003A24" w:rsidRPr="00C806D0" w:rsidRDefault="00003A24" w:rsidP="00003A24">
      <w:pPr>
        <w:jc w:val="center"/>
        <w:rPr>
          <w:rFonts w:ascii="Calibri" w:hAnsi="Calibri" w:cs="Arial"/>
        </w:rPr>
      </w:pPr>
      <w:r w:rsidRPr="00C806D0">
        <w:rPr>
          <w:rFonts w:ascii="Calibri" w:hAnsi="Calibri" w:cs="Arial"/>
          <w:noProof/>
          <w:lang w:val="en-US"/>
        </w:rPr>
        <w:drawing>
          <wp:inline distT="0" distB="0" distL="0" distR="0">
            <wp:extent cx="4820983" cy="2732567"/>
            <wp:effectExtent l="19050" t="0" r="0" b="0"/>
            <wp:docPr id="70" name="Picture 2" descr="Appendix_optimistic_ENBS_3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optimistic_ENBS_30k.jpg"/>
                    <pic:cNvPicPr/>
                  </pic:nvPicPr>
                  <pic:blipFill>
                    <a:blip r:embed="rId58" cstate="print"/>
                    <a:stretch>
                      <a:fillRect/>
                    </a:stretch>
                  </pic:blipFill>
                  <pic:spPr>
                    <a:xfrm>
                      <a:off x="0" y="0"/>
                      <a:ext cx="4818050" cy="2730905"/>
                    </a:xfrm>
                    <a:prstGeom prst="rect">
                      <a:avLst/>
                    </a:prstGeom>
                  </pic:spPr>
                </pic:pic>
              </a:graphicData>
            </a:graphic>
          </wp:inline>
        </w:drawing>
      </w:r>
    </w:p>
    <w:p w:rsidR="00003A24" w:rsidRPr="00C806D0" w:rsidRDefault="00003A24" w:rsidP="00003A24">
      <w:pPr>
        <w:rPr>
          <w:rFonts w:ascii="Calibri" w:hAnsi="Calibri" w:cs="Arial"/>
          <w:b/>
        </w:rPr>
      </w:pPr>
      <w:r w:rsidRPr="00C806D0">
        <w:rPr>
          <w:rFonts w:ascii="Calibri" w:hAnsi="Calibri" w:cs="Arial"/>
          <w:b/>
        </w:rPr>
        <w:t>Figure J3. Expected net benefit of sampling for a definitive HITSNS cluster randomised trial at λ=£30,000 (optimistic assumptions).</w:t>
      </w:r>
    </w:p>
    <w:p w:rsidR="003A4BDE" w:rsidRPr="00C806D0" w:rsidRDefault="003A4BDE" w:rsidP="00003A24">
      <w:pPr>
        <w:rPr>
          <w:rFonts w:ascii="Calibri" w:hAnsi="Calibri" w:cs="Arial"/>
          <w:b/>
        </w:rPr>
      </w:pPr>
    </w:p>
    <w:p w:rsidR="00BF1676" w:rsidRPr="00C806D0" w:rsidRDefault="00BF1676" w:rsidP="00003A24">
      <w:pPr>
        <w:rPr>
          <w:rFonts w:ascii="Calibri" w:hAnsi="Calibri" w:cs="Arial"/>
          <w:b/>
        </w:r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rPr>
          <w:rFonts w:ascii="Calibri" w:hAnsi="Calibri" w:cs="Arial"/>
        </w:rPr>
      </w:pPr>
      <w:r w:rsidRPr="00C806D0">
        <w:rPr>
          <w:rFonts w:ascii="Calibri" w:hAnsi="Calibri" w:cs="Arial"/>
          <w:b/>
        </w:rPr>
        <w:t xml:space="preserve">Table J24. Expected net benefit of sampling and study characteristics of definitive HITSNS trial with differing sample sizes under pessimistic assumptions. </w:t>
      </w:r>
    </w:p>
    <w:tbl>
      <w:tblPr>
        <w:tblStyle w:val="LightShading1"/>
        <w:tblW w:w="0" w:type="auto"/>
        <w:tblLayout w:type="fixed"/>
        <w:tblLook w:val="04A0" w:firstRow="1" w:lastRow="0" w:firstColumn="1" w:lastColumn="0" w:noHBand="0" w:noVBand="1"/>
      </w:tblPr>
      <w:tblGrid>
        <w:gridCol w:w="788"/>
        <w:gridCol w:w="880"/>
        <w:gridCol w:w="1091"/>
        <w:gridCol w:w="1191"/>
        <w:gridCol w:w="1403"/>
        <w:gridCol w:w="284"/>
        <w:gridCol w:w="1417"/>
        <w:gridCol w:w="1559"/>
        <w:gridCol w:w="1418"/>
        <w:gridCol w:w="283"/>
        <w:gridCol w:w="1276"/>
        <w:gridCol w:w="1134"/>
        <w:gridCol w:w="1450"/>
      </w:tblGrid>
      <w:tr w:rsidR="00003A24" w:rsidRPr="00C806D0" w:rsidTr="002A16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noWrap/>
            <w:hideMark/>
          </w:tcPr>
          <w:p w:rsidR="00003A24" w:rsidRPr="00C806D0" w:rsidRDefault="00003A24" w:rsidP="002A16B4">
            <w:pPr>
              <w:jc w:val="center"/>
              <w:rPr>
                <w:rFonts w:ascii="Calibri" w:eastAsia="Times New Roman" w:hAnsi="Calibri" w:cs="Arial"/>
                <w:b w:val="0"/>
                <w:color w:val="000000"/>
                <w:sz w:val="16"/>
                <w:szCs w:val="16"/>
                <w:lang w:eastAsia="en-GB"/>
              </w:rPr>
            </w:pPr>
          </w:p>
        </w:tc>
        <w:tc>
          <w:tcPr>
            <w:tcW w:w="880" w:type="dxa"/>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1091" w:type="dxa"/>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1191" w:type="dxa"/>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sz w:val="16"/>
                <w:szCs w:val="16"/>
                <w:lang w:eastAsia="en-GB"/>
              </w:rPr>
            </w:pPr>
          </w:p>
        </w:tc>
        <w:tc>
          <w:tcPr>
            <w:tcW w:w="1403" w:type="dxa"/>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284" w:type="dxa"/>
            <w:tcBorders>
              <w:bottom w:val="nil"/>
            </w:tcBorders>
            <w:shd w:val="clear" w:color="auto" w:fill="auto"/>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4394" w:type="dxa"/>
            <w:gridSpan w:val="3"/>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λ=£20,000</w:t>
            </w:r>
          </w:p>
        </w:tc>
        <w:tc>
          <w:tcPr>
            <w:tcW w:w="283" w:type="dxa"/>
            <w:tcBorders>
              <w:bottom w:val="nil"/>
            </w:tcBorders>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3860" w:type="dxa"/>
            <w:gridSpan w:val="3"/>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r w:rsidRPr="00C806D0">
              <w:rPr>
                <w:rFonts w:ascii="Calibri" w:eastAsia="Times New Roman" w:hAnsi="Calibri" w:cs="Arial"/>
                <w:color w:val="000000"/>
                <w:sz w:val="16"/>
                <w:szCs w:val="16"/>
                <w:lang w:eastAsia="en-GB"/>
              </w:rPr>
              <w:t>λ=£30,000</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tcBorders>
              <w:bottom w:val="single" w:sz="4" w:space="0" w:color="auto"/>
            </w:tcBorders>
            <w:shd w:val="clear" w:color="auto" w:fill="auto"/>
            <w:noWrap/>
            <w:hideMark/>
          </w:tcPr>
          <w:p w:rsidR="00003A24" w:rsidRPr="00C806D0" w:rsidRDefault="00003A24" w:rsidP="002A16B4">
            <w:pPr>
              <w:jc w:val="center"/>
              <w:rPr>
                <w:rFonts w:ascii="Calibri" w:eastAsia="Times New Roman" w:hAnsi="Calibri" w:cs="Arial"/>
                <w:b w:val="0"/>
                <w:color w:val="000000"/>
                <w:sz w:val="16"/>
                <w:szCs w:val="16"/>
                <w:lang w:eastAsia="en-GB"/>
              </w:rPr>
            </w:pPr>
            <w:r w:rsidRPr="00C806D0">
              <w:rPr>
                <w:rFonts w:ascii="Calibri" w:eastAsia="Times New Roman" w:hAnsi="Calibri" w:cs="Arial"/>
                <w:b w:val="0"/>
                <w:color w:val="000000"/>
                <w:sz w:val="16"/>
                <w:szCs w:val="16"/>
                <w:lang w:eastAsia="en-GB"/>
              </w:rPr>
              <w:t>Sample size</w:t>
            </w:r>
          </w:p>
        </w:tc>
        <w:tc>
          <w:tcPr>
            <w:tcW w:w="880"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sz w:val="16"/>
                <w:szCs w:val="16"/>
                <w:lang w:eastAsia="en-GB"/>
              </w:rPr>
            </w:pPr>
            <w:r w:rsidRPr="00C806D0">
              <w:rPr>
                <w:rFonts w:ascii="Calibri" w:eastAsia="Times New Roman" w:hAnsi="Calibri" w:cs="Arial"/>
                <w:bCs/>
                <w:color w:val="000000"/>
                <w:sz w:val="16"/>
                <w:szCs w:val="16"/>
                <w:lang w:eastAsia="en-GB"/>
              </w:rPr>
              <w:t>Number of clusters</w:t>
            </w:r>
          </w:p>
        </w:tc>
        <w:tc>
          <w:tcPr>
            <w:tcW w:w="1091"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sz w:val="16"/>
                <w:szCs w:val="16"/>
                <w:lang w:eastAsia="en-GB"/>
              </w:rPr>
            </w:pPr>
            <w:r w:rsidRPr="00C806D0">
              <w:rPr>
                <w:rFonts w:ascii="Calibri" w:eastAsia="Times New Roman" w:hAnsi="Calibri" w:cs="Arial"/>
                <w:bCs/>
                <w:color w:val="000000"/>
                <w:sz w:val="16"/>
                <w:szCs w:val="16"/>
                <w:lang w:eastAsia="en-GB"/>
              </w:rPr>
              <w:t>Number of ambulance services</w:t>
            </w:r>
          </w:p>
        </w:tc>
        <w:tc>
          <w:tcPr>
            <w:tcW w:w="1191"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sz w:val="16"/>
                <w:szCs w:val="16"/>
                <w:lang w:eastAsia="en-GB"/>
              </w:rPr>
            </w:pPr>
            <w:r w:rsidRPr="00C806D0">
              <w:rPr>
                <w:rFonts w:ascii="Calibri" w:eastAsia="Times New Roman" w:hAnsi="Calibri" w:cs="Arial"/>
                <w:color w:val="000000"/>
                <w:sz w:val="16"/>
                <w:szCs w:val="16"/>
                <w:lang w:eastAsia="en-GB"/>
              </w:rPr>
              <w:t>Total trial duration (years)*</w:t>
            </w:r>
          </w:p>
        </w:tc>
        <w:tc>
          <w:tcPr>
            <w:tcW w:w="1403"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Trial costs</w:t>
            </w:r>
          </w:p>
        </w:tc>
        <w:tc>
          <w:tcPr>
            <w:tcW w:w="284" w:type="dxa"/>
            <w:tcBorders>
              <w:top w:val="nil"/>
              <w:bottom w:val="nil"/>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p>
        </w:tc>
        <w:tc>
          <w:tcPr>
            <w:tcW w:w="1417"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Individual EVSI</w:t>
            </w:r>
          </w:p>
        </w:tc>
        <w:tc>
          <w:tcPr>
            <w:tcW w:w="1559"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color w:val="000000"/>
                <w:sz w:val="16"/>
                <w:szCs w:val="16"/>
                <w:lang w:eastAsia="en-GB"/>
              </w:rPr>
              <w:t xml:space="preserve">Population </w:t>
            </w:r>
            <w:r w:rsidRPr="00C806D0">
              <w:rPr>
                <w:rFonts w:ascii="Calibri" w:eastAsia="Times New Roman" w:hAnsi="Calibri" w:cs="Arial"/>
                <w:b/>
                <w:bCs/>
                <w:color w:val="000000"/>
                <w:sz w:val="16"/>
                <w:szCs w:val="16"/>
                <w:lang w:eastAsia="en-GB"/>
              </w:rPr>
              <w:t>EVSI</w:t>
            </w:r>
          </w:p>
        </w:tc>
        <w:tc>
          <w:tcPr>
            <w:tcW w:w="1418"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color w:val="000000"/>
                <w:sz w:val="16"/>
                <w:szCs w:val="16"/>
                <w:lang w:eastAsia="en-GB"/>
              </w:rPr>
              <w:t>ENBS</w:t>
            </w:r>
          </w:p>
        </w:tc>
        <w:tc>
          <w:tcPr>
            <w:tcW w:w="283" w:type="dxa"/>
            <w:tcBorders>
              <w:top w:val="nil"/>
              <w:bottom w:val="nil"/>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p>
        </w:tc>
        <w:tc>
          <w:tcPr>
            <w:tcW w:w="1276"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Individual EVSI</w:t>
            </w:r>
          </w:p>
        </w:tc>
        <w:tc>
          <w:tcPr>
            <w:tcW w:w="1134"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color w:val="000000"/>
                <w:sz w:val="16"/>
                <w:szCs w:val="16"/>
                <w:lang w:eastAsia="en-GB"/>
              </w:rPr>
              <w:t xml:space="preserve">Population </w:t>
            </w:r>
            <w:r w:rsidRPr="00C806D0">
              <w:rPr>
                <w:rFonts w:ascii="Calibri" w:eastAsia="Times New Roman" w:hAnsi="Calibri" w:cs="Arial"/>
                <w:b/>
                <w:bCs/>
                <w:color w:val="000000"/>
                <w:sz w:val="16"/>
                <w:szCs w:val="16"/>
                <w:lang w:eastAsia="en-GB"/>
              </w:rPr>
              <w:t>EVSI</w:t>
            </w:r>
          </w:p>
        </w:tc>
        <w:tc>
          <w:tcPr>
            <w:tcW w:w="1450"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ENBS</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tcBorders>
              <w:top w:val="single" w:sz="4" w:space="0" w:color="auto"/>
            </w:tcBorders>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0</w:t>
            </w:r>
          </w:p>
        </w:tc>
        <w:tc>
          <w:tcPr>
            <w:tcW w:w="880"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091"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191"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03"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284"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£0</w:t>
            </w:r>
          </w:p>
        </w:tc>
        <w:tc>
          <w:tcPr>
            <w:tcW w:w="1559"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283"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£0</w:t>
            </w:r>
          </w:p>
        </w:tc>
        <w:tc>
          <w:tcPr>
            <w:tcW w:w="1134"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106</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42</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£212,000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£240</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£638,166</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£426,166</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£644</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£1,712,807</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£1,500,807</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212</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85</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£424,000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£420</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£1,115,946</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£691,946</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£915</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£2,432,513</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£2,008,513</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265</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106</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£530,000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£535</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£1,422,527</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£892,527</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£990</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£2,632,318</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£2,102,318</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530</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£1,060,000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£741</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£1,434,622</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£374,622</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£1,310</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£2,534,928</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£1,474,928</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D9D9D9" w:themeFill="background1" w:themeFillShade="D9"/>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636</w:t>
            </w:r>
          </w:p>
        </w:tc>
        <w:tc>
          <w:tcPr>
            <w:tcW w:w="880" w:type="dxa"/>
            <w:shd w:val="clear" w:color="auto" w:fill="D9D9D9" w:themeFill="background1" w:themeFillShade="D9"/>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D9D9D9" w:themeFill="background1" w:themeFillShade="D9"/>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D9D9D9" w:themeFill="background1" w:themeFillShade="D9"/>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403" w:type="dxa"/>
            <w:shd w:val="clear" w:color="auto" w:fill="D9D9D9" w:themeFill="background1" w:themeFillShade="D9"/>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£1,272,000</w:t>
            </w:r>
          </w:p>
        </w:tc>
        <w:tc>
          <w:tcPr>
            <w:tcW w:w="284"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D9D9D9" w:themeFill="background1" w:themeFillShade="D9"/>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£837</w:t>
            </w:r>
          </w:p>
        </w:tc>
        <w:tc>
          <w:tcPr>
            <w:tcW w:w="1559"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£1,620,225</w:t>
            </w:r>
          </w:p>
        </w:tc>
        <w:tc>
          <w:tcPr>
            <w:tcW w:w="1418"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£348,225</w:t>
            </w:r>
          </w:p>
        </w:tc>
        <w:tc>
          <w:tcPr>
            <w:tcW w:w="283"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£1,338</w:t>
            </w:r>
          </w:p>
        </w:tc>
        <w:tc>
          <w:tcPr>
            <w:tcW w:w="1134"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£2,588,707</w:t>
            </w:r>
          </w:p>
        </w:tc>
        <w:tc>
          <w:tcPr>
            <w:tcW w:w="1450"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£1,316,707</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848</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£1,696,000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£882</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£1,103,736</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-£592,264</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£1,510</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£1,890,164</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£194,164</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FFFFFF" w:themeFill="background1"/>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1060</w:t>
            </w:r>
          </w:p>
        </w:tc>
        <w:tc>
          <w:tcPr>
            <w:tcW w:w="880" w:type="dxa"/>
            <w:shd w:val="clear" w:color="auto" w:fill="FFFFFF" w:themeFill="background1"/>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FFFFFF" w:themeFill="background1"/>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FFFFFF" w:themeFill="background1"/>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w:t>
            </w:r>
          </w:p>
        </w:tc>
        <w:tc>
          <w:tcPr>
            <w:tcW w:w="1403" w:type="dxa"/>
            <w:shd w:val="clear" w:color="auto" w:fill="FFFFFF" w:themeFill="background1"/>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£2,120,000</w:t>
            </w:r>
          </w:p>
        </w:tc>
        <w:tc>
          <w:tcPr>
            <w:tcW w:w="284"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FFFFFF" w:themeFill="background1"/>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£919</w:t>
            </w:r>
          </w:p>
        </w:tc>
        <w:tc>
          <w:tcPr>
            <w:tcW w:w="1559"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£558,782</w:t>
            </w:r>
          </w:p>
        </w:tc>
        <w:tc>
          <w:tcPr>
            <w:tcW w:w="1418"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-£1,561,218</w:t>
            </w:r>
          </w:p>
        </w:tc>
        <w:tc>
          <w:tcPr>
            <w:tcW w:w="283"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£1,583</w:t>
            </w:r>
          </w:p>
        </w:tc>
        <w:tc>
          <w:tcPr>
            <w:tcW w:w="1134"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£962,006</w:t>
            </w:r>
          </w:p>
        </w:tc>
        <w:tc>
          <w:tcPr>
            <w:tcW w:w="1450" w:type="dxa"/>
            <w:shd w:val="clear" w:color="auto" w:fill="FFFFFF" w:themeFill="background1"/>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-£1,157,994</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1272</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£2,544,000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£976</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£592,970</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-£1,951,030</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£1,694</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£1,029,435</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-£1,514,565</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1696</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£3,392,000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£1,032</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-£3,392,000</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£1,791</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-£3,392,000</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2120</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£4,240,000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£1,104</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-£4,240,000</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£1,869</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-£4,240,000</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3180</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13</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£6,360,000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£1,174</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-£6,360,000</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£1,975</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-£6,360,000</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4240</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16</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£8,480,000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£1,228</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-£8,480,000</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£2,001</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-£8,480,000</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5300</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19</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£10,600,000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£1,264</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-£10,600,000</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£2,067</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-£10,600,000</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8480</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28</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£16,960,000</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£1,315</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-£16,960,000</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£2,130</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-£16,960,000</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10600</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140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34</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£21,200,000</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£1,337</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-£21,200,000</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£2,151</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-£21,200,000</w:t>
            </w:r>
          </w:p>
        </w:tc>
      </w:tr>
    </w:tbl>
    <w:p w:rsidR="00003A24" w:rsidRPr="00C806D0" w:rsidRDefault="00003A24" w:rsidP="00003A24">
      <w:pPr>
        <w:rPr>
          <w:rFonts w:ascii="Calibri" w:hAnsi="Calibri" w:cs="Arial"/>
          <w:sz w:val="20"/>
          <w:szCs w:val="20"/>
        </w:rPr>
      </w:pPr>
      <w:r w:rsidRPr="00C806D0">
        <w:rPr>
          <w:rFonts w:ascii="Calibri" w:hAnsi="Calibri" w:cs="Arial"/>
          <w:sz w:val="20"/>
          <w:szCs w:val="20"/>
        </w:rPr>
        <w:t>*Including analysis, reporting, dissemination and implementation.</w:t>
      </w:r>
    </w:p>
    <w:p w:rsidR="00003A24" w:rsidRPr="00C806D0" w:rsidRDefault="00003A24" w:rsidP="00003A24">
      <w:pPr>
        <w:rPr>
          <w:rFonts w:ascii="Calibri" w:hAnsi="Calibri" w:cs="Arial"/>
          <w:sz w:val="20"/>
          <w:szCs w:val="20"/>
        </w:rPr>
      </w:pPr>
      <w:r w:rsidRPr="00C806D0">
        <w:rPr>
          <w:rFonts w:ascii="Calibri" w:hAnsi="Calibri" w:cs="Arial"/>
          <w:sz w:val="20"/>
          <w:szCs w:val="20"/>
        </w:rPr>
        <w:t xml:space="preserve">Optimal trial highlighted in grey. </w:t>
      </w:r>
    </w:p>
    <w:p w:rsidR="00D368BB" w:rsidRPr="00C806D0" w:rsidRDefault="00D368BB" w:rsidP="00003A24">
      <w:pPr>
        <w:rPr>
          <w:rFonts w:ascii="Calibri" w:hAnsi="Calibri" w:cs="Arial"/>
        </w:rPr>
      </w:pPr>
    </w:p>
    <w:p w:rsidR="00BF1676" w:rsidRPr="00C806D0" w:rsidRDefault="00BF1676" w:rsidP="00003A24">
      <w:pPr>
        <w:jc w:val="center"/>
        <w:rPr>
          <w:rFonts w:ascii="Calibri" w:hAnsi="Calibri" w:cs="Arial"/>
        </w:rPr>
        <w:sectPr w:rsidR="00BF1676" w:rsidRPr="00C806D0" w:rsidSect="00BF1676">
          <w:pgSz w:w="16838" w:h="11906" w:orient="landscape"/>
          <w:pgMar w:top="2268" w:right="1134" w:bottom="1134" w:left="1134" w:header="709" w:footer="709" w:gutter="0"/>
          <w:cols w:space="708"/>
          <w:docGrid w:linePitch="360"/>
        </w:sectPr>
      </w:pPr>
    </w:p>
    <w:p w:rsidR="00003A24" w:rsidRPr="00C806D0" w:rsidRDefault="00003A24" w:rsidP="00003A24">
      <w:pPr>
        <w:jc w:val="center"/>
        <w:rPr>
          <w:rFonts w:ascii="Calibri" w:hAnsi="Calibri" w:cs="Arial"/>
        </w:rPr>
      </w:pPr>
      <w:r w:rsidRPr="00C806D0">
        <w:rPr>
          <w:rFonts w:ascii="Calibri" w:hAnsi="Calibri" w:cs="Arial"/>
          <w:noProof/>
          <w:lang w:val="en-US"/>
        </w:rPr>
        <w:drawing>
          <wp:inline distT="0" distB="0" distL="0" distR="0">
            <wp:extent cx="5267441" cy="3040912"/>
            <wp:effectExtent l="19050" t="0" r="9409" b="0"/>
            <wp:docPr id="71" name="Picture 3" descr="Appendix_ENBS_pessimistic_2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ENBS_pessimistic_20k.jpg"/>
                    <pic:cNvPicPr/>
                  </pic:nvPicPr>
                  <pic:blipFill>
                    <a:blip r:embed="rId59" cstate="print"/>
                    <a:stretch>
                      <a:fillRect/>
                    </a:stretch>
                  </pic:blipFill>
                  <pic:spPr>
                    <a:xfrm>
                      <a:off x="0" y="0"/>
                      <a:ext cx="5279426" cy="3047831"/>
                    </a:xfrm>
                    <a:prstGeom prst="rect">
                      <a:avLst/>
                    </a:prstGeom>
                  </pic:spPr>
                </pic:pic>
              </a:graphicData>
            </a:graphic>
          </wp:inline>
        </w:drawing>
      </w:r>
    </w:p>
    <w:p w:rsidR="00003A24" w:rsidRPr="00C806D0" w:rsidRDefault="00003A24" w:rsidP="00003A24">
      <w:pPr>
        <w:rPr>
          <w:rFonts w:ascii="Calibri" w:hAnsi="Calibri" w:cs="Arial"/>
          <w:b/>
        </w:rPr>
      </w:pPr>
      <w:r w:rsidRPr="00C806D0">
        <w:rPr>
          <w:rFonts w:ascii="Calibri" w:hAnsi="Calibri" w:cs="Arial"/>
          <w:b/>
        </w:rPr>
        <w:t>Figure J4. Expected net benefit of sampling for a definitive HITSNS cluster randomised trial at λ=£20,000 (pessimistic assumptions).</w:t>
      </w:r>
    </w:p>
    <w:p w:rsidR="00003A24" w:rsidRPr="00C806D0" w:rsidRDefault="00003A24" w:rsidP="00003A24">
      <w:pPr>
        <w:rPr>
          <w:rFonts w:ascii="Calibri" w:hAnsi="Calibri" w:cs="Arial"/>
        </w:rPr>
      </w:pPr>
    </w:p>
    <w:p w:rsidR="00003A24" w:rsidRPr="00C806D0" w:rsidRDefault="00003A24" w:rsidP="00003A24">
      <w:pPr>
        <w:rPr>
          <w:rFonts w:ascii="Calibri" w:hAnsi="Calibri" w:cs="Arial"/>
        </w:rPr>
      </w:pPr>
    </w:p>
    <w:p w:rsidR="00003A24" w:rsidRPr="00C806D0" w:rsidRDefault="00003A24" w:rsidP="00003A24">
      <w:pPr>
        <w:rPr>
          <w:rFonts w:ascii="Calibri" w:hAnsi="Calibri" w:cs="Arial"/>
        </w:rPr>
      </w:pPr>
      <w:r w:rsidRPr="00C806D0">
        <w:rPr>
          <w:rFonts w:ascii="Calibri" w:hAnsi="Calibri" w:cs="Arial"/>
          <w:noProof/>
          <w:lang w:val="en-US"/>
        </w:rPr>
        <w:drawing>
          <wp:inline distT="0" distB="0" distL="0" distR="0">
            <wp:extent cx="5832848" cy="3211033"/>
            <wp:effectExtent l="19050" t="0" r="0" b="0"/>
            <wp:docPr id="72" name="Picture 4" descr="Appendix_ENBS_pessimistic_3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ENBS_pessimistic_30k.jpg"/>
                    <pic:cNvPicPr/>
                  </pic:nvPicPr>
                  <pic:blipFill>
                    <a:blip r:embed="rId60" cstate="print"/>
                    <a:stretch>
                      <a:fillRect/>
                    </a:stretch>
                  </pic:blipFill>
                  <pic:spPr>
                    <a:xfrm>
                      <a:off x="0" y="0"/>
                      <a:ext cx="5835608" cy="3212553"/>
                    </a:xfrm>
                    <a:prstGeom prst="rect">
                      <a:avLst/>
                    </a:prstGeom>
                  </pic:spPr>
                </pic:pic>
              </a:graphicData>
            </a:graphic>
          </wp:inline>
        </w:drawing>
      </w:r>
    </w:p>
    <w:p w:rsidR="003A4BDE" w:rsidRPr="00C806D0" w:rsidRDefault="00003A24" w:rsidP="00003A24">
      <w:pPr>
        <w:rPr>
          <w:rFonts w:ascii="Calibri" w:hAnsi="Calibri" w:cs="Arial"/>
          <w:b/>
        </w:rPr>
      </w:pPr>
      <w:r w:rsidRPr="00C806D0">
        <w:rPr>
          <w:rFonts w:ascii="Calibri" w:hAnsi="Calibri" w:cs="Arial"/>
          <w:b/>
        </w:rPr>
        <w:t>Figure J5. Expected net benefit of sampling for a definitive HITSNS cluster randomised trial at λ=£30,000 (pessimistic assumptions).</w:t>
      </w:r>
    </w:p>
    <w:p w:rsidR="003A4BDE" w:rsidRPr="00C806D0" w:rsidRDefault="003A4BDE" w:rsidP="00003A24">
      <w:pPr>
        <w:rPr>
          <w:rFonts w:ascii="Calibri" w:hAnsi="Calibri" w:cs="Arial"/>
          <w:b/>
        </w:rPr>
      </w:pPr>
    </w:p>
    <w:p w:rsidR="00BF1676" w:rsidRPr="00C806D0" w:rsidRDefault="00BF1676" w:rsidP="00003A24">
      <w:pPr>
        <w:rPr>
          <w:rFonts w:ascii="Calibri" w:hAnsi="Calibri" w:cs="Arial"/>
          <w:b/>
        </w:rPr>
        <w:sectPr w:rsidR="00BF1676" w:rsidRPr="00C806D0" w:rsidSect="00E31429">
          <w:pgSz w:w="11906" w:h="16838"/>
          <w:pgMar w:top="1134" w:right="1134" w:bottom="1134" w:left="2268" w:header="709" w:footer="709" w:gutter="0"/>
          <w:cols w:space="708"/>
          <w:docGrid w:linePitch="360"/>
        </w:sectPr>
      </w:pPr>
    </w:p>
    <w:p w:rsidR="00003A24" w:rsidRPr="00C806D0" w:rsidRDefault="00003A24" w:rsidP="00003A24">
      <w:pPr>
        <w:rPr>
          <w:rFonts w:ascii="Calibri" w:hAnsi="Calibri" w:cs="Arial"/>
        </w:rPr>
      </w:pPr>
      <w:r w:rsidRPr="00C806D0">
        <w:rPr>
          <w:rFonts w:ascii="Calibri" w:hAnsi="Calibri" w:cs="Arial"/>
          <w:b/>
        </w:rPr>
        <w:t xml:space="preserve">Table J25. Expected net benefit of sampling and study characteristics of definitive HITSNS trial with differing sample sizes under assumptions consistent with originally envisaged definitive HITSNS trial. </w:t>
      </w:r>
    </w:p>
    <w:tbl>
      <w:tblPr>
        <w:tblStyle w:val="LightShading1"/>
        <w:tblW w:w="0" w:type="auto"/>
        <w:tblLayout w:type="fixed"/>
        <w:tblLook w:val="04A0" w:firstRow="1" w:lastRow="0" w:firstColumn="1" w:lastColumn="0" w:noHBand="0" w:noVBand="1"/>
      </w:tblPr>
      <w:tblGrid>
        <w:gridCol w:w="788"/>
        <w:gridCol w:w="880"/>
        <w:gridCol w:w="1091"/>
        <w:gridCol w:w="1191"/>
        <w:gridCol w:w="1403"/>
        <w:gridCol w:w="284"/>
        <w:gridCol w:w="1417"/>
        <w:gridCol w:w="1559"/>
        <w:gridCol w:w="1418"/>
        <w:gridCol w:w="283"/>
        <w:gridCol w:w="1276"/>
        <w:gridCol w:w="1134"/>
        <w:gridCol w:w="1450"/>
      </w:tblGrid>
      <w:tr w:rsidR="00003A24" w:rsidRPr="00C806D0" w:rsidTr="002A16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eastAsia="Times New Roman" w:hAnsi="Calibri" w:cs="Arial"/>
                <w:b w:val="0"/>
                <w:color w:val="000000"/>
                <w:sz w:val="16"/>
                <w:szCs w:val="16"/>
                <w:lang w:eastAsia="en-GB"/>
              </w:rPr>
            </w:pPr>
          </w:p>
        </w:tc>
        <w:tc>
          <w:tcPr>
            <w:tcW w:w="880" w:type="dxa"/>
            <w:shd w:val="clear" w:color="auto" w:fill="auto"/>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1091" w:type="dxa"/>
            <w:shd w:val="clear" w:color="auto" w:fill="auto"/>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1191" w:type="dxa"/>
            <w:shd w:val="clear" w:color="auto" w:fill="auto"/>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sz w:val="16"/>
                <w:szCs w:val="16"/>
                <w:lang w:eastAsia="en-GB"/>
              </w:rPr>
            </w:pPr>
          </w:p>
        </w:tc>
        <w:tc>
          <w:tcPr>
            <w:tcW w:w="1403" w:type="dxa"/>
            <w:shd w:val="clear" w:color="auto" w:fill="auto"/>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284" w:type="dxa"/>
            <w:tcBorders>
              <w:bottom w:val="nil"/>
            </w:tcBorders>
            <w:shd w:val="clear" w:color="auto" w:fill="auto"/>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4394" w:type="dxa"/>
            <w:gridSpan w:val="3"/>
            <w:shd w:val="clear" w:color="auto" w:fill="auto"/>
            <w:noWrap/>
            <w:hideMark/>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r w:rsidRPr="00C806D0">
              <w:rPr>
                <w:rFonts w:ascii="Calibri" w:eastAsia="Times New Roman" w:hAnsi="Calibri" w:cs="Arial"/>
                <w:color w:val="000000"/>
                <w:sz w:val="16"/>
                <w:szCs w:val="16"/>
                <w:lang w:eastAsia="en-GB"/>
              </w:rPr>
              <w:t>λ=£20,000</w:t>
            </w:r>
          </w:p>
        </w:tc>
        <w:tc>
          <w:tcPr>
            <w:tcW w:w="283" w:type="dxa"/>
            <w:tcBorders>
              <w:bottom w:val="nil"/>
            </w:tcBorders>
            <w:shd w:val="clear" w:color="auto" w:fill="auto"/>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p>
        </w:tc>
        <w:tc>
          <w:tcPr>
            <w:tcW w:w="3860" w:type="dxa"/>
            <w:gridSpan w:val="3"/>
            <w:shd w:val="clear" w:color="auto" w:fill="auto"/>
          </w:tcPr>
          <w:p w:rsidR="00003A24" w:rsidRPr="00C806D0" w:rsidRDefault="00003A24" w:rsidP="002A1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sz w:val="16"/>
                <w:szCs w:val="16"/>
                <w:lang w:eastAsia="en-GB"/>
              </w:rPr>
            </w:pPr>
            <w:r w:rsidRPr="00C806D0">
              <w:rPr>
                <w:rFonts w:ascii="Calibri" w:eastAsia="Times New Roman" w:hAnsi="Calibri" w:cs="Arial"/>
                <w:color w:val="000000"/>
                <w:sz w:val="16"/>
                <w:szCs w:val="16"/>
                <w:lang w:eastAsia="en-GB"/>
              </w:rPr>
              <w:t>λ=£30,000</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tcBorders>
              <w:bottom w:val="single" w:sz="4" w:space="0" w:color="auto"/>
            </w:tcBorders>
            <w:shd w:val="clear" w:color="auto" w:fill="auto"/>
            <w:noWrap/>
            <w:hideMark/>
          </w:tcPr>
          <w:p w:rsidR="00003A24" w:rsidRPr="00C806D0" w:rsidRDefault="00003A24" w:rsidP="002A16B4">
            <w:pPr>
              <w:jc w:val="center"/>
              <w:rPr>
                <w:rFonts w:ascii="Calibri" w:eastAsia="Times New Roman" w:hAnsi="Calibri" w:cs="Arial"/>
                <w:b w:val="0"/>
                <w:color w:val="000000"/>
                <w:sz w:val="16"/>
                <w:szCs w:val="16"/>
                <w:lang w:eastAsia="en-GB"/>
              </w:rPr>
            </w:pPr>
            <w:r w:rsidRPr="00C806D0">
              <w:rPr>
                <w:rFonts w:ascii="Calibri" w:eastAsia="Times New Roman" w:hAnsi="Calibri" w:cs="Arial"/>
                <w:b w:val="0"/>
                <w:color w:val="000000"/>
                <w:sz w:val="16"/>
                <w:szCs w:val="16"/>
                <w:lang w:eastAsia="en-GB"/>
              </w:rPr>
              <w:t>Sample size</w:t>
            </w:r>
          </w:p>
        </w:tc>
        <w:tc>
          <w:tcPr>
            <w:tcW w:w="880"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sz w:val="16"/>
                <w:szCs w:val="16"/>
                <w:lang w:eastAsia="en-GB"/>
              </w:rPr>
            </w:pPr>
            <w:r w:rsidRPr="00C806D0">
              <w:rPr>
                <w:rFonts w:ascii="Calibri" w:eastAsia="Times New Roman" w:hAnsi="Calibri" w:cs="Arial"/>
                <w:bCs/>
                <w:color w:val="000000"/>
                <w:sz w:val="16"/>
                <w:szCs w:val="16"/>
                <w:lang w:eastAsia="en-GB"/>
              </w:rPr>
              <w:t>Number of clusters</w:t>
            </w:r>
          </w:p>
        </w:tc>
        <w:tc>
          <w:tcPr>
            <w:tcW w:w="1091"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sz w:val="16"/>
                <w:szCs w:val="16"/>
                <w:lang w:eastAsia="en-GB"/>
              </w:rPr>
            </w:pPr>
            <w:r w:rsidRPr="00C806D0">
              <w:rPr>
                <w:rFonts w:ascii="Calibri" w:eastAsia="Times New Roman" w:hAnsi="Calibri" w:cs="Arial"/>
                <w:bCs/>
                <w:color w:val="000000"/>
                <w:sz w:val="16"/>
                <w:szCs w:val="16"/>
                <w:lang w:eastAsia="en-GB"/>
              </w:rPr>
              <w:t>Number of ambulance services</w:t>
            </w:r>
          </w:p>
        </w:tc>
        <w:tc>
          <w:tcPr>
            <w:tcW w:w="1191"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sz w:val="16"/>
                <w:szCs w:val="16"/>
                <w:lang w:eastAsia="en-GB"/>
              </w:rPr>
            </w:pPr>
            <w:r w:rsidRPr="00C806D0">
              <w:rPr>
                <w:rFonts w:ascii="Calibri" w:eastAsia="Times New Roman" w:hAnsi="Calibri" w:cs="Arial"/>
                <w:color w:val="000000"/>
                <w:sz w:val="16"/>
                <w:szCs w:val="16"/>
                <w:lang w:eastAsia="en-GB"/>
              </w:rPr>
              <w:t>Total trial duration (years)*</w:t>
            </w:r>
          </w:p>
        </w:tc>
        <w:tc>
          <w:tcPr>
            <w:tcW w:w="1403"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Trial costs</w:t>
            </w:r>
          </w:p>
        </w:tc>
        <w:tc>
          <w:tcPr>
            <w:tcW w:w="284" w:type="dxa"/>
            <w:tcBorders>
              <w:top w:val="nil"/>
              <w:bottom w:val="nil"/>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p>
        </w:tc>
        <w:tc>
          <w:tcPr>
            <w:tcW w:w="1417" w:type="dxa"/>
            <w:tcBorders>
              <w:bottom w:val="single" w:sz="4" w:space="0" w:color="auto"/>
            </w:tcBorders>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Individual EVSI</w:t>
            </w:r>
          </w:p>
        </w:tc>
        <w:tc>
          <w:tcPr>
            <w:tcW w:w="1559"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color w:val="000000"/>
                <w:sz w:val="16"/>
                <w:szCs w:val="16"/>
                <w:lang w:eastAsia="en-GB"/>
              </w:rPr>
              <w:t xml:space="preserve">Population </w:t>
            </w:r>
            <w:r w:rsidRPr="00C806D0">
              <w:rPr>
                <w:rFonts w:ascii="Calibri" w:eastAsia="Times New Roman" w:hAnsi="Calibri" w:cs="Arial"/>
                <w:b/>
                <w:bCs/>
                <w:color w:val="000000"/>
                <w:sz w:val="16"/>
                <w:szCs w:val="16"/>
                <w:lang w:eastAsia="en-GB"/>
              </w:rPr>
              <w:t>EVSI</w:t>
            </w:r>
          </w:p>
        </w:tc>
        <w:tc>
          <w:tcPr>
            <w:tcW w:w="1418"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color w:val="000000"/>
                <w:sz w:val="16"/>
                <w:szCs w:val="16"/>
                <w:lang w:eastAsia="en-GB"/>
              </w:rPr>
              <w:t>ENBS</w:t>
            </w:r>
          </w:p>
        </w:tc>
        <w:tc>
          <w:tcPr>
            <w:tcW w:w="283" w:type="dxa"/>
            <w:tcBorders>
              <w:top w:val="nil"/>
              <w:bottom w:val="nil"/>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p>
        </w:tc>
        <w:tc>
          <w:tcPr>
            <w:tcW w:w="1276"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Individual EVSI</w:t>
            </w:r>
          </w:p>
        </w:tc>
        <w:tc>
          <w:tcPr>
            <w:tcW w:w="1134"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color w:val="000000"/>
                <w:sz w:val="16"/>
                <w:szCs w:val="16"/>
                <w:lang w:eastAsia="en-GB"/>
              </w:rPr>
              <w:t xml:space="preserve">Population </w:t>
            </w:r>
            <w:r w:rsidRPr="00C806D0">
              <w:rPr>
                <w:rFonts w:ascii="Calibri" w:eastAsia="Times New Roman" w:hAnsi="Calibri" w:cs="Arial"/>
                <w:b/>
                <w:bCs/>
                <w:color w:val="000000"/>
                <w:sz w:val="16"/>
                <w:szCs w:val="16"/>
                <w:lang w:eastAsia="en-GB"/>
              </w:rPr>
              <w:t>EVSI</w:t>
            </w:r>
          </w:p>
        </w:tc>
        <w:tc>
          <w:tcPr>
            <w:tcW w:w="1450" w:type="dxa"/>
            <w:tcBorders>
              <w:bottom w:val="single" w:sz="4" w:space="0" w:color="auto"/>
            </w:tcBorders>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 w:val="16"/>
                <w:szCs w:val="16"/>
                <w:lang w:eastAsia="en-GB"/>
              </w:rPr>
            </w:pPr>
            <w:r w:rsidRPr="00C806D0">
              <w:rPr>
                <w:rFonts w:ascii="Calibri" w:eastAsia="Times New Roman" w:hAnsi="Calibri" w:cs="Arial"/>
                <w:b/>
                <w:bCs/>
                <w:color w:val="000000"/>
                <w:sz w:val="16"/>
                <w:szCs w:val="16"/>
                <w:lang w:eastAsia="en-GB"/>
              </w:rPr>
              <w:t>ENBS</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tcBorders>
              <w:top w:val="single" w:sz="4" w:space="0" w:color="auto"/>
            </w:tcBorders>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0</w:t>
            </w:r>
          </w:p>
        </w:tc>
        <w:tc>
          <w:tcPr>
            <w:tcW w:w="880"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091"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191"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03"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284"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tcBorders>
              <w:top w:val="single" w:sz="4" w:space="0" w:color="auto"/>
            </w:tcBorders>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£0</w:t>
            </w:r>
          </w:p>
        </w:tc>
        <w:tc>
          <w:tcPr>
            <w:tcW w:w="1559"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283" w:type="dxa"/>
            <w:tcBorders>
              <w:top w:val="nil"/>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£0</w:t>
            </w:r>
          </w:p>
        </w:tc>
        <w:tc>
          <w:tcPr>
            <w:tcW w:w="1134"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tcBorders>
              <w:top w:val="single" w:sz="4" w:space="0" w:color="auto"/>
            </w:tcBorders>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104</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35</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£707,792</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£240</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£3,134,385</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£2,426,592</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£644</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£8,412,535</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£7,704,743</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208</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69</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£897,835</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£420</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£5,481,025</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£4,583,190</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£915</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£11,947,407</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£11,049,573</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260</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87</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£978,146</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£535</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£6,986,810</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£6,008,664</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£990</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£12,928,756</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£11,950,610</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520</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£1,454,508</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£741</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£8,152,339</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£6,697,831</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£1,310</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£14,404,903</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£12,950,395</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D9D9D9" w:themeFill="background1" w:themeFillShade="D9"/>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624</w:t>
            </w:r>
          </w:p>
        </w:tc>
        <w:tc>
          <w:tcPr>
            <w:tcW w:w="880" w:type="dxa"/>
            <w:shd w:val="clear" w:color="auto" w:fill="D9D9D9" w:themeFill="background1" w:themeFillShade="D9"/>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D9D9D9" w:themeFill="background1" w:themeFillShade="D9"/>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D9D9D9" w:themeFill="background1" w:themeFillShade="D9"/>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w:t>
            </w:r>
          </w:p>
        </w:tc>
        <w:tc>
          <w:tcPr>
            <w:tcW w:w="1403" w:type="dxa"/>
            <w:shd w:val="clear" w:color="auto" w:fill="D9D9D9" w:themeFill="background1" w:themeFillShade="D9"/>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£1,468,028</w:t>
            </w:r>
          </w:p>
        </w:tc>
        <w:tc>
          <w:tcPr>
            <w:tcW w:w="284"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D9D9D9" w:themeFill="background1" w:themeFillShade="D9"/>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£837</w:t>
            </w:r>
          </w:p>
        </w:tc>
        <w:tc>
          <w:tcPr>
            <w:tcW w:w="1559"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£9,207,039</w:t>
            </w:r>
          </w:p>
        </w:tc>
        <w:tc>
          <w:tcPr>
            <w:tcW w:w="1418"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£7,739,011</w:t>
            </w:r>
          </w:p>
        </w:tc>
        <w:tc>
          <w:tcPr>
            <w:tcW w:w="283"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£1,338</w:t>
            </w:r>
          </w:p>
        </w:tc>
        <w:tc>
          <w:tcPr>
            <w:tcW w:w="1134"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£14,710,509</w:t>
            </w:r>
          </w:p>
        </w:tc>
        <w:tc>
          <w:tcPr>
            <w:tcW w:w="1450" w:type="dxa"/>
            <w:shd w:val="clear" w:color="auto" w:fill="D9D9D9" w:themeFill="background1" w:themeFillShade="D9"/>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£13,242,481</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832</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£1,775,818</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£882</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£7,935,501</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£6,159,683</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£1,510</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£13,589,659</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£11,813,841</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1040</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£1,802,858</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£919</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£8,275,963</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£6,473,105</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£1,583</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£14,248,010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£12,445,152</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1248</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£2,110,648</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£976</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£6,902,976</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£4,792,328</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£1,694</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£11,984,014</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£9,873,366</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1664</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7</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£2,445,478</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£1,032</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£5,382,213</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£2,936,735</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£1,791</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£9,335,775</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£6,890,297</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2080</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£2,780,308</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£1,104</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£3,770,655</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£990,347</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£1,869</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£6,384,251</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£3,603,943</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3120</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11</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£3,757,758</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£1,174</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-£3,757,758</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£1,975</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-£3,757,758</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4160</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14</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£4,735,208</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£1,228</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-£4,735,208</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£2,001</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-£4,735,208</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5200</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17</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£5,712,658</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£1,264</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-£5,712,658</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£2,067</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-£5,712,658</w:t>
            </w:r>
          </w:p>
        </w:tc>
      </w:tr>
      <w:tr w:rsidR="00003A24" w:rsidRPr="00C806D0" w:rsidTr="002A16B4">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8320</w:t>
            </w:r>
          </w:p>
        </w:tc>
        <w:tc>
          <w:tcPr>
            <w:tcW w:w="880"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26</w:t>
            </w:r>
          </w:p>
        </w:tc>
        <w:tc>
          <w:tcPr>
            <w:tcW w:w="1403"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£8,645,008</w:t>
            </w:r>
          </w:p>
        </w:tc>
        <w:tc>
          <w:tcPr>
            <w:tcW w:w="28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£1,315</w:t>
            </w:r>
          </w:p>
        </w:tc>
        <w:tc>
          <w:tcPr>
            <w:tcW w:w="1559"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-£8,645,008</w:t>
            </w:r>
          </w:p>
        </w:tc>
        <w:tc>
          <w:tcPr>
            <w:tcW w:w="283"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£2,130</w:t>
            </w:r>
          </w:p>
        </w:tc>
        <w:tc>
          <w:tcPr>
            <w:tcW w:w="1134"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-£8,645,008</w:t>
            </w:r>
          </w:p>
        </w:tc>
      </w:tr>
      <w:tr w:rsidR="00003A24" w:rsidRPr="00C806D0" w:rsidTr="002A16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noWrap/>
            <w:hideMark/>
          </w:tcPr>
          <w:p w:rsidR="00003A24" w:rsidRPr="00C806D0" w:rsidRDefault="00003A24" w:rsidP="002A16B4">
            <w:pPr>
              <w:jc w:val="center"/>
              <w:rPr>
                <w:rFonts w:ascii="Calibri" w:hAnsi="Calibri" w:cs="Arial"/>
                <w:b w:val="0"/>
                <w:color w:val="000000"/>
                <w:sz w:val="16"/>
                <w:szCs w:val="16"/>
              </w:rPr>
            </w:pPr>
            <w:r w:rsidRPr="00C806D0">
              <w:rPr>
                <w:rFonts w:ascii="Calibri" w:hAnsi="Calibri" w:cs="Arial"/>
                <w:b w:val="0"/>
                <w:color w:val="000000"/>
                <w:sz w:val="16"/>
                <w:szCs w:val="16"/>
              </w:rPr>
              <w:t>10400</w:t>
            </w:r>
          </w:p>
        </w:tc>
        <w:tc>
          <w:tcPr>
            <w:tcW w:w="880"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120</w:t>
            </w:r>
          </w:p>
        </w:tc>
        <w:tc>
          <w:tcPr>
            <w:tcW w:w="10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sidRPr="00C806D0">
              <w:rPr>
                <w:rFonts w:ascii="Calibri" w:hAnsi="Calibri" w:cs="Arial"/>
                <w:color w:val="000000"/>
                <w:sz w:val="16"/>
                <w:szCs w:val="16"/>
              </w:rPr>
              <w:t>4</w:t>
            </w:r>
          </w:p>
        </w:tc>
        <w:tc>
          <w:tcPr>
            <w:tcW w:w="1191"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31</w:t>
            </w:r>
          </w:p>
        </w:tc>
        <w:tc>
          <w:tcPr>
            <w:tcW w:w="1403"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£10,319,158</w:t>
            </w:r>
          </w:p>
        </w:tc>
        <w:tc>
          <w:tcPr>
            <w:tcW w:w="28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417" w:type="dxa"/>
            <w:shd w:val="clear" w:color="auto" w:fill="auto"/>
            <w:noWrap/>
            <w:hideMark/>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£1,337</w:t>
            </w:r>
          </w:p>
        </w:tc>
        <w:tc>
          <w:tcPr>
            <w:tcW w:w="1559"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18"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-£10,319,158</w:t>
            </w:r>
          </w:p>
        </w:tc>
        <w:tc>
          <w:tcPr>
            <w:tcW w:w="283"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6"/>
                <w:szCs w:val="16"/>
                <w:lang w:eastAsia="en-GB"/>
              </w:rPr>
            </w:pPr>
          </w:p>
        </w:tc>
        <w:tc>
          <w:tcPr>
            <w:tcW w:w="1276"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0000"/>
                <w:sz w:val="16"/>
                <w:szCs w:val="16"/>
              </w:rPr>
            </w:pPr>
            <w:r w:rsidRPr="00C806D0">
              <w:rPr>
                <w:rFonts w:ascii="Calibri" w:hAnsi="Calibri" w:cs="Arial"/>
                <w:bCs/>
                <w:color w:val="000000"/>
                <w:sz w:val="16"/>
                <w:szCs w:val="16"/>
              </w:rPr>
              <w:t>£2,151</w:t>
            </w:r>
          </w:p>
        </w:tc>
        <w:tc>
          <w:tcPr>
            <w:tcW w:w="1134"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£0</w:t>
            </w:r>
          </w:p>
        </w:tc>
        <w:tc>
          <w:tcPr>
            <w:tcW w:w="1450" w:type="dxa"/>
            <w:shd w:val="clear" w:color="auto" w:fill="auto"/>
          </w:tcPr>
          <w:p w:rsidR="00003A24" w:rsidRPr="00C806D0" w:rsidRDefault="00003A24" w:rsidP="002A16B4">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16"/>
                <w:szCs w:val="16"/>
              </w:rPr>
            </w:pPr>
            <w:r w:rsidRPr="00C806D0">
              <w:rPr>
                <w:rFonts w:ascii="Calibri" w:hAnsi="Calibri" w:cs="Arial"/>
                <w:color w:val="000000"/>
                <w:sz w:val="16"/>
                <w:szCs w:val="16"/>
              </w:rPr>
              <w:t>-£10,319,158</w:t>
            </w:r>
          </w:p>
        </w:tc>
      </w:tr>
    </w:tbl>
    <w:p w:rsidR="00003A24" w:rsidRPr="00C806D0" w:rsidRDefault="00003A24" w:rsidP="00003A24">
      <w:pPr>
        <w:rPr>
          <w:rFonts w:ascii="Calibri" w:hAnsi="Calibri" w:cs="Arial"/>
          <w:sz w:val="20"/>
          <w:szCs w:val="20"/>
        </w:rPr>
      </w:pPr>
      <w:r w:rsidRPr="00C806D0">
        <w:rPr>
          <w:rFonts w:ascii="Calibri" w:hAnsi="Calibri" w:cs="Arial"/>
          <w:sz w:val="20"/>
          <w:szCs w:val="20"/>
        </w:rPr>
        <w:t xml:space="preserve">*Including analysis, reporting, dissemination and implementation. </w:t>
      </w:r>
    </w:p>
    <w:p w:rsidR="00003A24" w:rsidRPr="00C806D0" w:rsidRDefault="00003A24" w:rsidP="00003A24">
      <w:pPr>
        <w:rPr>
          <w:rFonts w:ascii="Calibri" w:hAnsi="Calibri" w:cs="Arial"/>
          <w:sz w:val="20"/>
          <w:szCs w:val="20"/>
        </w:rPr>
      </w:pPr>
      <w:r w:rsidRPr="00C806D0">
        <w:rPr>
          <w:rFonts w:ascii="Calibri" w:hAnsi="Calibri" w:cs="Arial"/>
          <w:sz w:val="20"/>
          <w:szCs w:val="20"/>
        </w:rPr>
        <w:t>Optimal trial highlighted in grey.</w:t>
      </w:r>
    </w:p>
    <w:p w:rsidR="00BF1676" w:rsidRPr="00C806D0" w:rsidRDefault="00BF1676" w:rsidP="00003A24">
      <w:pPr>
        <w:rPr>
          <w:rFonts w:ascii="Calibri" w:hAnsi="Calibri" w:cs="Arial"/>
        </w:rPr>
        <w:sectPr w:rsidR="00BF1676" w:rsidRPr="00C806D0" w:rsidSect="00BF1676">
          <w:pgSz w:w="16838" w:h="11906" w:orient="landscape"/>
          <w:pgMar w:top="2268" w:right="1134" w:bottom="1134" w:left="1134" w:header="709" w:footer="709" w:gutter="0"/>
          <w:cols w:space="708"/>
          <w:docGrid w:linePitch="360"/>
        </w:sectPr>
      </w:pPr>
    </w:p>
    <w:p w:rsidR="00003A24" w:rsidRPr="00C806D0" w:rsidRDefault="00003A24" w:rsidP="00003A24">
      <w:pPr>
        <w:rPr>
          <w:rFonts w:ascii="Calibri" w:hAnsi="Calibri" w:cs="Arial"/>
        </w:rPr>
      </w:pPr>
    </w:p>
    <w:p w:rsidR="00003A24" w:rsidRPr="00C806D0" w:rsidRDefault="00003A24" w:rsidP="00003A24">
      <w:pPr>
        <w:rPr>
          <w:rFonts w:ascii="Arial" w:hAnsi="Arial" w:cs="Arial"/>
        </w:rPr>
      </w:pPr>
    </w:p>
    <w:p w:rsidR="00003A24" w:rsidRPr="00C806D0" w:rsidRDefault="00003A24" w:rsidP="00003A24">
      <w:pPr>
        <w:jc w:val="center"/>
        <w:rPr>
          <w:rFonts w:ascii="Arial" w:hAnsi="Arial" w:cs="Arial"/>
        </w:rPr>
      </w:pPr>
      <w:r w:rsidRPr="00C806D0">
        <w:rPr>
          <w:rFonts w:ascii="Arial" w:hAnsi="Arial" w:cs="Arial"/>
          <w:noProof/>
          <w:lang w:val="en-US"/>
        </w:rPr>
        <w:drawing>
          <wp:inline distT="0" distB="0" distL="0" distR="0">
            <wp:extent cx="5328354" cy="3104707"/>
            <wp:effectExtent l="19050" t="0" r="5646" b="0"/>
            <wp:docPr id="73" name="Picture 6" descr="Appendix_ENBS_4_ambulance_services_2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ENBS_4_ambulance_services_20k.jpg"/>
                    <pic:cNvPicPr/>
                  </pic:nvPicPr>
                  <pic:blipFill>
                    <a:blip r:embed="rId61" cstate="print"/>
                    <a:stretch>
                      <a:fillRect/>
                    </a:stretch>
                  </pic:blipFill>
                  <pic:spPr>
                    <a:xfrm>
                      <a:off x="0" y="0"/>
                      <a:ext cx="5330876" cy="3106177"/>
                    </a:xfrm>
                    <a:prstGeom prst="rect">
                      <a:avLst/>
                    </a:prstGeom>
                  </pic:spPr>
                </pic:pic>
              </a:graphicData>
            </a:graphic>
          </wp:inline>
        </w:drawing>
      </w:r>
    </w:p>
    <w:p w:rsidR="00003A24" w:rsidRPr="00C806D0" w:rsidRDefault="00003A24" w:rsidP="00003A24">
      <w:pPr>
        <w:rPr>
          <w:rFonts w:ascii="Arial" w:hAnsi="Arial" w:cs="Arial"/>
        </w:rPr>
      </w:pPr>
    </w:p>
    <w:p w:rsidR="00003A24" w:rsidRPr="00C806D0" w:rsidRDefault="00003A24" w:rsidP="00003A24">
      <w:pPr>
        <w:rPr>
          <w:rFonts w:ascii="Calibri" w:hAnsi="Calibri" w:cs="Arial"/>
          <w:b/>
        </w:rPr>
      </w:pPr>
      <w:r w:rsidRPr="00C806D0">
        <w:rPr>
          <w:rFonts w:ascii="Calibri" w:hAnsi="Calibri" w:cs="Arial"/>
          <w:b/>
        </w:rPr>
        <w:t>Figure J6. Expected net benefit of sampling for a definitive HITSNS cluster randomised trial at λ=£20,000 (originally planned definitive HITSNS trial assumptions).</w:t>
      </w:r>
    </w:p>
    <w:p w:rsidR="00003A24" w:rsidRPr="00C806D0" w:rsidRDefault="00003A24" w:rsidP="00003A24">
      <w:pPr>
        <w:rPr>
          <w:rFonts w:ascii="Calibri" w:hAnsi="Calibri" w:cs="Arial"/>
        </w:rPr>
      </w:pPr>
    </w:p>
    <w:p w:rsidR="00003A24" w:rsidRPr="00C806D0" w:rsidRDefault="00003A24" w:rsidP="00003A24">
      <w:pPr>
        <w:rPr>
          <w:rFonts w:ascii="Calibri" w:hAnsi="Calibri" w:cs="Arial"/>
        </w:rPr>
      </w:pPr>
    </w:p>
    <w:p w:rsidR="00003A24" w:rsidRPr="00C806D0" w:rsidRDefault="00003A24" w:rsidP="00003A24">
      <w:pPr>
        <w:jc w:val="center"/>
        <w:rPr>
          <w:rFonts w:ascii="Calibri" w:hAnsi="Calibri" w:cs="Arial"/>
        </w:rPr>
      </w:pPr>
      <w:r w:rsidRPr="00C806D0">
        <w:rPr>
          <w:rFonts w:ascii="Calibri" w:hAnsi="Calibri" w:cs="Arial"/>
          <w:noProof/>
          <w:lang w:val="en-US"/>
        </w:rPr>
        <w:drawing>
          <wp:inline distT="0" distB="0" distL="0" distR="0">
            <wp:extent cx="5537332" cy="3139825"/>
            <wp:effectExtent l="19050" t="0" r="6218" b="0"/>
            <wp:docPr id="74" name="Picture 7" descr="Appendix_ENBS_4_ambulance_services_3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ENBS_4_ambulance_services_30k.jpg"/>
                    <pic:cNvPicPr/>
                  </pic:nvPicPr>
                  <pic:blipFill>
                    <a:blip r:embed="rId62" cstate="print"/>
                    <a:stretch>
                      <a:fillRect/>
                    </a:stretch>
                  </pic:blipFill>
                  <pic:spPr>
                    <a:xfrm>
                      <a:off x="0" y="0"/>
                      <a:ext cx="5540337" cy="3141529"/>
                    </a:xfrm>
                    <a:prstGeom prst="rect">
                      <a:avLst/>
                    </a:prstGeom>
                  </pic:spPr>
                </pic:pic>
              </a:graphicData>
            </a:graphic>
          </wp:inline>
        </w:drawing>
      </w:r>
    </w:p>
    <w:p w:rsidR="00003A24" w:rsidRPr="00C806D0" w:rsidRDefault="00003A24" w:rsidP="00003A24">
      <w:pPr>
        <w:rPr>
          <w:rFonts w:ascii="Calibri" w:hAnsi="Calibri" w:cs="Arial"/>
        </w:rPr>
      </w:pPr>
    </w:p>
    <w:p w:rsidR="00003A24" w:rsidRPr="00C806D0" w:rsidRDefault="00003A24" w:rsidP="00003A24">
      <w:pPr>
        <w:rPr>
          <w:rFonts w:ascii="Calibri" w:hAnsi="Calibri" w:cs="Arial"/>
          <w:b/>
        </w:rPr>
      </w:pPr>
      <w:r w:rsidRPr="00C806D0">
        <w:rPr>
          <w:rFonts w:ascii="Calibri" w:hAnsi="Calibri" w:cs="Arial"/>
          <w:b/>
        </w:rPr>
        <w:t>Figure J7. Expected net benefit of sampling for a definitive HITSNS cluster randomised trial at λ=£30,000 (originally planned definitive HITSNS trial assumptions).</w:t>
      </w:r>
    </w:p>
    <w:p w:rsidR="00003A24" w:rsidRPr="00C806D0" w:rsidRDefault="00003A24" w:rsidP="00003A24">
      <w:pPr>
        <w:rPr>
          <w:rFonts w:ascii="Calibri" w:hAnsi="Calibri" w:cs="Arial"/>
          <w:b/>
        </w:rPr>
      </w:pPr>
    </w:p>
    <w:p w:rsidR="00003A24" w:rsidRPr="00C806D0" w:rsidRDefault="00003A24" w:rsidP="00003A24">
      <w:pPr>
        <w:pStyle w:val="Heading2"/>
      </w:pPr>
      <w:r w:rsidRPr="00C806D0">
        <w:t>references</w:t>
      </w:r>
    </w:p>
    <w:p w:rsidR="006D4D62" w:rsidRPr="00C806D0" w:rsidRDefault="006D4D62" w:rsidP="006D4D62">
      <w:pPr>
        <w:spacing w:line="240" w:lineRule="auto"/>
        <w:ind w:left="720" w:hanging="720"/>
        <w:rPr>
          <w:rFonts w:ascii="Calibri" w:hAnsi="Calibri"/>
          <w:noProof/>
          <w:szCs w:val="19"/>
        </w:rPr>
      </w:pPr>
      <w:bookmarkStart w:id="331" w:name="_ENREF_10_1"/>
      <w:r w:rsidRPr="00C806D0">
        <w:rPr>
          <w:rFonts w:ascii="Calibri" w:hAnsi="Calibri"/>
          <w:noProof/>
          <w:szCs w:val="19"/>
        </w:rPr>
        <w:t>1.</w:t>
      </w:r>
      <w:r w:rsidRPr="00C806D0">
        <w:rPr>
          <w:rFonts w:ascii="Calibri" w:hAnsi="Calibri"/>
          <w:noProof/>
          <w:szCs w:val="19"/>
        </w:rPr>
        <w:tab/>
        <w:t xml:space="preserve">Aoki N, Kitahara T, Fukui T, Beck JR, Soma K, Yamamoto W, Kamae I, Ohwada T: </w:t>
      </w:r>
      <w:r w:rsidRPr="00C806D0">
        <w:rPr>
          <w:rFonts w:ascii="Calibri" w:hAnsi="Calibri"/>
          <w:b/>
          <w:noProof/>
          <w:szCs w:val="19"/>
        </w:rPr>
        <w:t>Management of unruptured intracranial aneurysm in Japan: a Markovian decision analysis with utility measurements based on the Glasgow Outcome Scale</w:t>
      </w:r>
      <w:r w:rsidRPr="00C806D0">
        <w:rPr>
          <w:rFonts w:ascii="Calibri" w:hAnsi="Calibri"/>
          <w:noProof/>
          <w:szCs w:val="19"/>
        </w:rPr>
        <w:t xml:space="preserve">. </w:t>
      </w:r>
      <w:r w:rsidRPr="00C806D0">
        <w:rPr>
          <w:rFonts w:ascii="Calibri" w:hAnsi="Calibri"/>
          <w:i/>
          <w:noProof/>
          <w:szCs w:val="19"/>
        </w:rPr>
        <w:t xml:space="preserve">Medical decision making : an international journal of the Society for Medical Decision Making </w:t>
      </w:r>
      <w:r w:rsidRPr="00C806D0">
        <w:rPr>
          <w:rFonts w:ascii="Calibri" w:hAnsi="Calibri"/>
          <w:noProof/>
          <w:szCs w:val="19"/>
        </w:rPr>
        <w:t xml:space="preserve">1998, </w:t>
      </w:r>
      <w:r w:rsidRPr="00C806D0">
        <w:rPr>
          <w:rFonts w:ascii="Calibri" w:hAnsi="Calibri"/>
          <w:b/>
          <w:noProof/>
          <w:szCs w:val="19"/>
        </w:rPr>
        <w:t>18</w:t>
      </w:r>
      <w:r w:rsidRPr="00C806D0">
        <w:rPr>
          <w:rFonts w:ascii="Calibri" w:hAnsi="Calibri"/>
          <w:noProof/>
          <w:szCs w:val="19"/>
        </w:rPr>
        <w:t>(4):357-364.</w:t>
      </w:r>
      <w:bookmarkEnd w:id="331"/>
    </w:p>
    <w:p w:rsidR="006D4D62" w:rsidRPr="00C806D0" w:rsidRDefault="006D4D62" w:rsidP="006D4D62">
      <w:pPr>
        <w:spacing w:line="240" w:lineRule="auto"/>
        <w:ind w:left="720" w:hanging="720"/>
        <w:rPr>
          <w:rFonts w:ascii="Calibri" w:hAnsi="Calibri"/>
          <w:noProof/>
          <w:szCs w:val="19"/>
        </w:rPr>
      </w:pPr>
      <w:bookmarkStart w:id="332" w:name="_ENREF_10_2"/>
      <w:r w:rsidRPr="00C806D0">
        <w:rPr>
          <w:rFonts w:ascii="Calibri" w:hAnsi="Calibri"/>
          <w:noProof/>
          <w:szCs w:val="19"/>
        </w:rPr>
        <w:t>2.</w:t>
      </w:r>
      <w:r w:rsidRPr="00C806D0">
        <w:rPr>
          <w:rFonts w:ascii="Calibri" w:hAnsi="Calibri"/>
          <w:noProof/>
          <w:szCs w:val="19"/>
        </w:rPr>
        <w:tab/>
        <w:t xml:space="preserve">Taussky P, Widmer HR, Takala J, Fandino J: </w:t>
      </w:r>
      <w:r w:rsidRPr="00C806D0">
        <w:rPr>
          <w:rFonts w:ascii="Calibri" w:hAnsi="Calibri"/>
          <w:b/>
          <w:noProof/>
          <w:szCs w:val="19"/>
        </w:rPr>
        <w:t>Outcome after acute traumatic subdural and epidural haematoma in Switzerland: a single-centre experience</w:t>
      </w:r>
      <w:r w:rsidRPr="00C806D0">
        <w:rPr>
          <w:rFonts w:ascii="Calibri" w:hAnsi="Calibri"/>
          <w:noProof/>
          <w:szCs w:val="19"/>
        </w:rPr>
        <w:t xml:space="preserve">. </w:t>
      </w:r>
      <w:r w:rsidRPr="00C806D0">
        <w:rPr>
          <w:rFonts w:ascii="Calibri" w:hAnsi="Calibri"/>
          <w:i/>
          <w:noProof/>
          <w:szCs w:val="19"/>
        </w:rPr>
        <w:t xml:space="preserve">Swiss medical weekly </w:t>
      </w:r>
      <w:r w:rsidRPr="00C806D0">
        <w:rPr>
          <w:rFonts w:ascii="Calibri" w:hAnsi="Calibri"/>
          <w:noProof/>
          <w:szCs w:val="19"/>
        </w:rPr>
        <w:t xml:space="preserve">2008, </w:t>
      </w:r>
      <w:r w:rsidRPr="00C806D0">
        <w:rPr>
          <w:rFonts w:ascii="Calibri" w:hAnsi="Calibri"/>
          <w:b/>
          <w:noProof/>
          <w:szCs w:val="19"/>
        </w:rPr>
        <w:t>138</w:t>
      </w:r>
      <w:r w:rsidRPr="00C806D0">
        <w:rPr>
          <w:rFonts w:ascii="Calibri" w:hAnsi="Calibri"/>
          <w:noProof/>
          <w:szCs w:val="19"/>
        </w:rPr>
        <w:t>(19-20):281-285.</w:t>
      </w:r>
      <w:bookmarkEnd w:id="332"/>
    </w:p>
    <w:p w:rsidR="006D4D62" w:rsidRPr="00C806D0" w:rsidRDefault="006D4D62" w:rsidP="006D4D62">
      <w:pPr>
        <w:spacing w:line="240" w:lineRule="auto"/>
        <w:ind w:left="720" w:hanging="720"/>
        <w:rPr>
          <w:rFonts w:ascii="Calibri" w:hAnsi="Calibri"/>
          <w:noProof/>
          <w:szCs w:val="19"/>
        </w:rPr>
      </w:pPr>
      <w:bookmarkStart w:id="333" w:name="_ENREF_10_3"/>
      <w:r w:rsidRPr="00C806D0">
        <w:rPr>
          <w:rFonts w:ascii="Calibri" w:hAnsi="Calibri"/>
          <w:noProof/>
          <w:szCs w:val="19"/>
        </w:rPr>
        <w:t>3.</w:t>
      </w:r>
      <w:r w:rsidRPr="00C806D0">
        <w:rPr>
          <w:rFonts w:ascii="Calibri" w:hAnsi="Calibri"/>
          <w:noProof/>
          <w:szCs w:val="19"/>
        </w:rPr>
        <w:tab/>
        <w:t xml:space="preserve">Fuller G PH, Yeoman P. : </w:t>
      </w:r>
      <w:r w:rsidRPr="00C806D0">
        <w:rPr>
          <w:rFonts w:ascii="Calibri" w:hAnsi="Calibri"/>
          <w:b/>
          <w:noProof/>
          <w:szCs w:val="19"/>
        </w:rPr>
        <w:t xml:space="preserve">The Nottingham Head Injury Register: a Survey of 1,276 Adult cases of Moderate and Severe Traumatic Brain Injury in a British Neurosurgery Centre. </w:t>
      </w:r>
      <w:r w:rsidRPr="00C806D0">
        <w:rPr>
          <w:rFonts w:ascii="Calibri" w:hAnsi="Calibri"/>
          <w:noProof/>
          <w:szCs w:val="19"/>
        </w:rPr>
        <w:t xml:space="preserve">. </w:t>
      </w:r>
      <w:r w:rsidRPr="00C806D0">
        <w:rPr>
          <w:rFonts w:ascii="Calibri" w:hAnsi="Calibri"/>
          <w:i/>
          <w:noProof/>
          <w:szCs w:val="19"/>
        </w:rPr>
        <w:t xml:space="preserve">Journal of Intensive Care Society </w:t>
      </w:r>
      <w:r w:rsidRPr="00C806D0">
        <w:rPr>
          <w:rFonts w:ascii="Calibri" w:hAnsi="Calibri"/>
          <w:noProof/>
          <w:szCs w:val="19"/>
        </w:rPr>
        <w:t xml:space="preserve">2011, </w:t>
      </w:r>
      <w:r w:rsidRPr="00C806D0">
        <w:rPr>
          <w:rFonts w:ascii="Calibri" w:hAnsi="Calibri"/>
          <w:b/>
          <w:noProof/>
          <w:szCs w:val="19"/>
        </w:rPr>
        <w:t>12</w:t>
      </w:r>
      <w:r w:rsidRPr="00C806D0">
        <w:rPr>
          <w:rFonts w:ascii="Calibri" w:hAnsi="Calibri"/>
          <w:noProof/>
          <w:szCs w:val="19"/>
        </w:rPr>
        <w:t>(1):1-7.</w:t>
      </w:r>
      <w:bookmarkEnd w:id="333"/>
    </w:p>
    <w:p w:rsidR="006D4D62" w:rsidRPr="00C806D0" w:rsidRDefault="006D4D62" w:rsidP="006D4D62">
      <w:pPr>
        <w:spacing w:line="240" w:lineRule="auto"/>
        <w:ind w:left="720" w:hanging="720"/>
        <w:rPr>
          <w:rFonts w:ascii="Calibri" w:hAnsi="Calibri"/>
          <w:noProof/>
          <w:szCs w:val="19"/>
        </w:rPr>
      </w:pPr>
      <w:bookmarkStart w:id="334" w:name="_ENREF_10_4"/>
      <w:r w:rsidRPr="00C806D0">
        <w:rPr>
          <w:rFonts w:ascii="Calibri" w:hAnsi="Calibri"/>
          <w:noProof/>
          <w:szCs w:val="19"/>
        </w:rPr>
        <w:t>4.</w:t>
      </w:r>
      <w:r w:rsidRPr="00C806D0">
        <w:rPr>
          <w:rFonts w:ascii="Calibri" w:hAnsi="Calibri"/>
          <w:noProof/>
          <w:szCs w:val="19"/>
        </w:rPr>
        <w:tab/>
        <w:t xml:space="preserve">Lecky F RW, Fuller G, McClelland G, Pennington E, Goodacre S, Han K, Curran A, Holliman D, Freeman J, Chapman N, Stevenson M, Byers S, Mason S, Potter H, Coats T, Mackway-Jones K, Peters M, Shewan J, Strong M.: </w:t>
      </w:r>
      <w:r w:rsidRPr="00C806D0">
        <w:rPr>
          <w:rFonts w:ascii="Calibri" w:hAnsi="Calibri"/>
          <w:b/>
          <w:noProof/>
          <w:szCs w:val="19"/>
        </w:rPr>
        <w:t xml:space="preserve">The Head Injury Transportation Straight to Neurosurgery (HITSNS) Trial - A Feasibility Study </w:t>
      </w:r>
      <w:r w:rsidRPr="00C806D0">
        <w:rPr>
          <w:rFonts w:ascii="Calibri" w:hAnsi="Calibri"/>
          <w:i/>
          <w:noProof/>
          <w:szCs w:val="19"/>
        </w:rPr>
        <w:t xml:space="preserve">Health Technology Assessment </w:t>
      </w:r>
      <w:r w:rsidRPr="00C806D0">
        <w:rPr>
          <w:rFonts w:ascii="Calibri" w:hAnsi="Calibri"/>
          <w:noProof/>
          <w:szCs w:val="19"/>
        </w:rPr>
        <w:t xml:space="preserve">2014, </w:t>
      </w:r>
      <w:r w:rsidRPr="00C806D0">
        <w:rPr>
          <w:rFonts w:ascii="Calibri" w:hAnsi="Calibri"/>
          <w:b/>
          <w:noProof/>
          <w:szCs w:val="19"/>
        </w:rPr>
        <w:t>In press</w:t>
      </w:r>
      <w:r w:rsidRPr="00C806D0">
        <w:rPr>
          <w:rFonts w:ascii="Calibri" w:hAnsi="Calibri"/>
          <w:noProof/>
          <w:szCs w:val="19"/>
        </w:rPr>
        <w:t>.</w:t>
      </w:r>
      <w:bookmarkEnd w:id="334"/>
    </w:p>
    <w:p w:rsidR="006D4D62" w:rsidRPr="00C806D0" w:rsidRDefault="006D4D62" w:rsidP="006D4D62">
      <w:pPr>
        <w:spacing w:line="240" w:lineRule="auto"/>
        <w:ind w:left="720" w:hanging="720"/>
        <w:rPr>
          <w:rFonts w:ascii="Calibri" w:hAnsi="Calibri"/>
          <w:noProof/>
          <w:szCs w:val="19"/>
        </w:rPr>
      </w:pPr>
      <w:bookmarkStart w:id="335" w:name="_ENREF_10_5"/>
      <w:r w:rsidRPr="00C806D0">
        <w:rPr>
          <w:rFonts w:ascii="Calibri" w:hAnsi="Calibri"/>
          <w:noProof/>
          <w:szCs w:val="19"/>
        </w:rPr>
        <w:t>5.</w:t>
      </w:r>
      <w:r w:rsidRPr="00C806D0">
        <w:rPr>
          <w:rFonts w:ascii="Calibri" w:hAnsi="Calibri"/>
          <w:noProof/>
          <w:szCs w:val="19"/>
        </w:rPr>
        <w:tab/>
        <w:t xml:space="preserve">Cameron CM, Purdie DM, Kliewer EV, McClure RJ: </w:t>
      </w:r>
      <w:r w:rsidRPr="00C806D0">
        <w:rPr>
          <w:rFonts w:ascii="Calibri" w:hAnsi="Calibri"/>
          <w:b/>
          <w:noProof/>
          <w:szCs w:val="19"/>
        </w:rPr>
        <w:t>Long-term mortality following trauma: 10 year follow-up in a population-based sample of injured adults</w:t>
      </w:r>
      <w:r w:rsidRPr="00C806D0">
        <w:rPr>
          <w:rFonts w:ascii="Calibri" w:hAnsi="Calibri"/>
          <w:noProof/>
          <w:szCs w:val="19"/>
        </w:rPr>
        <w:t xml:space="preserve">. </w:t>
      </w:r>
      <w:r w:rsidRPr="00C806D0">
        <w:rPr>
          <w:rFonts w:ascii="Calibri" w:hAnsi="Calibri"/>
          <w:i/>
          <w:noProof/>
          <w:szCs w:val="19"/>
        </w:rPr>
        <w:t xml:space="preserve">The Journal of trauma </w:t>
      </w:r>
      <w:r w:rsidRPr="00C806D0">
        <w:rPr>
          <w:rFonts w:ascii="Calibri" w:hAnsi="Calibri"/>
          <w:noProof/>
          <w:szCs w:val="19"/>
        </w:rPr>
        <w:t xml:space="preserve">2005, </w:t>
      </w:r>
      <w:r w:rsidRPr="00C806D0">
        <w:rPr>
          <w:rFonts w:ascii="Calibri" w:hAnsi="Calibri"/>
          <w:b/>
          <w:noProof/>
          <w:szCs w:val="19"/>
        </w:rPr>
        <w:t>59</w:t>
      </w:r>
      <w:r w:rsidRPr="00C806D0">
        <w:rPr>
          <w:rFonts w:ascii="Calibri" w:hAnsi="Calibri"/>
          <w:noProof/>
          <w:szCs w:val="19"/>
        </w:rPr>
        <w:t>(3):639-646.</w:t>
      </w:r>
      <w:bookmarkEnd w:id="335"/>
    </w:p>
    <w:p w:rsidR="006D4D62" w:rsidRPr="00C806D0" w:rsidRDefault="006D4D62" w:rsidP="006D4D62">
      <w:pPr>
        <w:spacing w:line="240" w:lineRule="auto"/>
        <w:ind w:left="720" w:hanging="720"/>
        <w:rPr>
          <w:rFonts w:ascii="Calibri" w:hAnsi="Calibri"/>
          <w:noProof/>
          <w:szCs w:val="19"/>
        </w:rPr>
      </w:pPr>
      <w:bookmarkStart w:id="336" w:name="_ENREF_10_6"/>
      <w:r w:rsidRPr="00C806D0">
        <w:rPr>
          <w:rFonts w:ascii="Calibri" w:hAnsi="Calibri"/>
          <w:noProof/>
          <w:szCs w:val="19"/>
        </w:rPr>
        <w:t>6.</w:t>
      </w:r>
      <w:r w:rsidRPr="00C806D0">
        <w:rPr>
          <w:rFonts w:ascii="Calibri" w:hAnsi="Calibri"/>
          <w:noProof/>
          <w:szCs w:val="19"/>
        </w:rPr>
        <w:tab/>
        <w:t xml:space="preserve">McMillan TM, Teasdale GM, Weir CJ, Stewart E: </w:t>
      </w:r>
      <w:r w:rsidRPr="00C806D0">
        <w:rPr>
          <w:rFonts w:ascii="Calibri" w:hAnsi="Calibri"/>
          <w:b/>
          <w:noProof/>
          <w:szCs w:val="19"/>
        </w:rPr>
        <w:t>Death after head injury: the 13 year outcome of a case control study</w:t>
      </w:r>
      <w:r w:rsidRPr="00C806D0">
        <w:rPr>
          <w:rFonts w:ascii="Calibri" w:hAnsi="Calibri"/>
          <w:noProof/>
          <w:szCs w:val="19"/>
        </w:rPr>
        <w:t xml:space="preserve">. </w:t>
      </w:r>
      <w:r w:rsidRPr="00C806D0">
        <w:rPr>
          <w:rFonts w:ascii="Calibri" w:hAnsi="Calibri"/>
          <w:i/>
          <w:noProof/>
          <w:szCs w:val="19"/>
        </w:rPr>
        <w:t xml:space="preserve">Journal of neurology, neurosurgery, and psychiatry </w:t>
      </w:r>
      <w:r w:rsidRPr="00C806D0">
        <w:rPr>
          <w:rFonts w:ascii="Calibri" w:hAnsi="Calibri"/>
          <w:noProof/>
          <w:szCs w:val="19"/>
        </w:rPr>
        <w:t xml:space="preserve">2011, </w:t>
      </w:r>
      <w:r w:rsidRPr="00C806D0">
        <w:rPr>
          <w:rFonts w:ascii="Calibri" w:hAnsi="Calibri"/>
          <w:b/>
          <w:noProof/>
          <w:szCs w:val="19"/>
        </w:rPr>
        <w:t>82</w:t>
      </w:r>
      <w:r w:rsidRPr="00C806D0">
        <w:rPr>
          <w:rFonts w:ascii="Calibri" w:hAnsi="Calibri"/>
          <w:noProof/>
          <w:szCs w:val="19"/>
        </w:rPr>
        <w:t>(8):931-935.</w:t>
      </w:r>
      <w:bookmarkEnd w:id="336"/>
    </w:p>
    <w:p w:rsidR="006D4D62" w:rsidRPr="00C806D0" w:rsidRDefault="006D4D62" w:rsidP="006D4D62">
      <w:pPr>
        <w:spacing w:line="240" w:lineRule="auto"/>
        <w:ind w:left="720" w:hanging="720"/>
        <w:rPr>
          <w:rFonts w:ascii="Calibri" w:hAnsi="Calibri"/>
          <w:noProof/>
          <w:szCs w:val="19"/>
        </w:rPr>
      </w:pPr>
      <w:bookmarkStart w:id="337" w:name="_ENREF_10_7"/>
      <w:r w:rsidRPr="00C806D0">
        <w:rPr>
          <w:rFonts w:ascii="Calibri" w:hAnsi="Calibri"/>
          <w:noProof/>
          <w:szCs w:val="19"/>
        </w:rPr>
        <w:t>7.</w:t>
      </w:r>
      <w:r w:rsidRPr="00C806D0">
        <w:rPr>
          <w:rFonts w:ascii="Calibri" w:hAnsi="Calibri"/>
          <w:noProof/>
          <w:szCs w:val="19"/>
        </w:rPr>
        <w:tab/>
        <w:t xml:space="preserve">McMillan TM, Teasdale GM, Stewart E: </w:t>
      </w:r>
      <w:r w:rsidRPr="00C806D0">
        <w:rPr>
          <w:rFonts w:ascii="Calibri" w:hAnsi="Calibri"/>
          <w:b/>
          <w:noProof/>
          <w:szCs w:val="19"/>
        </w:rPr>
        <w:t>Disability in young people and adults after head injury: 12-14 year follow-up of a prospective cohort</w:t>
      </w:r>
      <w:r w:rsidRPr="00C806D0">
        <w:rPr>
          <w:rFonts w:ascii="Calibri" w:hAnsi="Calibri"/>
          <w:noProof/>
          <w:szCs w:val="19"/>
        </w:rPr>
        <w:t xml:space="preserve">. </w:t>
      </w:r>
      <w:r w:rsidRPr="00C806D0">
        <w:rPr>
          <w:rFonts w:ascii="Calibri" w:hAnsi="Calibri"/>
          <w:i/>
          <w:noProof/>
          <w:szCs w:val="19"/>
        </w:rPr>
        <w:t xml:space="preserve">Journal of neurology, neurosurgery, and psychiatry </w:t>
      </w:r>
      <w:r w:rsidRPr="00C806D0">
        <w:rPr>
          <w:rFonts w:ascii="Calibri" w:hAnsi="Calibri"/>
          <w:noProof/>
          <w:szCs w:val="19"/>
        </w:rPr>
        <w:t xml:space="preserve">2012, </w:t>
      </w:r>
      <w:r w:rsidRPr="00C806D0">
        <w:rPr>
          <w:rFonts w:ascii="Calibri" w:hAnsi="Calibri"/>
          <w:b/>
          <w:noProof/>
          <w:szCs w:val="19"/>
        </w:rPr>
        <w:t>83</w:t>
      </w:r>
      <w:r w:rsidRPr="00C806D0">
        <w:rPr>
          <w:rFonts w:ascii="Calibri" w:hAnsi="Calibri"/>
          <w:noProof/>
          <w:szCs w:val="19"/>
        </w:rPr>
        <w:t>(11):1086-1091.</w:t>
      </w:r>
      <w:bookmarkEnd w:id="337"/>
    </w:p>
    <w:p w:rsidR="006D4D62" w:rsidRDefault="006D4D62" w:rsidP="006D4D62">
      <w:pPr>
        <w:spacing w:line="240" w:lineRule="auto"/>
        <w:ind w:left="720" w:hanging="720"/>
        <w:rPr>
          <w:rFonts w:ascii="Calibri" w:hAnsi="Calibri"/>
          <w:noProof/>
          <w:szCs w:val="19"/>
        </w:rPr>
      </w:pPr>
      <w:bookmarkStart w:id="338" w:name="_ENREF_10_8"/>
      <w:r w:rsidRPr="00C806D0">
        <w:rPr>
          <w:rFonts w:ascii="Calibri" w:hAnsi="Calibri"/>
          <w:noProof/>
          <w:szCs w:val="19"/>
        </w:rPr>
        <w:t>8.</w:t>
      </w:r>
      <w:r w:rsidRPr="00C806D0">
        <w:rPr>
          <w:rFonts w:ascii="Calibri" w:hAnsi="Calibri"/>
          <w:noProof/>
          <w:szCs w:val="19"/>
        </w:rPr>
        <w:tab/>
        <w:t xml:space="preserve">Whitnall L, McMillan TM, Murray GD, Teasdale GM: </w:t>
      </w:r>
      <w:r w:rsidRPr="00C806D0">
        <w:rPr>
          <w:rFonts w:ascii="Calibri" w:hAnsi="Calibri"/>
          <w:b/>
          <w:noProof/>
          <w:szCs w:val="19"/>
        </w:rPr>
        <w:t>Disability in young people and adults after head injury: 5-7 year follow up of a prospective cohort study</w:t>
      </w:r>
      <w:r w:rsidRPr="00C806D0">
        <w:rPr>
          <w:rFonts w:ascii="Calibri" w:hAnsi="Calibri"/>
          <w:noProof/>
          <w:szCs w:val="19"/>
        </w:rPr>
        <w:t xml:space="preserve">. </w:t>
      </w:r>
      <w:r w:rsidRPr="00C806D0">
        <w:rPr>
          <w:rFonts w:ascii="Calibri" w:hAnsi="Calibri"/>
          <w:i/>
          <w:noProof/>
          <w:szCs w:val="19"/>
        </w:rPr>
        <w:t xml:space="preserve">J Neurol Neurosurg Psychiatry </w:t>
      </w:r>
      <w:r w:rsidRPr="00C806D0">
        <w:rPr>
          <w:rFonts w:ascii="Calibri" w:hAnsi="Calibri"/>
          <w:noProof/>
          <w:szCs w:val="19"/>
        </w:rPr>
        <w:t xml:space="preserve">2006, </w:t>
      </w:r>
      <w:r w:rsidRPr="00C806D0">
        <w:rPr>
          <w:rFonts w:ascii="Calibri" w:hAnsi="Calibri"/>
          <w:b/>
          <w:noProof/>
          <w:szCs w:val="19"/>
        </w:rPr>
        <w:t>77</w:t>
      </w:r>
      <w:r w:rsidRPr="00C806D0">
        <w:rPr>
          <w:rFonts w:ascii="Calibri" w:hAnsi="Calibri"/>
          <w:noProof/>
          <w:szCs w:val="19"/>
        </w:rPr>
        <w:t>(5):640-645.</w:t>
      </w:r>
      <w:bookmarkEnd w:id="338"/>
    </w:p>
    <w:p w:rsidR="006D4D62" w:rsidRDefault="006D4D62" w:rsidP="006D4D62">
      <w:pPr>
        <w:spacing w:line="240" w:lineRule="auto"/>
        <w:rPr>
          <w:rFonts w:ascii="Calibri" w:hAnsi="Calibri"/>
          <w:noProof/>
          <w:szCs w:val="19"/>
        </w:rPr>
      </w:pPr>
    </w:p>
    <w:p w:rsidR="00003A24" w:rsidRDefault="00003A24" w:rsidP="00003A24">
      <w:pPr>
        <w:rPr>
          <w:rFonts w:ascii="Calibri" w:hAnsi="Calibri"/>
          <w:szCs w:val="19"/>
        </w:rPr>
      </w:pPr>
    </w:p>
    <w:sectPr w:rsidR="00003A24" w:rsidSect="00E31429">
      <w:pgSz w:w="11906" w:h="16838"/>
      <w:pgMar w:top="1134" w:right="1134" w:bottom="113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0A1" w:rsidRDefault="009C40A1" w:rsidP="00EC4AB7">
      <w:pPr>
        <w:spacing w:line="240" w:lineRule="auto"/>
      </w:pPr>
      <w:r>
        <w:separator/>
      </w:r>
    </w:p>
  </w:endnote>
  <w:endnote w:type="continuationSeparator" w:id="0">
    <w:p w:rsidR="009C40A1" w:rsidRDefault="009C40A1" w:rsidP="00EC4A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a Normal LF">
    <w:altName w:val="Meta Normal LF"/>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kzidenz Grotesk BE Cn">
    <w:altName w:val="Akzidenz Grotesk BE C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HNI H+ Adv PS X 0354">
    <w:altName w:val="Adv PS Extr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eeSans">
    <w:altName w:val="MS Mincho"/>
    <w:panose1 w:val="00000000000000000000"/>
    <w:charset w:val="80"/>
    <w:family w:val="auto"/>
    <w:notTrueType/>
    <w:pitch w:val="default"/>
    <w:sig w:usb0="00000001" w:usb1="08070000" w:usb2="00000010" w:usb3="00000000" w:csb0="00020000" w:csb1="00000000"/>
  </w:font>
  <w:font w:name="FreeSansBold">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auto"/>
    <w:notTrueType/>
    <w:pitch w:val="default"/>
    <w:sig w:usb0="00000003" w:usb1="00000000" w:usb2="00000000" w:usb3="00000000" w:csb0="00000001" w:csb1="00000000"/>
  </w:font>
  <w:font w:name="AdvOTa9103878">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ILILHE+Arial">
    <w:altName w:val="Arial"/>
    <w:panose1 w:val="00000000000000000000"/>
    <w:charset w:val="00"/>
    <w:family w:val="swiss"/>
    <w:notTrueType/>
    <w:pitch w:val="default"/>
    <w:sig w:usb0="00000003" w:usb1="00000000" w:usb2="00000000" w:usb3="00000000" w:csb0="00000001" w:csb1="00000000"/>
  </w:font>
  <w:font w:name="Caecilia-Roman">
    <w:panose1 w:val="00000000000000000000"/>
    <w:charset w:val="00"/>
    <w:family w:val="roman"/>
    <w:notTrueType/>
    <w:pitch w:val="default"/>
    <w:sig w:usb0="00000003" w:usb1="00000000" w:usb2="00000000" w:usb3="00000000" w:csb0="00000001" w:csb1="00000000"/>
  </w:font>
  <w:font w:name="AdvP49811">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Universal-GreekwithMathPi">
    <w:panose1 w:val="00000000000000000000"/>
    <w:charset w:val="00"/>
    <w:family w:val="auto"/>
    <w:notTrueType/>
    <w:pitch w:val="default"/>
    <w:sig w:usb0="00000003" w:usb1="00000000" w:usb2="00000000" w:usb3="00000000" w:csb0="00000001" w:csb1="00000000"/>
  </w:font>
  <w:font w:name="AdvPS43EDDE">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TSY">
    <w:altName w:val="MS Mincho"/>
    <w:panose1 w:val="00000000000000000000"/>
    <w:charset w:val="80"/>
    <w:family w:val="auto"/>
    <w:notTrueType/>
    <w:pitch w:val="default"/>
    <w:sig w:usb0="00000000" w:usb1="08070000" w:usb2="00000010" w:usb3="00000000" w:csb0="00020000" w:csb1="00000000"/>
  </w:font>
  <w:font w:name="Univers-Light">
    <w:panose1 w:val="00000000000000000000"/>
    <w:charset w:val="00"/>
    <w:family w:val="swiss"/>
    <w:notTrueType/>
    <w:pitch w:val="default"/>
    <w:sig w:usb0="00000003" w:usb1="00000000" w:usb2="00000000" w:usb3="00000000" w:csb0="00000001" w:csb1="00000000"/>
  </w:font>
  <w:font w:name="AdvP418B97">
    <w:panose1 w:val="00000000000000000000"/>
    <w:charset w:val="00"/>
    <w:family w:val="roman"/>
    <w:notTrueType/>
    <w:pitch w:val="default"/>
    <w:sig w:usb0="00000003" w:usb1="00000000" w:usb2="00000000" w:usb3="00000000" w:csb0="00000001" w:csb1="00000000"/>
  </w:font>
  <w:font w:name="Clearface-Regular">
    <w:panose1 w:val="00000000000000000000"/>
    <w:charset w:val="00"/>
    <w:family w:val="roman"/>
    <w:notTrueType/>
    <w:pitch w:val="default"/>
    <w:sig w:usb0="00000003" w:usb1="00000000" w:usb2="00000000" w:usb3="00000000" w:csb0="00000001" w:csb1="00000000"/>
  </w:font>
  <w:font w:name="AdvTT2acb703b">
    <w:panose1 w:val="00000000000000000000"/>
    <w:charset w:val="00"/>
    <w:family w:val="roman"/>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TTE2DD1008t00">
    <w:altName w:val="MS Mincho"/>
    <w:panose1 w:val="00000000000000000000"/>
    <w:charset w:val="80"/>
    <w:family w:val="auto"/>
    <w:notTrueType/>
    <w:pitch w:val="default"/>
    <w:sig w:usb0="00000001" w:usb1="08070000" w:usb2="00000010" w:usb3="00000000" w:csb0="00020000" w:csb1="00000000"/>
  </w:font>
  <w:font w:name="HelveticaNeueLTPro-M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2275"/>
      <w:docPartObj>
        <w:docPartGallery w:val="Page Numbers (Bottom of Page)"/>
        <w:docPartUnique/>
      </w:docPartObj>
    </w:sdtPr>
    <w:sdtEndPr/>
    <w:sdtContent>
      <w:p w:rsidR="00472313" w:rsidRDefault="009C40A1">
        <w:pPr>
          <w:pStyle w:val="Footer"/>
          <w:jc w:val="center"/>
        </w:pPr>
        <w:r>
          <w:fldChar w:fldCharType="begin"/>
        </w:r>
        <w:r>
          <w:instrText xml:space="preserve"> PAGE   \* MERGEFORMAT </w:instrText>
        </w:r>
        <w:r>
          <w:fldChar w:fldCharType="separate"/>
        </w:r>
        <w:r w:rsidR="00C806D0">
          <w:rPr>
            <w:noProof/>
          </w:rPr>
          <w:t>341</w:t>
        </w:r>
        <w:r>
          <w:rPr>
            <w:noProof/>
          </w:rPr>
          <w:fldChar w:fldCharType="end"/>
        </w:r>
      </w:p>
    </w:sdtContent>
  </w:sdt>
  <w:p w:rsidR="00472313" w:rsidRDefault="004723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2274"/>
      <w:docPartObj>
        <w:docPartGallery w:val="Page Numbers (Bottom of Page)"/>
        <w:docPartUnique/>
      </w:docPartObj>
    </w:sdtPr>
    <w:sdtEndPr/>
    <w:sdtContent>
      <w:p w:rsidR="00472313" w:rsidRDefault="009C40A1">
        <w:pPr>
          <w:pStyle w:val="Footer"/>
          <w:jc w:val="center"/>
        </w:pPr>
        <w:r>
          <w:fldChar w:fldCharType="begin"/>
        </w:r>
        <w:r>
          <w:instrText xml:space="preserve"> PAGE   \* MERGEFORMAT </w:instrText>
        </w:r>
        <w:r>
          <w:fldChar w:fldCharType="separate"/>
        </w:r>
        <w:r w:rsidR="00C806D0">
          <w:rPr>
            <w:noProof/>
          </w:rPr>
          <w:t>377</w:t>
        </w:r>
        <w:r>
          <w:rPr>
            <w:noProof/>
          </w:rPr>
          <w:fldChar w:fldCharType="end"/>
        </w:r>
      </w:p>
    </w:sdtContent>
  </w:sdt>
  <w:p w:rsidR="00472313" w:rsidRDefault="004723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4751"/>
      <w:docPartObj>
        <w:docPartGallery w:val="Page Numbers (Bottom of Page)"/>
        <w:docPartUnique/>
      </w:docPartObj>
    </w:sdtPr>
    <w:sdtEndPr/>
    <w:sdtContent>
      <w:p w:rsidR="00472313" w:rsidRDefault="009C40A1">
        <w:pPr>
          <w:pStyle w:val="Footer"/>
          <w:jc w:val="center"/>
        </w:pPr>
        <w:r>
          <w:fldChar w:fldCharType="begin"/>
        </w:r>
        <w:r>
          <w:instrText xml:space="preserve"> PAGE   \* MERGEFORMAT </w:instrText>
        </w:r>
        <w:r>
          <w:fldChar w:fldCharType="separate"/>
        </w:r>
        <w:r w:rsidR="00C806D0">
          <w:rPr>
            <w:noProof/>
          </w:rPr>
          <w:t>376</w:t>
        </w:r>
        <w:r>
          <w:rPr>
            <w:noProof/>
          </w:rPr>
          <w:fldChar w:fldCharType="end"/>
        </w:r>
      </w:p>
    </w:sdtContent>
  </w:sdt>
  <w:p w:rsidR="00472313" w:rsidRDefault="0047231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2276"/>
      <w:docPartObj>
        <w:docPartGallery w:val="Page Numbers (Bottom of Page)"/>
        <w:docPartUnique/>
      </w:docPartObj>
    </w:sdtPr>
    <w:sdtEndPr/>
    <w:sdtContent>
      <w:p w:rsidR="00472313" w:rsidRDefault="009C40A1">
        <w:pPr>
          <w:pStyle w:val="Footer"/>
          <w:jc w:val="center"/>
        </w:pPr>
        <w:r>
          <w:fldChar w:fldCharType="begin"/>
        </w:r>
        <w:r>
          <w:instrText xml:space="preserve"> PAGE   \* MERGEFORMAT </w:instrText>
        </w:r>
        <w:r>
          <w:fldChar w:fldCharType="separate"/>
        </w:r>
        <w:r w:rsidR="00C806D0">
          <w:rPr>
            <w:noProof/>
          </w:rPr>
          <w:t>416</w:t>
        </w:r>
        <w:r>
          <w:rPr>
            <w:noProof/>
          </w:rPr>
          <w:fldChar w:fldCharType="end"/>
        </w:r>
      </w:p>
    </w:sdtContent>
  </w:sdt>
  <w:p w:rsidR="00472313" w:rsidRDefault="0047231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2392"/>
      <w:docPartObj>
        <w:docPartGallery w:val="Page Numbers (Bottom of Page)"/>
        <w:docPartUnique/>
      </w:docPartObj>
    </w:sdtPr>
    <w:sdtEndPr/>
    <w:sdtContent>
      <w:p w:rsidR="00472313" w:rsidRDefault="009C40A1">
        <w:pPr>
          <w:pStyle w:val="Footer"/>
          <w:jc w:val="center"/>
        </w:pPr>
        <w:r>
          <w:fldChar w:fldCharType="begin"/>
        </w:r>
        <w:r>
          <w:instrText xml:space="preserve"> PAGE   \* MERGEFORMAT </w:instrText>
        </w:r>
        <w:r>
          <w:fldChar w:fldCharType="separate"/>
        </w:r>
        <w:r w:rsidR="00C806D0">
          <w:rPr>
            <w:noProof/>
          </w:rPr>
          <w:t>474</w:t>
        </w:r>
        <w:r>
          <w:rPr>
            <w:noProof/>
          </w:rPr>
          <w:fldChar w:fldCharType="end"/>
        </w:r>
      </w:p>
    </w:sdtContent>
  </w:sdt>
  <w:p w:rsidR="00472313" w:rsidRDefault="0047231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2485"/>
      <w:docPartObj>
        <w:docPartGallery w:val="Page Numbers (Bottom of Page)"/>
        <w:docPartUnique/>
      </w:docPartObj>
    </w:sdtPr>
    <w:sdtEndPr/>
    <w:sdtContent>
      <w:p w:rsidR="00472313" w:rsidRDefault="009C40A1">
        <w:pPr>
          <w:pStyle w:val="Footer"/>
          <w:jc w:val="center"/>
        </w:pPr>
        <w:r>
          <w:fldChar w:fldCharType="begin"/>
        </w:r>
        <w:r>
          <w:instrText xml:space="preserve"> PAGE   \* MERGEFORMAT </w:instrText>
        </w:r>
        <w:r>
          <w:fldChar w:fldCharType="separate"/>
        </w:r>
        <w:r w:rsidR="00C806D0">
          <w:rPr>
            <w:noProof/>
          </w:rPr>
          <w:t>488</w:t>
        </w:r>
        <w:r>
          <w:rPr>
            <w:noProof/>
          </w:rPr>
          <w:fldChar w:fldCharType="end"/>
        </w:r>
      </w:p>
    </w:sdtContent>
  </w:sdt>
  <w:p w:rsidR="00472313" w:rsidRDefault="0047231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2397"/>
      <w:docPartObj>
        <w:docPartGallery w:val="Page Numbers (Bottom of Page)"/>
        <w:docPartUnique/>
      </w:docPartObj>
    </w:sdtPr>
    <w:sdtEndPr/>
    <w:sdtContent>
      <w:p w:rsidR="00472313" w:rsidRDefault="009C40A1">
        <w:pPr>
          <w:pStyle w:val="Footer"/>
          <w:jc w:val="center"/>
        </w:pPr>
        <w:r>
          <w:fldChar w:fldCharType="begin"/>
        </w:r>
        <w:r>
          <w:instrText xml:space="preserve"> PAGE   \* MERGEFORMAT </w:instrText>
        </w:r>
        <w:r>
          <w:fldChar w:fldCharType="separate"/>
        </w:r>
        <w:r w:rsidR="001C12FE">
          <w:rPr>
            <w:noProof/>
          </w:rPr>
          <w:t>534</w:t>
        </w:r>
        <w:r>
          <w:rPr>
            <w:noProof/>
          </w:rPr>
          <w:fldChar w:fldCharType="end"/>
        </w:r>
      </w:p>
    </w:sdtContent>
  </w:sdt>
  <w:p w:rsidR="00472313" w:rsidRDefault="0047231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2405"/>
      <w:docPartObj>
        <w:docPartGallery w:val="Page Numbers (Bottom of Page)"/>
        <w:docPartUnique/>
      </w:docPartObj>
    </w:sdtPr>
    <w:sdtEndPr/>
    <w:sdtContent>
      <w:p w:rsidR="00472313" w:rsidRDefault="009C40A1">
        <w:pPr>
          <w:pStyle w:val="Footer"/>
          <w:jc w:val="center"/>
        </w:pPr>
        <w:r>
          <w:fldChar w:fldCharType="begin"/>
        </w:r>
        <w:r>
          <w:instrText xml:space="preserve"> PAGE   \* MERGEFORMAT </w:instrText>
        </w:r>
        <w:r>
          <w:fldChar w:fldCharType="separate"/>
        </w:r>
        <w:r w:rsidR="005A7243">
          <w:rPr>
            <w:noProof/>
          </w:rPr>
          <w:t>544</w:t>
        </w:r>
        <w:r>
          <w:rPr>
            <w:noProof/>
          </w:rPr>
          <w:fldChar w:fldCharType="end"/>
        </w:r>
      </w:p>
    </w:sdtContent>
  </w:sdt>
  <w:p w:rsidR="00472313" w:rsidRDefault="004723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0A1" w:rsidRDefault="009C40A1" w:rsidP="00EC4AB7">
      <w:pPr>
        <w:spacing w:line="240" w:lineRule="auto"/>
      </w:pPr>
      <w:r>
        <w:separator/>
      </w:r>
    </w:p>
  </w:footnote>
  <w:footnote w:type="continuationSeparator" w:id="0">
    <w:p w:rsidR="009C40A1" w:rsidRDefault="009C40A1" w:rsidP="00EC4AB7">
      <w:pPr>
        <w:spacing w:line="240" w:lineRule="auto"/>
      </w:pPr>
      <w:r>
        <w:continuationSeparator/>
      </w:r>
    </w:p>
  </w:footnote>
  <w:footnote w:id="1">
    <w:p w:rsidR="00472313" w:rsidRDefault="00472313" w:rsidP="000027E7">
      <w:pPr>
        <w:pStyle w:val="FootnoteText"/>
      </w:pPr>
      <w:r>
        <w:rPr>
          <w:rStyle w:val="FootnoteReference"/>
        </w:rPr>
        <w:footnoteRef/>
      </w:r>
      <w:r>
        <w:t xml:space="preserve"> </w:t>
      </w:r>
      <w:r w:rsidRPr="00EC122B">
        <w:rPr>
          <w:sz w:val="16"/>
          <w:szCs w:val="16"/>
        </w:rPr>
        <w:t>Period life tables</w:t>
      </w:r>
      <w:r w:rsidRPr="00BA6F4F">
        <w:rPr>
          <w:sz w:val="16"/>
          <w:szCs w:val="16"/>
        </w:rPr>
        <w:t xml:space="preserve"> </w:t>
      </w:r>
      <w:r w:rsidRPr="00BA6F4F">
        <w:rPr>
          <w:color w:val="000000" w:themeColor="text1"/>
          <w:sz w:val="16"/>
          <w:szCs w:val="16"/>
        </w:rPr>
        <w:t>use current age-specific mortality experience to project future life expectancy and will underestimate the true survivor.</w:t>
      </w:r>
      <w:r>
        <w:rPr>
          <w:color w:val="000000" w:themeColor="text1"/>
          <w:sz w:val="16"/>
          <w:szCs w:val="16"/>
        </w:rPr>
        <w:t xml:space="preserve"> This will give the spurious appearance that survival following TBI at older ages is similar to the Minnesota general population.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4B26"/>
    <w:multiLevelType w:val="hybridMultilevel"/>
    <w:tmpl w:val="7F16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E76BA"/>
    <w:multiLevelType w:val="multilevel"/>
    <w:tmpl w:val="FB5CA93C"/>
    <w:styleLink w:val="Style3"/>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6A061B0"/>
    <w:multiLevelType w:val="hybridMultilevel"/>
    <w:tmpl w:val="DF28B35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 w15:restartNumberingAfterBreak="0">
    <w:nsid w:val="0AA225E9"/>
    <w:multiLevelType w:val="hybridMultilevel"/>
    <w:tmpl w:val="4C4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22029"/>
    <w:multiLevelType w:val="hybridMultilevel"/>
    <w:tmpl w:val="FFC02EE6"/>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5" w15:restartNumberingAfterBreak="0">
    <w:nsid w:val="0C8C0794"/>
    <w:multiLevelType w:val="hybridMultilevel"/>
    <w:tmpl w:val="E3EEC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F6788C"/>
    <w:multiLevelType w:val="multilevel"/>
    <w:tmpl w:val="ED161594"/>
    <w:styleLink w:val="Style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24B7DDF"/>
    <w:multiLevelType w:val="hybridMultilevel"/>
    <w:tmpl w:val="6AA00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52586"/>
    <w:multiLevelType w:val="hybridMultilevel"/>
    <w:tmpl w:val="7102F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C0CC9"/>
    <w:multiLevelType w:val="hybridMultilevel"/>
    <w:tmpl w:val="61C8A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55976"/>
    <w:multiLevelType w:val="hybridMultilevel"/>
    <w:tmpl w:val="A9966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B52C88"/>
    <w:multiLevelType w:val="hybridMultilevel"/>
    <w:tmpl w:val="4F664A18"/>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2" w15:restartNumberingAfterBreak="0">
    <w:nsid w:val="2E616DF4"/>
    <w:multiLevelType w:val="hybridMultilevel"/>
    <w:tmpl w:val="0532AE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3" w15:restartNumberingAfterBreak="0">
    <w:nsid w:val="35A11396"/>
    <w:multiLevelType w:val="multilevel"/>
    <w:tmpl w:val="8662D4BC"/>
    <w:styleLink w:val="Style5"/>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8D03B1D"/>
    <w:multiLevelType w:val="hybridMultilevel"/>
    <w:tmpl w:val="1304D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89631C"/>
    <w:multiLevelType w:val="hybridMultilevel"/>
    <w:tmpl w:val="AA3441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195414F"/>
    <w:multiLevelType w:val="hybridMultilevel"/>
    <w:tmpl w:val="70140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B315F"/>
    <w:multiLevelType w:val="hybridMultilevel"/>
    <w:tmpl w:val="F350F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2F458D"/>
    <w:multiLevelType w:val="hybridMultilevel"/>
    <w:tmpl w:val="C75A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96306B"/>
    <w:multiLevelType w:val="hybridMultilevel"/>
    <w:tmpl w:val="4D9C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D46C1"/>
    <w:multiLevelType w:val="hybridMultilevel"/>
    <w:tmpl w:val="188CF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835B11"/>
    <w:multiLevelType w:val="hybridMultilevel"/>
    <w:tmpl w:val="C264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41FEA"/>
    <w:multiLevelType w:val="hybridMultilevel"/>
    <w:tmpl w:val="200E3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F55FD2"/>
    <w:multiLevelType w:val="hybridMultilevel"/>
    <w:tmpl w:val="80385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D30013"/>
    <w:multiLevelType w:val="hybridMultilevel"/>
    <w:tmpl w:val="148EEA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A7C5B70"/>
    <w:multiLevelType w:val="multilevel"/>
    <w:tmpl w:val="B1D6D6F4"/>
    <w:styleLink w:val="Style1"/>
    <w:lvl w:ilvl="0">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C456DDC"/>
    <w:multiLevelType w:val="hybridMultilevel"/>
    <w:tmpl w:val="CD58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D67A28"/>
    <w:multiLevelType w:val="multilevel"/>
    <w:tmpl w:val="53763E5C"/>
    <w:styleLink w:val="Style4"/>
    <w:lvl w:ilvl="0">
      <w:start w:val="1"/>
      <w:numFmt w:val="decimal"/>
      <w:lvlText w:val="%1)"/>
      <w:lvlJc w:val="left"/>
      <w:pPr>
        <w:ind w:left="360" w:hanging="360"/>
      </w:pPr>
      <w:rPr>
        <w:rFonts w:hint="default"/>
      </w:rPr>
    </w:lvl>
    <w:lvl w:ilvl="1">
      <w:start w:val="1"/>
      <w:numFmt w:val="lowerLetter"/>
      <w:suff w:val="spac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35303DF"/>
    <w:multiLevelType w:val="hybridMultilevel"/>
    <w:tmpl w:val="C8A84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7D39AE"/>
    <w:multiLevelType w:val="hybridMultilevel"/>
    <w:tmpl w:val="16E80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A7688A"/>
    <w:multiLevelType w:val="hybridMultilevel"/>
    <w:tmpl w:val="6F385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02469"/>
    <w:multiLevelType w:val="multilevel"/>
    <w:tmpl w:val="17F452C8"/>
    <w:lvl w:ilvl="0">
      <w:start w:val="1"/>
      <w:numFmt w:val="upperLetter"/>
      <w:pStyle w:val="Heading1"/>
      <w:lvlText w:val="%1"/>
      <w:lvlJc w:val="left"/>
      <w:pPr>
        <w:ind w:left="432" w:hanging="432"/>
      </w:pPr>
      <w:rPr>
        <w:rFonts w:hint="default"/>
        <w:color w:val="FFFFFF" w:themeColor="background1"/>
      </w:rPr>
    </w:lvl>
    <w:lvl w:ilvl="1">
      <w:start w:val="1"/>
      <w:numFmt w:val="decimal"/>
      <w:pStyle w:val="Heading2"/>
      <w:suff w:val="space"/>
      <w:lvlText w:val="%1.%2"/>
      <w:lvlJc w:val="left"/>
      <w:pPr>
        <w:ind w:left="859" w:hanging="576"/>
      </w:pPr>
      <w:rPr>
        <w:rFonts w:hint="default"/>
      </w:rPr>
    </w:lvl>
    <w:lvl w:ilvl="2">
      <w:start w:val="1"/>
      <w:numFmt w:val="decimal"/>
      <w:pStyle w:val="Heading3"/>
      <w:suff w:val="space"/>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1"/>
  </w:num>
  <w:num w:numId="2">
    <w:abstractNumId w:val="19"/>
  </w:num>
  <w:num w:numId="3">
    <w:abstractNumId w:val="4"/>
  </w:num>
  <w:num w:numId="4">
    <w:abstractNumId w:val="10"/>
  </w:num>
  <w:num w:numId="5">
    <w:abstractNumId w:val="25"/>
  </w:num>
  <w:num w:numId="6">
    <w:abstractNumId w:val="6"/>
  </w:num>
  <w:num w:numId="7">
    <w:abstractNumId w:val="1"/>
  </w:num>
  <w:num w:numId="8">
    <w:abstractNumId w:val="27"/>
  </w:num>
  <w:num w:numId="9">
    <w:abstractNumId w:val="13"/>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2"/>
  </w:num>
  <w:num w:numId="13">
    <w:abstractNumId w:val="29"/>
  </w:num>
  <w:num w:numId="14">
    <w:abstractNumId w:val="12"/>
  </w:num>
  <w:num w:numId="15">
    <w:abstractNumId w:val="23"/>
  </w:num>
  <w:num w:numId="16">
    <w:abstractNumId w:val="24"/>
  </w:num>
  <w:num w:numId="17">
    <w:abstractNumId w:val="5"/>
  </w:num>
  <w:num w:numId="18">
    <w:abstractNumId w:val="15"/>
  </w:num>
  <w:num w:numId="19">
    <w:abstractNumId w:val="3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7"/>
  </w:num>
  <w:num w:numId="22">
    <w:abstractNumId w:val="3"/>
  </w:num>
  <w:num w:numId="23">
    <w:abstractNumId w:val="11"/>
  </w:num>
  <w:num w:numId="24">
    <w:abstractNumId w:val="18"/>
  </w:num>
  <w:num w:numId="25">
    <w:abstractNumId w:val="2"/>
  </w:num>
  <w:num w:numId="26">
    <w:abstractNumId w:val="26"/>
  </w:num>
  <w:num w:numId="27">
    <w:abstractNumId w:val="20"/>
  </w:num>
  <w:num w:numId="28">
    <w:abstractNumId w:val="16"/>
  </w:num>
  <w:num w:numId="29">
    <w:abstractNumId w:val="14"/>
  </w:num>
  <w:num w:numId="30">
    <w:abstractNumId w:val="30"/>
  </w:num>
  <w:num w:numId="31">
    <w:abstractNumId w:val="21"/>
  </w:num>
  <w:num w:numId="32">
    <w:abstractNumId w:val="9"/>
  </w:num>
  <w:num w:numId="33">
    <w:abstractNumId w:val="7"/>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0vpa2ff552pxvedr97v0e940xdvezxvsas0&quot;&gt;My EndNote Library&lt;record-ids&gt;&lt;item&gt;2&lt;/item&gt;&lt;item&gt;4&lt;/item&gt;&lt;item&gt;5&lt;/item&gt;&lt;item&gt;6&lt;/item&gt;&lt;item&gt;7&lt;/item&gt;&lt;item&gt;8&lt;/item&gt;&lt;item&gt;9&lt;/item&gt;&lt;item&gt;10&lt;/item&gt;&lt;item&gt;12&lt;/item&gt;&lt;item&gt;13&lt;/item&gt;&lt;item&gt;14&lt;/item&gt;&lt;item&gt;15&lt;/item&gt;&lt;item&gt;16&lt;/item&gt;&lt;item&gt;17&lt;/item&gt;&lt;item&gt;19&lt;/item&gt;&lt;item&gt;20&lt;/item&gt;&lt;item&gt;22&lt;/item&gt;&lt;item&gt;23&lt;/item&gt;&lt;item&gt;24&lt;/item&gt;&lt;item&gt;25&lt;/item&gt;&lt;item&gt;26&lt;/item&gt;&lt;item&gt;30&lt;/item&gt;&lt;item&gt;36&lt;/item&gt;&lt;item&gt;39&lt;/item&gt;&lt;item&gt;63&lt;/item&gt;&lt;item&gt;69&lt;/item&gt;&lt;item&gt;73&lt;/item&gt;&lt;item&gt;74&lt;/item&gt;&lt;item&gt;75&lt;/item&gt;&lt;item&gt;76&lt;/item&gt;&lt;item&gt;77&lt;/item&gt;&lt;item&gt;78&lt;/item&gt;&lt;item&gt;81&lt;/item&gt;&lt;item&gt;86&lt;/item&gt;&lt;item&gt;87&lt;/item&gt;&lt;item&gt;89&lt;/item&gt;&lt;item&gt;92&lt;/item&gt;&lt;item&gt;93&lt;/item&gt;&lt;item&gt;113&lt;/item&gt;&lt;item&gt;137&lt;/item&gt;&lt;item&gt;140&lt;/item&gt;&lt;item&gt;146&lt;/item&gt;&lt;item&gt;169&lt;/item&gt;&lt;item&gt;170&lt;/item&gt;&lt;item&gt;180&lt;/item&gt;&lt;item&gt;193&lt;/item&gt;&lt;item&gt;209&lt;/item&gt;&lt;item&gt;212&lt;/item&gt;&lt;item&gt;223&lt;/item&gt;&lt;item&gt;224&lt;/item&gt;&lt;item&gt;225&lt;/item&gt;&lt;item&gt;226&lt;/item&gt;&lt;item&gt;227&lt;/item&gt;&lt;item&gt;228&lt;/item&gt;&lt;item&gt;229&lt;/item&gt;&lt;item&gt;231&lt;/item&gt;&lt;item&gt;232&lt;/item&gt;&lt;item&gt;281&lt;/item&gt;&lt;item&gt;283&lt;/item&gt;&lt;item&gt;312&lt;/item&gt;&lt;item&gt;317&lt;/item&gt;&lt;item&gt;318&lt;/item&gt;&lt;item&gt;319&lt;/item&gt;&lt;item&gt;321&lt;/item&gt;&lt;item&gt;322&lt;/item&gt;&lt;item&gt;323&lt;/item&gt;&lt;item&gt;324&lt;/item&gt;&lt;item&gt;325&lt;/item&gt;&lt;item&gt;326&lt;/item&gt;&lt;item&gt;328&lt;/item&gt;&lt;item&gt;329&lt;/item&gt;&lt;item&gt;337&lt;/item&gt;&lt;item&gt;352&lt;/item&gt;&lt;item&gt;370&lt;/item&gt;&lt;item&gt;385&lt;/item&gt;&lt;item&gt;387&lt;/item&gt;&lt;item&gt;390&lt;/item&gt;&lt;item&gt;391&lt;/item&gt;&lt;item&gt;392&lt;/item&gt;&lt;item&gt;450&lt;/item&gt;&lt;item&gt;456&lt;/item&gt;&lt;item&gt;466&lt;/item&gt;&lt;item&gt;468&lt;/item&gt;&lt;item&gt;469&lt;/item&gt;&lt;item&gt;470&lt;/item&gt;&lt;item&gt;496&lt;/item&gt;&lt;item&gt;497&lt;/item&gt;&lt;item&gt;503&lt;/item&gt;&lt;item&gt;507&lt;/item&gt;&lt;item&gt;508&lt;/item&gt;&lt;item&gt;515&lt;/item&gt;&lt;item&gt;521&lt;/item&gt;&lt;item&gt;523&lt;/item&gt;&lt;item&gt;535&lt;/item&gt;&lt;item&gt;536&lt;/item&gt;&lt;item&gt;538&lt;/item&gt;&lt;item&gt;551&lt;/item&gt;&lt;item&gt;552&lt;/item&gt;&lt;item&gt;555&lt;/item&gt;&lt;item&gt;558&lt;/item&gt;&lt;item&gt;596&lt;/item&gt;&lt;item&gt;598&lt;/item&gt;&lt;item&gt;599&lt;/item&gt;&lt;item&gt;600&lt;/item&gt;&lt;item&gt;601&lt;/item&gt;&lt;item&gt;602&lt;/item&gt;&lt;item&gt;603&lt;/item&gt;&lt;item&gt;605&lt;/item&gt;&lt;item&gt;627&lt;/item&gt;&lt;item&gt;644&lt;/item&gt;&lt;item&gt;645&lt;/item&gt;&lt;item&gt;646&lt;/item&gt;&lt;item&gt;648&lt;/item&gt;&lt;item&gt;650&lt;/item&gt;&lt;item&gt;651&lt;/item&gt;&lt;item&gt;652&lt;/item&gt;&lt;item&gt;655&lt;/item&gt;&lt;item&gt;657&lt;/item&gt;&lt;item&gt;667&lt;/item&gt;&lt;item&gt;669&lt;/item&gt;&lt;item&gt;677&lt;/item&gt;&lt;item&gt;678&lt;/item&gt;&lt;item&gt;679&lt;/item&gt;&lt;item&gt;684&lt;/item&gt;&lt;item&gt;711&lt;/item&gt;&lt;item&gt;712&lt;/item&gt;&lt;item&gt;713&lt;/item&gt;&lt;item&gt;714&lt;/item&gt;&lt;item&gt;720&lt;/item&gt;&lt;item&gt;721&lt;/item&gt;&lt;item&gt;722&lt;/item&gt;&lt;item&gt;723&lt;/item&gt;&lt;item&gt;724&lt;/item&gt;&lt;item&gt;725&lt;/item&gt;&lt;item&gt;727&lt;/item&gt;&lt;item&gt;729&lt;/item&gt;&lt;item&gt;730&lt;/item&gt;&lt;item&gt;731&lt;/item&gt;&lt;item&gt;732&lt;/item&gt;&lt;item&gt;733&lt;/item&gt;&lt;item&gt;734&lt;/item&gt;&lt;item&gt;735&lt;/item&gt;&lt;item&gt;736&lt;/item&gt;&lt;item&gt;737&lt;/item&gt;&lt;item&gt;738&lt;/item&gt;&lt;item&gt;739&lt;/item&gt;&lt;item&gt;740&lt;/item&gt;&lt;item&gt;741&lt;/item&gt;&lt;item&gt;743&lt;/item&gt;&lt;item&gt;749&lt;/item&gt;&lt;item&gt;750&lt;/item&gt;&lt;item&gt;751&lt;/item&gt;&lt;item&gt;752&lt;/item&gt;&lt;item&gt;754&lt;/item&gt;&lt;item&gt;757&lt;/item&gt;&lt;item&gt;758&lt;/item&gt;&lt;item&gt;761&lt;/item&gt;&lt;item&gt;762&lt;/item&gt;&lt;item&gt;763&lt;/item&gt;&lt;item&gt;765&lt;/item&gt;&lt;item&gt;768&lt;/item&gt;&lt;item&gt;770&lt;/item&gt;&lt;item&gt;771&lt;/item&gt;&lt;item&gt;774&lt;/item&gt;&lt;item&gt;776&lt;/item&gt;&lt;item&gt;777&lt;/item&gt;&lt;item&gt;778&lt;/item&gt;&lt;item&gt;781&lt;/item&gt;&lt;item&gt;782&lt;/item&gt;&lt;item&gt;783&lt;/item&gt;&lt;item&gt;785&lt;/item&gt;&lt;item&gt;786&lt;/item&gt;&lt;item&gt;787&lt;/item&gt;&lt;item&gt;788&lt;/item&gt;&lt;item&gt;789&lt;/item&gt;&lt;item&gt;790&lt;/item&gt;&lt;item&gt;791&lt;/item&gt;&lt;item&gt;792&lt;/item&gt;&lt;item&gt;793&lt;/item&gt;&lt;item&gt;794&lt;/item&gt;&lt;item&gt;795&lt;/item&gt;&lt;item&gt;796&lt;/item&gt;&lt;item&gt;797&lt;/item&gt;&lt;item&gt;799&lt;/item&gt;&lt;item&gt;800&lt;/item&gt;&lt;item&gt;801&lt;/item&gt;&lt;item&gt;802&lt;/item&gt;&lt;item&gt;807&lt;/item&gt;&lt;item&gt;808&lt;/item&gt;&lt;item&gt;809&lt;/item&gt;&lt;item&gt;820&lt;/item&gt;&lt;item&gt;823&lt;/item&gt;&lt;item&gt;832&lt;/item&gt;&lt;item&gt;833&lt;/item&gt;&lt;item&gt;836&lt;/item&gt;&lt;item&gt;864&lt;/item&gt;&lt;item&gt;866&lt;/item&gt;&lt;item&gt;869&lt;/item&gt;&lt;item&gt;870&lt;/item&gt;&lt;item&gt;871&lt;/item&gt;&lt;item&gt;872&lt;/item&gt;&lt;item&gt;873&lt;/item&gt;&lt;item&gt;874&lt;/item&gt;&lt;item&gt;875&lt;/item&gt;&lt;item&gt;876&lt;/item&gt;&lt;item&gt;877&lt;/item&gt;&lt;item&gt;878&lt;/item&gt;&lt;item&gt;879&lt;/item&gt;&lt;item&gt;880&lt;/item&gt;&lt;item&gt;881&lt;/item&gt;&lt;item&gt;884&lt;/item&gt;&lt;item&gt;885&lt;/item&gt;&lt;item&gt;889&lt;/item&gt;&lt;item&gt;894&lt;/item&gt;&lt;item&gt;900&lt;/item&gt;&lt;item&gt;915&lt;/item&gt;&lt;item&gt;932&lt;/item&gt;&lt;item&gt;1009&lt;/item&gt;&lt;item&gt;1010&lt;/item&gt;&lt;item&gt;1011&lt;/item&gt;&lt;item&gt;1012&lt;/item&gt;&lt;item&gt;1017&lt;/item&gt;&lt;item&gt;1026&lt;/item&gt;&lt;item&gt;1028&lt;/item&gt;&lt;item&gt;1049&lt;/item&gt;&lt;item&gt;1050&lt;/item&gt;&lt;item&gt;1052&lt;/item&gt;&lt;item&gt;1054&lt;/item&gt;&lt;item&gt;1055&lt;/item&gt;&lt;item&gt;1056&lt;/item&gt;&lt;item&gt;1057&lt;/item&gt;&lt;item&gt;1058&lt;/item&gt;&lt;item&gt;1059&lt;/item&gt;&lt;item&gt;1060&lt;/item&gt;&lt;item&gt;1061&lt;/item&gt;&lt;item&gt;1062&lt;/item&gt;&lt;item&gt;1063&lt;/item&gt;&lt;item&gt;1064&lt;/item&gt;&lt;item&gt;1065&lt;/item&gt;&lt;item&gt;1066&lt;/item&gt;&lt;item&gt;1067&lt;/item&gt;&lt;item&gt;1068&lt;/item&gt;&lt;item&gt;1069&lt;/item&gt;&lt;item&gt;1070&lt;/item&gt;&lt;item&gt;1073&lt;/item&gt;&lt;item&gt;1074&lt;/item&gt;&lt;item&gt;1075&lt;/item&gt;&lt;item&gt;1076&lt;/item&gt;&lt;item&gt;1077&lt;/item&gt;&lt;item&gt;1078&lt;/item&gt;&lt;item&gt;1079&lt;/item&gt;&lt;item&gt;1080&lt;/item&gt;&lt;item&gt;1081&lt;/item&gt;&lt;item&gt;1082&lt;/item&gt;&lt;item&gt;1083&lt;/item&gt;&lt;item&gt;1084&lt;/item&gt;&lt;item&gt;1085&lt;/item&gt;&lt;item&gt;1086&lt;/item&gt;&lt;item&gt;1087&lt;/item&gt;&lt;item&gt;1089&lt;/item&gt;&lt;item&gt;1090&lt;/item&gt;&lt;item&gt;1091&lt;/item&gt;&lt;item&gt;1092&lt;/item&gt;&lt;item&gt;1093&lt;/item&gt;&lt;item&gt;1094&lt;/item&gt;&lt;item&gt;1095&lt;/item&gt;&lt;item&gt;1096&lt;/item&gt;&lt;item&gt;1100&lt;/item&gt;&lt;item&gt;1111&lt;/item&gt;&lt;item&gt;1113&lt;/item&gt;&lt;item&gt;1114&lt;/item&gt;&lt;item&gt;1115&lt;/item&gt;&lt;item&gt;1116&lt;/item&gt;&lt;item&gt;1117&lt;/item&gt;&lt;/record-ids&gt;&lt;/item&gt;&lt;/Libraries&gt;"/>
  </w:docVars>
  <w:rsids>
    <w:rsidRoot w:val="006D0937"/>
    <w:rsid w:val="000027E7"/>
    <w:rsid w:val="00003A24"/>
    <w:rsid w:val="00010CE6"/>
    <w:rsid w:val="0003110D"/>
    <w:rsid w:val="00053597"/>
    <w:rsid w:val="00057DC1"/>
    <w:rsid w:val="00063B10"/>
    <w:rsid w:val="00065DD0"/>
    <w:rsid w:val="000E5E01"/>
    <w:rsid w:val="000E6D33"/>
    <w:rsid w:val="000E7A54"/>
    <w:rsid w:val="000F0B09"/>
    <w:rsid w:val="000F148A"/>
    <w:rsid w:val="000F4A20"/>
    <w:rsid w:val="00105532"/>
    <w:rsid w:val="00112797"/>
    <w:rsid w:val="00114C70"/>
    <w:rsid w:val="00117F96"/>
    <w:rsid w:val="00126E9E"/>
    <w:rsid w:val="001332F2"/>
    <w:rsid w:val="0013642B"/>
    <w:rsid w:val="00142464"/>
    <w:rsid w:val="00144FB5"/>
    <w:rsid w:val="00155D84"/>
    <w:rsid w:val="00161CFB"/>
    <w:rsid w:val="0017772C"/>
    <w:rsid w:val="00181CB4"/>
    <w:rsid w:val="00182075"/>
    <w:rsid w:val="001A19D4"/>
    <w:rsid w:val="001B703A"/>
    <w:rsid w:val="001B7145"/>
    <w:rsid w:val="001C12FE"/>
    <w:rsid w:val="001C7613"/>
    <w:rsid w:val="001D659C"/>
    <w:rsid w:val="001F14A1"/>
    <w:rsid w:val="001F299F"/>
    <w:rsid w:val="001F3F12"/>
    <w:rsid w:val="00210970"/>
    <w:rsid w:val="00222ED3"/>
    <w:rsid w:val="00245A18"/>
    <w:rsid w:val="0024707A"/>
    <w:rsid w:val="00254320"/>
    <w:rsid w:val="00291530"/>
    <w:rsid w:val="00295AB8"/>
    <w:rsid w:val="002A16B4"/>
    <w:rsid w:val="002A26CD"/>
    <w:rsid w:val="002A360F"/>
    <w:rsid w:val="002B63C0"/>
    <w:rsid w:val="002D5DD1"/>
    <w:rsid w:val="002E56F6"/>
    <w:rsid w:val="002F1C02"/>
    <w:rsid w:val="00310B0D"/>
    <w:rsid w:val="00312E6B"/>
    <w:rsid w:val="0031674F"/>
    <w:rsid w:val="0033196C"/>
    <w:rsid w:val="00335B1F"/>
    <w:rsid w:val="003371A8"/>
    <w:rsid w:val="00350265"/>
    <w:rsid w:val="0035084F"/>
    <w:rsid w:val="003A4BDE"/>
    <w:rsid w:val="003B086D"/>
    <w:rsid w:val="003B50A3"/>
    <w:rsid w:val="003C350E"/>
    <w:rsid w:val="003E4984"/>
    <w:rsid w:val="00403EC3"/>
    <w:rsid w:val="00404C7A"/>
    <w:rsid w:val="004442E4"/>
    <w:rsid w:val="004512FF"/>
    <w:rsid w:val="00472313"/>
    <w:rsid w:val="00472909"/>
    <w:rsid w:val="004770C2"/>
    <w:rsid w:val="00480D7C"/>
    <w:rsid w:val="004949B9"/>
    <w:rsid w:val="00496EBA"/>
    <w:rsid w:val="004A4511"/>
    <w:rsid w:val="004A7689"/>
    <w:rsid w:val="004C1D31"/>
    <w:rsid w:val="004C61EB"/>
    <w:rsid w:val="004D5E98"/>
    <w:rsid w:val="004E6457"/>
    <w:rsid w:val="004E6F33"/>
    <w:rsid w:val="004F3672"/>
    <w:rsid w:val="00547CBE"/>
    <w:rsid w:val="00550C9C"/>
    <w:rsid w:val="005612CF"/>
    <w:rsid w:val="005678B8"/>
    <w:rsid w:val="00575CF4"/>
    <w:rsid w:val="00583825"/>
    <w:rsid w:val="00586C22"/>
    <w:rsid w:val="00591AED"/>
    <w:rsid w:val="005A51F0"/>
    <w:rsid w:val="005A7243"/>
    <w:rsid w:val="005C1B95"/>
    <w:rsid w:val="005C4E9F"/>
    <w:rsid w:val="005E1697"/>
    <w:rsid w:val="005F0441"/>
    <w:rsid w:val="006100FC"/>
    <w:rsid w:val="00613E59"/>
    <w:rsid w:val="00621613"/>
    <w:rsid w:val="00627794"/>
    <w:rsid w:val="00644ABB"/>
    <w:rsid w:val="00652B9A"/>
    <w:rsid w:val="00652CF9"/>
    <w:rsid w:val="00656996"/>
    <w:rsid w:val="00656A6A"/>
    <w:rsid w:val="006574FF"/>
    <w:rsid w:val="006578B5"/>
    <w:rsid w:val="00680212"/>
    <w:rsid w:val="006B600B"/>
    <w:rsid w:val="006D0937"/>
    <w:rsid w:val="006D39B2"/>
    <w:rsid w:val="006D4D62"/>
    <w:rsid w:val="006F296F"/>
    <w:rsid w:val="006F2FC6"/>
    <w:rsid w:val="00706A76"/>
    <w:rsid w:val="007070E9"/>
    <w:rsid w:val="00724CCB"/>
    <w:rsid w:val="00775A36"/>
    <w:rsid w:val="00776188"/>
    <w:rsid w:val="0078018E"/>
    <w:rsid w:val="00784923"/>
    <w:rsid w:val="007930C2"/>
    <w:rsid w:val="007B7679"/>
    <w:rsid w:val="007C6272"/>
    <w:rsid w:val="007C62E8"/>
    <w:rsid w:val="007C7759"/>
    <w:rsid w:val="007D5AC9"/>
    <w:rsid w:val="007E4864"/>
    <w:rsid w:val="007E58D4"/>
    <w:rsid w:val="007F7392"/>
    <w:rsid w:val="008006DF"/>
    <w:rsid w:val="00800937"/>
    <w:rsid w:val="00806CF8"/>
    <w:rsid w:val="008110E5"/>
    <w:rsid w:val="00826466"/>
    <w:rsid w:val="00843F6A"/>
    <w:rsid w:val="00847363"/>
    <w:rsid w:val="0085706C"/>
    <w:rsid w:val="00880978"/>
    <w:rsid w:val="008A101E"/>
    <w:rsid w:val="008B3C31"/>
    <w:rsid w:val="008E0D4A"/>
    <w:rsid w:val="008E623F"/>
    <w:rsid w:val="009268BA"/>
    <w:rsid w:val="00937D0B"/>
    <w:rsid w:val="009577A2"/>
    <w:rsid w:val="009A5E26"/>
    <w:rsid w:val="009B5AC2"/>
    <w:rsid w:val="009C40A1"/>
    <w:rsid w:val="009C49A9"/>
    <w:rsid w:val="009D340C"/>
    <w:rsid w:val="009E4F73"/>
    <w:rsid w:val="009F1A2F"/>
    <w:rsid w:val="00A040D4"/>
    <w:rsid w:val="00A3085D"/>
    <w:rsid w:val="00A44256"/>
    <w:rsid w:val="00A52629"/>
    <w:rsid w:val="00A605DC"/>
    <w:rsid w:val="00A61D6C"/>
    <w:rsid w:val="00A74D0A"/>
    <w:rsid w:val="00A7539E"/>
    <w:rsid w:val="00AD024E"/>
    <w:rsid w:val="00AD60B3"/>
    <w:rsid w:val="00AE04FA"/>
    <w:rsid w:val="00AE1AA5"/>
    <w:rsid w:val="00B04B7D"/>
    <w:rsid w:val="00B052FA"/>
    <w:rsid w:val="00B112A8"/>
    <w:rsid w:val="00B1703E"/>
    <w:rsid w:val="00B23BC1"/>
    <w:rsid w:val="00B639E0"/>
    <w:rsid w:val="00B65AAF"/>
    <w:rsid w:val="00B8295E"/>
    <w:rsid w:val="00B87E08"/>
    <w:rsid w:val="00B91B5D"/>
    <w:rsid w:val="00BA244B"/>
    <w:rsid w:val="00BB1C75"/>
    <w:rsid w:val="00BB34C8"/>
    <w:rsid w:val="00BD4490"/>
    <w:rsid w:val="00BE1FEF"/>
    <w:rsid w:val="00BF105E"/>
    <w:rsid w:val="00BF1676"/>
    <w:rsid w:val="00C3799E"/>
    <w:rsid w:val="00C4679C"/>
    <w:rsid w:val="00C54162"/>
    <w:rsid w:val="00C74DA1"/>
    <w:rsid w:val="00C80164"/>
    <w:rsid w:val="00C806D0"/>
    <w:rsid w:val="00C86444"/>
    <w:rsid w:val="00C867F9"/>
    <w:rsid w:val="00C9013E"/>
    <w:rsid w:val="00C9026C"/>
    <w:rsid w:val="00C92FBF"/>
    <w:rsid w:val="00C9541B"/>
    <w:rsid w:val="00C96D49"/>
    <w:rsid w:val="00CA694F"/>
    <w:rsid w:val="00CC1DCD"/>
    <w:rsid w:val="00CD46AF"/>
    <w:rsid w:val="00CE350E"/>
    <w:rsid w:val="00CE3E2C"/>
    <w:rsid w:val="00CE7834"/>
    <w:rsid w:val="00CF4687"/>
    <w:rsid w:val="00D210A2"/>
    <w:rsid w:val="00D22244"/>
    <w:rsid w:val="00D268A0"/>
    <w:rsid w:val="00D331AA"/>
    <w:rsid w:val="00D368BB"/>
    <w:rsid w:val="00D37128"/>
    <w:rsid w:val="00D4001F"/>
    <w:rsid w:val="00D464A9"/>
    <w:rsid w:val="00DA32F5"/>
    <w:rsid w:val="00DA4B26"/>
    <w:rsid w:val="00DA7ABD"/>
    <w:rsid w:val="00E166F2"/>
    <w:rsid w:val="00E244AD"/>
    <w:rsid w:val="00E276B5"/>
    <w:rsid w:val="00E2794C"/>
    <w:rsid w:val="00E31429"/>
    <w:rsid w:val="00E34C7C"/>
    <w:rsid w:val="00E41FFD"/>
    <w:rsid w:val="00E47122"/>
    <w:rsid w:val="00E600B3"/>
    <w:rsid w:val="00E60BBA"/>
    <w:rsid w:val="00E950E1"/>
    <w:rsid w:val="00EB5320"/>
    <w:rsid w:val="00EC4AB7"/>
    <w:rsid w:val="00ED091B"/>
    <w:rsid w:val="00ED127C"/>
    <w:rsid w:val="00EE28D3"/>
    <w:rsid w:val="00EF31E0"/>
    <w:rsid w:val="00F1382E"/>
    <w:rsid w:val="00F26147"/>
    <w:rsid w:val="00F57237"/>
    <w:rsid w:val="00F65BE0"/>
    <w:rsid w:val="00F86988"/>
    <w:rsid w:val="00FA15FE"/>
    <w:rsid w:val="00FD6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9DFC0056-6C11-4B06-A1CC-DC81819C0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937"/>
    <w:pPr>
      <w:spacing w:line="360" w:lineRule="auto"/>
    </w:pPr>
    <w:rPr>
      <w:lang w:val="en-CA"/>
    </w:rPr>
  </w:style>
  <w:style w:type="paragraph" w:styleId="Heading1">
    <w:name w:val="heading 1"/>
    <w:basedOn w:val="Normal"/>
    <w:next w:val="Normal"/>
    <w:link w:val="Heading1Char"/>
    <w:uiPriority w:val="9"/>
    <w:qFormat/>
    <w:rsid w:val="006D0937"/>
    <w:pPr>
      <w:keepNext/>
      <w:keepLines/>
      <w:numPr>
        <w:numId w:val="1"/>
      </w:numPr>
      <w:spacing w:before="360" w:after="240"/>
      <w:jc w:val="center"/>
      <w:outlineLvl w:val="0"/>
    </w:pPr>
    <w:rPr>
      <w:rFonts w:ascii="Calibri" w:eastAsiaTheme="majorEastAsia" w:hAnsi="Calibri" w:cstheme="majorBidi"/>
      <w:b/>
      <w:bCs/>
      <w:caps/>
      <w:color w:val="000000" w:themeColor="text1"/>
      <w:szCs w:val="28"/>
    </w:rPr>
  </w:style>
  <w:style w:type="paragraph" w:styleId="Heading2">
    <w:name w:val="heading 2"/>
    <w:basedOn w:val="Normal"/>
    <w:next w:val="Normal"/>
    <w:link w:val="Heading2Char"/>
    <w:uiPriority w:val="9"/>
    <w:unhideWhenUsed/>
    <w:qFormat/>
    <w:rsid w:val="002A360F"/>
    <w:pPr>
      <w:keepNext/>
      <w:keepLines/>
      <w:numPr>
        <w:ilvl w:val="1"/>
        <w:numId w:val="1"/>
      </w:numPr>
      <w:spacing w:before="200" w:after="220"/>
      <w:ind w:left="576"/>
      <w:outlineLvl w:val="1"/>
    </w:pPr>
    <w:rPr>
      <w:rFonts w:ascii="Calibri" w:eastAsiaTheme="majorEastAsia" w:hAnsi="Calibri" w:cstheme="majorBidi"/>
      <w:b/>
      <w:bCs/>
      <w:caps/>
      <w:color w:val="000000" w:themeColor="text1"/>
      <w:szCs w:val="26"/>
    </w:rPr>
  </w:style>
  <w:style w:type="paragraph" w:styleId="Heading3">
    <w:name w:val="heading 3"/>
    <w:basedOn w:val="Normal"/>
    <w:next w:val="Normal"/>
    <w:link w:val="Heading3Char"/>
    <w:uiPriority w:val="9"/>
    <w:unhideWhenUsed/>
    <w:qFormat/>
    <w:rsid w:val="002A360F"/>
    <w:pPr>
      <w:keepNext/>
      <w:keepLines/>
      <w:numPr>
        <w:ilvl w:val="2"/>
        <w:numId w:val="1"/>
      </w:numPr>
      <w:spacing w:before="200" w:after="240"/>
      <w:outlineLvl w:val="2"/>
    </w:pPr>
    <w:rPr>
      <w:rFonts w:ascii="Calibri" w:eastAsiaTheme="majorEastAsia" w:hAnsi="Calibri" w:cstheme="majorBidi"/>
      <w:b/>
      <w:bCs/>
      <w:color w:val="000000" w:themeColor="text1"/>
    </w:rPr>
  </w:style>
  <w:style w:type="paragraph" w:styleId="Heading4">
    <w:name w:val="heading 4"/>
    <w:basedOn w:val="Normal"/>
    <w:next w:val="Normal"/>
    <w:link w:val="Heading4Char"/>
    <w:uiPriority w:val="9"/>
    <w:unhideWhenUsed/>
    <w:qFormat/>
    <w:rsid w:val="00CE350E"/>
    <w:pPr>
      <w:keepNext/>
      <w:keepLines/>
      <w:spacing w:before="200" w:after="200"/>
      <w:outlineLvl w:val="3"/>
    </w:pPr>
    <w:rPr>
      <w:rFonts w:ascii="Calibri" w:eastAsiaTheme="majorEastAsia" w:hAnsi="Calibri" w:cstheme="majorBidi"/>
      <w:bCs/>
      <w:i/>
      <w:iCs/>
    </w:rPr>
  </w:style>
  <w:style w:type="paragraph" w:styleId="Heading5">
    <w:name w:val="heading 5"/>
    <w:basedOn w:val="Normal"/>
    <w:next w:val="Normal"/>
    <w:link w:val="Heading5Char"/>
    <w:uiPriority w:val="9"/>
    <w:unhideWhenUsed/>
    <w:qFormat/>
    <w:rsid w:val="006D093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D093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aliases w:val="Figures"/>
    <w:basedOn w:val="Normal"/>
    <w:next w:val="Normal"/>
    <w:link w:val="Heading7Char"/>
    <w:uiPriority w:val="9"/>
    <w:unhideWhenUsed/>
    <w:qFormat/>
    <w:rsid w:val="00EB5320"/>
    <w:pPr>
      <w:keepNext/>
      <w:keepLines/>
      <w:spacing w:before="200"/>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aliases w:val="Part headings"/>
    <w:basedOn w:val="Normal"/>
    <w:next w:val="Normal"/>
    <w:link w:val="Heading8Char"/>
    <w:uiPriority w:val="9"/>
    <w:unhideWhenUsed/>
    <w:qFormat/>
    <w:rsid w:val="00EB5320"/>
    <w:pPr>
      <w:keepNext/>
      <w:keepLines/>
      <w:spacing w:before="200"/>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unhideWhenUsed/>
    <w:qFormat/>
    <w:rsid w:val="006D093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937"/>
    <w:rPr>
      <w:rFonts w:ascii="Calibri" w:eastAsiaTheme="majorEastAsia" w:hAnsi="Calibri" w:cstheme="majorBidi"/>
      <w:b/>
      <w:bCs/>
      <w:caps/>
      <w:color w:val="000000" w:themeColor="text1"/>
      <w:szCs w:val="28"/>
      <w:lang w:val="en-CA"/>
    </w:rPr>
  </w:style>
  <w:style w:type="character" w:customStyle="1" w:styleId="Heading2Char">
    <w:name w:val="Heading 2 Char"/>
    <w:basedOn w:val="DefaultParagraphFont"/>
    <w:link w:val="Heading2"/>
    <w:uiPriority w:val="9"/>
    <w:rsid w:val="002A360F"/>
    <w:rPr>
      <w:rFonts w:ascii="Calibri" w:eastAsiaTheme="majorEastAsia" w:hAnsi="Calibri" w:cstheme="majorBidi"/>
      <w:b/>
      <w:bCs/>
      <w:caps/>
      <w:color w:val="000000" w:themeColor="text1"/>
      <w:szCs w:val="26"/>
      <w:lang w:val="en-CA"/>
    </w:rPr>
  </w:style>
  <w:style w:type="character" w:customStyle="1" w:styleId="Heading3Char">
    <w:name w:val="Heading 3 Char"/>
    <w:basedOn w:val="DefaultParagraphFont"/>
    <w:link w:val="Heading3"/>
    <w:uiPriority w:val="9"/>
    <w:rsid w:val="002A360F"/>
    <w:rPr>
      <w:rFonts w:ascii="Calibri" w:eastAsiaTheme="majorEastAsia" w:hAnsi="Calibri" w:cstheme="majorBidi"/>
      <w:b/>
      <w:bCs/>
      <w:color w:val="000000" w:themeColor="text1"/>
      <w:lang w:val="en-CA"/>
    </w:rPr>
  </w:style>
  <w:style w:type="character" w:customStyle="1" w:styleId="Heading5Char">
    <w:name w:val="Heading 5 Char"/>
    <w:basedOn w:val="DefaultParagraphFont"/>
    <w:link w:val="Heading5"/>
    <w:uiPriority w:val="9"/>
    <w:rsid w:val="006D0937"/>
    <w:rPr>
      <w:rFonts w:asciiTheme="majorHAnsi" w:eastAsiaTheme="majorEastAsia" w:hAnsiTheme="majorHAnsi" w:cstheme="majorBidi"/>
      <w:color w:val="243F60" w:themeColor="accent1" w:themeShade="7F"/>
      <w:lang w:val="en-CA"/>
    </w:rPr>
  </w:style>
  <w:style w:type="character" w:customStyle="1" w:styleId="Heading6Char">
    <w:name w:val="Heading 6 Char"/>
    <w:basedOn w:val="DefaultParagraphFont"/>
    <w:link w:val="Heading6"/>
    <w:uiPriority w:val="9"/>
    <w:rsid w:val="006D0937"/>
    <w:rPr>
      <w:rFonts w:asciiTheme="majorHAnsi" w:eastAsiaTheme="majorEastAsia" w:hAnsiTheme="majorHAnsi" w:cstheme="majorBidi"/>
      <w:i/>
      <w:iCs/>
      <w:color w:val="243F60" w:themeColor="accent1" w:themeShade="7F"/>
      <w:lang w:val="en-CA"/>
    </w:rPr>
  </w:style>
  <w:style w:type="character" w:customStyle="1" w:styleId="Heading9Char">
    <w:name w:val="Heading 9 Char"/>
    <w:basedOn w:val="DefaultParagraphFont"/>
    <w:link w:val="Heading9"/>
    <w:uiPriority w:val="9"/>
    <w:rsid w:val="006D0937"/>
    <w:rPr>
      <w:rFonts w:asciiTheme="majorHAnsi" w:eastAsiaTheme="majorEastAsia" w:hAnsiTheme="majorHAnsi" w:cstheme="majorBidi"/>
      <w:i/>
      <w:iCs/>
      <w:color w:val="404040" w:themeColor="text1" w:themeTint="BF"/>
      <w:sz w:val="20"/>
      <w:szCs w:val="20"/>
      <w:lang w:val="en-CA"/>
    </w:rPr>
  </w:style>
  <w:style w:type="paragraph" w:styleId="ListParagraph">
    <w:name w:val="List Paragraph"/>
    <w:basedOn w:val="Normal"/>
    <w:uiPriority w:val="34"/>
    <w:qFormat/>
    <w:rsid w:val="006D0937"/>
    <w:pPr>
      <w:spacing w:after="360"/>
      <w:ind w:left="720"/>
      <w:contextualSpacing/>
    </w:pPr>
  </w:style>
  <w:style w:type="table" w:customStyle="1" w:styleId="LightShading1">
    <w:name w:val="Light Shading1"/>
    <w:basedOn w:val="TableNormal"/>
    <w:uiPriority w:val="60"/>
    <w:rsid w:val="006D093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65D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DD0"/>
    <w:rPr>
      <w:rFonts w:ascii="Tahoma" w:hAnsi="Tahoma" w:cs="Tahoma"/>
      <w:sz w:val="16"/>
      <w:szCs w:val="16"/>
      <w:lang w:val="en-CA"/>
    </w:rPr>
  </w:style>
  <w:style w:type="character" w:customStyle="1" w:styleId="Heading4Char">
    <w:name w:val="Heading 4 Char"/>
    <w:basedOn w:val="DefaultParagraphFont"/>
    <w:link w:val="Heading4"/>
    <w:uiPriority w:val="9"/>
    <w:rsid w:val="00CE350E"/>
    <w:rPr>
      <w:rFonts w:ascii="Calibri" w:eastAsiaTheme="majorEastAsia" w:hAnsi="Calibri" w:cstheme="majorBidi"/>
      <w:bCs/>
      <w:i/>
      <w:iCs/>
      <w:lang w:val="en-CA"/>
    </w:rPr>
  </w:style>
  <w:style w:type="character" w:styleId="Hyperlink">
    <w:name w:val="Hyperlink"/>
    <w:basedOn w:val="DefaultParagraphFont"/>
    <w:uiPriority w:val="99"/>
    <w:unhideWhenUsed/>
    <w:rsid w:val="00DA7ABD"/>
    <w:rPr>
      <w:color w:val="0000FF" w:themeColor="hyperlink"/>
      <w:u w:val="single"/>
    </w:rPr>
  </w:style>
  <w:style w:type="paragraph" w:styleId="Header">
    <w:name w:val="header"/>
    <w:basedOn w:val="Normal"/>
    <w:link w:val="HeaderChar"/>
    <w:uiPriority w:val="99"/>
    <w:unhideWhenUsed/>
    <w:rsid w:val="00EC4AB7"/>
    <w:pPr>
      <w:tabs>
        <w:tab w:val="center" w:pos="4513"/>
        <w:tab w:val="right" w:pos="9026"/>
      </w:tabs>
      <w:spacing w:line="240" w:lineRule="auto"/>
    </w:pPr>
  </w:style>
  <w:style w:type="character" w:customStyle="1" w:styleId="HeaderChar">
    <w:name w:val="Header Char"/>
    <w:basedOn w:val="DefaultParagraphFont"/>
    <w:link w:val="Header"/>
    <w:uiPriority w:val="99"/>
    <w:rsid w:val="00EC4AB7"/>
    <w:rPr>
      <w:lang w:val="en-CA"/>
    </w:rPr>
  </w:style>
  <w:style w:type="paragraph" w:styleId="Footer">
    <w:name w:val="footer"/>
    <w:basedOn w:val="Normal"/>
    <w:link w:val="FooterChar"/>
    <w:uiPriority w:val="99"/>
    <w:unhideWhenUsed/>
    <w:rsid w:val="00EC4AB7"/>
    <w:pPr>
      <w:tabs>
        <w:tab w:val="center" w:pos="4513"/>
        <w:tab w:val="right" w:pos="9026"/>
      </w:tabs>
      <w:spacing w:line="240" w:lineRule="auto"/>
    </w:pPr>
  </w:style>
  <w:style w:type="character" w:customStyle="1" w:styleId="FooterChar">
    <w:name w:val="Footer Char"/>
    <w:basedOn w:val="DefaultParagraphFont"/>
    <w:link w:val="Footer"/>
    <w:uiPriority w:val="99"/>
    <w:rsid w:val="00EC4AB7"/>
    <w:rPr>
      <w:lang w:val="en-CA"/>
    </w:rPr>
  </w:style>
  <w:style w:type="character" w:customStyle="1" w:styleId="Heading7Char">
    <w:name w:val="Heading 7 Char"/>
    <w:aliases w:val="Figures Char"/>
    <w:basedOn w:val="DefaultParagraphFont"/>
    <w:link w:val="Heading7"/>
    <w:uiPriority w:val="9"/>
    <w:rsid w:val="00EB5320"/>
    <w:rPr>
      <w:rFonts w:asciiTheme="majorHAnsi" w:eastAsiaTheme="majorEastAsia" w:hAnsiTheme="majorHAnsi" w:cstheme="majorBidi"/>
      <w:i/>
      <w:iCs/>
      <w:color w:val="404040" w:themeColor="text1" w:themeTint="BF"/>
    </w:rPr>
  </w:style>
  <w:style w:type="character" w:customStyle="1" w:styleId="Heading8Char">
    <w:name w:val="Heading 8 Char"/>
    <w:aliases w:val="Part headings Char"/>
    <w:basedOn w:val="DefaultParagraphFont"/>
    <w:link w:val="Heading8"/>
    <w:uiPriority w:val="9"/>
    <w:rsid w:val="00EB5320"/>
    <w:rPr>
      <w:rFonts w:asciiTheme="majorHAnsi" w:eastAsiaTheme="majorEastAsia" w:hAnsiTheme="majorHAnsi" w:cstheme="majorBidi"/>
      <w:color w:val="404040" w:themeColor="text1" w:themeTint="BF"/>
      <w:sz w:val="20"/>
      <w:szCs w:val="20"/>
    </w:rPr>
  </w:style>
  <w:style w:type="paragraph" w:customStyle="1" w:styleId="Default">
    <w:name w:val="Default"/>
    <w:rsid w:val="00EB5320"/>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EB5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 1"/>
    <w:basedOn w:val="Normal"/>
    <w:qFormat/>
    <w:rsid w:val="00EB5320"/>
    <w:rPr>
      <w:lang w:val="en-GB"/>
    </w:rPr>
  </w:style>
  <w:style w:type="numbering" w:customStyle="1" w:styleId="Style1">
    <w:name w:val="Style1"/>
    <w:uiPriority w:val="99"/>
    <w:rsid w:val="00EB5320"/>
    <w:pPr>
      <w:numPr>
        <w:numId w:val="5"/>
      </w:numPr>
    </w:pPr>
  </w:style>
  <w:style w:type="paragraph" w:styleId="BodyText">
    <w:name w:val="Body Text"/>
    <w:basedOn w:val="Normal"/>
    <w:link w:val="BodyTextChar"/>
    <w:semiHidden/>
    <w:rsid w:val="00EB5320"/>
    <w:pPr>
      <w:spacing w:line="240" w:lineRule="auto"/>
      <w:jc w:val="center"/>
    </w:pPr>
    <w:rPr>
      <w:rFonts w:ascii="Times New Roman" w:eastAsia="Times New Roman" w:hAnsi="Times New Roman" w:cs="Times New Roman"/>
      <w:b/>
      <w:bCs/>
      <w:sz w:val="24"/>
      <w:szCs w:val="24"/>
      <w:lang w:val="en-GB"/>
    </w:rPr>
  </w:style>
  <w:style w:type="character" w:customStyle="1" w:styleId="BodyTextChar">
    <w:name w:val="Body Text Char"/>
    <w:basedOn w:val="DefaultParagraphFont"/>
    <w:link w:val="BodyText"/>
    <w:semiHidden/>
    <w:rsid w:val="00EB5320"/>
    <w:rPr>
      <w:rFonts w:ascii="Times New Roman" w:eastAsia="Times New Roman" w:hAnsi="Times New Roman" w:cs="Times New Roman"/>
      <w:b/>
      <w:bCs/>
      <w:sz w:val="24"/>
      <w:szCs w:val="24"/>
    </w:rPr>
  </w:style>
  <w:style w:type="numbering" w:customStyle="1" w:styleId="Style2">
    <w:name w:val="Style2"/>
    <w:uiPriority w:val="99"/>
    <w:rsid w:val="00EB5320"/>
    <w:pPr>
      <w:numPr>
        <w:numId w:val="6"/>
      </w:numPr>
    </w:pPr>
  </w:style>
  <w:style w:type="numbering" w:customStyle="1" w:styleId="Style3">
    <w:name w:val="Style3"/>
    <w:uiPriority w:val="99"/>
    <w:rsid w:val="00EB5320"/>
    <w:pPr>
      <w:numPr>
        <w:numId w:val="7"/>
      </w:numPr>
    </w:pPr>
  </w:style>
  <w:style w:type="numbering" w:customStyle="1" w:styleId="Style4">
    <w:name w:val="Style4"/>
    <w:uiPriority w:val="99"/>
    <w:rsid w:val="00EB5320"/>
    <w:pPr>
      <w:numPr>
        <w:numId w:val="8"/>
      </w:numPr>
    </w:pPr>
  </w:style>
  <w:style w:type="numbering" w:customStyle="1" w:styleId="Style5">
    <w:name w:val="Style5"/>
    <w:uiPriority w:val="99"/>
    <w:rsid w:val="00EB5320"/>
    <w:pPr>
      <w:numPr>
        <w:numId w:val="9"/>
      </w:numPr>
    </w:pPr>
  </w:style>
  <w:style w:type="character" w:customStyle="1" w:styleId="apple-converted-space">
    <w:name w:val="apple-converted-space"/>
    <w:basedOn w:val="DefaultParagraphFont"/>
    <w:rsid w:val="00EB5320"/>
  </w:style>
  <w:style w:type="paragraph" w:customStyle="1" w:styleId="p">
    <w:name w:val="p"/>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rofprevcalloutabove">
    <w:name w:val="profprevcalloutabove"/>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EB5320"/>
  </w:style>
  <w:style w:type="character" w:customStyle="1" w:styleId="highlight">
    <w:name w:val="highlight"/>
    <w:basedOn w:val="DefaultParagraphFont"/>
    <w:rsid w:val="00EB5320"/>
  </w:style>
  <w:style w:type="character" w:styleId="HTMLCite">
    <w:name w:val="HTML Cite"/>
    <w:basedOn w:val="DefaultParagraphFont"/>
    <w:uiPriority w:val="99"/>
    <w:semiHidden/>
    <w:unhideWhenUsed/>
    <w:rsid w:val="00EB5320"/>
    <w:rPr>
      <w:i/>
      <w:iCs/>
    </w:rPr>
  </w:style>
  <w:style w:type="character" w:customStyle="1" w:styleId="slug-pub-date-pop">
    <w:name w:val="slug-pub-date-pop"/>
    <w:basedOn w:val="DefaultParagraphFont"/>
    <w:rsid w:val="00EB5320"/>
  </w:style>
  <w:style w:type="character" w:customStyle="1" w:styleId="pop-slug-vol">
    <w:name w:val="pop-slug-vol"/>
    <w:basedOn w:val="DefaultParagraphFont"/>
    <w:rsid w:val="00EB5320"/>
  </w:style>
  <w:style w:type="character" w:customStyle="1" w:styleId="slug-doi">
    <w:name w:val="slug-doi"/>
    <w:basedOn w:val="DefaultParagraphFont"/>
    <w:rsid w:val="00EB5320"/>
  </w:style>
  <w:style w:type="character" w:customStyle="1" w:styleId="slug-ahead-of-print-date">
    <w:name w:val="slug-ahead-of-print-date"/>
    <w:basedOn w:val="DefaultParagraphFont"/>
    <w:rsid w:val="00EB5320"/>
  </w:style>
  <w:style w:type="character" w:customStyle="1" w:styleId="pop-cite">
    <w:name w:val="pop-cite"/>
    <w:basedOn w:val="DefaultParagraphFont"/>
    <w:rsid w:val="00EB5320"/>
  </w:style>
  <w:style w:type="character" w:customStyle="1" w:styleId="slug-pop-date">
    <w:name w:val="slug-pop-date"/>
    <w:basedOn w:val="DefaultParagraphFont"/>
    <w:rsid w:val="00EB5320"/>
  </w:style>
  <w:style w:type="character" w:customStyle="1" w:styleId="pop-slug">
    <w:name w:val="pop-slug"/>
    <w:basedOn w:val="DefaultParagraphFont"/>
    <w:rsid w:val="00EB5320"/>
  </w:style>
  <w:style w:type="character" w:customStyle="1" w:styleId="hps">
    <w:name w:val="hps"/>
    <w:basedOn w:val="DefaultParagraphFont"/>
    <w:rsid w:val="00EB5320"/>
  </w:style>
  <w:style w:type="character" w:customStyle="1" w:styleId="shorttext">
    <w:name w:val="short_text"/>
    <w:basedOn w:val="DefaultParagraphFont"/>
    <w:rsid w:val="00EB5320"/>
  </w:style>
  <w:style w:type="paragraph" w:customStyle="1" w:styleId="fulltext-text">
    <w:name w:val="fulltext-text"/>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irst">
    <w:name w:val="first"/>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aption1">
    <w:name w:val="Caption1"/>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EB5320"/>
    <w:rPr>
      <w:color w:val="808080"/>
    </w:rPr>
  </w:style>
  <w:style w:type="table" w:customStyle="1" w:styleId="LightShading2">
    <w:name w:val="Light Shading2"/>
    <w:basedOn w:val="TableNormal"/>
    <w:uiPriority w:val="60"/>
    <w:rsid w:val="00EB532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EB5320"/>
    <w:rPr>
      <w:i/>
      <w:iCs/>
    </w:rPr>
  </w:style>
  <w:style w:type="paragraph" w:customStyle="1" w:styleId="indent">
    <w:name w:val="indent"/>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LightShading3">
    <w:name w:val="Light Shading3"/>
    <w:basedOn w:val="TableNormal"/>
    <w:uiPriority w:val="60"/>
    <w:rsid w:val="00EB532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13">
    <w:name w:val="A13"/>
    <w:uiPriority w:val="99"/>
    <w:rsid w:val="00EB5320"/>
    <w:rPr>
      <w:rFonts w:cs="Meta Normal LF"/>
      <w:color w:val="000000"/>
      <w:sz w:val="17"/>
      <w:szCs w:val="17"/>
    </w:rPr>
  </w:style>
  <w:style w:type="character" w:customStyle="1" w:styleId="title2">
    <w:name w:val="title2"/>
    <w:basedOn w:val="DefaultParagraphFont"/>
    <w:rsid w:val="00EB5320"/>
  </w:style>
  <w:style w:type="paragraph" w:customStyle="1" w:styleId="last">
    <w:name w:val="last"/>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cont">
    <w:name w:val="paracont"/>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itle1">
    <w:name w:val="Title1"/>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sc">
    <w:name w:val="desc"/>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tails">
    <w:name w:val="details"/>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jrnl">
    <w:name w:val="jrnl"/>
    <w:basedOn w:val="DefaultParagraphFont"/>
    <w:rsid w:val="00EB5320"/>
  </w:style>
  <w:style w:type="paragraph" w:customStyle="1" w:styleId="authors">
    <w:name w:val="authors"/>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EB5320"/>
    <w:rPr>
      <w:b/>
      <w:bCs/>
    </w:rPr>
  </w:style>
  <w:style w:type="paragraph" w:customStyle="1" w:styleId="Pa3">
    <w:name w:val="Pa3"/>
    <w:basedOn w:val="Default"/>
    <w:next w:val="Default"/>
    <w:uiPriority w:val="99"/>
    <w:rsid w:val="00EB5320"/>
    <w:pPr>
      <w:spacing w:line="181" w:lineRule="atLeast"/>
    </w:pPr>
    <w:rPr>
      <w:rFonts w:ascii="Georgia" w:hAnsi="Georgia" w:cstheme="minorBidi"/>
      <w:color w:val="auto"/>
    </w:rPr>
  </w:style>
  <w:style w:type="paragraph" w:customStyle="1" w:styleId="Pa0">
    <w:name w:val="Pa0"/>
    <w:basedOn w:val="Default"/>
    <w:next w:val="Default"/>
    <w:uiPriority w:val="99"/>
    <w:rsid w:val="00EB5320"/>
    <w:pPr>
      <w:spacing w:line="241" w:lineRule="atLeast"/>
    </w:pPr>
    <w:rPr>
      <w:rFonts w:ascii="Akzidenz Grotesk BE Cn" w:hAnsi="Akzidenz Grotesk BE Cn" w:cstheme="minorBidi"/>
      <w:color w:val="auto"/>
    </w:rPr>
  </w:style>
  <w:style w:type="character" w:customStyle="1" w:styleId="A0">
    <w:name w:val="A0"/>
    <w:uiPriority w:val="99"/>
    <w:rsid w:val="00EB5320"/>
    <w:rPr>
      <w:rFonts w:cs="Akzidenz Grotesk BE Cn"/>
      <w:color w:val="000000"/>
      <w:sz w:val="68"/>
      <w:szCs w:val="68"/>
    </w:rPr>
  </w:style>
  <w:style w:type="character" w:customStyle="1" w:styleId="figpopup-sensitive-area">
    <w:name w:val="figpopup-sensitive-area"/>
    <w:basedOn w:val="DefaultParagraphFont"/>
    <w:rsid w:val="00EB5320"/>
  </w:style>
  <w:style w:type="character" w:customStyle="1" w:styleId="formulatext">
    <w:name w:val="formulatext"/>
    <w:basedOn w:val="DefaultParagraphFont"/>
    <w:rsid w:val="00EB5320"/>
  </w:style>
  <w:style w:type="paragraph" w:customStyle="1" w:styleId="svarticle">
    <w:name w:val="svarticle"/>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text0">
    <w:name w:val="bodytext"/>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TMLPreformatted">
    <w:name w:val="HTML Preformatted"/>
    <w:basedOn w:val="Normal"/>
    <w:link w:val="HTMLPreformattedChar"/>
    <w:uiPriority w:val="99"/>
    <w:semiHidden/>
    <w:unhideWhenUsed/>
    <w:rsid w:val="00EB5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EB5320"/>
    <w:rPr>
      <w:rFonts w:ascii="Courier New" w:eastAsia="Times New Roman" w:hAnsi="Courier New" w:cs="Courier New"/>
      <w:sz w:val="20"/>
      <w:szCs w:val="20"/>
      <w:lang w:eastAsia="en-GB"/>
    </w:rPr>
  </w:style>
  <w:style w:type="paragraph" w:styleId="CommentText">
    <w:name w:val="annotation text"/>
    <w:basedOn w:val="Normal"/>
    <w:link w:val="CommentTextChar"/>
    <w:uiPriority w:val="99"/>
    <w:unhideWhenUsed/>
    <w:rsid w:val="00EB5320"/>
    <w:pPr>
      <w:spacing w:after="20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EB5320"/>
    <w:rPr>
      <w:rFonts w:ascii="Calibri" w:eastAsia="Calibri" w:hAnsi="Calibri" w:cs="Times New Roman"/>
      <w:sz w:val="20"/>
      <w:szCs w:val="20"/>
    </w:rPr>
  </w:style>
  <w:style w:type="character" w:customStyle="1" w:styleId="dbname">
    <w:name w:val="dbname"/>
    <w:basedOn w:val="DefaultParagraphFont"/>
    <w:rsid w:val="00EB5320"/>
  </w:style>
  <w:style w:type="character" w:customStyle="1" w:styleId="dbdate">
    <w:name w:val="dbdate"/>
    <w:basedOn w:val="DefaultParagraphFont"/>
    <w:rsid w:val="00EB5320"/>
  </w:style>
  <w:style w:type="paragraph" w:styleId="BodyTextIndent">
    <w:name w:val="Body Text Indent"/>
    <w:basedOn w:val="Normal"/>
    <w:link w:val="BodyTextIndentChar"/>
    <w:semiHidden/>
    <w:unhideWhenUsed/>
    <w:rsid w:val="00EB5320"/>
    <w:pPr>
      <w:spacing w:after="120"/>
      <w:ind w:left="283"/>
    </w:pPr>
    <w:rPr>
      <w:lang w:val="en-GB"/>
    </w:rPr>
  </w:style>
  <w:style w:type="character" w:customStyle="1" w:styleId="BodyTextIndentChar">
    <w:name w:val="Body Text Indent Char"/>
    <w:basedOn w:val="DefaultParagraphFont"/>
    <w:link w:val="BodyTextIndent"/>
    <w:semiHidden/>
    <w:rsid w:val="00EB5320"/>
  </w:style>
  <w:style w:type="paragraph" w:styleId="BodyText2">
    <w:name w:val="Body Text 2"/>
    <w:basedOn w:val="Normal"/>
    <w:link w:val="BodyText2Char"/>
    <w:semiHidden/>
    <w:unhideWhenUsed/>
    <w:rsid w:val="00EB5320"/>
    <w:pPr>
      <w:spacing w:after="120" w:line="480" w:lineRule="auto"/>
    </w:pPr>
    <w:rPr>
      <w:lang w:val="en-GB"/>
    </w:rPr>
  </w:style>
  <w:style w:type="character" w:customStyle="1" w:styleId="BodyText2Char">
    <w:name w:val="Body Text 2 Char"/>
    <w:basedOn w:val="DefaultParagraphFont"/>
    <w:link w:val="BodyText2"/>
    <w:semiHidden/>
    <w:rsid w:val="00EB5320"/>
  </w:style>
  <w:style w:type="paragraph" w:styleId="TOCHeading">
    <w:name w:val="TOC Heading"/>
    <w:basedOn w:val="Heading1"/>
    <w:next w:val="Normal"/>
    <w:uiPriority w:val="39"/>
    <w:unhideWhenUsed/>
    <w:qFormat/>
    <w:rsid w:val="00EB5320"/>
    <w:pPr>
      <w:numPr>
        <w:numId w:val="0"/>
      </w:numPr>
      <w:spacing w:before="480" w:after="0" w:line="276" w:lineRule="auto"/>
      <w:jc w:val="left"/>
      <w:outlineLvl w:val="9"/>
    </w:pPr>
    <w:rPr>
      <w:rFonts w:asciiTheme="majorHAnsi" w:hAnsiTheme="majorHAnsi"/>
      <w:caps w:val="0"/>
      <w:color w:val="365F91" w:themeColor="accent1" w:themeShade="BF"/>
      <w:sz w:val="28"/>
      <w:lang w:val="en-US"/>
    </w:rPr>
  </w:style>
  <w:style w:type="paragraph" w:styleId="TOC1">
    <w:name w:val="toc 1"/>
    <w:basedOn w:val="Normal"/>
    <w:next w:val="Normal"/>
    <w:autoRedefine/>
    <w:uiPriority w:val="39"/>
    <w:unhideWhenUsed/>
    <w:qFormat/>
    <w:rsid w:val="00EB5320"/>
    <w:pPr>
      <w:spacing w:after="100" w:line="276" w:lineRule="auto"/>
    </w:pPr>
    <w:rPr>
      <w:rFonts w:eastAsiaTheme="minorEastAsia"/>
      <w:lang w:val="en-US"/>
    </w:rPr>
  </w:style>
  <w:style w:type="paragraph" w:styleId="TOC3">
    <w:name w:val="toc 3"/>
    <w:basedOn w:val="Normal"/>
    <w:next w:val="Normal"/>
    <w:autoRedefine/>
    <w:uiPriority w:val="39"/>
    <w:unhideWhenUsed/>
    <w:qFormat/>
    <w:rsid w:val="00EB5320"/>
    <w:pPr>
      <w:spacing w:after="100" w:line="276" w:lineRule="auto"/>
      <w:ind w:left="440"/>
    </w:pPr>
    <w:rPr>
      <w:rFonts w:eastAsiaTheme="minorEastAsia"/>
      <w:lang w:val="en-US"/>
    </w:rPr>
  </w:style>
  <w:style w:type="character" w:customStyle="1" w:styleId="main-term">
    <w:name w:val="main-term"/>
    <w:basedOn w:val="DefaultParagraphFont"/>
    <w:rsid w:val="00EB5320"/>
  </w:style>
  <w:style w:type="paragraph" w:customStyle="1" w:styleId="whs2">
    <w:name w:val="whs2"/>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ulleted">
    <w:name w:val="bulleted"/>
    <w:basedOn w:val="Normal"/>
    <w:rsid w:val="00EB53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Char">
    <w:name w:val="Body Text 3 Char"/>
    <w:basedOn w:val="DefaultParagraphFont"/>
    <w:link w:val="BodyText3"/>
    <w:semiHidden/>
    <w:rsid w:val="00EB5320"/>
    <w:rPr>
      <w:rFonts w:ascii="Times New Roman" w:eastAsia="Times New Roman" w:hAnsi="Times New Roman"/>
      <w:i/>
      <w:iCs/>
    </w:rPr>
  </w:style>
  <w:style w:type="paragraph" w:styleId="BodyText3">
    <w:name w:val="Body Text 3"/>
    <w:basedOn w:val="Normal"/>
    <w:link w:val="BodyText3Char"/>
    <w:semiHidden/>
    <w:rsid w:val="00EB5320"/>
    <w:pPr>
      <w:tabs>
        <w:tab w:val="left" w:pos="1710"/>
        <w:tab w:val="left" w:pos="2520"/>
      </w:tabs>
      <w:autoSpaceDE w:val="0"/>
      <w:autoSpaceDN w:val="0"/>
      <w:spacing w:line="240" w:lineRule="auto"/>
    </w:pPr>
    <w:rPr>
      <w:rFonts w:ascii="Times New Roman" w:eastAsia="Times New Roman" w:hAnsi="Times New Roman"/>
      <w:i/>
      <w:iCs/>
      <w:lang w:val="en-GB"/>
    </w:rPr>
  </w:style>
  <w:style w:type="character" w:customStyle="1" w:styleId="BodyText3Char1">
    <w:name w:val="Body Text 3 Char1"/>
    <w:basedOn w:val="DefaultParagraphFont"/>
    <w:uiPriority w:val="99"/>
    <w:semiHidden/>
    <w:rsid w:val="00EB5320"/>
    <w:rPr>
      <w:sz w:val="16"/>
      <w:szCs w:val="16"/>
      <w:lang w:val="en-CA"/>
    </w:rPr>
  </w:style>
  <w:style w:type="paragraph" w:styleId="Title">
    <w:name w:val="Title"/>
    <w:basedOn w:val="Normal"/>
    <w:link w:val="TitleChar"/>
    <w:qFormat/>
    <w:rsid w:val="00EB5320"/>
    <w:pPr>
      <w:tabs>
        <w:tab w:val="left" w:pos="1710"/>
        <w:tab w:val="left" w:pos="2520"/>
      </w:tabs>
      <w:spacing w:line="240" w:lineRule="auto"/>
      <w:ind w:right="-347"/>
      <w:jc w:val="center"/>
    </w:pPr>
    <w:rPr>
      <w:rFonts w:ascii="Arial" w:eastAsia="Times New Roman" w:hAnsi="Arial" w:cs="Arial"/>
      <w:b/>
      <w:bCs/>
      <w:smallCaps/>
      <w:color w:val="000080"/>
      <w:sz w:val="28"/>
      <w:szCs w:val="20"/>
      <w:lang w:val="en-GB"/>
    </w:rPr>
  </w:style>
  <w:style w:type="character" w:customStyle="1" w:styleId="TitleChar">
    <w:name w:val="Title Char"/>
    <w:basedOn w:val="DefaultParagraphFont"/>
    <w:link w:val="Title"/>
    <w:rsid w:val="00EB5320"/>
    <w:rPr>
      <w:rFonts w:ascii="Arial" w:eastAsia="Times New Roman" w:hAnsi="Arial" w:cs="Arial"/>
      <w:b/>
      <w:bCs/>
      <w:smallCaps/>
      <w:color w:val="000080"/>
      <w:sz w:val="28"/>
      <w:szCs w:val="20"/>
    </w:rPr>
  </w:style>
  <w:style w:type="character" w:customStyle="1" w:styleId="CommentSubjectChar">
    <w:name w:val="Comment Subject Char"/>
    <w:basedOn w:val="CommentTextChar"/>
    <w:link w:val="CommentSubject"/>
    <w:uiPriority w:val="99"/>
    <w:semiHidden/>
    <w:rsid w:val="00EB532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EB5320"/>
    <w:pPr>
      <w:spacing w:after="0"/>
    </w:pPr>
    <w:rPr>
      <w:rFonts w:ascii="Times New Roman" w:eastAsia="Times New Roman" w:hAnsi="Times New Roman"/>
      <w:b/>
      <w:bCs/>
    </w:rPr>
  </w:style>
  <w:style w:type="character" w:customStyle="1" w:styleId="CommentSubjectChar1">
    <w:name w:val="Comment Subject Char1"/>
    <w:basedOn w:val="CommentTextChar"/>
    <w:uiPriority w:val="99"/>
    <w:semiHidden/>
    <w:rsid w:val="00EB5320"/>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EB5320"/>
    <w:rPr>
      <w:color w:val="800080"/>
      <w:u w:val="single"/>
    </w:rPr>
  </w:style>
  <w:style w:type="paragraph" w:customStyle="1" w:styleId="font5">
    <w:name w:val="font5"/>
    <w:basedOn w:val="Normal"/>
    <w:rsid w:val="00EB5320"/>
    <w:pPr>
      <w:spacing w:before="100" w:beforeAutospacing="1" w:after="100" w:afterAutospacing="1" w:line="240" w:lineRule="auto"/>
    </w:pPr>
    <w:rPr>
      <w:rFonts w:ascii="Arial" w:eastAsia="Times New Roman" w:hAnsi="Arial" w:cs="Arial"/>
      <w:b/>
      <w:bCs/>
      <w:color w:val="FFFFFF"/>
      <w:sz w:val="20"/>
      <w:szCs w:val="20"/>
      <w:lang w:val="en-GB" w:eastAsia="en-GB"/>
    </w:rPr>
  </w:style>
  <w:style w:type="paragraph" w:customStyle="1" w:styleId="xl65">
    <w:name w:val="xl65"/>
    <w:basedOn w:val="Normal"/>
    <w:rsid w:val="00EB5320"/>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6">
    <w:name w:val="xl66"/>
    <w:basedOn w:val="Normal"/>
    <w:rsid w:val="00EB5320"/>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7">
    <w:name w:val="xl67"/>
    <w:basedOn w:val="Normal"/>
    <w:rsid w:val="00EB532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w:eastAsia="Times New Roman" w:hAnsi="Arial" w:cs="Arial"/>
      <w:b/>
      <w:bCs/>
      <w:color w:val="FFFFFF"/>
      <w:sz w:val="18"/>
      <w:szCs w:val="18"/>
      <w:lang w:val="en-GB" w:eastAsia="en-GB"/>
    </w:rPr>
  </w:style>
  <w:style w:type="paragraph" w:customStyle="1" w:styleId="xl68">
    <w:name w:val="xl68"/>
    <w:basedOn w:val="Normal"/>
    <w:rsid w:val="00EB532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pPr>
    <w:rPr>
      <w:rFonts w:ascii="Arial" w:eastAsia="Times New Roman" w:hAnsi="Arial" w:cs="Arial"/>
      <w:b/>
      <w:bCs/>
      <w:color w:val="FFFFFF"/>
      <w:sz w:val="24"/>
      <w:szCs w:val="24"/>
      <w:lang w:val="en-GB" w:eastAsia="en-GB"/>
    </w:rPr>
  </w:style>
  <w:style w:type="paragraph" w:customStyle="1" w:styleId="xl69">
    <w:name w:val="xl69"/>
    <w:basedOn w:val="Normal"/>
    <w:rsid w:val="00EB5320"/>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pPr>
    <w:rPr>
      <w:rFonts w:ascii="Arial" w:eastAsia="Times New Roman" w:hAnsi="Arial" w:cs="Arial"/>
      <w:b/>
      <w:bCs/>
      <w:color w:val="FFFFFF"/>
      <w:sz w:val="24"/>
      <w:szCs w:val="24"/>
      <w:lang w:val="en-GB" w:eastAsia="en-GB"/>
    </w:rPr>
  </w:style>
  <w:style w:type="paragraph" w:customStyle="1" w:styleId="xl71">
    <w:name w:val="xl71"/>
    <w:basedOn w:val="Normal"/>
    <w:rsid w:val="00EB5320"/>
    <w:pPr>
      <w:pBdr>
        <w:top w:val="single" w:sz="4" w:space="0" w:color="auto"/>
        <w:left w:val="single" w:sz="4" w:space="0" w:color="auto"/>
        <w:right w:val="single" w:sz="4" w:space="0" w:color="auto"/>
      </w:pBdr>
      <w:shd w:val="clear" w:color="000000" w:fill="969696"/>
      <w:spacing w:before="100" w:beforeAutospacing="1" w:after="100" w:afterAutospacing="1" w:line="240" w:lineRule="auto"/>
      <w:jc w:val="center"/>
    </w:pPr>
    <w:rPr>
      <w:rFonts w:ascii="Arial" w:eastAsia="Times New Roman" w:hAnsi="Arial" w:cs="Arial"/>
      <w:b/>
      <w:bCs/>
      <w:color w:val="FFFFFF"/>
      <w:sz w:val="24"/>
      <w:szCs w:val="24"/>
      <w:lang w:val="en-GB" w:eastAsia="en-GB"/>
    </w:rPr>
  </w:style>
  <w:style w:type="paragraph" w:customStyle="1" w:styleId="xl72">
    <w:name w:val="xl72"/>
    <w:basedOn w:val="Normal"/>
    <w:rsid w:val="00EB5320"/>
    <w:pPr>
      <w:spacing w:before="100" w:beforeAutospacing="1" w:after="100" w:afterAutospacing="1" w:line="240" w:lineRule="auto"/>
    </w:pPr>
    <w:rPr>
      <w:rFonts w:ascii="Calibri" w:eastAsia="Times New Roman" w:hAnsi="Calibri" w:cs="Times New Roman"/>
      <w:color w:val="000000"/>
      <w:lang w:val="en-GB" w:eastAsia="en-GB"/>
    </w:rPr>
  </w:style>
  <w:style w:type="character" w:customStyle="1" w:styleId="FooterChar1">
    <w:name w:val="Footer Char1"/>
    <w:basedOn w:val="DefaultParagraphFont"/>
    <w:uiPriority w:val="99"/>
    <w:semiHidden/>
    <w:rsid w:val="00EB5320"/>
    <w:rPr>
      <w:rFonts w:ascii="Calibri" w:eastAsia="Calibri" w:hAnsi="Calibri" w:cs="Times New Roman"/>
    </w:rPr>
  </w:style>
  <w:style w:type="character" w:customStyle="1" w:styleId="FootnoteTextChar">
    <w:name w:val="Footnote Text Char"/>
    <w:basedOn w:val="DefaultParagraphFont"/>
    <w:link w:val="FootnoteText"/>
    <w:uiPriority w:val="99"/>
    <w:semiHidden/>
    <w:rsid w:val="00EB5320"/>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EB5320"/>
    <w:pPr>
      <w:spacing w:line="240" w:lineRule="auto"/>
    </w:pPr>
    <w:rPr>
      <w:rFonts w:ascii="Calibri" w:eastAsia="Calibri" w:hAnsi="Calibri" w:cs="Times New Roman"/>
      <w:sz w:val="20"/>
      <w:szCs w:val="20"/>
      <w:lang w:val="en-GB"/>
    </w:rPr>
  </w:style>
  <w:style w:type="character" w:customStyle="1" w:styleId="FootnoteTextChar1">
    <w:name w:val="Footnote Text Char1"/>
    <w:basedOn w:val="DefaultParagraphFont"/>
    <w:uiPriority w:val="99"/>
    <w:semiHidden/>
    <w:rsid w:val="00EB5320"/>
    <w:rPr>
      <w:sz w:val="20"/>
      <w:szCs w:val="20"/>
      <w:lang w:val="en-CA"/>
    </w:rPr>
  </w:style>
  <w:style w:type="paragraph" w:styleId="Caption">
    <w:name w:val="caption"/>
    <w:basedOn w:val="Normal"/>
    <w:next w:val="Normal"/>
    <w:uiPriority w:val="35"/>
    <w:semiHidden/>
    <w:unhideWhenUsed/>
    <w:qFormat/>
    <w:rsid w:val="006574FF"/>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6574FF"/>
  </w:style>
  <w:style w:type="paragraph" w:styleId="TOC2">
    <w:name w:val="toc 2"/>
    <w:basedOn w:val="Normal"/>
    <w:next w:val="Normal"/>
    <w:autoRedefine/>
    <w:uiPriority w:val="39"/>
    <w:unhideWhenUsed/>
    <w:rsid w:val="006574FF"/>
    <w:pPr>
      <w:spacing w:after="100"/>
      <w:ind w:left="220"/>
    </w:pPr>
  </w:style>
  <w:style w:type="character" w:styleId="CommentReference">
    <w:name w:val="annotation reference"/>
    <w:basedOn w:val="DefaultParagraphFont"/>
    <w:uiPriority w:val="99"/>
    <w:semiHidden/>
    <w:unhideWhenUsed/>
    <w:rsid w:val="006574FF"/>
    <w:rPr>
      <w:sz w:val="16"/>
      <w:szCs w:val="16"/>
    </w:rPr>
  </w:style>
  <w:style w:type="paragraph" w:customStyle="1" w:styleId="inlinenormal120">
    <w:name w:val="inlinenormal120"/>
    <w:basedOn w:val="Normal"/>
    <w:rsid w:val="004442E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otnoteReference">
    <w:name w:val="footnote reference"/>
    <w:basedOn w:val="DefaultParagraphFont"/>
    <w:uiPriority w:val="99"/>
    <w:semiHidden/>
    <w:unhideWhenUsed/>
    <w:rsid w:val="004442E4"/>
    <w:rPr>
      <w:vertAlign w:val="superscript"/>
    </w:rPr>
  </w:style>
  <w:style w:type="character" w:customStyle="1" w:styleId="hcp12">
    <w:name w:val="hcp12"/>
    <w:basedOn w:val="DefaultParagraphFont"/>
    <w:rsid w:val="004442E4"/>
  </w:style>
  <w:style w:type="paragraph" w:styleId="DocumentMap">
    <w:name w:val="Document Map"/>
    <w:basedOn w:val="Normal"/>
    <w:link w:val="DocumentMapChar"/>
    <w:uiPriority w:val="99"/>
    <w:semiHidden/>
    <w:unhideWhenUsed/>
    <w:rsid w:val="004442E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42E4"/>
    <w:rPr>
      <w:rFonts w:ascii="Tahoma" w:hAnsi="Tahoma" w:cs="Tahoma"/>
      <w:sz w:val="16"/>
      <w:szCs w:val="16"/>
      <w:lang w:val="en-CA"/>
    </w:rPr>
  </w:style>
  <w:style w:type="character" w:customStyle="1" w:styleId="authornames">
    <w:name w:val="authornames"/>
    <w:basedOn w:val="DefaultParagraphFont"/>
    <w:rsid w:val="005F0441"/>
  </w:style>
  <w:style w:type="paragraph" w:customStyle="1" w:styleId="CM85">
    <w:name w:val="CM85"/>
    <w:basedOn w:val="Default"/>
    <w:next w:val="Default"/>
    <w:uiPriority w:val="99"/>
    <w:rsid w:val="005F0441"/>
    <w:rPr>
      <w:rFonts w:ascii="IMHNI H+ Adv PS X 0354" w:hAnsi="IMHNI H+ Adv PS X 0354" w:cstheme="minorBidi"/>
      <w:color w:val="auto"/>
    </w:rPr>
  </w:style>
  <w:style w:type="character" w:customStyle="1" w:styleId="onelinesource">
    <w:name w:val="one_line_source"/>
    <w:basedOn w:val="DefaultParagraphFont"/>
    <w:rsid w:val="005F0441"/>
  </w:style>
  <w:style w:type="character" w:customStyle="1" w:styleId="ref-journal">
    <w:name w:val="ref-journal"/>
    <w:basedOn w:val="DefaultParagraphFont"/>
    <w:rsid w:val="005F0441"/>
  </w:style>
  <w:style w:type="character" w:customStyle="1" w:styleId="cit-source">
    <w:name w:val="cit-source"/>
    <w:basedOn w:val="DefaultParagraphFont"/>
    <w:rsid w:val="005F0441"/>
  </w:style>
  <w:style w:type="character" w:customStyle="1" w:styleId="search-term-highlight">
    <w:name w:val="search-term-highlight"/>
    <w:basedOn w:val="DefaultParagraphFont"/>
    <w:rsid w:val="005F0441"/>
  </w:style>
  <w:style w:type="character" w:customStyle="1" w:styleId="cit-publ-name">
    <w:name w:val="cit-publ-name"/>
    <w:basedOn w:val="DefaultParagraphFont"/>
    <w:rsid w:val="005F0441"/>
  </w:style>
  <w:style w:type="character" w:customStyle="1" w:styleId="cit-pub-date">
    <w:name w:val="cit-pub-date"/>
    <w:basedOn w:val="DefaultParagraphFont"/>
    <w:rsid w:val="005F0441"/>
  </w:style>
  <w:style w:type="paragraph" w:customStyle="1" w:styleId="numbered-paragraph">
    <w:name w:val="numbered-paragraph"/>
    <w:basedOn w:val="Normal"/>
    <w:rsid w:val="005F044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paragraph-number">
    <w:name w:val="paragraph-number"/>
    <w:basedOn w:val="DefaultParagraphFont"/>
    <w:rsid w:val="005F0441"/>
  </w:style>
  <w:style w:type="table" w:customStyle="1" w:styleId="LightShading4">
    <w:name w:val="Light Shading4"/>
    <w:basedOn w:val="TableNormal"/>
    <w:uiPriority w:val="60"/>
    <w:rsid w:val="005F044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uiPriority w:val="60"/>
    <w:rsid w:val="0080093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oter" Target="footer8.xml"/><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jpeg"/><Relationship Id="rId45" Type="http://schemas.openxmlformats.org/officeDocument/2006/relationships/footer" Target="footer7.xml"/><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tiff"/><Relationship Id="rId28" Type="http://schemas.openxmlformats.org/officeDocument/2006/relationships/image" Target="media/image16.tiff"/><Relationship Id="rId36" Type="http://schemas.openxmlformats.org/officeDocument/2006/relationships/image" Target="media/image24.emf"/><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footer" Target="footer3.xml"/><Relationship Id="rId19" Type="http://schemas.openxmlformats.org/officeDocument/2006/relationships/footer" Target="footer5.xml"/><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1.tif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3.jpeg"/><Relationship Id="rId5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161</Pages>
  <Words>71862</Words>
  <Characters>409620</Characters>
  <Application>Microsoft Office Word</Application>
  <DocSecurity>0</DocSecurity>
  <Lines>3413</Lines>
  <Paragraphs>961</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480521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mocmhgf2</dc:creator>
  <cp:keywords/>
  <dc:description/>
  <cp:lastModifiedBy>Gordon</cp:lastModifiedBy>
  <cp:revision>2</cp:revision>
  <cp:lastPrinted>2014-09-26T10:16:00Z</cp:lastPrinted>
  <dcterms:created xsi:type="dcterms:W3CDTF">2015-08-17T13:46:00Z</dcterms:created>
  <dcterms:modified xsi:type="dcterms:W3CDTF">2015-08-17T13:46:00Z</dcterms:modified>
</cp:coreProperties>
</file>