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380" w:rsidRDefault="00EF1380" w:rsidP="00EF1380">
      <w:pPr>
        <w:jc w:val="center"/>
        <w:rPr>
          <w:rFonts w:ascii="Arial" w:hAnsi="Arial" w:cs="Arial"/>
          <w:b/>
          <w:bCs/>
          <w:color w:val="2A2A2A"/>
          <w:sz w:val="40"/>
          <w:szCs w:val="40"/>
        </w:rPr>
      </w:pPr>
      <w:bookmarkStart w:id="0" w:name="_GoBack"/>
      <w:bookmarkEnd w:id="0"/>
      <w:r>
        <w:rPr>
          <w:rFonts w:ascii="Arial" w:hAnsi="Arial" w:cs="Arial"/>
          <w:b/>
          <w:bCs/>
          <w:color w:val="2A2A2A"/>
          <w:sz w:val="40"/>
          <w:szCs w:val="40"/>
        </w:rPr>
        <w:t>MODELLIN</w:t>
      </w:r>
      <w:r w:rsidR="00407D85">
        <w:rPr>
          <w:rFonts w:ascii="Arial" w:hAnsi="Arial" w:cs="Arial"/>
          <w:b/>
          <w:bCs/>
          <w:color w:val="2A2A2A"/>
          <w:sz w:val="40"/>
          <w:szCs w:val="40"/>
        </w:rPr>
        <w:t>G OF METABOLIC CONTROL BY SHORT</w:t>
      </w:r>
      <w:r w:rsidR="00ED44D4">
        <w:rPr>
          <w:rFonts w:ascii="Arial" w:hAnsi="Arial" w:cs="Arial"/>
          <w:b/>
          <w:bCs/>
          <w:color w:val="2A2A2A"/>
          <w:sz w:val="40"/>
          <w:szCs w:val="40"/>
        </w:rPr>
        <w:t xml:space="preserve"> </w:t>
      </w:r>
      <w:r>
        <w:rPr>
          <w:rFonts w:ascii="Arial" w:hAnsi="Arial" w:cs="Arial"/>
          <w:b/>
          <w:bCs/>
          <w:color w:val="2A2A2A"/>
          <w:sz w:val="40"/>
          <w:szCs w:val="40"/>
        </w:rPr>
        <w:t>CHAIN FATTY ACIDS AT THE LEVEL OF THE FUNCTIONAL PROTEOME</w:t>
      </w:r>
    </w:p>
    <w:p w:rsidR="00EF1380" w:rsidRDefault="00EF1380" w:rsidP="00EF1380">
      <w:pPr>
        <w:jc w:val="center"/>
        <w:rPr>
          <w:rFonts w:ascii="Arial" w:hAnsi="Arial" w:cs="Arial"/>
          <w:b/>
          <w:bCs/>
          <w:color w:val="2A2A2A"/>
          <w:sz w:val="40"/>
          <w:szCs w:val="40"/>
        </w:rPr>
      </w:pPr>
    </w:p>
    <w:p w:rsidR="00EF1380" w:rsidRDefault="00EF1380" w:rsidP="00EF1380">
      <w:pPr>
        <w:jc w:val="center"/>
        <w:rPr>
          <w:rFonts w:ascii="Arial" w:hAnsi="Arial" w:cs="Arial"/>
          <w:b/>
          <w:bCs/>
          <w:color w:val="2A2A2A"/>
          <w:sz w:val="40"/>
          <w:szCs w:val="40"/>
        </w:rPr>
      </w:pPr>
    </w:p>
    <w:p w:rsidR="00EF1380" w:rsidRPr="001C1E37" w:rsidRDefault="00EF1380" w:rsidP="00EF1380">
      <w:pPr>
        <w:jc w:val="center"/>
        <w:rPr>
          <w:rFonts w:ascii="Arial" w:hAnsi="Arial" w:cs="Arial"/>
          <w:b/>
          <w:bCs/>
          <w:color w:val="2A2A2A"/>
          <w:sz w:val="40"/>
          <w:szCs w:val="40"/>
          <w:lang w:val="es-MX"/>
        </w:rPr>
      </w:pPr>
      <w:r w:rsidRPr="001C1E37">
        <w:rPr>
          <w:rFonts w:ascii="Arial" w:hAnsi="Arial" w:cs="Arial"/>
          <w:b/>
          <w:bCs/>
          <w:color w:val="2A2A2A"/>
          <w:sz w:val="40"/>
          <w:szCs w:val="40"/>
          <w:lang w:val="es-MX"/>
        </w:rPr>
        <w:t>By</w:t>
      </w:r>
    </w:p>
    <w:p w:rsidR="00EF1380" w:rsidRPr="001C1E37" w:rsidRDefault="00EF1380" w:rsidP="00EF1380">
      <w:pPr>
        <w:rPr>
          <w:rFonts w:ascii="Arial" w:hAnsi="Arial" w:cs="Arial"/>
          <w:b/>
          <w:bCs/>
          <w:color w:val="2A2A2A"/>
          <w:sz w:val="40"/>
          <w:szCs w:val="40"/>
          <w:lang w:val="es-MX"/>
        </w:rPr>
      </w:pPr>
    </w:p>
    <w:p w:rsidR="00EF1380" w:rsidRPr="001C1E37" w:rsidRDefault="00EF1380" w:rsidP="00EF1380">
      <w:pPr>
        <w:jc w:val="center"/>
        <w:rPr>
          <w:rFonts w:ascii="Arial" w:hAnsi="Arial" w:cs="Arial"/>
          <w:b/>
          <w:bCs/>
          <w:color w:val="2A2A2A"/>
          <w:sz w:val="40"/>
          <w:szCs w:val="40"/>
          <w:lang w:val="es-MX"/>
        </w:rPr>
      </w:pPr>
      <w:r w:rsidRPr="001C1E37">
        <w:rPr>
          <w:rFonts w:ascii="Arial" w:hAnsi="Arial" w:cs="Arial"/>
          <w:b/>
          <w:bCs/>
          <w:color w:val="2A2A2A"/>
          <w:sz w:val="40"/>
          <w:szCs w:val="40"/>
          <w:lang w:val="es-MX"/>
        </w:rPr>
        <w:t>León Eduardo Sánchez-Mejorada Zúñiga</w:t>
      </w:r>
    </w:p>
    <w:p w:rsidR="00EF1380" w:rsidRPr="001C1E37" w:rsidRDefault="00EF1380" w:rsidP="00EF1380">
      <w:pPr>
        <w:rPr>
          <w:rFonts w:ascii="Arial" w:hAnsi="Arial" w:cs="Arial"/>
          <w:b/>
          <w:bCs/>
          <w:color w:val="2A2A2A"/>
          <w:sz w:val="40"/>
          <w:szCs w:val="40"/>
          <w:lang w:val="es-MX"/>
        </w:rPr>
      </w:pPr>
    </w:p>
    <w:p w:rsidR="00EF1380" w:rsidRPr="001C1E37" w:rsidRDefault="00EF1380" w:rsidP="00EF1380">
      <w:pPr>
        <w:rPr>
          <w:rFonts w:ascii="Arial" w:hAnsi="Arial" w:cs="Arial"/>
          <w:b/>
          <w:bCs/>
          <w:color w:val="2A2A2A"/>
          <w:sz w:val="40"/>
          <w:szCs w:val="40"/>
          <w:lang w:val="es-MX"/>
        </w:rPr>
      </w:pPr>
    </w:p>
    <w:p w:rsidR="00EF1380" w:rsidRDefault="00EF1380" w:rsidP="00EF1380">
      <w:pPr>
        <w:rPr>
          <w:rFonts w:ascii="Arial" w:hAnsi="Arial" w:cs="Arial"/>
          <w:b/>
          <w:bCs/>
          <w:color w:val="2A2A2A"/>
          <w:sz w:val="40"/>
          <w:szCs w:val="40"/>
        </w:rPr>
      </w:pPr>
      <w:r>
        <w:rPr>
          <w:rFonts w:ascii="Arial" w:hAnsi="Arial" w:cs="Arial"/>
          <w:b/>
          <w:bCs/>
          <w:color w:val="2A2A2A"/>
          <w:sz w:val="40"/>
          <w:szCs w:val="40"/>
        </w:rPr>
        <w:t>MPhil</w:t>
      </w:r>
      <w:r>
        <w:rPr>
          <w:rFonts w:ascii="Arial" w:hAnsi="Arial" w:cs="Arial"/>
          <w:b/>
          <w:bCs/>
          <w:color w:val="2A2A2A"/>
          <w:sz w:val="40"/>
          <w:szCs w:val="40"/>
        </w:rPr>
        <w:tab/>
      </w:r>
      <w:r>
        <w:rPr>
          <w:rFonts w:ascii="Arial" w:hAnsi="Arial" w:cs="Arial"/>
          <w:b/>
          <w:bCs/>
          <w:color w:val="2A2A2A"/>
          <w:sz w:val="40"/>
          <w:szCs w:val="40"/>
        </w:rPr>
        <w:tab/>
      </w:r>
      <w:r>
        <w:rPr>
          <w:rFonts w:ascii="Arial" w:hAnsi="Arial" w:cs="Arial"/>
          <w:b/>
          <w:bCs/>
          <w:color w:val="2A2A2A"/>
          <w:sz w:val="40"/>
          <w:szCs w:val="40"/>
        </w:rPr>
        <w:tab/>
      </w:r>
      <w:r>
        <w:rPr>
          <w:rFonts w:ascii="Arial" w:hAnsi="Arial" w:cs="Arial"/>
          <w:b/>
          <w:bCs/>
          <w:color w:val="2A2A2A"/>
          <w:sz w:val="40"/>
          <w:szCs w:val="40"/>
        </w:rPr>
        <w:tab/>
      </w:r>
      <w:r>
        <w:rPr>
          <w:rFonts w:ascii="Arial" w:hAnsi="Arial" w:cs="Arial"/>
          <w:b/>
          <w:bCs/>
          <w:color w:val="2A2A2A"/>
          <w:sz w:val="40"/>
          <w:szCs w:val="40"/>
        </w:rPr>
        <w:tab/>
      </w:r>
      <w:r>
        <w:rPr>
          <w:rFonts w:ascii="Arial" w:hAnsi="Arial" w:cs="Arial"/>
          <w:b/>
          <w:bCs/>
          <w:color w:val="2A2A2A"/>
          <w:sz w:val="40"/>
          <w:szCs w:val="40"/>
        </w:rPr>
        <w:tab/>
        <w:t>October 2014</w:t>
      </w:r>
    </w:p>
    <w:p w:rsidR="00EF1380" w:rsidRDefault="00EF1380" w:rsidP="00EF1380">
      <w:pPr>
        <w:rPr>
          <w:rFonts w:ascii="Arial" w:hAnsi="Arial" w:cs="Arial"/>
          <w:b/>
          <w:bCs/>
          <w:color w:val="2A2A2A"/>
          <w:sz w:val="40"/>
          <w:szCs w:val="40"/>
        </w:rPr>
      </w:pPr>
    </w:p>
    <w:p w:rsidR="00EF1380" w:rsidRPr="00B311F0" w:rsidRDefault="00EF1380" w:rsidP="00EF1380">
      <w:pPr>
        <w:rPr>
          <w:rFonts w:ascii="Arial" w:hAnsi="Arial" w:cs="Arial"/>
          <w:b/>
          <w:bCs/>
          <w:color w:val="2A2A2A"/>
          <w:sz w:val="48"/>
          <w:szCs w:val="40"/>
        </w:rPr>
      </w:pPr>
      <w:r>
        <w:rPr>
          <w:rFonts w:ascii="Arial" w:hAnsi="Arial" w:cs="Arial"/>
          <w:b/>
          <w:bCs/>
          <w:color w:val="2A2A2A"/>
          <w:sz w:val="48"/>
          <w:szCs w:val="40"/>
        </w:rPr>
        <w:t>University of Sheffield</w:t>
      </w:r>
      <w:r>
        <w:rPr>
          <w:rFonts w:ascii="Arial" w:hAnsi="Arial" w:cs="Arial"/>
          <w:b/>
          <w:bCs/>
          <w:color w:val="2A2A2A"/>
          <w:sz w:val="48"/>
          <w:szCs w:val="40"/>
        </w:rPr>
        <w:tab/>
        <w:t xml:space="preserve"> </w:t>
      </w:r>
      <w:r>
        <w:rPr>
          <w:rFonts w:ascii="Arial" w:hAnsi="Arial" w:cs="Arial"/>
          <w:b/>
          <w:bCs/>
          <w:noProof/>
          <w:color w:val="2A2A2A"/>
          <w:sz w:val="48"/>
          <w:szCs w:val="40"/>
        </w:rPr>
        <w:drawing>
          <wp:inline distT="0" distB="0" distL="0" distR="0" wp14:anchorId="48508998" wp14:editId="54BB563F">
            <wp:extent cx="1360800"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Sheffield_coat_of_arm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800" cy="1620000"/>
                    </a:xfrm>
                    <a:prstGeom prst="rect">
                      <a:avLst/>
                    </a:prstGeom>
                  </pic:spPr>
                </pic:pic>
              </a:graphicData>
            </a:graphic>
          </wp:inline>
        </w:drawing>
      </w:r>
    </w:p>
    <w:p w:rsidR="009B400B" w:rsidRDefault="00EF1380" w:rsidP="00EF1380">
      <w:pPr>
        <w:rPr>
          <w:rFonts w:ascii="Arial" w:hAnsi="Arial" w:cs="Arial"/>
          <w:b/>
          <w:bCs/>
          <w:color w:val="2A2A2A"/>
          <w:sz w:val="40"/>
          <w:szCs w:val="40"/>
        </w:rPr>
        <w:sectPr w:rsidR="009B400B" w:rsidSect="009B400B">
          <w:headerReference w:type="default" r:id="rId10"/>
          <w:pgSz w:w="12240" w:h="15840"/>
          <w:pgMar w:top="1418" w:right="1134" w:bottom="1418" w:left="2268" w:header="709" w:footer="709" w:gutter="0"/>
          <w:cols w:space="708"/>
          <w:docGrid w:linePitch="360"/>
        </w:sectPr>
      </w:pPr>
      <w:r>
        <w:rPr>
          <w:rFonts w:ascii="Arial" w:hAnsi="Arial" w:cs="Arial"/>
          <w:b/>
          <w:bCs/>
          <w:color w:val="2A2A2A"/>
          <w:sz w:val="40"/>
          <w:szCs w:val="40"/>
        </w:rPr>
        <w:br w:type="page"/>
      </w:r>
    </w:p>
    <w:p w:rsidR="00EF1380" w:rsidRDefault="00EF1380" w:rsidP="00EF1380">
      <w:pPr>
        <w:rPr>
          <w:rFonts w:ascii="Arial" w:hAnsi="Arial" w:cs="Arial"/>
          <w:b/>
          <w:bCs/>
          <w:color w:val="2A2A2A"/>
          <w:sz w:val="40"/>
          <w:szCs w:val="40"/>
        </w:rPr>
      </w:pPr>
    </w:p>
    <w:p w:rsidR="00EF1380" w:rsidRPr="000E03D2" w:rsidRDefault="00EF1380" w:rsidP="00EF1380">
      <w:pPr>
        <w:pStyle w:val="Default"/>
        <w:jc w:val="center"/>
        <w:rPr>
          <w:rFonts w:ascii="Arial" w:hAnsi="Arial" w:cs="Arial"/>
          <w:b/>
          <w:bCs/>
          <w:color w:val="2A2A2A"/>
          <w:sz w:val="44"/>
          <w:szCs w:val="44"/>
          <w:lang w:val="en-US"/>
        </w:rPr>
      </w:pPr>
      <w:r w:rsidRPr="000E03D2">
        <w:rPr>
          <w:rFonts w:ascii="Arial" w:hAnsi="Arial" w:cs="Arial"/>
          <w:b/>
          <w:bCs/>
          <w:color w:val="2A2A2A"/>
          <w:sz w:val="44"/>
          <w:szCs w:val="44"/>
          <w:lang w:val="en-US"/>
        </w:rPr>
        <w:t>Modellin</w:t>
      </w:r>
      <w:r w:rsidR="00407D85">
        <w:rPr>
          <w:rFonts w:ascii="Arial" w:hAnsi="Arial" w:cs="Arial"/>
          <w:b/>
          <w:bCs/>
          <w:color w:val="2A2A2A"/>
          <w:sz w:val="44"/>
          <w:szCs w:val="44"/>
          <w:lang w:val="en-US"/>
        </w:rPr>
        <w:t>g of metabolic control by Short</w:t>
      </w:r>
      <w:r w:rsidR="00ED44D4">
        <w:rPr>
          <w:rFonts w:ascii="Arial" w:hAnsi="Arial" w:cs="Arial"/>
          <w:b/>
          <w:bCs/>
          <w:color w:val="2A2A2A"/>
          <w:sz w:val="44"/>
          <w:szCs w:val="44"/>
          <w:lang w:val="en-US"/>
        </w:rPr>
        <w:t xml:space="preserve"> C</w:t>
      </w:r>
      <w:r w:rsidRPr="000E03D2">
        <w:rPr>
          <w:rFonts w:ascii="Arial" w:hAnsi="Arial" w:cs="Arial"/>
          <w:b/>
          <w:bCs/>
          <w:color w:val="2A2A2A"/>
          <w:sz w:val="44"/>
          <w:szCs w:val="44"/>
          <w:lang w:val="en-US"/>
        </w:rPr>
        <w:t xml:space="preserve">hain </w:t>
      </w:r>
      <w:r w:rsidR="00ED44D4">
        <w:rPr>
          <w:rFonts w:ascii="Arial" w:hAnsi="Arial" w:cs="Arial"/>
          <w:b/>
          <w:bCs/>
          <w:color w:val="2A2A2A"/>
          <w:sz w:val="44"/>
          <w:szCs w:val="44"/>
          <w:lang w:val="en-US"/>
        </w:rPr>
        <w:t>F</w:t>
      </w:r>
      <w:r w:rsidRPr="000E03D2">
        <w:rPr>
          <w:rFonts w:ascii="Arial" w:hAnsi="Arial" w:cs="Arial"/>
          <w:b/>
          <w:bCs/>
          <w:color w:val="2A2A2A"/>
          <w:sz w:val="44"/>
          <w:szCs w:val="44"/>
          <w:lang w:val="en-US"/>
        </w:rPr>
        <w:t xml:space="preserve">atty </w:t>
      </w:r>
      <w:r w:rsidR="00ED44D4">
        <w:rPr>
          <w:rFonts w:ascii="Arial" w:hAnsi="Arial" w:cs="Arial"/>
          <w:b/>
          <w:bCs/>
          <w:color w:val="2A2A2A"/>
          <w:sz w:val="44"/>
          <w:szCs w:val="44"/>
          <w:lang w:val="en-US"/>
        </w:rPr>
        <w:t>A</w:t>
      </w:r>
      <w:r w:rsidRPr="000E03D2">
        <w:rPr>
          <w:rFonts w:ascii="Arial" w:hAnsi="Arial" w:cs="Arial"/>
          <w:b/>
          <w:bCs/>
          <w:color w:val="2A2A2A"/>
          <w:sz w:val="44"/>
          <w:szCs w:val="44"/>
          <w:lang w:val="en-US"/>
        </w:rPr>
        <w:t>cids at the level of the functional proteome</w:t>
      </w:r>
    </w:p>
    <w:p w:rsidR="00EF1380" w:rsidRPr="00A50DC6" w:rsidRDefault="00EF1380" w:rsidP="00EF1380">
      <w:pPr>
        <w:rPr>
          <w:rFonts w:ascii="Arial" w:hAnsi="Arial" w:cs="Arial"/>
          <w:b/>
          <w:bCs/>
          <w:color w:val="2A2A2A"/>
          <w:sz w:val="24"/>
          <w:szCs w:val="24"/>
          <w:lang w:val="en-US"/>
        </w:rPr>
      </w:pPr>
    </w:p>
    <w:p w:rsidR="00EF1380" w:rsidRDefault="00EF1380" w:rsidP="00EF1380">
      <w:pPr>
        <w:rPr>
          <w:rFonts w:ascii="Arial" w:hAnsi="Arial" w:cs="Arial"/>
          <w:b/>
          <w:bCs/>
          <w:color w:val="2A2A2A"/>
          <w:sz w:val="24"/>
          <w:szCs w:val="24"/>
        </w:rPr>
      </w:pPr>
    </w:p>
    <w:p w:rsidR="00EF1380" w:rsidRPr="005E7166" w:rsidRDefault="00EF1380" w:rsidP="00EF1380">
      <w:pPr>
        <w:rPr>
          <w:rFonts w:ascii="Arial" w:hAnsi="Arial" w:cs="Arial"/>
          <w:b/>
          <w:bCs/>
          <w:color w:val="2A2A2A"/>
          <w:sz w:val="24"/>
          <w:szCs w:val="24"/>
        </w:rPr>
      </w:pPr>
    </w:p>
    <w:p w:rsidR="00EF1380" w:rsidRPr="00086418" w:rsidRDefault="00EF1380" w:rsidP="00EF1380">
      <w:pPr>
        <w:jc w:val="center"/>
        <w:rPr>
          <w:rFonts w:ascii="Arial" w:hAnsi="Arial" w:cs="Arial"/>
          <w:b/>
          <w:bCs/>
          <w:color w:val="2A2A2A"/>
          <w:sz w:val="28"/>
          <w:szCs w:val="24"/>
        </w:rPr>
      </w:pPr>
      <w:r w:rsidRPr="00086418">
        <w:rPr>
          <w:rFonts w:ascii="Arial" w:hAnsi="Arial" w:cs="Arial"/>
          <w:b/>
          <w:bCs/>
          <w:color w:val="2A2A2A"/>
          <w:sz w:val="28"/>
          <w:szCs w:val="24"/>
        </w:rPr>
        <w:t>León Eduardo Sánchez-Mejorada Zúñiga</w:t>
      </w:r>
    </w:p>
    <w:p w:rsidR="00EF1380" w:rsidRDefault="00EF1380" w:rsidP="00EF1380">
      <w:pPr>
        <w:autoSpaceDE w:val="0"/>
        <w:autoSpaceDN w:val="0"/>
        <w:adjustRightInd w:val="0"/>
        <w:spacing w:after="0" w:line="240" w:lineRule="auto"/>
        <w:rPr>
          <w:rFonts w:ascii="Calibri" w:eastAsiaTheme="minorHAnsi" w:hAnsi="Calibri" w:cs="Calibri"/>
          <w:color w:val="000000"/>
          <w:sz w:val="24"/>
          <w:szCs w:val="24"/>
          <w:lang w:eastAsia="en-US"/>
        </w:rPr>
      </w:pPr>
    </w:p>
    <w:p w:rsidR="00EF1380" w:rsidRDefault="00EF1380" w:rsidP="00EF1380">
      <w:pPr>
        <w:autoSpaceDE w:val="0"/>
        <w:autoSpaceDN w:val="0"/>
        <w:adjustRightInd w:val="0"/>
        <w:spacing w:after="0" w:line="240" w:lineRule="auto"/>
        <w:rPr>
          <w:rFonts w:ascii="Calibri" w:eastAsiaTheme="minorHAnsi" w:hAnsi="Calibri" w:cs="Calibri"/>
          <w:color w:val="000000"/>
          <w:sz w:val="24"/>
          <w:szCs w:val="24"/>
          <w:lang w:eastAsia="en-US"/>
        </w:rPr>
      </w:pPr>
    </w:p>
    <w:p w:rsidR="00EF1380" w:rsidRDefault="00EF1380" w:rsidP="00EF1380">
      <w:pPr>
        <w:autoSpaceDE w:val="0"/>
        <w:autoSpaceDN w:val="0"/>
        <w:adjustRightInd w:val="0"/>
        <w:spacing w:after="0" w:line="240" w:lineRule="auto"/>
        <w:rPr>
          <w:rFonts w:ascii="Calibri" w:eastAsiaTheme="minorHAnsi" w:hAnsi="Calibri" w:cs="Calibri"/>
          <w:color w:val="000000"/>
          <w:sz w:val="24"/>
          <w:szCs w:val="24"/>
          <w:lang w:eastAsia="en-US"/>
        </w:rPr>
      </w:pPr>
    </w:p>
    <w:p w:rsidR="00EF1380" w:rsidRPr="000E4E36" w:rsidRDefault="00EF1380" w:rsidP="00EF1380">
      <w:pPr>
        <w:autoSpaceDE w:val="0"/>
        <w:autoSpaceDN w:val="0"/>
        <w:adjustRightInd w:val="0"/>
        <w:spacing w:after="0" w:line="240" w:lineRule="auto"/>
        <w:rPr>
          <w:rFonts w:ascii="Calibri" w:eastAsiaTheme="minorHAnsi" w:hAnsi="Calibri" w:cs="Calibri"/>
          <w:color w:val="000000"/>
          <w:sz w:val="24"/>
          <w:szCs w:val="24"/>
          <w:lang w:eastAsia="en-US"/>
        </w:rPr>
      </w:pPr>
    </w:p>
    <w:p w:rsidR="00EF1380" w:rsidRDefault="00EF1380" w:rsidP="00EF1380">
      <w:pPr>
        <w:jc w:val="center"/>
        <w:rPr>
          <w:rFonts w:ascii="Arial" w:eastAsiaTheme="minorHAnsi" w:hAnsi="Arial" w:cs="Arial"/>
          <w:b/>
          <w:bCs/>
          <w:color w:val="000000"/>
          <w:sz w:val="32"/>
          <w:szCs w:val="23"/>
          <w:lang w:eastAsia="en-US"/>
        </w:rPr>
      </w:pPr>
      <w:r w:rsidRPr="000E4E36">
        <w:rPr>
          <w:rFonts w:ascii="Arial" w:eastAsiaTheme="minorHAnsi" w:hAnsi="Arial" w:cs="Arial"/>
          <w:color w:val="000000"/>
          <w:sz w:val="36"/>
          <w:szCs w:val="24"/>
          <w:lang w:eastAsia="en-US"/>
        </w:rPr>
        <w:t xml:space="preserve"> </w:t>
      </w:r>
      <w:r w:rsidRPr="000E4E36">
        <w:rPr>
          <w:rFonts w:ascii="Arial" w:eastAsiaTheme="minorHAnsi" w:hAnsi="Arial" w:cs="Arial"/>
          <w:b/>
          <w:bCs/>
          <w:color w:val="000000"/>
          <w:sz w:val="32"/>
          <w:szCs w:val="23"/>
          <w:lang w:eastAsia="en-US"/>
        </w:rPr>
        <w:t xml:space="preserve">Submitted </w:t>
      </w:r>
      <w:r>
        <w:rPr>
          <w:rFonts w:ascii="Arial" w:eastAsiaTheme="minorHAnsi" w:hAnsi="Arial" w:cs="Arial"/>
          <w:b/>
          <w:bCs/>
          <w:color w:val="000000"/>
          <w:sz w:val="32"/>
          <w:szCs w:val="23"/>
          <w:lang w:eastAsia="en-US"/>
        </w:rPr>
        <w:t>to the University of Sheffield in con</w:t>
      </w:r>
      <w:r w:rsidRPr="000E4E36">
        <w:rPr>
          <w:rFonts w:ascii="Arial" w:eastAsiaTheme="minorHAnsi" w:hAnsi="Arial" w:cs="Arial"/>
          <w:b/>
          <w:bCs/>
          <w:color w:val="000000"/>
          <w:sz w:val="32"/>
          <w:szCs w:val="23"/>
          <w:lang w:eastAsia="en-US"/>
        </w:rPr>
        <w:t>for</w:t>
      </w:r>
      <w:r>
        <w:rPr>
          <w:rFonts w:ascii="Arial" w:eastAsiaTheme="minorHAnsi" w:hAnsi="Arial" w:cs="Arial"/>
          <w:b/>
          <w:bCs/>
          <w:color w:val="000000"/>
          <w:sz w:val="32"/>
          <w:szCs w:val="23"/>
          <w:lang w:eastAsia="en-US"/>
        </w:rPr>
        <w:t xml:space="preserve">mity with the requirements for the degree of </w:t>
      </w:r>
      <w:r w:rsidRPr="000E4E36">
        <w:rPr>
          <w:rFonts w:ascii="Arial" w:eastAsiaTheme="minorHAnsi" w:hAnsi="Arial" w:cs="Arial"/>
          <w:b/>
          <w:bCs/>
          <w:color w:val="000000"/>
          <w:sz w:val="32"/>
          <w:szCs w:val="23"/>
          <w:lang w:eastAsia="en-US"/>
        </w:rPr>
        <w:t xml:space="preserve">Master of Philosophy </w:t>
      </w:r>
      <w:r>
        <w:rPr>
          <w:rFonts w:ascii="Arial" w:eastAsiaTheme="minorHAnsi" w:hAnsi="Arial" w:cs="Arial"/>
          <w:b/>
          <w:bCs/>
          <w:color w:val="000000"/>
          <w:sz w:val="32"/>
          <w:szCs w:val="23"/>
          <w:lang w:eastAsia="en-US"/>
        </w:rPr>
        <w:t>(MPhil)</w:t>
      </w:r>
    </w:p>
    <w:p w:rsidR="00EF1380" w:rsidRDefault="00EF1380" w:rsidP="00EF1380">
      <w:pPr>
        <w:jc w:val="center"/>
        <w:rPr>
          <w:rFonts w:ascii="Arial" w:eastAsiaTheme="minorHAnsi" w:hAnsi="Arial" w:cs="Arial"/>
          <w:b/>
          <w:bCs/>
          <w:color w:val="000000"/>
          <w:sz w:val="32"/>
          <w:szCs w:val="23"/>
          <w:lang w:eastAsia="en-US"/>
        </w:rPr>
      </w:pPr>
    </w:p>
    <w:p w:rsidR="00EF1380" w:rsidRDefault="00EF1380" w:rsidP="00EF1380">
      <w:pPr>
        <w:jc w:val="center"/>
        <w:rPr>
          <w:rFonts w:ascii="Arial" w:eastAsiaTheme="minorHAnsi" w:hAnsi="Arial" w:cs="Arial"/>
          <w:b/>
          <w:bCs/>
          <w:color w:val="000000"/>
          <w:sz w:val="32"/>
          <w:szCs w:val="23"/>
          <w:lang w:eastAsia="en-US"/>
        </w:rPr>
      </w:pPr>
    </w:p>
    <w:p w:rsidR="00EF1380" w:rsidRPr="001A03C2" w:rsidRDefault="00EF1380" w:rsidP="00EF1380">
      <w:pPr>
        <w:jc w:val="center"/>
        <w:rPr>
          <w:b/>
          <w:bCs/>
          <w:sz w:val="36"/>
          <w:szCs w:val="36"/>
        </w:rPr>
      </w:pPr>
      <w:r w:rsidRPr="001A03C2">
        <w:rPr>
          <w:b/>
          <w:bCs/>
          <w:sz w:val="36"/>
          <w:szCs w:val="36"/>
        </w:rPr>
        <w:t>Molecular Gastroenterology Research Group</w:t>
      </w:r>
    </w:p>
    <w:p w:rsidR="00EF1380" w:rsidRDefault="00EF1380" w:rsidP="00EF1380">
      <w:pPr>
        <w:jc w:val="center"/>
        <w:rPr>
          <w:sz w:val="36"/>
          <w:szCs w:val="36"/>
        </w:rPr>
      </w:pPr>
      <w:r>
        <w:rPr>
          <w:sz w:val="36"/>
          <w:szCs w:val="36"/>
        </w:rPr>
        <w:t>Academic Unit of Surgical Oncology</w:t>
      </w:r>
    </w:p>
    <w:p w:rsidR="00EF1380" w:rsidRDefault="00EF1380" w:rsidP="00EF1380">
      <w:pPr>
        <w:jc w:val="center"/>
        <w:rPr>
          <w:sz w:val="36"/>
          <w:szCs w:val="36"/>
        </w:rPr>
      </w:pPr>
      <w:r w:rsidRPr="00F41818">
        <w:rPr>
          <w:sz w:val="36"/>
          <w:szCs w:val="36"/>
        </w:rPr>
        <w:t>Department of Oncology</w:t>
      </w:r>
      <w:r w:rsidRPr="00F41818">
        <w:rPr>
          <w:sz w:val="36"/>
          <w:szCs w:val="36"/>
        </w:rPr>
        <w:br/>
      </w:r>
      <w:proofErr w:type="gramStart"/>
      <w:r w:rsidRPr="00F41818">
        <w:rPr>
          <w:sz w:val="36"/>
          <w:szCs w:val="36"/>
        </w:rPr>
        <w:t>The</w:t>
      </w:r>
      <w:proofErr w:type="gramEnd"/>
      <w:r w:rsidRPr="00F41818">
        <w:rPr>
          <w:sz w:val="36"/>
          <w:szCs w:val="36"/>
        </w:rPr>
        <w:t xml:space="preserve"> Medical School</w:t>
      </w:r>
    </w:p>
    <w:p w:rsidR="00EF1380" w:rsidRDefault="00EF1380" w:rsidP="00EF1380">
      <w:pPr>
        <w:jc w:val="center"/>
        <w:rPr>
          <w:sz w:val="32"/>
          <w:szCs w:val="32"/>
        </w:rPr>
      </w:pPr>
      <w:r w:rsidRPr="00F41818">
        <w:br/>
      </w:r>
      <w:r w:rsidRPr="00F41818">
        <w:rPr>
          <w:sz w:val="32"/>
          <w:szCs w:val="32"/>
        </w:rPr>
        <w:t>Beech Hill Road, Sheffield, S10 2RX</w:t>
      </w:r>
    </w:p>
    <w:p w:rsidR="00EF1380" w:rsidRDefault="00EF1380" w:rsidP="00EF1380">
      <w:pPr>
        <w:pStyle w:val="Default"/>
        <w:jc w:val="center"/>
        <w:rPr>
          <w:rFonts w:ascii="Arial" w:hAnsi="Arial" w:cs="Arial"/>
          <w:b/>
          <w:bCs/>
          <w:color w:val="2A2A2A"/>
          <w:lang w:val="en-GB"/>
        </w:rPr>
      </w:pPr>
    </w:p>
    <w:p w:rsidR="00EF1380" w:rsidRPr="000E4E36" w:rsidRDefault="00EF1380" w:rsidP="00EF1380">
      <w:pPr>
        <w:rPr>
          <w:rFonts w:ascii="Arial" w:hAnsi="Arial" w:cs="Arial"/>
          <w:b/>
          <w:bCs/>
          <w:color w:val="2A2A2A"/>
          <w:sz w:val="24"/>
          <w:szCs w:val="24"/>
        </w:rPr>
      </w:pPr>
    </w:p>
    <w:p w:rsidR="00EF1380" w:rsidRPr="00086418" w:rsidRDefault="00EF1380" w:rsidP="00EF1380">
      <w:pPr>
        <w:jc w:val="center"/>
        <w:rPr>
          <w:rFonts w:ascii="Arial" w:hAnsi="Arial" w:cs="Arial"/>
          <w:b/>
          <w:bCs/>
          <w:color w:val="2A2A2A"/>
          <w:sz w:val="24"/>
          <w:szCs w:val="24"/>
        </w:rPr>
      </w:pPr>
      <w:r w:rsidRPr="00086418">
        <w:rPr>
          <w:rFonts w:ascii="Arial" w:hAnsi="Arial" w:cs="Arial"/>
          <w:b/>
          <w:bCs/>
          <w:color w:val="2A2A2A"/>
          <w:sz w:val="24"/>
          <w:szCs w:val="24"/>
        </w:rPr>
        <w:t>OCTOBER 2014</w:t>
      </w:r>
    </w:p>
    <w:p w:rsidR="00EF1380" w:rsidRPr="00086418" w:rsidRDefault="00EF1380" w:rsidP="009B400B">
      <w:pPr>
        <w:spacing w:after="160" w:line="259" w:lineRule="auto"/>
        <w:rPr>
          <w:rFonts w:ascii="Arial" w:hAnsi="Arial" w:cs="Arial"/>
          <w:b/>
          <w:sz w:val="28"/>
          <w:szCs w:val="28"/>
        </w:rPr>
      </w:pPr>
      <w:r w:rsidRPr="00086418">
        <w:br w:type="page"/>
      </w:r>
      <w:r w:rsidRPr="00086418">
        <w:rPr>
          <w:rFonts w:ascii="Arial" w:hAnsi="Arial" w:cs="Arial"/>
          <w:b/>
          <w:sz w:val="28"/>
          <w:szCs w:val="28"/>
        </w:rPr>
        <w:lastRenderedPageBreak/>
        <w:t>ACKNOWLEDGEMENTS</w:t>
      </w:r>
    </w:p>
    <w:p w:rsidR="00EF1380" w:rsidRPr="00086418" w:rsidRDefault="00EF1380" w:rsidP="00EF1380"/>
    <w:p w:rsidR="00EF1380" w:rsidRDefault="00EF1380" w:rsidP="00EF1380">
      <w:pPr>
        <w:rPr>
          <w:rFonts w:ascii="Arial" w:hAnsi="Arial" w:cs="Arial"/>
          <w:sz w:val="24"/>
          <w:szCs w:val="24"/>
        </w:rPr>
      </w:pPr>
      <w:r w:rsidRPr="00467F3E">
        <w:rPr>
          <w:rFonts w:ascii="Arial" w:hAnsi="Arial" w:cs="Arial"/>
          <w:sz w:val="24"/>
          <w:szCs w:val="24"/>
        </w:rPr>
        <w:t xml:space="preserve">I </w:t>
      </w:r>
      <w:r>
        <w:rPr>
          <w:rFonts w:ascii="Arial" w:hAnsi="Arial" w:cs="Arial"/>
          <w:sz w:val="24"/>
          <w:szCs w:val="24"/>
        </w:rPr>
        <w:t xml:space="preserve">would like to acknowledge and extend my gratitude to: </w:t>
      </w:r>
    </w:p>
    <w:p w:rsidR="00EF1380" w:rsidRDefault="00EF1380" w:rsidP="00EF1380">
      <w:pPr>
        <w:rPr>
          <w:rFonts w:ascii="Arial" w:hAnsi="Arial" w:cs="Arial"/>
          <w:sz w:val="24"/>
          <w:szCs w:val="24"/>
        </w:rPr>
      </w:pPr>
    </w:p>
    <w:p w:rsidR="00EF1380" w:rsidRDefault="00EF1380" w:rsidP="00EF1380">
      <w:pPr>
        <w:jc w:val="both"/>
        <w:rPr>
          <w:rFonts w:ascii="Arial" w:hAnsi="Arial" w:cs="Arial"/>
          <w:sz w:val="24"/>
          <w:szCs w:val="24"/>
        </w:rPr>
      </w:pPr>
      <w:proofErr w:type="gramStart"/>
      <w:r>
        <w:rPr>
          <w:rFonts w:ascii="Arial" w:hAnsi="Arial" w:cs="Arial"/>
          <w:sz w:val="24"/>
          <w:szCs w:val="24"/>
        </w:rPr>
        <w:t>My family in Mexico.</w:t>
      </w:r>
      <w:proofErr w:type="gramEnd"/>
      <w:r>
        <w:rPr>
          <w:rFonts w:ascii="Arial" w:hAnsi="Arial" w:cs="Arial"/>
          <w:sz w:val="24"/>
          <w:szCs w:val="24"/>
        </w:rPr>
        <w:t xml:space="preserve"> Thank you very much for your unconditional support and help every time I needed it. I know that is very difficult to be far away from home and not be in touch as often as we should or we would like to. Even you are miles away I fell your warmth and love every second. </w:t>
      </w:r>
    </w:p>
    <w:p w:rsidR="00EF1380" w:rsidRDefault="00EF1380" w:rsidP="00EF1380">
      <w:pPr>
        <w:rPr>
          <w:rFonts w:ascii="Arial" w:hAnsi="Arial" w:cs="Arial"/>
          <w:sz w:val="24"/>
          <w:szCs w:val="24"/>
        </w:rPr>
      </w:pPr>
      <w:r>
        <w:rPr>
          <w:rFonts w:ascii="Arial" w:hAnsi="Arial" w:cs="Arial"/>
          <w:sz w:val="24"/>
          <w:szCs w:val="24"/>
        </w:rPr>
        <w:t>Thank you very much indeed. I love you Mooomi, Cuchis and Yoyis.</w:t>
      </w:r>
    </w:p>
    <w:p w:rsidR="00EF1380" w:rsidRDefault="00EF1380" w:rsidP="00EF1380">
      <w:pPr>
        <w:rPr>
          <w:rFonts w:ascii="Arial" w:hAnsi="Arial" w:cs="Arial"/>
          <w:sz w:val="24"/>
          <w:szCs w:val="24"/>
        </w:rPr>
      </w:pPr>
    </w:p>
    <w:p w:rsidR="00EF1380" w:rsidRDefault="00EF1380" w:rsidP="00EF1380">
      <w:pPr>
        <w:jc w:val="both"/>
        <w:rPr>
          <w:rFonts w:ascii="Arial" w:hAnsi="Arial" w:cs="Arial"/>
          <w:sz w:val="24"/>
          <w:szCs w:val="24"/>
        </w:rPr>
      </w:pPr>
      <w:proofErr w:type="gramStart"/>
      <w:r>
        <w:rPr>
          <w:rFonts w:ascii="Arial" w:hAnsi="Arial" w:cs="Arial"/>
          <w:sz w:val="24"/>
          <w:szCs w:val="24"/>
        </w:rPr>
        <w:t>My family in Sheffield.</w:t>
      </w:r>
      <w:proofErr w:type="gramEnd"/>
      <w:r>
        <w:rPr>
          <w:rFonts w:ascii="Arial" w:hAnsi="Arial" w:cs="Arial"/>
          <w:sz w:val="24"/>
          <w:szCs w:val="24"/>
        </w:rPr>
        <w:t xml:space="preserve"> Thank you guys, you made my life here much easier. I would not have been able to do this without you all. </w:t>
      </w:r>
    </w:p>
    <w:p w:rsidR="00EF1380" w:rsidRDefault="00EF1380" w:rsidP="00EF1380">
      <w:pPr>
        <w:jc w:val="both"/>
        <w:rPr>
          <w:rFonts w:ascii="Arial" w:hAnsi="Arial" w:cs="Arial"/>
          <w:sz w:val="24"/>
          <w:szCs w:val="24"/>
        </w:rPr>
      </w:pPr>
      <w:r>
        <w:rPr>
          <w:rFonts w:ascii="Arial" w:hAnsi="Arial" w:cs="Arial"/>
          <w:sz w:val="24"/>
          <w:szCs w:val="24"/>
        </w:rPr>
        <w:t xml:space="preserve">I know some of you will be there for me no matter what, some of you have left; ones for good, others forever, and some might come back, some others might not come back never ever again to my life. </w:t>
      </w:r>
    </w:p>
    <w:p w:rsidR="00EF1380" w:rsidRDefault="00EF1380" w:rsidP="00EF1380">
      <w:pPr>
        <w:jc w:val="both"/>
        <w:rPr>
          <w:rFonts w:ascii="Arial" w:hAnsi="Arial" w:cs="Arial"/>
          <w:sz w:val="24"/>
          <w:szCs w:val="24"/>
        </w:rPr>
      </w:pPr>
      <w:r>
        <w:rPr>
          <w:rFonts w:ascii="Arial" w:hAnsi="Arial" w:cs="Arial"/>
          <w:sz w:val="24"/>
          <w:szCs w:val="24"/>
        </w:rPr>
        <w:t>The only thing I want to say is that I will remember and love every single one of you, my Sheffy people.</w:t>
      </w:r>
    </w:p>
    <w:p w:rsidR="00EF1380" w:rsidRDefault="00EF1380" w:rsidP="00EF1380">
      <w:r>
        <w:br w:type="page"/>
      </w:r>
    </w:p>
    <w:p w:rsidR="00EF1380" w:rsidRPr="006E0D5E" w:rsidRDefault="00EF1380" w:rsidP="00EF1380">
      <w:pPr>
        <w:spacing w:after="160" w:line="259" w:lineRule="auto"/>
        <w:rPr>
          <w:rFonts w:ascii="Arial" w:hAnsi="Arial" w:cs="Arial"/>
          <w:b/>
          <w:sz w:val="28"/>
          <w:szCs w:val="28"/>
        </w:rPr>
      </w:pPr>
      <w:r w:rsidRPr="006E0D5E">
        <w:rPr>
          <w:rFonts w:ascii="Arial" w:hAnsi="Arial" w:cs="Arial"/>
          <w:b/>
          <w:sz w:val="28"/>
          <w:szCs w:val="28"/>
        </w:rPr>
        <w:lastRenderedPageBreak/>
        <w:t>CONTENT</w:t>
      </w:r>
      <w:r>
        <w:rPr>
          <w:rFonts w:ascii="Arial" w:hAnsi="Arial" w:cs="Arial"/>
          <w:b/>
          <w:sz w:val="28"/>
          <w:szCs w:val="28"/>
        </w:rPr>
        <w:t>S</w:t>
      </w:r>
    </w:p>
    <w:sdt>
      <w:sdtPr>
        <w:rPr>
          <w:rFonts w:asciiTheme="minorHAnsi" w:eastAsiaTheme="minorEastAsia" w:hAnsiTheme="minorHAnsi" w:cstheme="minorBidi"/>
          <w:b w:val="0"/>
          <w:bCs w:val="0"/>
          <w:color w:val="auto"/>
          <w:sz w:val="24"/>
          <w:szCs w:val="24"/>
          <w:lang w:val="en-GB" w:eastAsia="zh-CN"/>
        </w:rPr>
        <w:id w:val="-1901968523"/>
        <w:docPartObj>
          <w:docPartGallery w:val="Table of Contents"/>
          <w:docPartUnique/>
        </w:docPartObj>
      </w:sdtPr>
      <w:sdtEndPr>
        <w:rPr>
          <w:noProof/>
          <w:sz w:val="16"/>
          <w:szCs w:val="16"/>
          <w:lang w:eastAsia="en-GB"/>
        </w:rPr>
      </w:sdtEndPr>
      <w:sdtContent>
        <w:p w:rsidR="00EF1380" w:rsidRPr="00956AB3" w:rsidRDefault="00EF1380" w:rsidP="00EF1380">
          <w:pPr>
            <w:pStyle w:val="TOCHeading"/>
            <w:rPr>
              <w:color w:val="auto"/>
              <w:sz w:val="24"/>
              <w:szCs w:val="24"/>
            </w:rPr>
          </w:pPr>
        </w:p>
        <w:p w:rsidR="004F12FE" w:rsidRPr="004F12FE" w:rsidRDefault="006C2756">
          <w:pPr>
            <w:pStyle w:val="TOC1"/>
            <w:tabs>
              <w:tab w:val="right" w:leader="dot" w:pos="8828"/>
            </w:tabs>
            <w:rPr>
              <w:noProof/>
              <w:sz w:val="16"/>
              <w:szCs w:val="16"/>
            </w:rPr>
          </w:pPr>
          <w:r w:rsidRPr="00956AB3">
            <w:rPr>
              <w:sz w:val="24"/>
              <w:szCs w:val="24"/>
            </w:rPr>
            <w:fldChar w:fldCharType="begin"/>
          </w:r>
          <w:r w:rsidR="00EF1380" w:rsidRPr="00956AB3">
            <w:rPr>
              <w:sz w:val="24"/>
              <w:szCs w:val="24"/>
            </w:rPr>
            <w:instrText xml:space="preserve"> TOC \o "1-3" \h \z \u </w:instrText>
          </w:r>
          <w:r w:rsidRPr="00956AB3">
            <w:rPr>
              <w:sz w:val="24"/>
              <w:szCs w:val="24"/>
            </w:rPr>
            <w:fldChar w:fldCharType="separate"/>
          </w:r>
          <w:hyperlink w:anchor="_Toc413753736" w:history="1">
            <w:r w:rsidR="004F12FE" w:rsidRPr="004F12FE">
              <w:rPr>
                <w:rStyle w:val="Hyperlink"/>
                <w:rFonts w:ascii="Arial" w:hAnsi="Arial" w:cs="Arial"/>
                <w:noProof/>
                <w:sz w:val="16"/>
                <w:szCs w:val="16"/>
              </w:rPr>
              <w:t>LIST OF FIGURES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_Toc413753736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5</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37" w:history="1">
            <w:r w:rsidR="004F12FE" w:rsidRPr="004F12FE">
              <w:rPr>
                <w:rStyle w:val="Hyperlink"/>
                <w:rFonts w:ascii="Arial" w:hAnsi="Arial" w:cs="Arial"/>
                <w:noProof/>
                <w:sz w:val="16"/>
                <w:szCs w:val="16"/>
              </w:rPr>
              <w:t>LIST OF TABLES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_Toc413753737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6</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38" w:history="1">
            <w:r w:rsidR="004F12FE" w:rsidRPr="004F12FE">
              <w:rPr>
                <w:rStyle w:val="Hyperlink"/>
                <w:rFonts w:ascii="Arial" w:eastAsiaTheme="majorEastAsia" w:hAnsi="Arial" w:cs="Arial"/>
                <w:noProof/>
                <w:sz w:val="16"/>
                <w:szCs w:val="16"/>
              </w:rPr>
              <w:t>ABSTRACT</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_Toc413753738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7</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39" w:history="1">
            <w:r w:rsidR="004F12FE" w:rsidRPr="004F12FE">
              <w:rPr>
                <w:rStyle w:val="Hyperlink"/>
                <w:rFonts w:ascii="Arial" w:hAnsi="Arial" w:cs="Arial"/>
                <w:noProof/>
                <w:sz w:val="16"/>
                <w:szCs w:val="16"/>
              </w:rPr>
              <w:t>INTRODUCTION</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_Toc413753739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8</w:t>
            </w:r>
            <w:r w:rsidR="004F12FE" w:rsidRPr="004F12FE">
              <w:rPr>
                <w:noProof/>
                <w:webHidden/>
                <w:sz w:val="16"/>
                <w:szCs w:val="16"/>
              </w:rPr>
              <w:fldChar w:fldCharType="end"/>
            </w:r>
          </w:hyperlink>
        </w:p>
        <w:p w:rsidR="004F12FE" w:rsidRPr="004F12FE" w:rsidRDefault="00221103">
          <w:pPr>
            <w:pStyle w:val="TOC1"/>
            <w:tabs>
              <w:tab w:val="left" w:pos="440"/>
              <w:tab w:val="right" w:leader="dot" w:pos="8828"/>
            </w:tabs>
            <w:rPr>
              <w:noProof/>
              <w:sz w:val="16"/>
              <w:szCs w:val="16"/>
            </w:rPr>
          </w:pPr>
          <w:hyperlink w:anchor="_Toc413753740" w:history="1">
            <w:r w:rsidR="004F12FE" w:rsidRPr="004F12FE">
              <w:rPr>
                <w:rStyle w:val="Hyperlink"/>
                <w:rFonts w:ascii="Arial" w:hAnsi="Arial" w:cs="Arial"/>
                <w:noProof/>
                <w:sz w:val="16"/>
                <w:szCs w:val="16"/>
                <w:lang w:val="en-US"/>
              </w:rPr>
              <w:t>I.Short chain fatty acids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_Toc413753740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9</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1" w:history="1">
            <w:r w:rsidR="004F12FE" w:rsidRPr="004F12FE">
              <w:rPr>
                <w:rStyle w:val="Hyperlink"/>
                <w:rFonts w:ascii="Arial" w:hAnsi="Arial" w:cs="Arial"/>
                <w:noProof/>
                <w:sz w:val="16"/>
                <w:szCs w:val="16"/>
                <w:lang w:val="en-US"/>
              </w:rPr>
              <w:t>I.1 Butyrate</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_Toc413753741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10</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2" w:history="1">
            <w:r w:rsidR="004F12FE" w:rsidRPr="004F12FE">
              <w:rPr>
                <w:rStyle w:val="Hyperlink"/>
                <w:rFonts w:ascii="Arial" w:hAnsi="Arial" w:cs="Arial"/>
                <w:noProof/>
                <w:sz w:val="16"/>
                <w:szCs w:val="16"/>
                <w:lang w:val="en-US"/>
              </w:rPr>
              <w:t>I.2 Propionate</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_Toc413753742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12</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3" w:history="1">
            <w:r w:rsidR="004F12FE" w:rsidRPr="004F12FE">
              <w:rPr>
                <w:rStyle w:val="Hyperlink"/>
                <w:rFonts w:ascii="Arial" w:hAnsi="Arial" w:cs="Arial"/>
                <w:noProof/>
                <w:sz w:val="16"/>
                <w:szCs w:val="16"/>
                <w:lang w:val="en-US"/>
              </w:rPr>
              <w:t>I.3 Acetate</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_Toc413753743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13</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4" w:history="1">
            <w:r w:rsidR="004F12FE" w:rsidRPr="004F12FE">
              <w:rPr>
                <w:rStyle w:val="Hyperlink"/>
                <w:rFonts w:ascii="Arial" w:hAnsi="Arial" w:cs="Arial"/>
                <w:noProof/>
                <w:sz w:val="16"/>
                <w:szCs w:val="16"/>
              </w:rPr>
              <w:t>I.4 Other SCFAs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_Toc413753744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13</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5" w:history="1">
            <w:r w:rsidR="004F12FE" w:rsidRPr="004F12FE">
              <w:rPr>
                <w:rStyle w:val="Hyperlink"/>
                <w:rFonts w:ascii="Arial" w:hAnsi="Arial" w:cs="Arial"/>
                <w:noProof/>
                <w:sz w:val="16"/>
                <w:szCs w:val="16"/>
              </w:rPr>
              <w:t>II. Metabolic outcomes of the alteration in the acetylation patterns of metabolic enzymes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_Toc413753745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15</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6" w:history="1">
            <w:r w:rsidR="004F12FE" w:rsidRPr="004F12FE">
              <w:rPr>
                <w:rStyle w:val="Hyperlink"/>
                <w:rFonts w:ascii="Arial" w:hAnsi="Arial" w:cs="Arial"/>
                <w:noProof/>
                <w:sz w:val="16"/>
                <w:szCs w:val="16"/>
                <w:lang w:val="en-US"/>
              </w:rPr>
              <w:t>II.1 Implications of lysine residue acetylation in metabolic enzyme function</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_Toc413753746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15</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7" w:history="1">
            <w:r w:rsidR="004F12FE" w:rsidRPr="004F12FE">
              <w:rPr>
                <w:rStyle w:val="Hyperlink"/>
                <w:rFonts w:ascii="Arial" w:hAnsi="Arial" w:cs="Arial"/>
                <w:noProof/>
                <w:sz w:val="16"/>
                <w:szCs w:val="16"/>
                <w:lang w:val="en-US"/>
              </w:rPr>
              <w:t>II.1.i Glycolysis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_Toc413753747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15</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8" w:history="1">
            <w:r w:rsidR="004F12FE" w:rsidRPr="004F12FE">
              <w:rPr>
                <w:rStyle w:val="Hyperlink"/>
                <w:rFonts w:ascii="Arial" w:hAnsi="Arial" w:cs="Arial"/>
                <w:noProof/>
                <w:sz w:val="16"/>
                <w:szCs w:val="16"/>
              </w:rPr>
              <w:t>III.1.ii The TCA cycle</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_Toc413753748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18</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49" w:history="1">
            <w:r w:rsidR="004F12FE" w:rsidRPr="004F12FE">
              <w:rPr>
                <w:rStyle w:val="Hyperlink"/>
                <w:rFonts w:ascii="Arial" w:hAnsi="Arial" w:cs="Arial"/>
                <w:noProof/>
                <w:sz w:val="16"/>
                <w:szCs w:val="16"/>
              </w:rPr>
              <w:t>II.1.iii β-oxidation</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_Toc413753749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23</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0" w:history="1">
            <w:r w:rsidR="004F12FE" w:rsidRPr="004F12FE">
              <w:rPr>
                <w:rStyle w:val="Hyperlink"/>
                <w:rFonts w:ascii="Arial" w:hAnsi="Arial" w:cs="Arial"/>
                <w:noProof/>
                <w:sz w:val="16"/>
                <w:szCs w:val="16"/>
              </w:rPr>
              <w:t>II.1.iv Pyruvate metabolism</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_Toc413753750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24</w:t>
            </w:r>
            <w:r w:rsidR="004F12FE" w:rsidRPr="004F12FE">
              <w:rPr>
                <w:noProof/>
                <w:webHidden/>
                <w:sz w:val="16"/>
                <w:szCs w:val="16"/>
              </w:rPr>
              <w:fldChar w:fldCharType="end"/>
            </w:r>
          </w:hyperlink>
        </w:p>
        <w:p w:rsidR="004F12FE" w:rsidRPr="004F12FE" w:rsidRDefault="00221103">
          <w:pPr>
            <w:pStyle w:val="TOC1"/>
            <w:tabs>
              <w:tab w:val="left" w:pos="660"/>
              <w:tab w:val="right" w:leader="dot" w:pos="8828"/>
            </w:tabs>
            <w:rPr>
              <w:noProof/>
              <w:sz w:val="16"/>
              <w:szCs w:val="16"/>
            </w:rPr>
          </w:pPr>
          <w:hyperlink w:anchor="_Toc413753751" w:history="1">
            <w:r w:rsidR="004F12FE" w:rsidRPr="004F12FE">
              <w:rPr>
                <w:rStyle w:val="Hyperlink"/>
                <w:rFonts w:ascii="Arial" w:hAnsi="Arial" w:cs="Arial"/>
                <w:noProof/>
                <w:sz w:val="16"/>
                <w:szCs w:val="16"/>
              </w:rPr>
              <w:t>III.Proteomic analysis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_Toc413753751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26</w:t>
            </w:r>
            <w:r w:rsidR="004F12FE" w:rsidRPr="004F12FE">
              <w:rPr>
                <w:noProof/>
                <w:webHidden/>
                <w:sz w:val="16"/>
                <w:szCs w:val="16"/>
              </w:rPr>
              <w:fldChar w:fldCharType="end"/>
            </w:r>
          </w:hyperlink>
        </w:p>
        <w:p w:rsidR="004F12FE" w:rsidRPr="004F12FE" w:rsidRDefault="00221103">
          <w:pPr>
            <w:pStyle w:val="TOC1"/>
            <w:tabs>
              <w:tab w:val="left" w:pos="660"/>
              <w:tab w:val="right" w:leader="dot" w:pos="8828"/>
            </w:tabs>
            <w:rPr>
              <w:noProof/>
              <w:sz w:val="16"/>
              <w:szCs w:val="16"/>
            </w:rPr>
          </w:pPr>
          <w:hyperlink w:anchor="_Toc413753752" w:history="1">
            <w:r w:rsidR="004F12FE" w:rsidRPr="004F12FE">
              <w:rPr>
                <w:rStyle w:val="Hyperlink"/>
                <w:rFonts w:ascii="Arial" w:hAnsi="Arial" w:cs="Arial"/>
                <w:noProof/>
                <w:sz w:val="16"/>
                <w:szCs w:val="16"/>
                <w:lang w:val="en-US"/>
              </w:rPr>
              <w:t>IV.Modelling overview</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_Toc413753752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32</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3" w:history="1">
            <w:r w:rsidR="004F12FE" w:rsidRPr="004F12FE">
              <w:rPr>
                <w:rStyle w:val="Hyperlink"/>
                <w:rFonts w:ascii="Arial" w:hAnsi="Arial" w:cs="Arial"/>
                <w:noProof/>
                <w:sz w:val="16"/>
                <w:szCs w:val="16"/>
              </w:rPr>
              <w:t>AIMS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_Toc413753753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36</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4" w:history="1">
            <w:r w:rsidR="004F12FE" w:rsidRPr="004F12FE">
              <w:rPr>
                <w:rStyle w:val="Hyperlink"/>
                <w:rFonts w:ascii="Arial" w:hAnsi="Arial" w:cs="Arial"/>
                <w:noProof/>
                <w:sz w:val="16"/>
                <w:szCs w:val="16"/>
                <w:lang w:val="en-US"/>
              </w:rPr>
              <w:t>OBJECTIVES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_Toc413753754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36</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5" w:history="1">
            <w:r w:rsidR="004F12FE" w:rsidRPr="004F12FE">
              <w:rPr>
                <w:rStyle w:val="Hyperlink"/>
                <w:rFonts w:ascii="Arial" w:hAnsi="Arial" w:cs="Arial"/>
                <w:noProof/>
                <w:sz w:val="16"/>
                <w:szCs w:val="16"/>
              </w:rPr>
              <w:t>METHODS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_Toc413753755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37</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6" w:history="1">
            <w:r w:rsidR="004F12FE" w:rsidRPr="004F12FE">
              <w:rPr>
                <w:rStyle w:val="Hyperlink"/>
                <w:rFonts w:ascii="Arial" w:hAnsi="Arial" w:cs="Arial"/>
                <w:noProof/>
                <w:sz w:val="16"/>
                <w:szCs w:val="16"/>
              </w:rPr>
              <w:t>Mitochondrially enriched fractions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_Toc413753756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37</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7" w:history="1">
            <w:r w:rsidR="004F12FE" w:rsidRPr="004F12FE">
              <w:rPr>
                <w:rStyle w:val="Hyperlink"/>
                <w:rFonts w:ascii="Arial" w:hAnsi="Arial" w:cs="Arial"/>
                <w:noProof/>
                <w:sz w:val="16"/>
                <w:szCs w:val="16"/>
                <w:shd w:val="clear" w:color="auto" w:fill="FFFFFF"/>
              </w:rPr>
              <w:t>Acetylation of metabolic pathways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_Toc413753757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37</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8" w:history="1">
            <w:r w:rsidR="004F12FE" w:rsidRPr="004F12FE">
              <w:rPr>
                <w:rStyle w:val="Hyperlink"/>
                <w:rFonts w:ascii="Arial" w:hAnsi="Arial" w:cs="Arial"/>
                <w:noProof/>
                <w:sz w:val="16"/>
                <w:szCs w:val="16"/>
              </w:rPr>
              <w:t>Functional annotations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_Toc413753758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38</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59" w:history="1">
            <w:r w:rsidR="004F12FE" w:rsidRPr="004F12FE">
              <w:rPr>
                <w:rStyle w:val="Hyperlink"/>
                <w:rFonts w:ascii="Arial" w:hAnsi="Arial" w:cs="Arial"/>
                <w:noProof/>
                <w:sz w:val="16"/>
                <w:szCs w:val="16"/>
              </w:rPr>
              <w:t>Pathways coverage</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_Toc413753759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39</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0" w:history="1">
            <w:r w:rsidR="004F12FE" w:rsidRPr="004F12FE">
              <w:rPr>
                <w:rStyle w:val="Hyperlink"/>
                <w:rFonts w:ascii="Arial" w:hAnsi="Arial" w:cs="Arial"/>
                <w:noProof/>
                <w:sz w:val="16"/>
                <w:szCs w:val="16"/>
              </w:rPr>
              <w:t>Matching pathways representation</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_Toc413753760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39</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1" w:history="1">
            <w:r w:rsidR="004F12FE" w:rsidRPr="004F12FE">
              <w:rPr>
                <w:rStyle w:val="Hyperlink"/>
                <w:rFonts w:ascii="Arial" w:hAnsi="Arial" w:cs="Arial"/>
                <w:noProof/>
                <w:sz w:val="16"/>
                <w:szCs w:val="16"/>
              </w:rPr>
              <w:t>Modelling</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_Toc413753761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40</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2" w:history="1">
            <w:r w:rsidR="004F12FE" w:rsidRPr="004F12FE">
              <w:rPr>
                <w:rStyle w:val="Hyperlink"/>
                <w:rFonts w:ascii="Arial" w:hAnsi="Arial" w:cs="Arial"/>
                <w:noProof/>
                <w:sz w:val="16"/>
                <w:szCs w:val="16"/>
              </w:rPr>
              <w:t>Validation of the models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_Toc413753762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42</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3" w:history="1">
            <w:r w:rsidR="004F12FE" w:rsidRPr="004F12FE">
              <w:rPr>
                <w:rStyle w:val="Hyperlink"/>
                <w:rFonts w:ascii="Arial" w:hAnsi="Arial" w:cs="Arial"/>
                <w:noProof/>
                <w:sz w:val="16"/>
                <w:szCs w:val="16"/>
              </w:rPr>
              <w:t>RESULTS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_Toc413753763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44</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4" w:history="1">
            <w:r w:rsidR="004F12FE" w:rsidRPr="004F12FE">
              <w:rPr>
                <w:rStyle w:val="Hyperlink"/>
                <w:rFonts w:ascii="Arial" w:hAnsi="Arial" w:cs="Arial"/>
                <w:noProof/>
                <w:sz w:val="16"/>
                <w:szCs w:val="16"/>
              </w:rPr>
              <w:t>Representation and acetylation of metabolic pathways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_Toc413753764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44</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5" w:history="1">
            <w:r w:rsidR="004F12FE" w:rsidRPr="004F12FE">
              <w:rPr>
                <w:rStyle w:val="Hyperlink"/>
                <w:rFonts w:ascii="Arial" w:hAnsi="Arial" w:cs="Arial"/>
                <w:noProof/>
                <w:sz w:val="16"/>
                <w:szCs w:val="16"/>
              </w:rPr>
              <w:t>Percentage coverage of pathways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_Toc413753765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45</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6" w:history="1">
            <w:r w:rsidR="004F12FE" w:rsidRPr="004F12FE">
              <w:rPr>
                <w:rStyle w:val="Hyperlink"/>
                <w:rFonts w:ascii="Arial" w:hAnsi="Arial" w:cs="Arial"/>
                <w:noProof/>
                <w:sz w:val="16"/>
                <w:szCs w:val="16"/>
              </w:rPr>
              <w:t>Functional annotations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_Toc413753766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48</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7" w:history="1">
            <w:r w:rsidR="004F12FE" w:rsidRPr="004F12FE">
              <w:rPr>
                <w:rStyle w:val="Hyperlink"/>
                <w:rFonts w:ascii="Arial" w:hAnsi="Arial" w:cs="Arial"/>
                <w:noProof/>
                <w:sz w:val="16"/>
                <w:szCs w:val="16"/>
              </w:rPr>
              <w:t>Matching pathways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_Toc413753767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57</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8" w:history="1">
            <w:r w:rsidR="004F12FE" w:rsidRPr="004F12FE">
              <w:rPr>
                <w:rStyle w:val="Hyperlink"/>
                <w:rFonts w:ascii="Arial" w:hAnsi="Arial" w:cs="Arial"/>
                <w:noProof/>
                <w:sz w:val="16"/>
                <w:szCs w:val="16"/>
              </w:rPr>
              <w:t>Action of SCFAs on acetyl-CoA and CoA</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_Toc413753768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60</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69" w:history="1">
            <w:r w:rsidR="004F12FE" w:rsidRPr="004F12FE">
              <w:rPr>
                <w:rStyle w:val="Hyperlink"/>
                <w:rFonts w:ascii="Arial" w:eastAsiaTheme="minorHAnsi" w:hAnsi="Arial" w:cs="Arial"/>
                <w:noProof/>
                <w:sz w:val="16"/>
                <w:szCs w:val="16"/>
                <w:lang w:eastAsia="es-MX"/>
              </w:rPr>
              <w:t>Validation of the models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_Toc413753769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69</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70" w:history="1">
            <w:r w:rsidR="004F12FE" w:rsidRPr="004F12FE">
              <w:rPr>
                <w:rStyle w:val="Hyperlink"/>
                <w:rFonts w:ascii="Arial" w:hAnsi="Arial" w:cs="Arial"/>
                <w:noProof/>
                <w:sz w:val="16"/>
                <w:szCs w:val="16"/>
              </w:rPr>
              <w:t>DISCUSSION</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_Toc413753770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72</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71" w:history="1">
            <w:r w:rsidR="004F12FE" w:rsidRPr="004F12FE">
              <w:rPr>
                <w:rStyle w:val="Hyperlink"/>
                <w:rFonts w:ascii="Arial" w:hAnsi="Arial" w:cs="Arial"/>
                <w:noProof/>
                <w:sz w:val="16"/>
                <w:szCs w:val="16"/>
              </w:rPr>
              <w:t>CONCLUSIONS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_Toc413753771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79</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72" w:history="1">
            <w:r w:rsidR="004F12FE" w:rsidRPr="004F12FE">
              <w:rPr>
                <w:rStyle w:val="Hyperlink"/>
                <w:rFonts w:ascii="Arial" w:hAnsi="Arial" w:cs="Arial"/>
                <w:noProof/>
                <w:sz w:val="16"/>
                <w:szCs w:val="16"/>
              </w:rPr>
              <w:t>REFERENCES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_Toc413753772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81</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73" w:history="1">
            <w:r w:rsidR="004F12FE" w:rsidRPr="004F12FE">
              <w:rPr>
                <w:rStyle w:val="Hyperlink"/>
                <w:rFonts w:ascii="Arial" w:hAnsi="Arial" w:cs="Arial"/>
                <w:noProof/>
                <w:sz w:val="16"/>
                <w:szCs w:val="16"/>
                <w:lang w:val="en-US"/>
              </w:rPr>
              <w:t>APPENDIX I. Abbreviations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_Toc413753773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85</w:t>
            </w:r>
            <w:r w:rsidR="004F12FE" w:rsidRPr="004F12FE">
              <w:rPr>
                <w:noProof/>
                <w:webHidden/>
                <w:sz w:val="16"/>
                <w:szCs w:val="16"/>
              </w:rPr>
              <w:fldChar w:fldCharType="end"/>
            </w:r>
          </w:hyperlink>
        </w:p>
        <w:p w:rsidR="004F12FE" w:rsidRPr="004F12FE" w:rsidRDefault="00221103">
          <w:pPr>
            <w:pStyle w:val="TOC1"/>
            <w:tabs>
              <w:tab w:val="right" w:leader="dot" w:pos="8828"/>
            </w:tabs>
            <w:rPr>
              <w:noProof/>
              <w:sz w:val="16"/>
              <w:szCs w:val="16"/>
            </w:rPr>
          </w:pPr>
          <w:hyperlink w:anchor="_Toc413753774" w:history="1">
            <w:r w:rsidR="004F12FE" w:rsidRPr="004F12FE">
              <w:rPr>
                <w:rStyle w:val="Hyperlink"/>
                <w:rFonts w:ascii="Arial" w:eastAsiaTheme="majorEastAsia" w:hAnsi="Arial" w:cs="Arial"/>
                <w:noProof/>
                <w:sz w:val="16"/>
                <w:szCs w:val="16"/>
              </w:rPr>
              <w:t xml:space="preserve">APPENDIX II. </w:t>
            </w:r>
            <w:r w:rsidR="004F12FE" w:rsidRPr="004F12FE">
              <w:rPr>
                <w:rStyle w:val="Hyperlink"/>
                <w:rFonts w:ascii="Arial" w:hAnsi="Arial" w:cs="Arial"/>
                <w:noProof/>
                <w:sz w:val="16"/>
                <w:szCs w:val="16"/>
              </w:rPr>
              <w:t>Implications of acetylated lysine residues in metabolic enzymes/Variations in response to butyrate in metabolic enzymes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_Toc413753774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88</w:t>
            </w:r>
            <w:r w:rsidR="004F12FE" w:rsidRPr="004F12FE">
              <w:rPr>
                <w:noProof/>
                <w:webHidden/>
                <w:sz w:val="16"/>
                <w:szCs w:val="16"/>
              </w:rPr>
              <w:fldChar w:fldCharType="end"/>
            </w:r>
          </w:hyperlink>
        </w:p>
        <w:p w:rsidR="004F12FE" w:rsidRDefault="00221103">
          <w:pPr>
            <w:pStyle w:val="TOC1"/>
            <w:tabs>
              <w:tab w:val="right" w:leader="dot" w:pos="8828"/>
            </w:tabs>
            <w:rPr>
              <w:noProof/>
            </w:rPr>
          </w:pPr>
          <w:hyperlink w:anchor="_Toc413753775" w:history="1">
            <w:r w:rsidR="004F12FE" w:rsidRPr="004F12FE">
              <w:rPr>
                <w:rStyle w:val="Hyperlink"/>
                <w:rFonts w:ascii="Arial" w:hAnsi="Arial" w:cs="Arial"/>
                <w:noProof/>
                <w:sz w:val="16"/>
                <w:szCs w:val="16"/>
                <w:lang w:eastAsia="es-MX"/>
              </w:rPr>
              <w:t xml:space="preserve">Appendix III. </w:t>
            </w:r>
            <w:r w:rsidR="004F12FE" w:rsidRPr="004F12FE">
              <w:rPr>
                <w:rStyle w:val="Hyperlink"/>
                <w:rFonts w:ascii="Arial" w:hAnsi="Arial" w:cs="Arial"/>
                <w:i/>
                <w:noProof/>
                <w:sz w:val="16"/>
                <w:szCs w:val="16"/>
                <w:lang w:eastAsia="es-MX"/>
              </w:rPr>
              <w:t>p</w:t>
            </w:r>
            <w:r w:rsidR="004F12FE" w:rsidRPr="004F12FE">
              <w:rPr>
                <w:rStyle w:val="Hyperlink"/>
                <w:rFonts w:ascii="Arial" w:hAnsi="Arial" w:cs="Arial"/>
                <w:noProof/>
                <w:sz w:val="16"/>
                <w:szCs w:val="16"/>
                <w:lang w:eastAsia="es-MX"/>
              </w:rPr>
              <w:t>-values in every functional annotation of each GO term chosen in the global and acetylated proteome datasets.</w:t>
            </w:r>
            <w:r w:rsidR="004F12FE" w:rsidRPr="004F12FE">
              <w:rPr>
                <w:noProof/>
                <w:webHidden/>
                <w:sz w:val="16"/>
                <w:szCs w:val="16"/>
              </w:rPr>
              <w:tab/>
            </w:r>
            <w:r w:rsidR="004F12FE" w:rsidRPr="004F12FE">
              <w:rPr>
                <w:noProof/>
                <w:webHidden/>
                <w:sz w:val="16"/>
                <w:szCs w:val="16"/>
              </w:rPr>
              <w:fldChar w:fldCharType="begin"/>
            </w:r>
            <w:r w:rsidR="004F12FE" w:rsidRPr="004F12FE">
              <w:rPr>
                <w:noProof/>
                <w:webHidden/>
                <w:sz w:val="16"/>
                <w:szCs w:val="16"/>
              </w:rPr>
              <w:instrText xml:space="preserve"> PAGEREF _Toc413753775 \h </w:instrText>
            </w:r>
            <w:r w:rsidR="004F12FE" w:rsidRPr="004F12FE">
              <w:rPr>
                <w:noProof/>
                <w:webHidden/>
                <w:sz w:val="16"/>
                <w:szCs w:val="16"/>
              </w:rPr>
            </w:r>
            <w:r w:rsidR="004F12FE" w:rsidRPr="004F12FE">
              <w:rPr>
                <w:noProof/>
                <w:webHidden/>
                <w:sz w:val="16"/>
                <w:szCs w:val="16"/>
              </w:rPr>
              <w:fldChar w:fldCharType="separate"/>
            </w:r>
            <w:r w:rsidR="00DC0376">
              <w:rPr>
                <w:noProof/>
                <w:webHidden/>
                <w:sz w:val="16"/>
                <w:szCs w:val="16"/>
              </w:rPr>
              <w:t>91</w:t>
            </w:r>
            <w:r w:rsidR="004F12FE" w:rsidRPr="004F12FE">
              <w:rPr>
                <w:noProof/>
                <w:webHidden/>
                <w:sz w:val="16"/>
                <w:szCs w:val="16"/>
              </w:rPr>
              <w:fldChar w:fldCharType="end"/>
            </w:r>
          </w:hyperlink>
        </w:p>
        <w:p w:rsidR="00EF1380" w:rsidRPr="00D85DDE" w:rsidRDefault="006C2756" w:rsidP="00EF1380">
          <w:pPr>
            <w:rPr>
              <w:sz w:val="16"/>
              <w:szCs w:val="16"/>
            </w:rPr>
          </w:pPr>
          <w:r w:rsidRPr="00956AB3">
            <w:rPr>
              <w:b/>
              <w:bCs/>
              <w:noProof/>
              <w:sz w:val="24"/>
              <w:szCs w:val="24"/>
            </w:rPr>
            <w:fldChar w:fldCharType="end"/>
          </w:r>
        </w:p>
      </w:sdtContent>
    </w:sdt>
    <w:p w:rsidR="00EF1380" w:rsidRDefault="00EF1380" w:rsidP="00EF1380">
      <w:pPr>
        <w:spacing w:after="160" w:line="259" w:lineRule="auto"/>
        <w:rPr>
          <w:rFonts w:ascii="Arial" w:hAnsi="Arial" w:cs="Arial"/>
          <w:sz w:val="28"/>
          <w:szCs w:val="28"/>
        </w:rPr>
      </w:pPr>
      <w:r>
        <w:rPr>
          <w:rFonts w:ascii="Arial" w:hAnsi="Arial" w:cs="Arial"/>
          <w:sz w:val="28"/>
          <w:szCs w:val="28"/>
        </w:rPr>
        <w:br w:type="page"/>
      </w:r>
    </w:p>
    <w:p w:rsidR="00EF1380" w:rsidRPr="00E17125" w:rsidRDefault="00EF1380" w:rsidP="00EF1380">
      <w:pPr>
        <w:pStyle w:val="Heading1"/>
        <w:jc w:val="center"/>
        <w:rPr>
          <w:rFonts w:ascii="Arial" w:hAnsi="Arial" w:cs="Arial"/>
          <w:sz w:val="28"/>
          <w:szCs w:val="28"/>
        </w:rPr>
      </w:pPr>
      <w:bookmarkStart w:id="1" w:name="_Toc413753736"/>
      <w:r w:rsidRPr="00E17125">
        <w:rPr>
          <w:rFonts w:ascii="Arial" w:hAnsi="Arial" w:cs="Arial"/>
          <w:sz w:val="28"/>
          <w:szCs w:val="28"/>
        </w:rPr>
        <w:lastRenderedPageBreak/>
        <w:t>LIST OF FIGURES</w:t>
      </w:r>
      <w:bookmarkEnd w:id="1"/>
    </w:p>
    <w:p w:rsidR="00A34CDA" w:rsidRPr="00CD2A4C" w:rsidRDefault="006C2756">
      <w:pPr>
        <w:pStyle w:val="TableofFigures"/>
        <w:tabs>
          <w:tab w:val="right" w:leader="dot" w:pos="8828"/>
        </w:tabs>
        <w:rPr>
          <w:rFonts w:ascii="Arial" w:hAnsi="Arial" w:cs="Arial"/>
          <w:caps w:val="0"/>
          <w:noProof/>
          <w:sz w:val="16"/>
          <w:szCs w:val="16"/>
          <w:lang w:eastAsia="en-GB"/>
        </w:rPr>
      </w:pPr>
      <w:r w:rsidRPr="00A34CDA">
        <w:rPr>
          <w:rFonts w:ascii="Arial" w:hAnsi="Arial" w:cs="Arial"/>
          <w:caps w:val="0"/>
          <w:sz w:val="16"/>
          <w:szCs w:val="16"/>
        </w:rPr>
        <w:fldChar w:fldCharType="begin"/>
      </w:r>
      <w:r w:rsidR="00EF1380" w:rsidRPr="00A34CDA">
        <w:rPr>
          <w:rFonts w:ascii="Arial" w:hAnsi="Arial" w:cs="Arial"/>
          <w:caps w:val="0"/>
          <w:sz w:val="16"/>
          <w:szCs w:val="16"/>
        </w:rPr>
        <w:instrText xml:space="preserve"> TOC \h \z \c "Figure" </w:instrText>
      </w:r>
      <w:r w:rsidRPr="00A34CDA">
        <w:rPr>
          <w:rFonts w:ascii="Arial" w:hAnsi="Arial" w:cs="Arial"/>
          <w:caps w:val="0"/>
          <w:sz w:val="16"/>
          <w:szCs w:val="16"/>
        </w:rPr>
        <w:fldChar w:fldCharType="separate"/>
      </w:r>
      <w:hyperlink w:anchor="_Toc413419261" w:history="1">
        <w:r w:rsidR="00A34CDA" w:rsidRPr="00CD2A4C">
          <w:rPr>
            <w:rStyle w:val="Hyperlink"/>
            <w:rFonts w:ascii="Arial" w:hAnsi="Arial" w:cs="Arial"/>
            <w:caps w:val="0"/>
            <w:noProof/>
            <w:sz w:val="16"/>
            <w:szCs w:val="16"/>
          </w:rPr>
          <w:t>Figure 1. Structural differences in butyrate, isobutyrate, valerate and isovalerate.</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_Toc413419261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14</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2" w:history="1">
        <w:r w:rsidR="00A34CDA" w:rsidRPr="00CD2A4C">
          <w:rPr>
            <w:rStyle w:val="Hyperlink"/>
            <w:rFonts w:ascii="Arial" w:hAnsi="Arial" w:cs="Arial"/>
            <w:caps w:val="0"/>
            <w:noProof/>
            <w:sz w:val="16"/>
            <w:szCs w:val="16"/>
          </w:rPr>
          <w:t>Figure 2</w:t>
        </w:r>
        <w:r w:rsidR="00A34CDA" w:rsidRPr="00CD2A4C">
          <w:rPr>
            <w:rStyle w:val="Hyperlink"/>
            <w:rFonts w:ascii="Arial" w:hAnsi="Arial" w:cs="Arial"/>
            <w:iCs/>
            <w:caps w:val="0"/>
            <w:noProof/>
            <w:sz w:val="16"/>
            <w:szCs w:val="16"/>
            <w:lang w:val="en-US"/>
          </w:rPr>
          <w:t>. Enzymes and reactions in glycolysis.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_Toc413419262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16</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3" w:history="1">
        <w:r w:rsidR="00A34CDA" w:rsidRPr="00CD2A4C">
          <w:rPr>
            <w:rStyle w:val="Hyperlink"/>
            <w:rFonts w:ascii="Arial" w:hAnsi="Arial" w:cs="Arial"/>
            <w:caps w:val="0"/>
            <w:noProof/>
            <w:sz w:val="16"/>
            <w:szCs w:val="16"/>
          </w:rPr>
          <w:t>Figure 3. Phosphoglycerate mutase regulation by glucose levels.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_Toc413419263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18</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4" w:history="1">
        <w:r w:rsidR="00A34CDA" w:rsidRPr="00CD2A4C">
          <w:rPr>
            <w:rStyle w:val="Hyperlink"/>
            <w:rFonts w:ascii="Arial" w:hAnsi="Arial" w:cs="Arial"/>
            <w:caps w:val="0"/>
            <w:noProof/>
            <w:sz w:val="16"/>
            <w:szCs w:val="16"/>
          </w:rPr>
          <w:t>Figure 4</w:t>
        </w:r>
        <w:r w:rsidR="00A34CDA" w:rsidRPr="00CD2A4C">
          <w:rPr>
            <w:rStyle w:val="Hyperlink"/>
            <w:rFonts w:ascii="Arial" w:hAnsi="Arial" w:cs="Arial"/>
            <w:iCs/>
            <w:caps w:val="0"/>
            <w:noProof/>
            <w:sz w:val="16"/>
            <w:szCs w:val="16"/>
            <w:lang w:val="en-US"/>
          </w:rPr>
          <w:t>. Enzymes and reactions in the TCA cycle.</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_Toc413419264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19</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5" w:history="1">
        <w:r w:rsidR="00A34CDA" w:rsidRPr="00CD2A4C">
          <w:rPr>
            <w:rStyle w:val="Hyperlink"/>
            <w:rFonts w:ascii="Arial" w:hAnsi="Arial" w:cs="Arial"/>
            <w:caps w:val="0"/>
            <w:noProof/>
            <w:sz w:val="16"/>
            <w:szCs w:val="16"/>
          </w:rPr>
          <w:t>Figure 5. Isocitrate dehydrogenase regulation by glucose levels.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_Toc413419265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21</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6" w:history="1">
        <w:r w:rsidR="00A34CDA" w:rsidRPr="00CD2A4C">
          <w:rPr>
            <w:rStyle w:val="Hyperlink"/>
            <w:rFonts w:ascii="Arial" w:hAnsi="Arial" w:cs="Arial"/>
            <w:caps w:val="0"/>
            <w:noProof/>
            <w:sz w:val="16"/>
            <w:szCs w:val="16"/>
          </w:rPr>
          <w:t>Figure 6. Regulation of malate dehydrogenase by glucose levels.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_Toc413419266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22</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7" w:history="1">
        <w:r w:rsidR="00A34CDA" w:rsidRPr="00CD2A4C">
          <w:rPr>
            <w:rStyle w:val="Hyperlink"/>
            <w:rFonts w:ascii="Arial" w:hAnsi="Arial" w:cs="Arial"/>
            <w:caps w:val="0"/>
            <w:noProof/>
            <w:sz w:val="16"/>
            <w:szCs w:val="16"/>
          </w:rPr>
          <w:t xml:space="preserve">Figure 7. </w:t>
        </w:r>
        <w:r w:rsidR="00A34CDA" w:rsidRPr="00CD2A4C">
          <w:rPr>
            <w:rStyle w:val="Hyperlink"/>
            <w:rFonts w:ascii="Arial" w:hAnsi="Arial" w:cs="Arial"/>
            <w:iCs/>
            <w:caps w:val="0"/>
            <w:noProof/>
            <w:sz w:val="16"/>
            <w:szCs w:val="16"/>
            <w:lang w:val="en-US"/>
          </w:rPr>
          <w:t>Enzymes and reactions in β-oxidation.</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_Toc413419267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23</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8" w:history="1">
        <w:r w:rsidR="00A34CDA" w:rsidRPr="00CD2A4C">
          <w:rPr>
            <w:rStyle w:val="Hyperlink"/>
            <w:rFonts w:ascii="Arial" w:hAnsi="Arial" w:cs="Arial"/>
            <w:caps w:val="0"/>
            <w:noProof/>
            <w:sz w:val="16"/>
            <w:szCs w:val="16"/>
          </w:rPr>
          <w:t xml:space="preserve">Figure 8. </w:t>
        </w:r>
        <w:r w:rsidR="00A34CDA" w:rsidRPr="00CD2A4C">
          <w:rPr>
            <w:rStyle w:val="Hyperlink"/>
            <w:rFonts w:ascii="Arial" w:hAnsi="Arial" w:cs="Arial"/>
            <w:iCs/>
            <w:caps w:val="0"/>
            <w:noProof/>
            <w:sz w:val="16"/>
            <w:szCs w:val="16"/>
            <w:lang w:val="en-US"/>
          </w:rPr>
          <w:t>Enzymes and reactions in pyruvate metabolism.</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_Toc413419268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24</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69" w:history="1">
        <w:r w:rsidR="00A34CDA" w:rsidRPr="00CD2A4C">
          <w:rPr>
            <w:rStyle w:val="Hyperlink"/>
            <w:rFonts w:ascii="Arial" w:hAnsi="Arial" w:cs="Arial"/>
            <w:caps w:val="0"/>
            <w:noProof/>
            <w:sz w:val="16"/>
            <w:szCs w:val="16"/>
          </w:rPr>
          <w:t>Figure 9. Butyrate_v3-1 model.</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_Toc413419269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33</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0" w:history="1">
        <w:r w:rsidR="00A34CDA" w:rsidRPr="00CD2A4C">
          <w:rPr>
            <w:rStyle w:val="Hyperlink"/>
            <w:rFonts w:ascii="Arial" w:hAnsi="Arial" w:cs="Arial"/>
            <w:caps w:val="0"/>
            <w:noProof/>
            <w:sz w:val="16"/>
            <w:szCs w:val="16"/>
          </w:rPr>
          <w:t>Figure 10. SCFA Uptake and Oxidation v4 model.</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_Toc413419270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34</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1" w:history="1">
        <w:r w:rsidR="00A34CDA" w:rsidRPr="00CD2A4C">
          <w:rPr>
            <w:rStyle w:val="Hyperlink"/>
            <w:rFonts w:ascii="Arial" w:hAnsi="Arial" w:cs="Arial"/>
            <w:caps w:val="0"/>
            <w:noProof/>
            <w:sz w:val="16"/>
            <w:szCs w:val="16"/>
          </w:rPr>
          <w:t>Figure 11. Representation and acetylation of major metabolic pathways involving acetyl-CoA as a component.</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_Toc413419271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45</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2" w:history="1">
        <w:r w:rsidR="00A34CDA" w:rsidRPr="00CD2A4C">
          <w:rPr>
            <w:rStyle w:val="Hyperlink"/>
            <w:rFonts w:ascii="Arial" w:hAnsi="Arial" w:cs="Arial"/>
            <w:caps w:val="0"/>
            <w:noProof/>
            <w:sz w:val="16"/>
            <w:szCs w:val="16"/>
          </w:rPr>
          <w:t>Figure 12. Percentage Coverage of pathways.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_Toc413419272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47</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3" w:history="1">
        <w:r w:rsidR="00A34CDA" w:rsidRPr="00CD2A4C">
          <w:rPr>
            <w:rStyle w:val="Hyperlink"/>
            <w:rFonts w:ascii="Arial" w:hAnsi="Arial" w:cs="Arial"/>
            <w:caps w:val="0"/>
            <w:noProof/>
            <w:sz w:val="16"/>
            <w:szCs w:val="16"/>
          </w:rPr>
          <w:t>Figure 13. BP enrichment scores.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_Toc413419273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50</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4" w:history="1">
        <w:r w:rsidR="00A34CDA" w:rsidRPr="00CD2A4C">
          <w:rPr>
            <w:rStyle w:val="Hyperlink"/>
            <w:rFonts w:ascii="Arial" w:hAnsi="Arial" w:cs="Arial"/>
            <w:caps w:val="0"/>
            <w:noProof/>
            <w:sz w:val="16"/>
            <w:szCs w:val="16"/>
          </w:rPr>
          <w:t>Figure 14. CC enrichment scores.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_Toc413419274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51</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5" w:history="1">
        <w:r w:rsidR="00A34CDA" w:rsidRPr="00CD2A4C">
          <w:rPr>
            <w:rStyle w:val="Hyperlink"/>
            <w:rFonts w:ascii="Arial" w:hAnsi="Arial" w:cs="Arial"/>
            <w:caps w:val="0"/>
            <w:noProof/>
            <w:sz w:val="16"/>
            <w:szCs w:val="16"/>
          </w:rPr>
          <w:t>Figure 15</w:t>
        </w:r>
        <w:r w:rsidR="00A34CDA" w:rsidRPr="00CD2A4C">
          <w:rPr>
            <w:rStyle w:val="Hyperlink"/>
            <w:rFonts w:ascii="Arial" w:hAnsi="Arial" w:cs="Arial"/>
            <w:caps w:val="0"/>
            <w:noProof/>
            <w:sz w:val="16"/>
            <w:szCs w:val="16"/>
            <w:lang w:val="en-US"/>
          </w:rPr>
          <w:t>. MF enrichment scores.</w:t>
        </w:r>
        <w:r w:rsidR="00A34CDA" w:rsidRPr="00CD2A4C">
          <w:rPr>
            <w:rStyle w:val="Hyperlink"/>
            <w:rFonts w:ascii="Arial" w:hAnsi="Arial" w:cs="Arial"/>
            <w:caps w:val="0"/>
            <w:noProof/>
            <w:sz w:val="16"/>
            <w:szCs w:val="16"/>
          </w:rPr>
          <w:t>.</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_Toc413419275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52</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6" w:history="1">
        <w:r w:rsidR="00A34CDA" w:rsidRPr="00CD2A4C">
          <w:rPr>
            <w:rStyle w:val="Hyperlink"/>
            <w:rFonts w:ascii="Arial" w:hAnsi="Arial" w:cs="Arial"/>
            <w:caps w:val="0"/>
            <w:noProof/>
            <w:sz w:val="16"/>
            <w:szCs w:val="16"/>
          </w:rPr>
          <w:t>Figure 16</w:t>
        </w:r>
        <w:r w:rsidR="00A34CDA" w:rsidRPr="00CD2A4C">
          <w:rPr>
            <w:rStyle w:val="Hyperlink"/>
            <w:rFonts w:ascii="Arial" w:hAnsi="Arial" w:cs="Arial"/>
            <w:caps w:val="0"/>
            <w:noProof/>
            <w:sz w:val="16"/>
            <w:szCs w:val="16"/>
            <w:lang w:val="en-US"/>
          </w:rPr>
          <w:t>. CC metabolism-related enrichment scores.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_Toc413419276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54</w:t>
        </w:r>
        <w:r w:rsidR="00A34CDA" w:rsidRPr="00CD2A4C">
          <w:rPr>
            <w:rFonts w:ascii="Arial" w:hAnsi="Arial" w:cs="Arial"/>
            <w:caps w:val="0"/>
            <w:noProof/>
            <w:webHidden/>
            <w:sz w:val="16"/>
            <w:szCs w:val="16"/>
          </w:rPr>
          <w:fldChar w:fldCharType="end"/>
        </w:r>
      </w:hyperlink>
    </w:p>
    <w:p w:rsidR="00A34CDA" w:rsidRPr="00CD2A4C" w:rsidRDefault="00221103">
      <w:pPr>
        <w:pStyle w:val="TableofFigures"/>
        <w:tabs>
          <w:tab w:val="right" w:leader="dot" w:pos="8828"/>
        </w:tabs>
        <w:rPr>
          <w:rFonts w:ascii="Arial" w:hAnsi="Arial" w:cs="Arial"/>
          <w:caps w:val="0"/>
          <w:noProof/>
          <w:sz w:val="16"/>
          <w:szCs w:val="16"/>
          <w:lang w:eastAsia="en-GB"/>
        </w:rPr>
      </w:pPr>
      <w:hyperlink w:anchor="_Toc413419277" w:history="1">
        <w:r w:rsidR="00A34CDA" w:rsidRPr="00CD2A4C">
          <w:rPr>
            <w:rStyle w:val="Hyperlink"/>
            <w:rFonts w:ascii="Arial" w:hAnsi="Arial" w:cs="Arial"/>
            <w:caps w:val="0"/>
            <w:noProof/>
            <w:sz w:val="16"/>
            <w:szCs w:val="16"/>
          </w:rPr>
          <w:t>Figure 17</w:t>
        </w:r>
        <w:r w:rsidR="00A34CDA" w:rsidRPr="00CD2A4C">
          <w:rPr>
            <w:rStyle w:val="Hyperlink"/>
            <w:rFonts w:ascii="Arial" w:hAnsi="Arial" w:cs="Arial"/>
            <w:caps w:val="0"/>
            <w:noProof/>
            <w:sz w:val="16"/>
            <w:szCs w:val="16"/>
            <w:lang w:val="en-US"/>
          </w:rPr>
          <w:t>. BP metabolism-related enrichment scores.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_Toc413419277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55</w:t>
        </w:r>
        <w:r w:rsidR="00A34CDA" w:rsidRPr="00CD2A4C">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78" w:history="1">
        <w:r w:rsidR="00A34CDA" w:rsidRPr="00CD2A4C">
          <w:rPr>
            <w:rStyle w:val="Hyperlink"/>
            <w:rFonts w:ascii="Arial" w:hAnsi="Arial" w:cs="Arial"/>
            <w:caps w:val="0"/>
            <w:noProof/>
            <w:sz w:val="16"/>
            <w:szCs w:val="16"/>
          </w:rPr>
          <w:t>Figure 18</w:t>
        </w:r>
        <w:r w:rsidR="00A34CDA" w:rsidRPr="00CD2A4C">
          <w:rPr>
            <w:rStyle w:val="Hyperlink"/>
            <w:rFonts w:ascii="Arial" w:hAnsi="Arial" w:cs="Arial"/>
            <w:caps w:val="0"/>
            <w:noProof/>
            <w:sz w:val="16"/>
            <w:szCs w:val="16"/>
            <w:lang w:val="en-US"/>
          </w:rPr>
          <w:t>. MF metabolism-related enrichment scores.</w:t>
        </w:r>
        <w:r w:rsidR="00A34CDA" w:rsidRPr="00CD2A4C">
          <w:rPr>
            <w:rFonts w:ascii="Arial" w:hAnsi="Arial" w:cs="Arial"/>
            <w:caps w:val="0"/>
            <w:noProof/>
            <w:webHidden/>
            <w:sz w:val="16"/>
            <w:szCs w:val="16"/>
          </w:rPr>
          <w:tab/>
        </w:r>
        <w:r w:rsidR="00A34CDA" w:rsidRPr="00CD2A4C">
          <w:rPr>
            <w:rFonts w:ascii="Arial" w:hAnsi="Arial" w:cs="Arial"/>
            <w:caps w:val="0"/>
            <w:noProof/>
            <w:webHidden/>
            <w:sz w:val="16"/>
            <w:szCs w:val="16"/>
          </w:rPr>
          <w:fldChar w:fldCharType="begin"/>
        </w:r>
        <w:r w:rsidR="00A34CDA" w:rsidRPr="00CD2A4C">
          <w:rPr>
            <w:rFonts w:ascii="Arial" w:hAnsi="Arial" w:cs="Arial"/>
            <w:caps w:val="0"/>
            <w:noProof/>
            <w:webHidden/>
            <w:sz w:val="16"/>
            <w:szCs w:val="16"/>
          </w:rPr>
          <w:instrText xml:space="preserve"> PAGEREF _Toc413419278 \h </w:instrText>
        </w:r>
        <w:r w:rsidR="00A34CDA" w:rsidRPr="00CD2A4C">
          <w:rPr>
            <w:rFonts w:ascii="Arial" w:hAnsi="Arial" w:cs="Arial"/>
            <w:caps w:val="0"/>
            <w:noProof/>
            <w:webHidden/>
            <w:sz w:val="16"/>
            <w:szCs w:val="16"/>
          </w:rPr>
        </w:r>
        <w:r w:rsidR="00A34CDA" w:rsidRPr="00CD2A4C">
          <w:rPr>
            <w:rFonts w:ascii="Arial" w:hAnsi="Arial" w:cs="Arial"/>
            <w:caps w:val="0"/>
            <w:noProof/>
            <w:webHidden/>
            <w:sz w:val="16"/>
            <w:szCs w:val="16"/>
          </w:rPr>
          <w:fldChar w:fldCharType="separate"/>
        </w:r>
        <w:r w:rsidR="00DC0376">
          <w:rPr>
            <w:rFonts w:ascii="Arial" w:hAnsi="Arial" w:cs="Arial"/>
            <w:caps w:val="0"/>
            <w:noProof/>
            <w:webHidden/>
            <w:sz w:val="16"/>
            <w:szCs w:val="16"/>
          </w:rPr>
          <w:t>56</w:t>
        </w:r>
        <w:r w:rsidR="00A34CDA" w:rsidRPr="00CD2A4C">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79" w:history="1">
        <w:r w:rsidR="00A34CDA" w:rsidRPr="00A34CDA">
          <w:rPr>
            <w:rStyle w:val="Hyperlink"/>
            <w:rFonts w:ascii="Arial" w:hAnsi="Arial" w:cs="Arial"/>
            <w:caps w:val="0"/>
            <w:noProof/>
            <w:sz w:val="16"/>
            <w:szCs w:val="16"/>
          </w:rPr>
          <w:t>Figure 19. Changes in the concentration of butyryl-CoA, propionyl-CoA, acetyl-CoA and CoA at different time points using the butyrate_v3-1 model.</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_Toc413419279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61</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0" w:history="1">
        <w:r w:rsidR="00A34CDA" w:rsidRPr="00A34CDA">
          <w:rPr>
            <w:rStyle w:val="Hyperlink"/>
            <w:rFonts w:ascii="Arial" w:hAnsi="Arial" w:cs="Arial"/>
            <w:caps w:val="0"/>
            <w:noProof/>
            <w:sz w:val="16"/>
            <w:szCs w:val="16"/>
          </w:rPr>
          <w:t>Figure 20. Changes in the concentration of butyryl-CoA, propionyl-CoA, acetyl-CoA and CoA at different time points using the SCFA Uptake and Oxidation v4 model.</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_Toc413419280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63</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1" w:history="1">
        <w:r w:rsidR="00A34CDA" w:rsidRPr="00A34CDA">
          <w:rPr>
            <w:rStyle w:val="Hyperlink"/>
            <w:rFonts w:ascii="Arial" w:hAnsi="Arial" w:cs="Arial"/>
            <w:caps w:val="0"/>
            <w:noProof/>
            <w:sz w:val="16"/>
            <w:szCs w:val="16"/>
          </w:rPr>
          <w:t>Figure 21. Effect of acetate on acetyl-CoA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_Toc413419281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65</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2" w:history="1">
        <w:r w:rsidR="00A34CDA" w:rsidRPr="00A34CDA">
          <w:rPr>
            <w:rStyle w:val="Hyperlink"/>
            <w:rFonts w:ascii="Arial" w:hAnsi="Arial" w:cs="Arial"/>
            <w:caps w:val="0"/>
            <w:noProof/>
            <w:sz w:val="16"/>
            <w:szCs w:val="16"/>
          </w:rPr>
          <w:t>Figure 22. Effect of butyrate on acetyl-CoA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_Toc413419282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65</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3" w:history="1">
        <w:r w:rsidR="00A34CDA" w:rsidRPr="00A34CDA">
          <w:rPr>
            <w:rStyle w:val="Hyperlink"/>
            <w:rFonts w:ascii="Arial" w:hAnsi="Arial" w:cs="Arial"/>
            <w:caps w:val="0"/>
            <w:noProof/>
            <w:sz w:val="16"/>
            <w:szCs w:val="16"/>
          </w:rPr>
          <w:t>Figure 23. Effect of propionate on acetyl-CoA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_Toc413419283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66</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4" w:history="1">
        <w:r w:rsidR="00A34CDA" w:rsidRPr="00A34CDA">
          <w:rPr>
            <w:rStyle w:val="Hyperlink"/>
            <w:rFonts w:ascii="Arial" w:hAnsi="Arial" w:cs="Arial"/>
            <w:caps w:val="0"/>
            <w:noProof/>
            <w:sz w:val="16"/>
            <w:szCs w:val="16"/>
          </w:rPr>
          <w:t>Figure 24. Effect of glucose on acetyl-CoA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_Toc413419284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66</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5" w:history="1">
        <w:r w:rsidR="00A34CDA" w:rsidRPr="00A34CDA">
          <w:rPr>
            <w:rStyle w:val="Hyperlink"/>
            <w:rFonts w:ascii="Arial" w:hAnsi="Arial" w:cs="Arial"/>
            <w:caps w:val="0"/>
            <w:noProof/>
            <w:sz w:val="16"/>
            <w:szCs w:val="16"/>
          </w:rPr>
          <w:t>Figure 25. E</w:t>
        </w:r>
        <w:r w:rsidR="00A34CDA">
          <w:rPr>
            <w:rStyle w:val="Hyperlink"/>
            <w:rFonts w:ascii="Arial" w:hAnsi="Arial" w:cs="Arial"/>
            <w:caps w:val="0"/>
            <w:noProof/>
            <w:sz w:val="16"/>
            <w:szCs w:val="16"/>
          </w:rPr>
          <w:t>ffect of acetate on 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_Toc413419285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67</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6" w:history="1">
        <w:r w:rsidR="00A34CDA" w:rsidRPr="00A34CDA">
          <w:rPr>
            <w:rStyle w:val="Hyperlink"/>
            <w:rFonts w:ascii="Arial" w:hAnsi="Arial" w:cs="Arial"/>
            <w:caps w:val="0"/>
            <w:noProof/>
            <w:sz w:val="16"/>
            <w:szCs w:val="16"/>
          </w:rPr>
          <w:t>Figure 26. Effect of butyrate on 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_Toc413419286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68</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7" w:history="1">
        <w:r w:rsidR="00A34CDA" w:rsidRPr="00A34CDA">
          <w:rPr>
            <w:rStyle w:val="Hyperlink"/>
            <w:rFonts w:ascii="Arial" w:hAnsi="Arial" w:cs="Arial"/>
            <w:caps w:val="0"/>
            <w:noProof/>
            <w:sz w:val="16"/>
            <w:szCs w:val="16"/>
          </w:rPr>
          <w:t>Figure 27. Effect of propionate on 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_Toc413419287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68</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8" w:history="1">
        <w:r w:rsidR="00A34CDA" w:rsidRPr="00A34CDA">
          <w:rPr>
            <w:rStyle w:val="Hyperlink"/>
            <w:rFonts w:ascii="Arial" w:hAnsi="Arial" w:cs="Arial"/>
            <w:caps w:val="0"/>
            <w:noProof/>
            <w:sz w:val="16"/>
            <w:szCs w:val="16"/>
          </w:rPr>
          <w:t>Figure 28. Effect of glucose on 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_Toc413419288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69</w:t>
        </w:r>
        <w:r w:rsidR="00A34CDA" w:rsidRPr="00A34CDA">
          <w:rPr>
            <w:rFonts w:ascii="Arial" w:hAnsi="Arial" w:cs="Arial"/>
            <w:caps w:val="0"/>
            <w:noProof/>
            <w:webHidden/>
            <w:sz w:val="16"/>
            <w:szCs w:val="16"/>
          </w:rPr>
          <w:fldChar w:fldCharType="end"/>
        </w:r>
      </w:hyperlink>
    </w:p>
    <w:p w:rsidR="00A34CDA" w:rsidRPr="00A34CDA" w:rsidRDefault="00221103">
      <w:pPr>
        <w:pStyle w:val="TableofFigures"/>
        <w:tabs>
          <w:tab w:val="right" w:leader="dot" w:pos="8828"/>
        </w:tabs>
        <w:rPr>
          <w:rFonts w:ascii="Arial" w:hAnsi="Arial" w:cs="Arial"/>
          <w:caps w:val="0"/>
          <w:noProof/>
          <w:sz w:val="16"/>
          <w:szCs w:val="16"/>
          <w:lang w:eastAsia="en-GB"/>
        </w:rPr>
      </w:pPr>
      <w:hyperlink w:anchor="_Toc413419289" w:history="1">
        <w:r w:rsidR="00A34CDA" w:rsidRPr="00A34CDA">
          <w:rPr>
            <w:rStyle w:val="Hyperlink"/>
            <w:rFonts w:ascii="Arial" w:hAnsi="Arial" w:cs="Arial"/>
            <w:caps w:val="0"/>
            <w:noProof/>
            <w:sz w:val="16"/>
            <w:szCs w:val="16"/>
          </w:rPr>
          <w:t>Figure 29. Effect of increasing concentrations of SCFAs on CoA levels.</w:t>
        </w:r>
        <w:r w:rsidR="00A34CDA" w:rsidRPr="00A34CDA">
          <w:rPr>
            <w:rFonts w:ascii="Arial" w:hAnsi="Arial" w:cs="Arial"/>
            <w:caps w:val="0"/>
            <w:noProof/>
            <w:webHidden/>
            <w:sz w:val="16"/>
            <w:szCs w:val="16"/>
          </w:rPr>
          <w:tab/>
        </w:r>
        <w:r w:rsidR="00A34CDA" w:rsidRPr="00A34CDA">
          <w:rPr>
            <w:rFonts w:ascii="Arial" w:hAnsi="Arial" w:cs="Arial"/>
            <w:caps w:val="0"/>
            <w:noProof/>
            <w:webHidden/>
            <w:sz w:val="16"/>
            <w:szCs w:val="16"/>
          </w:rPr>
          <w:fldChar w:fldCharType="begin"/>
        </w:r>
        <w:r w:rsidR="00A34CDA" w:rsidRPr="00A34CDA">
          <w:rPr>
            <w:rFonts w:ascii="Arial" w:hAnsi="Arial" w:cs="Arial"/>
            <w:caps w:val="0"/>
            <w:noProof/>
            <w:webHidden/>
            <w:sz w:val="16"/>
            <w:szCs w:val="16"/>
          </w:rPr>
          <w:instrText xml:space="preserve"> PAGEREF _Toc413419289 \h </w:instrText>
        </w:r>
        <w:r w:rsidR="00A34CDA" w:rsidRPr="00A34CDA">
          <w:rPr>
            <w:rFonts w:ascii="Arial" w:hAnsi="Arial" w:cs="Arial"/>
            <w:caps w:val="0"/>
            <w:noProof/>
            <w:webHidden/>
            <w:sz w:val="16"/>
            <w:szCs w:val="16"/>
          </w:rPr>
        </w:r>
        <w:r w:rsidR="00A34CDA" w:rsidRPr="00A34CDA">
          <w:rPr>
            <w:rFonts w:ascii="Arial" w:hAnsi="Arial" w:cs="Arial"/>
            <w:caps w:val="0"/>
            <w:noProof/>
            <w:webHidden/>
            <w:sz w:val="16"/>
            <w:szCs w:val="16"/>
          </w:rPr>
          <w:fldChar w:fldCharType="separate"/>
        </w:r>
        <w:r w:rsidR="00DC0376">
          <w:rPr>
            <w:rFonts w:ascii="Arial" w:hAnsi="Arial" w:cs="Arial"/>
            <w:caps w:val="0"/>
            <w:noProof/>
            <w:webHidden/>
            <w:sz w:val="16"/>
            <w:szCs w:val="16"/>
          </w:rPr>
          <w:t>70</w:t>
        </w:r>
        <w:r w:rsidR="00A34CDA" w:rsidRPr="00A34CDA">
          <w:rPr>
            <w:rFonts w:ascii="Arial" w:hAnsi="Arial" w:cs="Arial"/>
            <w:caps w:val="0"/>
            <w:noProof/>
            <w:webHidden/>
            <w:sz w:val="16"/>
            <w:szCs w:val="16"/>
          </w:rPr>
          <w:fldChar w:fldCharType="end"/>
        </w:r>
      </w:hyperlink>
    </w:p>
    <w:p w:rsidR="00EF1380" w:rsidRPr="0073529B" w:rsidRDefault="006C2756" w:rsidP="00EF1380">
      <w:pPr>
        <w:jc w:val="both"/>
      </w:pPr>
      <w:r w:rsidRPr="00A34CDA">
        <w:rPr>
          <w:rFonts w:ascii="Arial" w:hAnsi="Arial" w:cs="Arial"/>
          <w:sz w:val="16"/>
          <w:szCs w:val="16"/>
        </w:rPr>
        <w:fldChar w:fldCharType="end"/>
      </w:r>
    </w:p>
    <w:p w:rsidR="00EF1380" w:rsidRDefault="00EF1380" w:rsidP="00EF1380">
      <w:pPr>
        <w:spacing w:after="160" w:line="259" w:lineRule="auto"/>
      </w:pPr>
      <w:r>
        <w:br w:type="page"/>
      </w:r>
    </w:p>
    <w:p w:rsidR="00EF1380" w:rsidRDefault="00EF1380" w:rsidP="00EF1380">
      <w:pPr>
        <w:pStyle w:val="Heading1"/>
        <w:jc w:val="center"/>
        <w:rPr>
          <w:rFonts w:ascii="Arial" w:hAnsi="Arial" w:cs="Arial"/>
          <w:sz w:val="28"/>
          <w:szCs w:val="28"/>
        </w:rPr>
      </w:pPr>
      <w:bookmarkStart w:id="2" w:name="_Toc413753737"/>
      <w:r>
        <w:rPr>
          <w:rFonts w:ascii="Arial" w:hAnsi="Arial" w:cs="Arial"/>
          <w:sz w:val="28"/>
          <w:szCs w:val="28"/>
        </w:rPr>
        <w:lastRenderedPageBreak/>
        <w:t>LIST OF TABLES</w:t>
      </w:r>
      <w:bookmarkEnd w:id="2"/>
    </w:p>
    <w:p w:rsidR="009B171E" w:rsidRPr="009B171E" w:rsidRDefault="006C2756">
      <w:pPr>
        <w:pStyle w:val="TableofFigures"/>
        <w:tabs>
          <w:tab w:val="right" w:leader="dot" w:pos="8828"/>
        </w:tabs>
        <w:rPr>
          <w:rFonts w:ascii="Arial" w:hAnsi="Arial" w:cs="Arial"/>
          <w:caps w:val="0"/>
          <w:noProof/>
          <w:sz w:val="16"/>
          <w:szCs w:val="16"/>
          <w:lang w:eastAsia="en-GB"/>
        </w:rPr>
      </w:pPr>
      <w:r w:rsidRPr="00A34CDA">
        <w:rPr>
          <w:rFonts w:ascii="Arial" w:hAnsi="Arial" w:cs="Arial"/>
          <w:caps w:val="0"/>
          <w:sz w:val="16"/>
          <w:szCs w:val="16"/>
        </w:rPr>
        <w:fldChar w:fldCharType="begin"/>
      </w:r>
      <w:r w:rsidR="00EF1380" w:rsidRPr="00A34CDA">
        <w:rPr>
          <w:rFonts w:ascii="Arial" w:hAnsi="Arial" w:cs="Arial"/>
          <w:caps w:val="0"/>
          <w:sz w:val="16"/>
          <w:szCs w:val="16"/>
        </w:rPr>
        <w:instrText xml:space="preserve"> TOC \h \z \c "Table" </w:instrText>
      </w:r>
      <w:r w:rsidRPr="00A34CDA">
        <w:rPr>
          <w:rFonts w:ascii="Arial" w:hAnsi="Arial" w:cs="Arial"/>
          <w:caps w:val="0"/>
          <w:sz w:val="16"/>
          <w:szCs w:val="16"/>
        </w:rPr>
        <w:fldChar w:fldCharType="separate"/>
      </w:r>
      <w:hyperlink w:anchor="_Toc413666988" w:history="1">
        <w:r w:rsidR="009B171E" w:rsidRPr="009B171E">
          <w:rPr>
            <w:rStyle w:val="Hyperlink"/>
            <w:rFonts w:ascii="Arial" w:hAnsi="Arial" w:cs="Arial"/>
            <w:caps w:val="0"/>
            <w:noProof/>
            <w:sz w:val="16"/>
            <w:szCs w:val="16"/>
          </w:rPr>
          <w:t>Table 1. Short Chain Fatty Acids.</w:t>
        </w:r>
        <w:r w:rsidR="009B171E" w:rsidRPr="009B171E">
          <w:rPr>
            <w:rStyle w:val="Hyperlink"/>
            <w:rFonts w:ascii="Arial" w:hAnsi="Arial" w:cs="Arial"/>
            <w:i/>
            <w:caps w:val="0"/>
            <w:noProof/>
            <w:sz w:val="16"/>
            <w:szCs w:val="16"/>
            <w:shd w:val="clear" w:color="auto" w:fill="FFFFFF"/>
          </w:rPr>
          <w:t>.</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_Toc413666988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9</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89" w:history="1">
        <w:r w:rsidR="009B171E" w:rsidRPr="009B171E">
          <w:rPr>
            <w:rStyle w:val="Hyperlink"/>
            <w:rFonts w:ascii="Arial" w:hAnsi="Arial" w:cs="Arial"/>
            <w:caps w:val="0"/>
            <w:noProof/>
            <w:sz w:val="16"/>
            <w:szCs w:val="16"/>
          </w:rPr>
          <w:t xml:space="preserve">Table 2. Effect of acetylation on </w:t>
        </w:r>
        <w:r w:rsidR="009B171E" w:rsidRPr="009B171E">
          <w:rPr>
            <w:rStyle w:val="Hyperlink"/>
            <w:rFonts w:ascii="Arial" w:hAnsi="Arial" w:cs="Arial"/>
            <w:caps w:val="0"/>
            <w:noProof/>
            <w:sz w:val="16"/>
            <w:szCs w:val="16"/>
            <w:lang w:val="en-US"/>
          </w:rPr>
          <w:t>phosphofructokinase, fructose-bisphosphate aldolase, glyceraldehyde 3-phosphate dehydrogenase and phosphoglycerate mutase.</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_Toc413666989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16</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0" w:history="1">
        <w:r w:rsidR="009B171E" w:rsidRPr="009B171E">
          <w:rPr>
            <w:rStyle w:val="Hyperlink"/>
            <w:rFonts w:ascii="Arial" w:hAnsi="Arial" w:cs="Arial"/>
            <w:caps w:val="0"/>
            <w:noProof/>
            <w:sz w:val="16"/>
            <w:szCs w:val="16"/>
          </w:rPr>
          <w:t>Table 3. Effect of acetylation on isocitrate dehydrogenase, succinate dehydrogenase, and malate dehydrogenase.</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_Toc413666990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19</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1" w:history="1">
        <w:r w:rsidR="009B171E" w:rsidRPr="009B171E">
          <w:rPr>
            <w:rStyle w:val="Hyperlink"/>
            <w:rFonts w:ascii="Arial" w:hAnsi="Arial" w:cs="Arial"/>
            <w:caps w:val="0"/>
            <w:noProof/>
            <w:sz w:val="16"/>
            <w:szCs w:val="16"/>
          </w:rPr>
          <w:t>Table 4. Effect of acetylation on acyl-CoA synthetase, enoyl-CoA hydratase, and β-hydroxyacyl-CoA dehydrogenase.</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_Toc413666991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23</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2" w:history="1">
        <w:r w:rsidR="009B171E" w:rsidRPr="009B171E">
          <w:rPr>
            <w:rStyle w:val="Hyperlink"/>
            <w:rFonts w:ascii="Arial" w:hAnsi="Arial" w:cs="Arial"/>
            <w:caps w:val="0"/>
            <w:noProof/>
            <w:sz w:val="16"/>
            <w:szCs w:val="16"/>
          </w:rPr>
          <w:t>Table 5. Effect of acetylation on pyruvate kinase, phosphoenolpyruvate carboxykinase, lactate dehydrogenase, and pyruvate carboxylase.</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_Toc413666992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25</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3" w:history="1">
        <w:r w:rsidR="009B171E" w:rsidRPr="009B171E">
          <w:rPr>
            <w:rStyle w:val="Hyperlink"/>
            <w:rFonts w:ascii="Arial" w:hAnsi="Arial" w:cs="Arial"/>
            <w:caps w:val="0"/>
            <w:noProof/>
            <w:sz w:val="16"/>
            <w:szCs w:val="16"/>
          </w:rPr>
          <w:t xml:space="preserve">Table 6. </w:t>
        </w:r>
        <w:r w:rsidR="009B171E" w:rsidRPr="009B171E">
          <w:rPr>
            <w:rStyle w:val="Hyperlink"/>
            <w:rFonts w:ascii="Arial" w:hAnsi="Arial" w:cs="Arial"/>
            <w:caps w:val="0"/>
            <w:noProof/>
            <w:sz w:val="16"/>
            <w:szCs w:val="16"/>
            <w:lang w:val="en-US"/>
          </w:rPr>
          <w:t>Protein Profiling Techniques.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_Toc413666993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28</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4" w:history="1">
        <w:r w:rsidR="009B171E" w:rsidRPr="009B171E">
          <w:rPr>
            <w:rStyle w:val="Hyperlink"/>
            <w:rFonts w:ascii="Arial" w:hAnsi="Arial" w:cs="Arial"/>
            <w:caps w:val="0"/>
            <w:noProof/>
            <w:sz w:val="16"/>
            <w:szCs w:val="16"/>
          </w:rPr>
          <w:t>Table 7. Summary of findings made using protein profiling techniques.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_Toc413666994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31</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5" w:history="1">
        <w:r w:rsidR="009B171E" w:rsidRPr="009B171E">
          <w:rPr>
            <w:rStyle w:val="Hyperlink"/>
            <w:rFonts w:ascii="Arial" w:hAnsi="Arial" w:cs="Arial"/>
            <w:caps w:val="0"/>
            <w:noProof/>
            <w:sz w:val="16"/>
            <w:szCs w:val="16"/>
          </w:rPr>
          <w:t xml:space="preserve">Table 8. </w:t>
        </w:r>
        <w:r w:rsidR="009B171E" w:rsidRPr="009B171E">
          <w:rPr>
            <w:rStyle w:val="Hyperlink"/>
            <w:rFonts w:ascii="Arial" w:hAnsi="Arial" w:cs="Arial"/>
            <w:caps w:val="0"/>
            <w:noProof/>
            <w:sz w:val="16"/>
            <w:szCs w:val="16"/>
            <w:lang w:val="en-US"/>
          </w:rPr>
          <w:t>Models developed by BC.</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_Toc413666995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40</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6" w:history="1">
        <w:r w:rsidR="009B171E" w:rsidRPr="009B171E">
          <w:rPr>
            <w:rStyle w:val="Hyperlink"/>
            <w:rFonts w:ascii="Arial" w:hAnsi="Arial" w:cs="Arial"/>
            <w:caps w:val="0"/>
            <w:noProof/>
            <w:sz w:val="16"/>
            <w:szCs w:val="16"/>
          </w:rPr>
          <w:t>Table 9. Initial concentrations of the substrate species defined in the models.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_Toc413666996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42</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7" w:history="1">
        <w:r w:rsidR="009B171E">
          <w:rPr>
            <w:rStyle w:val="Hyperlink"/>
            <w:rFonts w:ascii="Arial" w:hAnsi="Arial" w:cs="Arial"/>
            <w:caps w:val="0"/>
            <w:noProof/>
            <w:sz w:val="16"/>
            <w:szCs w:val="16"/>
          </w:rPr>
          <w:t xml:space="preserve">Table 10. Coverage ratio. </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_Toc413666997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48</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8" w:history="1">
        <w:r w:rsidR="009B171E" w:rsidRPr="009B171E">
          <w:rPr>
            <w:rStyle w:val="Hyperlink"/>
            <w:rFonts w:ascii="Arial" w:hAnsi="Arial" w:cs="Arial"/>
            <w:caps w:val="0"/>
            <w:noProof/>
            <w:sz w:val="16"/>
            <w:szCs w:val="16"/>
          </w:rPr>
          <w:t>Table 11. Matching pathways.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_Toc413666998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58</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6999" w:history="1">
        <w:r w:rsidR="009B171E" w:rsidRPr="009B171E">
          <w:rPr>
            <w:rStyle w:val="Hyperlink"/>
            <w:rFonts w:ascii="Arial" w:hAnsi="Arial" w:cs="Arial"/>
            <w:caps w:val="0"/>
            <w:noProof/>
            <w:sz w:val="16"/>
            <w:szCs w:val="16"/>
          </w:rPr>
          <w:t>Table 12. Enzymes matching Metabolism pathway.</w:t>
        </w:r>
        <w:r w:rsidR="009B171E" w:rsidRPr="009B171E">
          <w:rPr>
            <w:rStyle w:val="Hyperlink"/>
            <w:rFonts w:ascii="Arial" w:hAnsi="Arial" w:cs="Arial"/>
            <w:i/>
            <w:caps w:val="0"/>
            <w:noProof/>
            <w:sz w:val="16"/>
            <w:szCs w:val="16"/>
          </w:rPr>
          <w:t>.</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_Toc413666999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59</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7000" w:history="1">
        <w:r w:rsidR="009B171E" w:rsidRPr="009B171E">
          <w:rPr>
            <w:rStyle w:val="Hyperlink"/>
            <w:rFonts w:ascii="Arial" w:hAnsi="Arial" w:cs="Arial"/>
            <w:caps w:val="0"/>
            <w:noProof/>
            <w:sz w:val="16"/>
            <w:szCs w:val="16"/>
          </w:rPr>
          <w:t>Table 13. Acetylation of lysine residues, variation in response to butyrate and impact of lysine residues acetylation on glycolytic enzymes.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_Toc413667000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88</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7001" w:history="1">
        <w:r w:rsidR="009B171E" w:rsidRPr="009B171E">
          <w:rPr>
            <w:rStyle w:val="Hyperlink"/>
            <w:rFonts w:ascii="Arial" w:hAnsi="Arial" w:cs="Arial"/>
            <w:caps w:val="0"/>
            <w:noProof/>
            <w:sz w:val="16"/>
            <w:szCs w:val="16"/>
          </w:rPr>
          <w:t>Table 14. Acetylation of lysine residues, variation in response to butyrate and impact of lysine residues acetylation on the TCA cycle enzymes.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_Toc413667001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89</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7002" w:history="1">
        <w:r w:rsidR="009B171E" w:rsidRPr="009B171E">
          <w:rPr>
            <w:rStyle w:val="Hyperlink"/>
            <w:rFonts w:ascii="Arial" w:hAnsi="Arial" w:cs="Arial"/>
            <w:caps w:val="0"/>
            <w:noProof/>
            <w:sz w:val="16"/>
            <w:szCs w:val="16"/>
          </w:rPr>
          <w:t>Table 15. Acetylation of lysine residues, variation in response to butyrate and impact of lysine residues acetylation on β-oxidation enzymes.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_Toc413667002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90</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7003" w:history="1">
        <w:r w:rsidR="009B171E" w:rsidRPr="009B171E">
          <w:rPr>
            <w:rStyle w:val="Hyperlink"/>
            <w:rFonts w:ascii="Arial" w:hAnsi="Arial" w:cs="Arial"/>
            <w:caps w:val="0"/>
            <w:noProof/>
            <w:sz w:val="16"/>
            <w:szCs w:val="16"/>
          </w:rPr>
          <w:t>Table 16. Acetylation of lysine residues, variation in response to butyrate and impact of lysine residues acetylation on Pyruvate metabolism enzymes.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_Toc413667003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90</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7004" w:history="1">
        <w:r w:rsidR="009B171E" w:rsidRPr="009B171E">
          <w:rPr>
            <w:rStyle w:val="Hyperlink"/>
            <w:rFonts w:ascii="Arial" w:hAnsi="Arial" w:cs="Arial"/>
            <w:caps w:val="0"/>
            <w:noProof/>
            <w:sz w:val="16"/>
            <w:szCs w:val="16"/>
          </w:rPr>
          <w:t xml:space="preserve">Table 17. BP GO term </w:t>
        </w:r>
        <w:r w:rsidR="009B171E" w:rsidRPr="009B171E">
          <w:rPr>
            <w:rStyle w:val="Hyperlink"/>
            <w:rFonts w:ascii="Arial" w:hAnsi="Arial" w:cs="Arial"/>
            <w:i/>
            <w:caps w:val="0"/>
            <w:noProof/>
            <w:sz w:val="16"/>
            <w:szCs w:val="16"/>
          </w:rPr>
          <w:t>p-</w:t>
        </w:r>
        <w:r w:rsidR="009B171E" w:rsidRPr="009B171E">
          <w:rPr>
            <w:rStyle w:val="Hyperlink"/>
            <w:rFonts w:ascii="Arial" w:hAnsi="Arial" w:cs="Arial"/>
            <w:caps w:val="0"/>
            <w:noProof/>
            <w:sz w:val="16"/>
            <w:szCs w:val="16"/>
          </w:rPr>
          <w:t>values.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_Toc413667004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91</w:t>
        </w:r>
        <w:r w:rsidR="009B171E" w:rsidRPr="009B171E">
          <w:rPr>
            <w:rFonts w:ascii="Arial" w:hAnsi="Arial" w:cs="Arial"/>
            <w:caps w:val="0"/>
            <w:noProof/>
            <w:webHidden/>
            <w:sz w:val="16"/>
            <w:szCs w:val="16"/>
          </w:rPr>
          <w:fldChar w:fldCharType="end"/>
        </w:r>
      </w:hyperlink>
    </w:p>
    <w:p w:rsidR="009B171E" w:rsidRPr="009B171E" w:rsidRDefault="00221103">
      <w:pPr>
        <w:pStyle w:val="TableofFigures"/>
        <w:tabs>
          <w:tab w:val="right" w:leader="dot" w:pos="8828"/>
        </w:tabs>
        <w:rPr>
          <w:rFonts w:ascii="Arial" w:hAnsi="Arial" w:cs="Arial"/>
          <w:caps w:val="0"/>
          <w:noProof/>
          <w:sz w:val="16"/>
          <w:szCs w:val="16"/>
          <w:lang w:eastAsia="en-GB"/>
        </w:rPr>
      </w:pPr>
      <w:hyperlink w:anchor="_Toc413667005" w:history="1">
        <w:r w:rsidR="009B171E" w:rsidRPr="009B171E">
          <w:rPr>
            <w:rStyle w:val="Hyperlink"/>
            <w:rFonts w:ascii="Arial" w:hAnsi="Arial" w:cs="Arial"/>
            <w:caps w:val="0"/>
            <w:noProof/>
            <w:sz w:val="16"/>
            <w:szCs w:val="16"/>
          </w:rPr>
          <w:t xml:space="preserve">Table 18. CC GO term </w:t>
        </w:r>
        <w:r w:rsidR="009B171E" w:rsidRPr="009B171E">
          <w:rPr>
            <w:rStyle w:val="Hyperlink"/>
            <w:rFonts w:ascii="Arial" w:hAnsi="Arial" w:cs="Arial"/>
            <w:i/>
            <w:caps w:val="0"/>
            <w:noProof/>
            <w:sz w:val="16"/>
            <w:szCs w:val="16"/>
          </w:rPr>
          <w:t>p-</w:t>
        </w:r>
        <w:r w:rsidR="009B171E" w:rsidRPr="009B171E">
          <w:rPr>
            <w:rStyle w:val="Hyperlink"/>
            <w:rFonts w:ascii="Arial" w:hAnsi="Arial" w:cs="Arial"/>
            <w:caps w:val="0"/>
            <w:noProof/>
            <w:sz w:val="16"/>
            <w:szCs w:val="16"/>
          </w:rPr>
          <w:t>values.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_Toc413667005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91</w:t>
        </w:r>
        <w:r w:rsidR="009B171E" w:rsidRPr="009B171E">
          <w:rPr>
            <w:rFonts w:ascii="Arial" w:hAnsi="Arial" w:cs="Arial"/>
            <w:caps w:val="0"/>
            <w:noProof/>
            <w:webHidden/>
            <w:sz w:val="16"/>
            <w:szCs w:val="16"/>
          </w:rPr>
          <w:fldChar w:fldCharType="end"/>
        </w:r>
      </w:hyperlink>
    </w:p>
    <w:p w:rsidR="009B171E" w:rsidRDefault="00221103">
      <w:pPr>
        <w:pStyle w:val="TableofFigures"/>
        <w:tabs>
          <w:tab w:val="right" w:leader="dot" w:pos="8828"/>
        </w:tabs>
        <w:rPr>
          <w:caps w:val="0"/>
          <w:noProof/>
          <w:sz w:val="22"/>
          <w:szCs w:val="22"/>
          <w:lang w:eastAsia="en-GB"/>
        </w:rPr>
      </w:pPr>
      <w:hyperlink w:anchor="_Toc413667006" w:history="1">
        <w:r w:rsidR="009B171E" w:rsidRPr="009B171E">
          <w:rPr>
            <w:rStyle w:val="Hyperlink"/>
            <w:rFonts w:ascii="Arial" w:hAnsi="Arial" w:cs="Arial"/>
            <w:caps w:val="0"/>
            <w:noProof/>
            <w:sz w:val="16"/>
            <w:szCs w:val="16"/>
          </w:rPr>
          <w:t xml:space="preserve">Table 19. MF GO term </w:t>
        </w:r>
        <w:r w:rsidR="009B171E" w:rsidRPr="009B171E">
          <w:rPr>
            <w:rStyle w:val="Hyperlink"/>
            <w:rFonts w:ascii="Arial" w:hAnsi="Arial" w:cs="Arial"/>
            <w:i/>
            <w:caps w:val="0"/>
            <w:noProof/>
            <w:sz w:val="16"/>
            <w:szCs w:val="16"/>
          </w:rPr>
          <w:t>p-</w:t>
        </w:r>
        <w:r w:rsidR="009B171E" w:rsidRPr="009B171E">
          <w:rPr>
            <w:rStyle w:val="Hyperlink"/>
            <w:rFonts w:ascii="Arial" w:hAnsi="Arial" w:cs="Arial"/>
            <w:caps w:val="0"/>
            <w:noProof/>
            <w:sz w:val="16"/>
            <w:szCs w:val="16"/>
          </w:rPr>
          <w:t>values.</w:t>
        </w:r>
        <w:r w:rsidR="009B171E" w:rsidRPr="009B171E">
          <w:rPr>
            <w:rFonts w:ascii="Arial" w:hAnsi="Arial" w:cs="Arial"/>
            <w:caps w:val="0"/>
            <w:noProof/>
            <w:webHidden/>
            <w:sz w:val="16"/>
            <w:szCs w:val="16"/>
          </w:rPr>
          <w:tab/>
        </w:r>
        <w:r w:rsidR="009B171E" w:rsidRPr="009B171E">
          <w:rPr>
            <w:rFonts w:ascii="Arial" w:hAnsi="Arial" w:cs="Arial"/>
            <w:caps w:val="0"/>
            <w:noProof/>
            <w:webHidden/>
            <w:sz w:val="16"/>
            <w:szCs w:val="16"/>
          </w:rPr>
          <w:fldChar w:fldCharType="begin"/>
        </w:r>
        <w:r w:rsidR="009B171E" w:rsidRPr="009B171E">
          <w:rPr>
            <w:rFonts w:ascii="Arial" w:hAnsi="Arial" w:cs="Arial"/>
            <w:caps w:val="0"/>
            <w:noProof/>
            <w:webHidden/>
            <w:sz w:val="16"/>
            <w:szCs w:val="16"/>
          </w:rPr>
          <w:instrText xml:space="preserve"> PAGEREF _Toc413667006 \h </w:instrText>
        </w:r>
        <w:r w:rsidR="009B171E" w:rsidRPr="009B171E">
          <w:rPr>
            <w:rFonts w:ascii="Arial" w:hAnsi="Arial" w:cs="Arial"/>
            <w:caps w:val="0"/>
            <w:noProof/>
            <w:webHidden/>
            <w:sz w:val="16"/>
            <w:szCs w:val="16"/>
          </w:rPr>
        </w:r>
        <w:r w:rsidR="009B171E" w:rsidRPr="009B171E">
          <w:rPr>
            <w:rFonts w:ascii="Arial" w:hAnsi="Arial" w:cs="Arial"/>
            <w:caps w:val="0"/>
            <w:noProof/>
            <w:webHidden/>
            <w:sz w:val="16"/>
            <w:szCs w:val="16"/>
          </w:rPr>
          <w:fldChar w:fldCharType="separate"/>
        </w:r>
        <w:r w:rsidR="00DC0376">
          <w:rPr>
            <w:rFonts w:ascii="Arial" w:hAnsi="Arial" w:cs="Arial"/>
            <w:caps w:val="0"/>
            <w:noProof/>
            <w:webHidden/>
            <w:sz w:val="16"/>
            <w:szCs w:val="16"/>
          </w:rPr>
          <w:t>92</w:t>
        </w:r>
        <w:r w:rsidR="009B171E" w:rsidRPr="009B171E">
          <w:rPr>
            <w:rFonts w:ascii="Arial" w:hAnsi="Arial" w:cs="Arial"/>
            <w:caps w:val="0"/>
            <w:noProof/>
            <w:webHidden/>
            <w:sz w:val="16"/>
            <w:szCs w:val="16"/>
          </w:rPr>
          <w:fldChar w:fldCharType="end"/>
        </w:r>
      </w:hyperlink>
    </w:p>
    <w:p w:rsidR="00EF1380" w:rsidRPr="00AA5B99" w:rsidRDefault="006C2756" w:rsidP="00EF1380">
      <w:pPr>
        <w:jc w:val="both"/>
        <w:rPr>
          <w:sz w:val="24"/>
          <w:szCs w:val="24"/>
        </w:rPr>
      </w:pPr>
      <w:r w:rsidRPr="00A34CDA">
        <w:rPr>
          <w:rFonts w:ascii="Arial" w:hAnsi="Arial" w:cs="Arial"/>
          <w:sz w:val="16"/>
          <w:szCs w:val="16"/>
        </w:rPr>
        <w:fldChar w:fldCharType="end"/>
      </w:r>
    </w:p>
    <w:p w:rsidR="00EF1380" w:rsidRDefault="00EF1380" w:rsidP="00EF1380">
      <w:pPr>
        <w:spacing w:after="160" w:line="259" w:lineRule="auto"/>
        <w:rPr>
          <w:rStyle w:val="SC118877"/>
          <w:rFonts w:ascii="Arial" w:eastAsiaTheme="majorEastAsia" w:hAnsi="Arial" w:cs="Arial"/>
          <w:b/>
          <w:bCs/>
          <w:kern w:val="36"/>
          <w:sz w:val="28"/>
          <w:szCs w:val="28"/>
        </w:rPr>
      </w:pPr>
      <w:r>
        <w:rPr>
          <w:rStyle w:val="SC118877"/>
          <w:rFonts w:ascii="Arial" w:eastAsiaTheme="majorEastAsia" w:hAnsi="Arial" w:cs="Arial"/>
          <w:sz w:val="28"/>
          <w:szCs w:val="28"/>
        </w:rPr>
        <w:br w:type="page"/>
      </w:r>
    </w:p>
    <w:p w:rsidR="00EF1380" w:rsidRPr="0066178F" w:rsidRDefault="00EF1380" w:rsidP="00EF1380">
      <w:pPr>
        <w:pStyle w:val="Heading1"/>
        <w:rPr>
          <w:rStyle w:val="SC118877"/>
          <w:rFonts w:ascii="Arial" w:eastAsiaTheme="majorEastAsia" w:hAnsi="Arial" w:cs="Arial"/>
          <w:color w:val="auto"/>
          <w:sz w:val="28"/>
          <w:szCs w:val="28"/>
        </w:rPr>
      </w:pPr>
      <w:bookmarkStart w:id="3" w:name="_Toc413753738"/>
      <w:r w:rsidRPr="0066178F">
        <w:rPr>
          <w:rStyle w:val="SC118877"/>
          <w:rFonts w:ascii="Arial" w:eastAsiaTheme="majorEastAsia" w:hAnsi="Arial" w:cs="Arial"/>
          <w:color w:val="auto"/>
          <w:sz w:val="28"/>
          <w:szCs w:val="28"/>
        </w:rPr>
        <w:lastRenderedPageBreak/>
        <w:t>ABSTRACT</w:t>
      </w:r>
      <w:bookmarkEnd w:id="3"/>
    </w:p>
    <w:p w:rsidR="00EF1380" w:rsidRDefault="00EF1380" w:rsidP="00EF1380">
      <w:pPr>
        <w:jc w:val="both"/>
        <w:rPr>
          <w:rFonts w:ascii="Arial" w:eastAsia="Times New Roman" w:hAnsi="Arial" w:cs="Arial"/>
          <w:sz w:val="24"/>
          <w:szCs w:val="24"/>
          <w:lang w:val="en-US"/>
        </w:rPr>
      </w:pPr>
      <w:r w:rsidRPr="00E832DC">
        <w:rPr>
          <w:rFonts w:ascii="Arial" w:eastAsia="Times New Roman" w:hAnsi="Arial" w:cs="Arial"/>
          <w:b/>
          <w:sz w:val="24"/>
          <w:szCs w:val="24"/>
          <w:lang w:val="en-US"/>
        </w:rPr>
        <w:t>Background</w:t>
      </w:r>
      <w:r>
        <w:rPr>
          <w:rFonts w:ascii="Arial" w:eastAsia="Times New Roman" w:hAnsi="Arial" w:cs="Arial"/>
          <w:sz w:val="24"/>
          <w:szCs w:val="24"/>
          <w:lang w:val="en-US"/>
        </w:rPr>
        <w:t xml:space="preserve">: </w:t>
      </w:r>
      <w:r w:rsidRPr="00825C45">
        <w:rPr>
          <w:rFonts w:ascii="Arial" w:eastAsia="Times New Roman" w:hAnsi="Arial" w:cs="Arial"/>
          <w:sz w:val="24"/>
          <w:szCs w:val="24"/>
          <w:lang w:val="en-US"/>
        </w:rPr>
        <w:t xml:space="preserve">Fibre fermentation by bacteria in the luminal colon leads to the production of short chain fatty </w:t>
      </w:r>
      <w:r>
        <w:rPr>
          <w:rFonts w:ascii="Arial" w:eastAsia="Times New Roman" w:hAnsi="Arial" w:cs="Arial"/>
          <w:sz w:val="24"/>
          <w:szCs w:val="24"/>
          <w:lang w:val="en-US"/>
        </w:rPr>
        <w:t xml:space="preserve">acids </w:t>
      </w:r>
      <w:r w:rsidRPr="00825C45">
        <w:rPr>
          <w:rFonts w:ascii="Arial" w:eastAsia="Times New Roman" w:hAnsi="Arial" w:cs="Arial"/>
          <w:sz w:val="24"/>
          <w:szCs w:val="24"/>
          <w:lang w:val="en-US"/>
        </w:rPr>
        <w:t>(SCFAs)</w:t>
      </w:r>
      <w:r>
        <w:rPr>
          <w:rFonts w:ascii="Arial" w:eastAsia="Times New Roman" w:hAnsi="Arial" w:cs="Arial"/>
          <w:sz w:val="24"/>
          <w:szCs w:val="24"/>
          <w:lang w:val="en-US"/>
        </w:rPr>
        <w:t xml:space="preserve">, which </w:t>
      </w:r>
      <w:r w:rsidRPr="00825C45">
        <w:rPr>
          <w:rFonts w:ascii="Arial" w:eastAsia="Times New Roman" w:hAnsi="Arial" w:cs="Arial"/>
          <w:sz w:val="24"/>
          <w:szCs w:val="24"/>
          <w:lang w:val="en-US"/>
        </w:rPr>
        <w:t xml:space="preserve">have been </w:t>
      </w:r>
      <w:r>
        <w:rPr>
          <w:rFonts w:ascii="Arial" w:eastAsia="Times New Roman" w:hAnsi="Arial" w:cs="Arial"/>
          <w:sz w:val="24"/>
          <w:szCs w:val="24"/>
          <w:lang w:val="en-US"/>
        </w:rPr>
        <w:t>thought</w:t>
      </w:r>
      <w:r w:rsidRPr="00825C45">
        <w:rPr>
          <w:rFonts w:ascii="Arial" w:eastAsia="Times New Roman" w:hAnsi="Arial" w:cs="Arial"/>
          <w:sz w:val="24"/>
          <w:szCs w:val="24"/>
          <w:lang w:val="en-US"/>
        </w:rPr>
        <w:t xml:space="preserve"> to alter global protein acetylation patterns depending on</w:t>
      </w:r>
      <w:r>
        <w:rPr>
          <w:rFonts w:ascii="Arial" w:eastAsia="Times New Roman" w:hAnsi="Arial" w:cs="Arial"/>
          <w:sz w:val="24"/>
          <w:szCs w:val="24"/>
          <w:lang w:val="en-US"/>
        </w:rPr>
        <w:t xml:space="preserve"> </w:t>
      </w:r>
      <w:r w:rsidRPr="00825C45">
        <w:rPr>
          <w:rFonts w:ascii="Arial" w:eastAsia="Times New Roman" w:hAnsi="Arial" w:cs="Arial"/>
          <w:sz w:val="24"/>
          <w:szCs w:val="24"/>
          <w:lang w:val="en-US"/>
        </w:rPr>
        <w:t xml:space="preserve">their concentration levels </w:t>
      </w:r>
      <w:r>
        <w:rPr>
          <w:rFonts w:ascii="Arial" w:eastAsia="Times New Roman" w:hAnsi="Arial" w:cs="Arial"/>
          <w:sz w:val="24"/>
          <w:szCs w:val="24"/>
          <w:lang w:val="en-US"/>
        </w:rPr>
        <w:t xml:space="preserve">through </w:t>
      </w:r>
      <w:r w:rsidRPr="00825C45">
        <w:rPr>
          <w:rFonts w:ascii="Arial" w:eastAsia="Times New Roman" w:hAnsi="Arial" w:cs="Arial"/>
          <w:sz w:val="24"/>
          <w:szCs w:val="24"/>
          <w:lang w:val="en-US"/>
        </w:rPr>
        <w:t>their role as lysine deacetylase inhibitors.</w:t>
      </w:r>
    </w:p>
    <w:p w:rsidR="00EF1380" w:rsidRDefault="00EF1380" w:rsidP="00EF1380">
      <w:pPr>
        <w:jc w:val="both"/>
        <w:rPr>
          <w:rFonts w:ascii="Arial" w:eastAsia="Times New Roman" w:hAnsi="Arial" w:cs="Arial"/>
          <w:sz w:val="24"/>
          <w:szCs w:val="24"/>
          <w:lang w:val="en-US"/>
        </w:rPr>
      </w:pPr>
      <w:r w:rsidRPr="00E832DC">
        <w:rPr>
          <w:rFonts w:ascii="Arial" w:eastAsia="Times New Roman" w:hAnsi="Arial" w:cs="Arial"/>
          <w:b/>
          <w:sz w:val="24"/>
          <w:szCs w:val="24"/>
          <w:lang w:val="en-US"/>
        </w:rPr>
        <w:t>Aim</w:t>
      </w:r>
      <w:r>
        <w:rPr>
          <w:rFonts w:ascii="Arial" w:eastAsia="Times New Roman" w:hAnsi="Arial" w:cs="Arial"/>
          <w:sz w:val="24"/>
          <w:szCs w:val="24"/>
          <w:lang w:val="en-US"/>
        </w:rPr>
        <w:t>: Perform a representation analysis on a proteomic dataset. M</w:t>
      </w:r>
      <w:r w:rsidRPr="004D4A26">
        <w:rPr>
          <w:rFonts w:ascii="Arial" w:eastAsia="Times New Roman" w:hAnsi="Arial" w:cs="Arial"/>
          <w:sz w:val="24"/>
          <w:szCs w:val="24"/>
          <w:lang w:val="en-US"/>
        </w:rPr>
        <w:t xml:space="preserve">odel the action of </w:t>
      </w:r>
      <w:r>
        <w:rPr>
          <w:rFonts w:ascii="Arial" w:eastAsia="Times New Roman" w:hAnsi="Arial" w:cs="Arial"/>
          <w:sz w:val="24"/>
          <w:szCs w:val="24"/>
          <w:lang w:val="en-US"/>
        </w:rPr>
        <w:t>increasing concentrations of acetate, butyrate, propionate</w:t>
      </w:r>
      <w:r w:rsidRPr="004D4A26">
        <w:rPr>
          <w:rFonts w:ascii="Arial" w:eastAsia="Times New Roman" w:hAnsi="Arial" w:cs="Arial"/>
          <w:sz w:val="24"/>
          <w:szCs w:val="24"/>
          <w:lang w:val="en-US"/>
        </w:rPr>
        <w:t xml:space="preserve"> and </w:t>
      </w:r>
      <w:r>
        <w:rPr>
          <w:rFonts w:ascii="Arial" w:eastAsia="Times New Roman" w:hAnsi="Arial" w:cs="Arial"/>
          <w:sz w:val="24"/>
          <w:szCs w:val="24"/>
          <w:lang w:val="en-US"/>
        </w:rPr>
        <w:t xml:space="preserve">glucose on acetyl-CoA and CoA and to simulate the effect of a time course on the levels of butyryl-CoA, propionyl-CoA, acetyl-CoA and CoA. </w:t>
      </w:r>
    </w:p>
    <w:p w:rsidR="00EF1380" w:rsidRDefault="00EF1380" w:rsidP="00EF1380">
      <w:pPr>
        <w:jc w:val="both"/>
        <w:rPr>
          <w:rFonts w:ascii="Arial" w:eastAsia="Times New Roman" w:hAnsi="Arial" w:cs="Arial"/>
          <w:sz w:val="24"/>
          <w:szCs w:val="24"/>
          <w:lang w:val="en-US"/>
        </w:rPr>
      </w:pPr>
      <w:r w:rsidRPr="00E832DC">
        <w:rPr>
          <w:rFonts w:ascii="Arial" w:eastAsia="Times New Roman" w:hAnsi="Arial" w:cs="Arial"/>
          <w:b/>
          <w:sz w:val="24"/>
          <w:szCs w:val="24"/>
          <w:lang w:val="en-US"/>
        </w:rPr>
        <w:t>Methods</w:t>
      </w:r>
      <w:r>
        <w:rPr>
          <w:rFonts w:ascii="Arial" w:eastAsia="Times New Roman" w:hAnsi="Arial" w:cs="Arial"/>
          <w:sz w:val="24"/>
          <w:szCs w:val="24"/>
          <w:lang w:val="en-US"/>
        </w:rPr>
        <w:t>: An existing mitochond</w:t>
      </w:r>
      <w:r w:rsidRPr="00825C45">
        <w:rPr>
          <w:rFonts w:ascii="Arial" w:eastAsia="Times New Roman" w:hAnsi="Arial" w:cs="Arial"/>
          <w:sz w:val="24"/>
          <w:szCs w:val="24"/>
          <w:lang w:val="en-US"/>
        </w:rPr>
        <w:t>r</w:t>
      </w:r>
      <w:r>
        <w:rPr>
          <w:rFonts w:ascii="Arial" w:eastAsia="Times New Roman" w:hAnsi="Arial" w:cs="Arial"/>
          <w:sz w:val="24"/>
          <w:szCs w:val="24"/>
          <w:lang w:val="en-US"/>
        </w:rPr>
        <w:t>i</w:t>
      </w:r>
      <w:r w:rsidRPr="00825C45">
        <w:rPr>
          <w:rFonts w:ascii="Arial" w:eastAsia="Times New Roman" w:hAnsi="Arial" w:cs="Arial"/>
          <w:sz w:val="24"/>
          <w:szCs w:val="24"/>
          <w:lang w:val="en-US"/>
        </w:rPr>
        <w:t xml:space="preserve">al proteomic dataset was </w:t>
      </w:r>
      <w:r>
        <w:rPr>
          <w:rFonts w:ascii="Arial" w:eastAsia="Times New Roman" w:hAnsi="Arial" w:cs="Arial"/>
          <w:sz w:val="24"/>
          <w:szCs w:val="24"/>
          <w:lang w:val="en-US"/>
        </w:rPr>
        <w:t xml:space="preserve">examined </w:t>
      </w:r>
      <w:r w:rsidRPr="00825C45">
        <w:rPr>
          <w:rFonts w:ascii="Arial" w:eastAsia="Times New Roman" w:hAnsi="Arial" w:cs="Arial"/>
          <w:sz w:val="24"/>
          <w:szCs w:val="24"/>
          <w:lang w:val="en-US"/>
        </w:rPr>
        <w:t xml:space="preserve">to detect which metabolic enzymes </w:t>
      </w:r>
      <w:r>
        <w:rPr>
          <w:rFonts w:ascii="Arial" w:eastAsia="Times New Roman" w:hAnsi="Arial" w:cs="Arial"/>
          <w:sz w:val="24"/>
          <w:szCs w:val="24"/>
          <w:lang w:val="en-US"/>
        </w:rPr>
        <w:t xml:space="preserve">in glycolysis, the TCA cycle, </w:t>
      </w:r>
      <w:proofErr w:type="gramStart"/>
      <w:r>
        <w:rPr>
          <w:rFonts w:ascii="Arial" w:eastAsia="Times New Roman" w:hAnsi="Arial" w:cs="Arial"/>
          <w:sz w:val="24"/>
          <w:szCs w:val="24"/>
          <w:lang w:val="en-US"/>
        </w:rPr>
        <w:t>β</w:t>
      </w:r>
      <w:proofErr w:type="gramEnd"/>
      <w:r>
        <w:rPr>
          <w:rFonts w:ascii="Arial" w:eastAsia="Times New Roman" w:hAnsi="Arial" w:cs="Arial"/>
          <w:sz w:val="24"/>
          <w:szCs w:val="24"/>
          <w:lang w:val="en-US"/>
        </w:rPr>
        <w:t xml:space="preserve">-oxidation and pyruvate metabolism </w:t>
      </w:r>
      <w:r w:rsidRPr="00825C45">
        <w:rPr>
          <w:rFonts w:ascii="Arial" w:eastAsia="Times New Roman" w:hAnsi="Arial" w:cs="Arial"/>
          <w:sz w:val="24"/>
          <w:szCs w:val="24"/>
          <w:lang w:val="en-US"/>
        </w:rPr>
        <w:t xml:space="preserve">are acetylated. </w:t>
      </w:r>
      <w:r>
        <w:rPr>
          <w:rFonts w:ascii="Arial" w:eastAsia="Times New Roman" w:hAnsi="Arial" w:cs="Arial"/>
          <w:sz w:val="24"/>
          <w:szCs w:val="24"/>
          <w:lang w:val="en-US"/>
        </w:rPr>
        <w:t>Free access software (DAVID, Uniprot identifier, KEGG, and Reactome) was used to generate a</w:t>
      </w:r>
      <w:r w:rsidRPr="00825C45">
        <w:rPr>
          <w:rFonts w:ascii="Arial" w:eastAsia="Times New Roman" w:hAnsi="Arial" w:cs="Arial"/>
          <w:sz w:val="24"/>
          <w:szCs w:val="24"/>
          <w:lang w:val="en-US"/>
        </w:rPr>
        <w:t xml:space="preserve"> representation and acetylation map of these metabolic pathways</w:t>
      </w:r>
      <w:r>
        <w:rPr>
          <w:rFonts w:ascii="Arial" w:eastAsia="Times New Roman" w:hAnsi="Arial" w:cs="Arial"/>
          <w:sz w:val="24"/>
          <w:szCs w:val="24"/>
          <w:lang w:val="en-US"/>
        </w:rPr>
        <w:t>. E</w:t>
      </w:r>
      <w:r w:rsidRPr="00825C45">
        <w:rPr>
          <w:rFonts w:ascii="Arial" w:eastAsia="Times New Roman" w:hAnsi="Arial" w:cs="Arial"/>
          <w:sz w:val="24"/>
          <w:szCs w:val="24"/>
          <w:lang w:val="en-US"/>
        </w:rPr>
        <w:t>nrichment scores</w:t>
      </w:r>
      <w:r>
        <w:rPr>
          <w:rFonts w:ascii="Arial" w:eastAsia="Times New Roman" w:hAnsi="Arial" w:cs="Arial"/>
          <w:sz w:val="24"/>
          <w:szCs w:val="24"/>
          <w:lang w:val="en-US"/>
        </w:rPr>
        <w:t xml:space="preserve"> of functional annotations in gene ontology terms, </w:t>
      </w:r>
      <w:r w:rsidRPr="00825C45">
        <w:rPr>
          <w:rFonts w:ascii="Arial" w:eastAsia="Times New Roman" w:hAnsi="Arial" w:cs="Arial"/>
          <w:sz w:val="24"/>
          <w:szCs w:val="24"/>
          <w:lang w:val="en-US"/>
        </w:rPr>
        <w:t xml:space="preserve">pathway percentage coverage </w:t>
      </w:r>
      <w:r>
        <w:rPr>
          <w:rFonts w:ascii="Arial" w:eastAsia="Times New Roman" w:hAnsi="Arial" w:cs="Arial"/>
          <w:sz w:val="24"/>
          <w:szCs w:val="24"/>
          <w:lang w:val="en-US"/>
        </w:rPr>
        <w:t>and</w:t>
      </w:r>
      <w:r w:rsidRPr="00825C45">
        <w:rPr>
          <w:rFonts w:ascii="Arial" w:eastAsia="Times New Roman" w:hAnsi="Arial" w:cs="Arial"/>
          <w:sz w:val="24"/>
          <w:szCs w:val="24"/>
          <w:lang w:val="en-US"/>
        </w:rPr>
        <w:t xml:space="preserve"> matching representation </w:t>
      </w:r>
      <w:r>
        <w:rPr>
          <w:rFonts w:ascii="Arial" w:eastAsia="Times New Roman" w:hAnsi="Arial" w:cs="Arial"/>
          <w:sz w:val="24"/>
          <w:szCs w:val="24"/>
          <w:lang w:val="en-US"/>
        </w:rPr>
        <w:t xml:space="preserve">of these pathways </w:t>
      </w:r>
      <w:r w:rsidRPr="00825C45">
        <w:rPr>
          <w:rFonts w:ascii="Arial" w:eastAsia="Times New Roman" w:hAnsi="Arial" w:cs="Arial"/>
          <w:sz w:val="24"/>
          <w:szCs w:val="24"/>
          <w:lang w:val="en-US"/>
        </w:rPr>
        <w:t>were also elucidated</w:t>
      </w:r>
      <w:r>
        <w:rPr>
          <w:rFonts w:ascii="Arial" w:eastAsia="Times New Roman" w:hAnsi="Arial" w:cs="Arial"/>
          <w:sz w:val="24"/>
          <w:szCs w:val="24"/>
          <w:lang w:val="en-US"/>
        </w:rPr>
        <w:t xml:space="preserve"> by using this software</w:t>
      </w:r>
      <w:r w:rsidRPr="00825C45">
        <w:rPr>
          <w:rFonts w:ascii="Arial" w:eastAsia="Times New Roman" w:hAnsi="Arial" w:cs="Arial"/>
          <w:sz w:val="24"/>
          <w:szCs w:val="24"/>
          <w:lang w:val="en-US"/>
        </w:rPr>
        <w:t>.</w:t>
      </w:r>
      <w:r>
        <w:rPr>
          <w:rFonts w:ascii="Arial" w:eastAsia="Times New Roman" w:hAnsi="Arial" w:cs="Arial"/>
          <w:sz w:val="24"/>
          <w:szCs w:val="24"/>
          <w:lang w:val="en-US"/>
        </w:rPr>
        <w:t xml:space="preserve"> T</w:t>
      </w:r>
      <w:r w:rsidR="002C3C03">
        <w:rPr>
          <w:rFonts w:ascii="Arial" w:eastAsia="Times New Roman" w:hAnsi="Arial" w:cs="Arial"/>
          <w:sz w:val="24"/>
          <w:szCs w:val="24"/>
          <w:lang w:val="en-US"/>
        </w:rPr>
        <w:t>wo</w:t>
      </w:r>
      <w:r>
        <w:rPr>
          <w:rFonts w:ascii="Arial" w:eastAsia="Times New Roman" w:hAnsi="Arial" w:cs="Arial"/>
          <w:sz w:val="24"/>
          <w:szCs w:val="24"/>
          <w:lang w:val="en-US"/>
        </w:rPr>
        <w:t xml:space="preserve"> models developed by Bernard Corfe, </w:t>
      </w:r>
      <w:r>
        <w:rPr>
          <w:rStyle w:val="hps"/>
          <w:rFonts w:ascii="Arial" w:hAnsi="Arial" w:cs="Arial"/>
          <w:sz w:val="24"/>
          <w:szCs w:val="24"/>
          <w:lang w:val="en-US"/>
        </w:rPr>
        <w:t xml:space="preserve">butyrate_v3-1 and SCFA uptake and oxidation v4, were used to </w:t>
      </w:r>
      <w:r w:rsidRPr="00825C45">
        <w:rPr>
          <w:rFonts w:ascii="Arial" w:eastAsia="Times New Roman" w:hAnsi="Arial" w:cs="Arial"/>
          <w:sz w:val="24"/>
          <w:szCs w:val="24"/>
        </w:rPr>
        <w:t xml:space="preserve">simulate the effect of a time course </w:t>
      </w:r>
      <w:r>
        <w:rPr>
          <w:rFonts w:ascii="Arial" w:eastAsia="Times New Roman" w:hAnsi="Arial" w:cs="Arial"/>
          <w:sz w:val="24"/>
          <w:szCs w:val="24"/>
        </w:rPr>
        <w:t xml:space="preserve">and to model </w:t>
      </w:r>
      <w:r w:rsidRPr="00825C45">
        <w:rPr>
          <w:rFonts w:ascii="Arial" w:eastAsia="Times New Roman" w:hAnsi="Arial" w:cs="Arial"/>
          <w:sz w:val="24"/>
          <w:szCs w:val="24"/>
        </w:rPr>
        <w:t xml:space="preserve">the action of increasing concentrations of </w:t>
      </w:r>
      <w:r>
        <w:rPr>
          <w:rFonts w:ascii="Arial" w:eastAsia="Times New Roman" w:hAnsi="Arial" w:cs="Arial"/>
          <w:sz w:val="24"/>
          <w:szCs w:val="24"/>
        </w:rPr>
        <w:t xml:space="preserve">SCFAs </w:t>
      </w:r>
      <w:r w:rsidRPr="00825C45">
        <w:rPr>
          <w:rFonts w:ascii="Arial" w:eastAsia="Times New Roman" w:hAnsi="Arial" w:cs="Arial"/>
          <w:sz w:val="24"/>
          <w:szCs w:val="24"/>
        </w:rPr>
        <w:t>and</w:t>
      </w:r>
      <w:r>
        <w:rPr>
          <w:rFonts w:ascii="Arial" w:eastAsia="Times New Roman" w:hAnsi="Arial" w:cs="Arial"/>
          <w:sz w:val="24"/>
          <w:szCs w:val="24"/>
        </w:rPr>
        <w:t xml:space="preserve"> glucose in COPASI.</w:t>
      </w:r>
    </w:p>
    <w:p w:rsidR="00EF1380" w:rsidRDefault="00EF1380" w:rsidP="00EF1380">
      <w:pPr>
        <w:jc w:val="both"/>
        <w:rPr>
          <w:rFonts w:ascii="Arial" w:eastAsia="Times New Roman" w:hAnsi="Arial" w:cs="Arial"/>
          <w:sz w:val="24"/>
          <w:szCs w:val="24"/>
        </w:rPr>
      </w:pPr>
      <w:r w:rsidRPr="00E832DC">
        <w:rPr>
          <w:rFonts w:ascii="Arial" w:eastAsia="Times New Roman" w:hAnsi="Arial" w:cs="Arial"/>
          <w:b/>
          <w:sz w:val="24"/>
          <w:szCs w:val="24"/>
          <w:lang w:val="en-US"/>
        </w:rPr>
        <w:t>Results</w:t>
      </w:r>
      <w:r>
        <w:rPr>
          <w:rFonts w:ascii="Arial" w:eastAsia="Times New Roman" w:hAnsi="Arial" w:cs="Arial"/>
          <w:sz w:val="24"/>
          <w:szCs w:val="24"/>
          <w:lang w:val="en-US"/>
        </w:rPr>
        <w:t xml:space="preserve">: </w:t>
      </w:r>
      <w:r w:rsidRPr="00825C45">
        <w:rPr>
          <w:rFonts w:ascii="Arial" w:eastAsia="Times New Roman" w:hAnsi="Arial" w:cs="Arial"/>
          <w:sz w:val="24"/>
          <w:szCs w:val="24"/>
          <w:lang w:val="en-US"/>
        </w:rPr>
        <w:t>Changes in the acetylation patterns of metabolic enzymes were reflected in terms of enrichment scores</w:t>
      </w:r>
      <w:r>
        <w:rPr>
          <w:rFonts w:ascii="Arial" w:eastAsia="Times New Roman" w:hAnsi="Arial" w:cs="Arial"/>
          <w:sz w:val="24"/>
          <w:szCs w:val="24"/>
          <w:lang w:val="en-US"/>
        </w:rPr>
        <w:t>,</w:t>
      </w:r>
      <w:r w:rsidRPr="00825C45">
        <w:rPr>
          <w:rFonts w:ascii="Arial" w:eastAsia="Times New Roman" w:hAnsi="Arial" w:cs="Arial"/>
          <w:sz w:val="24"/>
          <w:szCs w:val="24"/>
          <w:lang w:val="en-US"/>
        </w:rPr>
        <w:t xml:space="preserve"> percentage coverage, and matching representation. T</w:t>
      </w:r>
      <w:r w:rsidRPr="00825C45">
        <w:rPr>
          <w:rFonts w:ascii="Arial" w:eastAsia="Times New Roman" w:hAnsi="Arial" w:cs="Arial"/>
          <w:sz w:val="24"/>
          <w:szCs w:val="24"/>
        </w:rPr>
        <w:t xml:space="preserve">he best model to simulate the effect of a time course was SCFA Uptake and Oxidation v4 model, whereas butyrate_v3-1 model was the best to simulate the action of increasing concentrations of </w:t>
      </w:r>
      <w:r>
        <w:rPr>
          <w:rFonts w:ascii="Arial" w:eastAsia="Times New Roman" w:hAnsi="Arial" w:cs="Arial"/>
          <w:sz w:val="24"/>
          <w:szCs w:val="24"/>
        </w:rPr>
        <w:t xml:space="preserve">SCFAs </w:t>
      </w:r>
      <w:r w:rsidRPr="00825C45">
        <w:rPr>
          <w:rFonts w:ascii="Arial" w:eastAsia="Times New Roman" w:hAnsi="Arial" w:cs="Arial"/>
          <w:sz w:val="24"/>
          <w:szCs w:val="24"/>
        </w:rPr>
        <w:t>and</w:t>
      </w:r>
      <w:r>
        <w:rPr>
          <w:rFonts w:ascii="Arial" w:eastAsia="Times New Roman" w:hAnsi="Arial" w:cs="Arial"/>
          <w:sz w:val="24"/>
          <w:szCs w:val="24"/>
        </w:rPr>
        <w:t xml:space="preserve"> glucose</w:t>
      </w:r>
      <w:r w:rsidRPr="00825C45">
        <w:rPr>
          <w:rFonts w:ascii="Arial" w:eastAsia="Times New Roman" w:hAnsi="Arial" w:cs="Arial"/>
          <w:sz w:val="24"/>
          <w:szCs w:val="24"/>
        </w:rPr>
        <w:t>.</w:t>
      </w:r>
    </w:p>
    <w:p w:rsidR="00EF1380" w:rsidRPr="00E61520" w:rsidRDefault="00EF1380" w:rsidP="00EF1380">
      <w:pPr>
        <w:jc w:val="both"/>
        <w:rPr>
          <w:rFonts w:ascii="Arial" w:eastAsia="Times New Roman" w:hAnsi="Arial" w:cs="Arial"/>
          <w:sz w:val="24"/>
          <w:szCs w:val="24"/>
        </w:rPr>
      </w:pPr>
      <w:r w:rsidRPr="00E832DC">
        <w:rPr>
          <w:rFonts w:ascii="Arial" w:eastAsia="Times New Roman" w:hAnsi="Arial" w:cs="Arial"/>
          <w:b/>
          <w:sz w:val="24"/>
          <w:szCs w:val="24"/>
        </w:rPr>
        <w:t>Conclusions</w:t>
      </w:r>
      <w:r>
        <w:rPr>
          <w:rFonts w:ascii="Arial" w:eastAsia="Times New Roman" w:hAnsi="Arial" w:cs="Arial"/>
          <w:sz w:val="24"/>
          <w:szCs w:val="24"/>
        </w:rPr>
        <w:t xml:space="preserve">: SCFAs produce changes in the acetylation patterns of metabolic enzymes. There is an effect of a time course on the levels of </w:t>
      </w:r>
      <w:r w:rsidRPr="00825C45">
        <w:rPr>
          <w:rFonts w:ascii="Arial" w:eastAsia="Times New Roman" w:hAnsi="Arial" w:cs="Arial"/>
          <w:sz w:val="24"/>
          <w:szCs w:val="24"/>
        </w:rPr>
        <w:t>butyryl-CoA, propionyl-CoA, acetyl-CoA and CoA</w:t>
      </w:r>
      <w:r>
        <w:rPr>
          <w:rFonts w:ascii="Arial" w:eastAsia="Times New Roman" w:hAnsi="Arial" w:cs="Arial"/>
          <w:sz w:val="24"/>
          <w:szCs w:val="24"/>
        </w:rPr>
        <w:t>.</w:t>
      </w:r>
      <w:r w:rsidRPr="00825C45">
        <w:rPr>
          <w:rFonts w:ascii="Arial" w:eastAsia="Times New Roman" w:hAnsi="Arial" w:cs="Arial"/>
          <w:sz w:val="24"/>
          <w:szCs w:val="24"/>
        </w:rPr>
        <w:t xml:space="preserve"> </w:t>
      </w:r>
      <w:r>
        <w:rPr>
          <w:rFonts w:ascii="Arial" w:eastAsia="Times New Roman" w:hAnsi="Arial" w:cs="Arial"/>
          <w:sz w:val="24"/>
          <w:szCs w:val="24"/>
        </w:rPr>
        <w:t>I</w:t>
      </w:r>
      <w:r w:rsidRPr="00825C45">
        <w:rPr>
          <w:rFonts w:ascii="Arial" w:eastAsia="Times New Roman" w:hAnsi="Arial" w:cs="Arial"/>
          <w:sz w:val="24"/>
          <w:szCs w:val="24"/>
        </w:rPr>
        <w:t xml:space="preserve">ncreasing concentrations of </w:t>
      </w:r>
      <w:r>
        <w:rPr>
          <w:rFonts w:ascii="Arial" w:eastAsia="Times New Roman" w:hAnsi="Arial" w:cs="Arial"/>
          <w:sz w:val="24"/>
          <w:szCs w:val="24"/>
        </w:rPr>
        <w:t xml:space="preserve">SCFAs </w:t>
      </w:r>
      <w:r w:rsidRPr="00825C45">
        <w:rPr>
          <w:rFonts w:ascii="Arial" w:eastAsia="Times New Roman" w:hAnsi="Arial" w:cs="Arial"/>
          <w:sz w:val="24"/>
          <w:szCs w:val="24"/>
        </w:rPr>
        <w:t xml:space="preserve">and glucose </w:t>
      </w:r>
      <w:r>
        <w:rPr>
          <w:rFonts w:ascii="Arial" w:eastAsia="Times New Roman" w:hAnsi="Arial" w:cs="Arial"/>
          <w:sz w:val="24"/>
          <w:szCs w:val="24"/>
        </w:rPr>
        <w:t xml:space="preserve">also have an effect on </w:t>
      </w:r>
      <w:r w:rsidRPr="00825C45">
        <w:rPr>
          <w:rFonts w:ascii="Arial" w:eastAsia="Times New Roman" w:hAnsi="Arial" w:cs="Arial"/>
          <w:sz w:val="24"/>
          <w:szCs w:val="24"/>
        </w:rPr>
        <w:t>CoA and acetyl-CoA levels</w:t>
      </w:r>
      <w:r>
        <w:rPr>
          <w:rFonts w:ascii="Arial" w:eastAsia="Times New Roman" w:hAnsi="Arial" w:cs="Arial"/>
          <w:sz w:val="24"/>
          <w:szCs w:val="24"/>
        </w:rPr>
        <w:t xml:space="preserve">. Since there are discrepancies between the simulations and </w:t>
      </w:r>
      <w:r w:rsidRPr="00E61520">
        <w:rPr>
          <w:rFonts w:ascii="Arial" w:eastAsia="Times New Roman" w:hAnsi="Arial" w:cs="Arial"/>
          <w:i/>
          <w:sz w:val="24"/>
          <w:szCs w:val="24"/>
        </w:rPr>
        <w:t>in vitro</w:t>
      </w:r>
      <w:r>
        <w:rPr>
          <w:rFonts w:ascii="Arial" w:eastAsia="Times New Roman" w:hAnsi="Arial" w:cs="Arial"/>
          <w:sz w:val="24"/>
          <w:szCs w:val="24"/>
        </w:rPr>
        <w:t xml:space="preserve"> data, further studies </w:t>
      </w:r>
      <w:r w:rsidR="00F77520">
        <w:rPr>
          <w:rFonts w:ascii="Arial" w:eastAsia="Times New Roman" w:hAnsi="Arial" w:cs="Arial"/>
          <w:sz w:val="24"/>
          <w:szCs w:val="24"/>
        </w:rPr>
        <w:t xml:space="preserve">are needed to elucidate the role of a time course and increasing concentrations of SCFAs and </w:t>
      </w:r>
      <w:r>
        <w:rPr>
          <w:rFonts w:ascii="Arial" w:eastAsia="Times New Roman" w:hAnsi="Arial" w:cs="Arial"/>
          <w:sz w:val="24"/>
          <w:szCs w:val="24"/>
        </w:rPr>
        <w:t xml:space="preserve">to </w:t>
      </w:r>
      <w:r w:rsidR="00F77520">
        <w:rPr>
          <w:rFonts w:ascii="Arial" w:eastAsia="Times New Roman" w:hAnsi="Arial" w:cs="Arial"/>
          <w:sz w:val="24"/>
          <w:szCs w:val="24"/>
        </w:rPr>
        <w:t>validate the models used.</w:t>
      </w:r>
    </w:p>
    <w:p w:rsidR="00EF1380" w:rsidRPr="00E61520" w:rsidRDefault="00EF1380" w:rsidP="00EF1380">
      <w:pPr>
        <w:jc w:val="both"/>
        <w:rPr>
          <w:rFonts w:ascii="Arial" w:eastAsia="Times New Roman" w:hAnsi="Arial" w:cs="Arial"/>
          <w:sz w:val="24"/>
          <w:szCs w:val="24"/>
        </w:rPr>
      </w:pPr>
    </w:p>
    <w:p w:rsidR="00EF1380" w:rsidRDefault="00EF1380" w:rsidP="00EF1380">
      <w:pPr>
        <w:spacing w:before="100" w:beforeAutospacing="1" w:after="100" w:afterAutospacing="1" w:line="240" w:lineRule="auto"/>
        <w:jc w:val="both"/>
        <w:rPr>
          <w:rStyle w:val="highlight"/>
          <w:rFonts w:ascii="Arial" w:eastAsiaTheme="majorEastAsia" w:hAnsi="Arial" w:cs="Arial"/>
          <w:b/>
          <w:bCs/>
          <w:color w:val="365F91" w:themeColor="accent1" w:themeShade="BF"/>
          <w:sz w:val="24"/>
          <w:szCs w:val="24"/>
          <w:lang w:val="en-US" w:eastAsia="en-US"/>
        </w:rPr>
      </w:pPr>
      <w:r>
        <w:rPr>
          <w:rStyle w:val="highlight"/>
          <w:rFonts w:ascii="Arial" w:hAnsi="Arial" w:cs="Arial"/>
          <w:sz w:val="24"/>
          <w:szCs w:val="24"/>
          <w:lang w:val="en-US"/>
        </w:rPr>
        <w:t>Keywords: metabolic control, butyrate, short chain fatty acids, acetylation.</w:t>
      </w:r>
    </w:p>
    <w:p w:rsidR="00EF1380" w:rsidRDefault="00EF1380" w:rsidP="00EF1380">
      <w:pPr>
        <w:rPr>
          <w:rStyle w:val="highlight"/>
          <w:rFonts w:ascii="Arial" w:eastAsia="Times New Roman" w:hAnsi="Arial" w:cs="Arial"/>
          <w:b/>
          <w:bCs/>
          <w:kern w:val="36"/>
          <w:sz w:val="28"/>
          <w:szCs w:val="28"/>
        </w:rPr>
      </w:pPr>
      <w:bookmarkStart w:id="4" w:name="_Toc345427144"/>
      <w:r>
        <w:rPr>
          <w:rStyle w:val="highlight"/>
          <w:rFonts w:ascii="Arial" w:hAnsi="Arial" w:cs="Arial"/>
          <w:sz w:val="28"/>
          <w:szCs w:val="28"/>
        </w:rPr>
        <w:br w:type="page"/>
      </w:r>
    </w:p>
    <w:p w:rsidR="00EF1380" w:rsidRDefault="00EF1380" w:rsidP="00EF1380">
      <w:pPr>
        <w:pStyle w:val="Heading1"/>
        <w:rPr>
          <w:rStyle w:val="highlight"/>
          <w:rFonts w:ascii="Arial" w:hAnsi="Arial" w:cs="Arial"/>
          <w:sz w:val="28"/>
          <w:szCs w:val="28"/>
        </w:rPr>
      </w:pPr>
      <w:bookmarkStart w:id="5" w:name="_Toc413753739"/>
      <w:r w:rsidRPr="0066178F">
        <w:rPr>
          <w:rStyle w:val="highlight"/>
          <w:rFonts w:ascii="Arial" w:hAnsi="Arial" w:cs="Arial"/>
          <w:sz w:val="28"/>
          <w:szCs w:val="28"/>
        </w:rPr>
        <w:lastRenderedPageBreak/>
        <w:t>INTRODUCTION</w:t>
      </w:r>
      <w:bookmarkEnd w:id="4"/>
      <w:bookmarkEnd w:id="5"/>
    </w:p>
    <w:p w:rsidR="009453D5" w:rsidRDefault="009453D5" w:rsidP="009453D5">
      <w:pPr>
        <w:autoSpaceDE w:val="0"/>
        <w:autoSpaceDN w:val="0"/>
        <w:adjustRightInd w:val="0"/>
        <w:spacing w:after="0" w:line="360" w:lineRule="auto"/>
        <w:ind w:firstLine="720"/>
        <w:jc w:val="both"/>
        <w:rPr>
          <w:rFonts w:ascii="Arial" w:hAnsi="Arial" w:cs="Arial"/>
          <w:sz w:val="24"/>
          <w:szCs w:val="24"/>
        </w:rPr>
      </w:pPr>
      <w:r>
        <w:rPr>
          <w:rFonts w:ascii="Arial" w:hAnsi="Arial" w:cs="Arial"/>
          <w:noProof/>
          <w:sz w:val="24"/>
          <w:szCs w:val="24"/>
          <w:lang w:val="en-US"/>
        </w:rPr>
        <w:t xml:space="preserve">The importance of short chain fatty acids (SCFAs) is related to their roles in cancer and </w:t>
      </w:r>
      <w:r w:rsidR="000B3EAF">
        <w:rPr>
          <w:rFonts w:ascii="Arial" w:hAnsi="Arial" w:cs="Arial"/>
          <w:noProof/>
          <w:sz w:val="24"/>
          <w:szCs w:val="24"/>
          <w:lang w:val="en-US"/>
        </w:rPr>
        <w:t>in regulating metabolism</w:t>
      </w:r>
      <w:r>
        <w:rPr>
          <w:rFonts w:ascii="Arial" w:hAnsi="Arial" w:cs="Arial"/>
          <w:noProof/>
          <w:sz w:val="24"/>
          <w:szCs w:val="24"/>
          <w:lang w:val="en-US"/>
        </w:rPr>
        <w:t xml:space="preserve">. For example, it has been shown that the short chain fatty acid (SCFA) butyrate stimulates cell cycle arrest and the terminal differentiaion of colorectal cancer cells </w:t>
      </w:r>
      <w:r w:rsidR="006C2756">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&lt;EndNote&gt;&lt;Cite&gt;&lt;Author&gt;Medina V&lt;/Author&gt;&lt;Year&gt;1997&lt;/Year&gt;&lt;RecNum&gt;184&lt;/RecNum&gt;&lt;DisplayText&gt;(1)&lt;/DisplayText&gt;&lt;record&gt;&lt;rec-number&gt;184&lt;/rec-number&gt;&lt;foreign-keys&gt;&lt;key app="EN" db-id="zxp9w5sa30aeafes0xox2eem00dz2z2aswad"&gt;184&lt;/key&gt;&lt;key app="ENWeb" db-id="UG1-3grtqigAAEqvEt0"&gt;379&lt;/key&gt;&lt;/foreign-keys&gt;&lt;ref-type name="Journal Article"&gt;17&lt;/ref-type&gt;&lt;contributors&gt;&lt;authors&gt;&lt;author&gt;Medina V,&lt;/author&gt;&lt;author&gt;Edmonds B,&lt;/author&gt;&lt;author&gt;Young G,&lt;/author&gt;&lt;author&gt;James R,&lt;/author&gt;&lt;author&gt;Appleton S,&lt;/author&gt;&lt;author&gt;Zalewski P,&lt;/author&gt;&lt;/authors&gt;&lt;/contributors&gt;&lt;titles&gt;&lt;title&gt;Induction of caspase-3 protease activity and apoptosis by butyrate and trichostatin A (inhibitors of histones deacetylase): dependence on protein synthesis and synergy with a mitochondrial/cytochrome c-dependet pathway&lt;/title&gt;&lt;secondary-title&gt;Cancer Res&lt;/secondary-title&gt;&lt;/titles&gt;&lt;periodical&gt;&lt;full-title&gt;Cancer Res&lt;/full-title&gt;&lt;/periodical&gt;&lt;pages&gt;3697-3707&lt;/pages&gt;&lt;volume&gt;57&lt;/volume&gt;&lt;number&gt;17&lt;/number&gt;&lt;dates&gt;&lt;year&gt;1997&lt;/year&gt;&lt;/dates&gt;&lt;urls&gt;&lt;/urls&gt;&lt;/record&gt;&lt;/Cite&gt;&lt;/EndNote&gt;</w:instrText>
      </w:r>
      <w:r w:rsidR="006C2756">
        <w:rPr>
          <w:rFonts w:ascii="Arial" w:hAnsi="Arial" w:cs="Arial"/>
          <w:sz w:val="24"/>
          <w:szCs w:val="24"/>
          <w:lang w:val="en-US"/>
        </w:rPr>
        <w:fldChar w:fldCharType="separate"/>
      </w:r>
      <w:r>
        <w:rPr>
          <w:rFonts w:ascii="Arial" w:hAnsi="Arial" w:cs="Arial"/>
          <w:noProof/>
          <w:sz w:val="24"/>
          <w:szCs w:val="24"/>
          <w:lang w:val="en-US"/>
        </w:rPr>
        <w:t>(</w:t>
      </w:r>
      <w:hyperlink w:anchor="_ENREF_1" w:tooltip="Medina V, 1997 #184" w:history="1">
        <w:r w:rsidR="00AB7E17">
          <w:rPr>
            <w:rFonts w:ascii="Arial" w:hAnsi="Arial" w:cs="Arial"/>
            <w:noProof/>
            <w:sz w:val="24"/>
            <w:szCs w:val="24"/>
            <w:lang w:val="en-US"/>
          </w:rPr>
          <w:t>1</w:t>
        </w:r>
      </w:hyperlink>
      <w:r>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This SCFA has also been linked to </w:t>
      </w:r>
      <w:r w:rsidR="000B3EAF">
        <w:rPr>
          <w:rFonts w:ascii="Arial" w:hAnsi="Arial" w:cs="Arial"/>
          <w:sz w:val="24"/>
          <w:szCs w:val="24"/>
          <w:lang w:val="en-US"/>
        </w:rPr>
        <w:t xml:space="preserve">a shift in </w:t>
      </w:r>
      <w:r>
        <w:rPr>
          <w:rFonts w:ascii="Arial" w:hAnsi="Arial" w:cs="Arial"/>
          <w:noProof/>
          <w:sz w:val="24"/>
          <w:szCs w:val="24"/>
          <w:lang w:val="en-US"/>
        </w:rPr>
        <w:t xml:space="preserve">the expression of tumour growth proteins in human colon tumour tissues </w:t>
      </w:r>
      <w:r w:rsidR="006C2756">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&lt;EndNote&gt;&lt;Cite&gt;&lt;Author&gt;Jahns&lt;/Author&gt;&lt;Year&gt;2011&lt;/Year&gt;&lt;RecNum&gt;125&lt;/RecNum&gt;&lt;DisplayText&gt;(2)&lt;/DisplayText&gt;&lt;record&gt;&lt;rec-number&gt;125&lt;/rec-number&gt;&lt;foreign-keys&gt;&lt;key app="EN" db-id="zxp9w5sa30aeafes0xox2eem00dz2z2aswad"&gt;125&lt;/key&gt;&lt;key app="ENWeb" db-id="UG1-3grtqigAAEqvEt0"&gt;66&lt;/key&gt;&lt;/foreign-keys&gt;&lt;ref-type name="Journal Article"&gt;17&lt;/ref-type&gt;&lt;contributors&gt;&lt;authors&gt;&lt;author&gt;Jahns F,&lt;/author&gt;&lt;author&gt;Wilhelm A,&lt;/author&gt;&lt;author&gt;Jablonowski N,&lt;/author&gt;&lt;author&gt;Mothes H,&lt;/author&gt;&lt;author&gt;Radeva M,&lt;/author&gt;&lt;author&gt;Wölfert A,&lt;/author&gt;&lt;author&gt;Greulich K,&lt;/author&gt;&lt;author&gt;Glei M,&lt;/author&gt;&lt;/authors&gt;&lt;/contributors&gt;&lt;titles&gt;&lt;title&gt;Butyrate suppresses mRNA increase of osteopontin and cyclookygenase-2 in human colon tumor tissue&lt;/title&gt;&lt;secondary-title&gt;Carcinogenesis&lt;/secondary-title&gt;&lt;/titles&gt;&lt;periodical&gt;&lt;full-title&gt;Carcinogenesis&lt;/full-title&gt;&lt;/periodical&gt;&lt;pages&gt;913-20&lt;/pages&gt;&lt;volume&gt;32&lt;/volume&gt;&lt;number&gt;6&lt;/number&gt;&lt;dates&gt;&lt;year&gt;2011&lt;/year&gt;&lt;/dates&gt;&lt;urls&gt;&lt;/urls&gt;&lt;/record&gt;&lt;/Cite&gt;&lt;/EndNote&gt;</w:instrText>
      </w:r>
      <w:r w:rsidR="006C2756">
        <w:rPr>
          <w:rFonts w:ascii="Arial" w:hAnsi="Arial" w:cs="Arial"/>
          <w:sz w:val="24"/>
          <w:szCs w:val="24"/>
          <w:lang w:val="en-US"/>
        </w:rPr>
        <w:fldChar w:fldCharType="separate"/>
      </w:r>
      <w:r>
        <w:rPr>
          <w:rFonts w:ascii="Arial" w:hAnsi="Arial" w:cs="Arial"/>
          <w:noProof/>
          <w:sz w:val="24"/>
          <w:szCs w:val="24"/>
          <w:lang w:val="en-US"/>
        </w:rPr>
        <w:t>(</w:t>
      </w:r>
      <w:hyperlink w:anchor="_ENREF_2" w:tooltip="Jahns F, 2011 #125" w:history="1">
        <w:r w:rsidR="00AB7E17">
          <w:rPr>
            <w:rFonts w:ascii="Arial" w:hAnsi="Arial" w:cs="Arial"/>
            <w:noProof/>
            <w:sz w:val="24"/>
            <w:szCs w:val="24"/>
            <w:lang w:val="en-US"/>
          </w:rPr>
          <w:t>2</w:t>
        </w:r>
      </w:hyperlink>
      <w:r>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w:t>
      </w:r>
      <w:r>
        <w:rPr>
          <w:rFonts w:ascii="Arial" w:hAnsi="Arial" w:cs="Arial"/>
          <w:noProof/>
          <w:sz w:val="24"/>
          <w:szCs w:val="24"/>
          <w:lang w:val="en-US"/>
        </w:rPr>
        <w:t xml:space="preserve">and </w:t>
      </w:r>
      <w:r w:rsidR="000B3EAF">
        <w:rPr>
          <w:rFonts w:ascii="Arial" w:hAnsi="Arial" w:cs="Arial"/>
          <w:noProof/>
          <w:sz w:val="24"/>
          <w:szCs w:val="24"/>
          <w:lang w:val="en-US"/>
        </w:rPr>
        <w:t xml:space="preserve">in </w:t>
      </w:r>
      <w:r>
        <w:rPr>
          <w:rFonts w:ascii="Arial" w:hAnsi="Arial" w:cs="Arial"/>
          <w:noProof/>
          <w:sz w:val="24"/>
          <w:szCs w:val="24"/>
          <w:lang w:val="en-US"/>
        </w:rPr>
        <w:t>induc</w:t>
      </w:r>
      <w:r w:rsidR="000B3EAF">
        <w:rPr>
          <w:rFonts w:ascii="Arial" w:hAnsi="Arial" w:cs="Arial"/>
          <w:noProof/>
          <w:sz w:val="24"/>
          <w:szCs w:val="24"/>
          <w:lang w:val="en-US"/>
        </w:rPr>
        <w:t>ing</w:t>
      </w:r>
      <w:r>
        <w:rPr>
          <w:rFonts w:ascii="Arial" w:hAnsi="Arial" w:cs="Arial"/>
          <w:noProof/>
          <w:sz w:val="24"/>
          <w:szCs w:val="24"/>
          <w:lang w:val="en-US"/>
        </w:rPr>
        <w:t xml:space="preserve"> apoptosis in human colon cancer cells </w:t>
      </w:r>
      <w:r w:rsidR="006C2756">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&lt;EndNote&gt;&lt;Cite&gt;&lt;Author&gt;Sun S&lt;/Author&gt;&lt;Year&gt;2012&lt;/Year&gt;&lt;RecNum&gt;242&lt;/RecNum&gt;&lt;IDText&gt;Requirement for store-operated calcium entry in sodium butyrate-induced apoptosis in human colon cancer cells&lt;/IDText&gt;&lt;DisplayText&gt;(3)&lt;/DisplayText&gt;&lt;record&gt;&lt;rec-number&gt;242&lt;/rec-number&gt;&lt;foreign-keys&gt;&lt;key app="EN" db-id="zxp9w5sa30aeafes0xox2eem00dz2z2aswad"&gt;242&lt;/key&gt;&lt;key app="ENWeb" db-id="UG1-3grtqigAAEqvEt0"&gt;371&lt;/key&gt;&lt;/foreign-keys&gt;&lt;ref-type name="Journal Article"&gt;17&lt;/ref-type&gt;&lt;contributors&gt;&lt;authors&gt;&lt;author&gt;Sun S,&lt;/author&gt;&lt;author&gt;Li W,&lt;/author&gt;&lt;author&gt;Zhang H,&lt;/author&gt;&lt;author&gt;Zha L,&lt;/author&gt;&lt;author&gt;Xue Y,&lt;/author&gt;&lt;author&gt;Wu X,&lt;/author&gt;&lt;author&gt;Zou  F,&lt;/author&gt;&lt;/authors&gt;&lt;/contributors&gt;&lt;titles&gt;&lt;title&gt;Requirement for store-operated calcium entry in sodium butyrate-induced apoptosis in human colon cancer cells&lt;/title&gt;&lt;secondary-title&gt;Biosci Rep&lt;/secondary-title&gt;&lt;/titles&gt;&lt;periodical&gt;&lt;full-title&gt;Biosci Rep&lt;/full-title&gt;&lt;/periodical&gt;&lt;pages&gt;83-90&lt;/pages&gt;&lt;volume&gt;32&lt;/volume&gt;&lt;number&gt;1&lt;/number&gt;&lt;dates&gt;&lt;year&gt;2012&lt;/year&gt;&lt;/dates&gt;&lt;urls&gt;&lt;/urls&gt;&lt;/record&gt;&lt;/Cite&gt;&lt;/EndNote&gt;</w:instrText>
      </w:r>
      <w:r w:rsidR="006C2756">
        <w:rPr>
          <w:rFonts w:ascii="Arial" w:hAnsi="Arial" w:cs="Arial"/>
          <w:sz w:val="24"/>
          <w:szCs w:val="24"/>
          <w:lang w:val="en-US"/>
        </w:rPr>
        <w:fldChar w:fldCharType="separate"/>
      </w:r>
      <w:r>
        <w:rPr>
          <w:rFonts w:ascii="Arial" w:hAnsi="Arial" w:cs="Arial"/>
          <w:noProof/>
          <w:sz w:val="24"/>
          <w:szCs w:val="24"/>
          <w:lang w:val="en-US"/>
        </w:rPr>
        <w:t>(</w:t>
      </w:r>
      <w:hyperlink w:anchor="_ENREF_3" w:tooltip="Sun S, 2012 #242" w:history="1">
        <w:r w:rsidR="00AB7E17">
          <w:rPr>
            <w:rFonts w:ascii="Arial" w:hAnsi="Arial" w:cs="Arial"/>
            <w:noProof/>
            <w:sz w:val="24"/>
            <w:szCs w:val="24"/>
            <w:lang w:val="en-US"/>
          </w:rPr>
          <w:t>3</w:t>
        </w:r>
      </w:hyperlink>
      <w:r>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The role of butyrate in controlling cell metabolism state </w:t>
      </w:r>
      <w:r w:rsidR="006C2756">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Fonts w:ascii="Arial" w:hAnsi="Arial" w:cs="Arial"/>
          <w:sz w:val="24"/>
          <w:szCs w:val="24"/>
          <w:lang w:val="en-US"/>
        </w:rPr>
        <w:fldChar w:fldCharType="separate"/>
      </w:r>
      <w:r>
        <w:rPr>
          <w:rFonts w:ascii="Arial" w:hAnsi="Arial" w:cs="Arial"/>
          <w:noProof/>
          <w:sz w:val="24"/>
          <w:szCs w:val="24"/>
          <w:lang w:val="en-US"/>
        </w:rPr>
        <w:t>(</w:t>
      </w:r>
      <w:hyperlink w:anchor="_ENREF_4" w:tooltip="Donohoe D, 2012 #71" w:history="1">
        <w:r w:rsidR="00AB7E17">
          <w:rPr>
            <w:rFonts w:ascii="Arial" w:hAnsi="Arial" w:cs="Arial"/>
            <w:noProof/>
            <w:sz w:val="24"/>
            <w:szCs w:val="24"/>
            <w:lang w:val="en-US"/>
          </w:rPr>
          <w:t>4</w:t>
        </w:r>
      </w:hyperlink>
      <w:r>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could be associated to t</w:t>
      </w:r>
      <w:r>
        <w:rPr>
          <w:rFonts w:ascii="Arial" w:hAnsi="Arial" w:cs="Arial"/>
          <w:color w:val="000000"/>
          <w:sz w:val="24"/>
          <w:szCs w:val="24"/>
          <w:shd w:val="clear" w:color="auto" w:fill="FFFFFF"/>
        </w:rPr>
        <w:t xml:space="preserve">he Warburg effect, </w:t>
      </w:r>
      <w:r w:rsidR="000B3EAF">
        <w:rPr>
          <w:rFonts w:ascii="Arial" w:hAnsi="Arial" w:cs="Arial"/>
          <w:color w:val="000000"/>
          <w:sz w:val="24"/>
          <w:szCs w:val="24"/>
          <w:shd w:val="clear" w:color="auto" w:fill="FFFFFF"/>
        </w:rPr>
        <w:t xml:space="preserve">which is </w:t>
      </w:r>
      <w:r>
        <w:rPr>
          <w:rFonts w:ascii="Arial" w:hAnsi="Arial" w:cs="Arial"/>
          <w:color w:val="000000"/>
          <w:sz w:val="24"/>
          <w:szCs w:val="24"/>
          <w:shd w:val="clear" w:color="auto" w:fill="FFFFFF"/>
        </w:rPr>
        <w:t xml:space="preserve">the change from oxidative metabolism to aerobic glycolysis in cancer cells </w:t>
      </w:r>
      <w:r w:rsidR="006C2756" w:rsidRPr="00C40897">
        <w:rPr>
          <w:rFonts w:ascii="Arial" w:hAnsi="Arial" w:cs="Arial"/>
          <w:color w:val="000000"/>
          <w:sz w:val="24"/>
          <w:szCs w:val="24"/>
          <w:shd w:val="clear" w:color="auto" w:fill="FFFFFF"/>
        </w:rPr>
        <w:fldChar w:fldCharType="begin"/>
      </w:r>
      <w:r>
        <w:rPr>
          <w:rFonts w:ascii="Arial" w:hAnsi="Arial" w:cs="Arial"/>
          <w:color w:val="000000"/>
          <w:sz w:val="24"/>
          <w:szCs w:val="24"/>
          <w:shd w:val="clear" w:color="auto" w:fill="FFFFFF"/>
        </w:rPr>
        <w:instrText xml:space="preserve"> ADDIN EN.CITE &lt;EndNote&gt;&lt;Cite&gt;&lt;Author&gt;Burgess D&lt;/Author&gt;&lt;Year&gt;2012&lt;/Year&gt;&lt;RecNum&gt;30&lt;/RecNum&gt;&lt;DisplayText&gt;(5)&lt;/DisplayText&gt;&lt;record&gt;&lt;rec-number&gt;30&lt;/rec-number&gt;&lt;foreign-keys&gt;&lt;key app="EN" db-id="zxp9w5sa30aeafes0xox2eem00dz2z2aswad"&gt;30&lt;/key&gt;&lt;key app="ENWeb" db-id="UG1-3grtqigAAEqvEt0"&gt;393&lt;/key&gt;&lt;/foreign-keys&gt;&lt;ref-type name="Journal Article"&gt;17&lt;/ref-type&gt;&lt;contributors&gt;&lt;authors&gt;&lt;author&gt;Burgess D,&lt;/author&gt;&lt;/authors&gt;&lt;/contributors&gt;&lt;titles&gt;&lt;title&gt;Metabolism: Warburg behind the butyrate paradox?&lt;/title&gt;&lt;secondary-title&gt;Nat Rev Cancer&lt;/secondary-title&gt;&lt;/titles&gt;&lt;periodical&gt;&lt;full-title&gt;Nat Rev Cancer&lt;/full-title&gt;&lt;/periodical&gt;&lt;pages&gt;798&lt;/pages&gt;&lt;volume&gt;12&lt;/volume&gt;&lt;number&gt;12&lt;/number&gt;&lt;dates&gt;&lt;year&gt;2012&lt;/year&gt;&lt;/dates&gt;&lt;urls&gt;&lt;/urls&gt;&lt;/record&gt;&lt;/Cite&gt;&lt;/EndNote&gt;</w:instrText>
      </w:r>
      <w:r w:rsidR="006C2756" w:rsidRPr="00C40897">
        <w:rPr>
          <w:rFonts w:ascii="Arial" w:hAnsi="Arial" w:cs="Arial"/>
          <w:color w:val="000000"/>
          <w:sz w:val="24"/>
          <w:szCs w:val="24"/>
          <w:shd w:val="clear" w:color="auto" w:fill="FFFFFF"/>
        </w:rPr>
        <w:fldChar w:fldCharType="separate"/>
      </w:r>
      <w:r>
        <w:rPr>
          <w:rFonts w:ascii="Arial" w:hAnsi="Arial" w:cs="Arial"/>
          <w:noProof/>
          <w:color w:val="000000"/>
          <w:sz w:val="24"/>
          <w:szCs w:val="24"/>
          <w:shd w:val="clear" w:color="auto" w:fill="FFFFFF"/>
        </w:rPr>
        <w:t>(</w:t>
      </w:r>
      <w:hyperlink w:anchor="_ENREF_5" w:tooltip="Burgess D, 2012 #30" w:history="1">
        <w:r w:rsidR="00AB7E17">
          <w:rPr>
            <w:rFonts w:ascii="Arial" w:hAnsi="Arial" w:cs="Arial"/>
            <w:noProof/>
            <w:color w:val="000000"/>
            <w:sz w:val="24"/>
            <w:szCs w:val="24"/>
            <w:shd w:val="clear" w:color="auto" w:fill="FFFFFF"/>
          </w:rPr>
          <w:t>5</w:t>
        </w:r>
      </w:hyperlink>
      <w:r>
        <w:rPr>
          <w:rFonts w:ascii="Arial" w:hAnsi="Arial" w:cs="Arial"/>
          <w:noProof/>
          <w:color w:val="000000"/>
          <w:sz w:val="24"/>
          <w:szCs w:val="24"/>
          <w:shd w:val="clear" w:color="auto" w:fill="FFFFFF"/>
        </w:rPr>
        <w:t>)</w:t>
      </w:r>
      <w:r w:rsidR="006C2756" w:rsidRPr="00C40897">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Another SCFA, p</w:t>
      </w:r>
      <w:r>
        <w:rPr>
          <w:rFonts w:ascii="Arial" w:hAnsi="Arial" w:cs="Arial"/>
          <w:sz w:val="24"/>
          <w:szCs w:val="24"/>
        </w:rPr>
        <w:t xml:space="preserve">ropionate, is also able to induce apoptosis </w:t>
      </w:r>
      <w:r>
        <w:rPr>
          <w:rFonts w:ascii="Arial" w:hAnsi="Arial" w:cs="Arial"/>
          <w:sz w:val="24"/>
          <w:szCs w:val="24"/>
          <w:lang w:val="en-US"/>
        </w:rPr>
        <w:t xml:space="preserve">in cancer cells in </w:t>
      </w:r>
      <w:r>
        <w:rPr>
          <w:rFonts w:ascii="Arial" w:hAnsi="Arial" w:cs="Arial"/>
          <w:sz w:val="24"/>
          <w:szCs w:val="24"/>
        </w:rPr>
        <w:t xml:space="preserve">a synergic fashion with butyrate and pyruvate </w:t>
      </w:r>
      <w:r w:rsidR="006C2756">
        <w:rPr>
          <w:rFonts w:ascii="Arial" w:hAnsi="Arial" w:cs="Arial"/>
          <w:sz w:val="24"/>
          <w:szCs w:val="24"/>
        </w:rPr>
        <w:fldChar w:fldCharType="begin"/>
      </w:r>
      <w:r>
        <w:rPr>
          <w:rFonts w:ascii="Arial" w:hAnsi="Arial" w:cs="Arial"/>
          <w:sz w:val="24"/>
          <w:szCs w:val="24"/>
        </w:rPr>
        <w:instrText xml:space="preserve"> ADDIN EN.CITE &lt;EndNote&gt;&lt;Cite&gt;&lt;Author&gt;Thangaraju M&lt;/Author&gt;&lt;Year&gt;2006&lt;/Year&gt;&lt;RecNum&gt;246&lt;/RecNum&gt;&lt;DisplayText&gt;(6, 7)&lt;/DisplayText&gt;&lt;record&gt;&lt;rec-number&gt;246&lt;/rec-number&gt;&lt;foreign-keys&gt;&lt;key app="EN" db-id="zxp9w5sa30aeafes0xox2eem00dz2z2aswad"&gt;246&lt;/key&gt;&lt;key app="ENWeb" db-id="UG1-3grtqigAAEqvEt0"&gt;167&lt;/key&gt;&lt;/foreign-keys&gt;&lt;ref-type name="Journal Article"&gt;17&lt;/ref-type&gt;&lt;contributors&gt;&lt;authors&gt;&lt;author&gt;Thangaraju M,&lt;/author&gt;&lt;author&gt;Gopal E,&lt;/author&gt;&lt;author&gt;Martin P,&lt;/author&gt;&lt;author&gt;Ananth S,&lt;/author&gt;&lt;author&gt;Smith S,&lt;/author&gt;&lt;author&gt;Prasad P,&lt;/author&gt;&lt;author&gt;Sterneck E,&lt;/author&gt;&lt;author&gt;Ganapathy V,&lt;/author&gt;&lt;/authors&gt;&lt;/contributors&gt;&lt;titles&gt;&lt;title&gt;SLC5A8 Triggers Tumor Cell Apoptosis through Pyruvate-Dependent Inhibition of Histone Deacetylases&lt;/title&gt;&lt;secondary-title&gt;Cancer Res&lt;/secondary-title&gt;&lt;/titles&gt;&lt;periodical&gt;&lt;full-title&gt;Cancer Res&lt;/full-title&gt;&lt;/periodical&gt;&lt;pages&gt;11560-4&lt;/pages&gt;&lt;volume&gt;66&lt;/volume&gt;&lt;number&gt;24&lt;/number&gt;&lt;dates&gt;&lt;year&gt;2006&lt;/year&gt;&lt;/dates&gt;&lt;urls&gt;&lt;/urls&gt;&lt;/record&gt;&lt;/Cite&gt;&lt;Cite&gt;&lt;Author&gt;Matthews G&lt;/Author&gt;&lt;Year&gt;2012&lt;/Year&gt;&lt;RecNum&gt;307&lt;/RecNum&gt;&lt;record&gt;&lt;rec-number&gt;307&lt;/rec-number&gt;&lt;foreign-keys&gt;&lt;key app="EN" db-id="zxp9w5sa30aeafes0xox2eem00dz2z2aswad"&gt;307&lt;/key&gt;&lt;/foreign-keys&gt;&lt;ref-type name="Journal Article"&gt;17&lt;/ref-type&gt;&lt;contributors&gt;&lt;authors&gt;&lt;author&gt;Matthews G,&lt;/author&gt;&lt;author&gt;Howarth G, &lt;/author&gt;&lt;author&gt;Butler R,&lt;/author&gt;&lt;/authors&gt;&lt;/contributors&gt;&lt;titles&gt;&lt;title&gt;Short-chain fatty acids induce apoptosis in colon cancer cells associated with changes to intracellular redox state and glucose metabolism&lt;/title&gt;&lt;secondary-title&gt;Chemotherapy&lt;/secondary-title&gt;&lt;/titles&gt;&lt;periodical&gt;&lt;full-title&gt;Chemotherapy&lt;/full-title&gt;&lt;/periodical&gt;&lt;pages&gt;102-109&lt;/pages&gt;&lt;volume&gt;58&lt;/volume&gt;&lt;number&gt;2&lt;/number&gt;&lt;dates&gt;&lt;year&gt;2012&lt;/year&gt;&lt;/dates&gt;&lt;urls&gt;&lt;/urls&gt;&lt;/record&gt;&lt;/Cite&gt;&lt;/EndNote&gt;</w:instrText>
      </w:r>
      <w:r w:rsidR="006C2756">
        <w:rPr>
          <w:rFonts w:ascii="Arial" w:hAnsi="Arial" w:cs="Arial"/>
          <w:sz w:val="24"/>
          <w:szCs w:val="24"/>
        </w:rPr>
        <w:fldChar w:fldCharType="separate"/>
      </w:r>
      <w:r>
        <w:rPr>
          <w:rFonts w:ascii="Arial" w:hAnsi="Arial" w:cs="Arial"/>
          <w:noProof/>
          <w:sz w:val="24"/>
          <w:szCs w:val="24"/>
        </w:rPr>
        <w:t>(</w:t>
      </w:r>
      <w:hyperlink w:anchor="_ENREF_6" w:tooltip="Thangaraju M, 2006 #246" w:history="1">
        <w:r w:rsidR="00AB7E17">
          <w:rPr>
            <w:rFonts w:ascii="Arial" w:hAnsi="Arial" w:cs="Arial"/>
            <w:noProof/>
            <w:sz w:val="24"/>
            <w:szCs w:val="24"/>
          </w:rPr>
          <w:t>6</w:t>
        </w:r>
      </w:hyperlink>
      <w:r>
        <w:rPr>
          <w:rFonts w:ascii="Arial" w:hAnsi="Arial" w:cs="Arial"/>
          <w:noProof/>
          <w:sz w:val="24"/>
          <w:szCs w:val="24"/>
        </w:rPr>
        <w:t xml:space="preserve">, </w:t>
      </w:r>
      <w:hyperlink w:anchor="_ENREF_7" w:tooltip="Matthews G, 2012 #307" w:history="1">
        <w:r w:rsidR="00AB7E17">
          <w:rPr>
            <w:rFonts w:ascii="Arial" w:hAnsi="Arial" w:cs="Arial"/>
            <w:noProof/>
            <w:sz w:val="24"/>
            <w:szCs w:val="24"/>
          </w:rPr>
          <w:t>7</w:t>
        </w:r>
      </w:hyperlink>
      <w:r>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t>
      </w:r>
    </w:p>
    <w:p w:rsidR="009453D5" w:rsidRDefault="009453D5" w:rsidP="009453D5">
      <w:pPr>
        <w:autoSpaceDE w:val="0"/>
        <w:autoSpaceDN w:val="0"/>
        <w:adjustRightInd w:val="0"/>
        <w:spacing w:after="0" w:line="360" w:lineRule="auto"/>
        <w:ind w:firstLine="720"/>
        <w:jc w:val="both"/>
        <w:rPr>
          <w:rStyle w:val="SC118877"/>
          <w:rFonts w:ascii="Arial" w:hAnsi="Arial" w:cs="Arial"/>
          <w:iCs/>
          <w:sz w:val="24"/>
          <w:szCs w:val="24"/>
          <w:lang w:val="en-US"/>
        </w:rPr>
      </w:pPr>
      <w:r>
        <w:rPr>
          <w:rStyle w:val="SC118877"/>
          <w:rFonts w:ascii="Arial" w:hAnsi="Arial" w:cs="Arial"/>
          <w:iCs/>
          <w:sz w:val="24"/>
          <w:szCs w:val="24"/>
          <w:lang w:val="en-US"/>
        </w:rPr>
        <w:t xml:space="preserve">SCFAs could also potentially produce a change in metabolic pathways by altering their expression, function and/or activity </w:t>
      </w:r>
      <w:r w:rsidR="006C2756">
        <w:rPr>
          <w:rStyle w:val="SC118877"/>
          <w:rFonts w:ascii="Arial" w:hAnsi="Arial" w:cs="Arial"/>
          <w:iCs/>
          <w:sz w:val="24"/>
          <w:szCs w:val="24"/>
          <w:lang w:val="en-US"/>
        </w:rPr>
        <w:fldChar w:fldCharType="begin"/>
      </w:r>
      <w:r>
        <w:rPr>
          <w:rStyle w:val="SC118877"/>
          <w:rFonts w:ascii="Arial" w:hAnsi="Arial" w:cs="Arial"/>
          <w:iCs/>
          <w:sz w:val="24"/>
          <w:szCs w:val="24"/>
          <w:lang w:val="en-US"/>
        </w:rPr>
        <w:instrText xml:space="preserve"> ADDIN EN.CITE &lt;EndNote&gt;&lt;Cite&gt;&lt;Author&gt;Kim G&lt;/Author&gt;&lt;Year&gt;2010&lt;/Year&gt;&lt;RecNum&gt;306&lt;/RecNum&gt;&lt;DisplayText&gt;(8)&lt;/DisplayText&gt;&lt;record&gt;&lt;rec-number&gt;306&lt;/rec-number&gt;&lt;foreign-keys&gt;&lt;key app="EN" db-id="zxp9w5sa30aeafes0xox2eem00dz2z2aswad"&gt;306&lt;/key&gt;&lt;/foreign-keys&gt;&lt;ref-type name="Journal Article"&gt;17&lt;/ref-type&gt;&lt;contributors&gt;&lt;authors&gt;&lt;author&gt;Kim G,&lt;/author&gt;&lt;author&gt;Gocevski G,&lt;/author&gt;&lt;author&gt;Wu C,&lt;/author&gt;&lt;author&gt;Yang X,&lt;/author&gt;&lt;/authors&gt;&lt;/contributors&gt;&lt;titles&gt;&lt;title&gt;Dietary, metabolic, and potentially  environmental modulation of the lysine acetylation machinery&lt;/title&gt;&lt;secondary-title&gt;Int. J. Cell Biol.&lt;/secondary-title&gt;&lt;/titles&gt;&lt;periodical&gt;&lt;full-title&gt;Int. J. Cell Biol.&lt;/full-title&gt;&lt;/periodical&gt;&lt;pages&gt;doi: 10.1155/2010/632739&lt;/pages&gt;&lt;volume&gt;2010:632739 &lt;/volume&gt;&lt;dates&gt;&lt;year&gt;2010&lt;/year&gt;&lt;/dates&gt;&lt;urls&gt;&lt;/urls&gt;&lt;/record&gt;&lt;/Cite&gt;&lt;/EndNote&gt;</w:instrText>
      </w:r>
      <w:r w:rsidR="006C2756">
        <w:rPr>
          <w:rStyle w:val="SC118877"/>
          <w:rFonts w:ascii="Arial" w:hAnsi="Arial" w:cs="Arial"/>
          <w:iCs/>
          <w:sz w:val="24"/>
          <w:szCs w:val="24"/>
          <w:lang w:val="en-US"/>
        </w:rPr>
        <w:fldChar w:fldCharType="separate"/>
      </w:r>
      <w:r>
        <w:rPr>
          <w:rStyle w:val="SC118877"/>
          <w:rFonts w:ascii="Arial" w:hAnsi="Arial" w:cs="Arial"/>
          <w:iCs/>
          <w:noProof/>
          <w:sz w:val="24"/>
          <w:szCs w:val="24"/>
          <w:lang w:val="en-US"/>
        </w:rPr>
        <w:t>(</w:t>
      </w:r>
      <w:hyperlink w:anchor="_ENREF_8" w:tooltip="Kim G, 2010 #306" w:history="1">
        <w:r w:rsidR="00AB7E17">
          <w:rPr>
            <w:rStyle w:val="SC118877"/>
            <w:rFonts w:ascii="Arial" w:hAnsi="Arial" w:cs="Arial"/>
            <w:iCs/>
            <w:noProof/>
            <w:sz w:val="24"/>
            <w:szCs w:val="24"/>
            <w:lang w:val="en-US"/>
          </w:rPr>
          <w:t>8</w:t>
        </w:r>
      </w:hyperlink>
      <w:r>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as well as their transcription levels </w:t>
      </w:r>
      <w:r w:rsidR="006C2756">
        <w:rPr>
          <w:rStyle w:val="SC118877"/>
          <w:rFonts w:ascii="Arial" w:hAnsi="Arial" w:cs="Arial"/>
          <w:iCs/>
          <w:sz w:val="24"/>
          <w:szCs w:val="24"/>
          <w:lang w:val="en-US"/>
        </w:rPr>
        <w:fldChar w:fldCharType="begin"/>
      </w:r>
      <w:r>
        <w:rPr>
          <w:rStyle w:val="SC118877"/>
          <w:rFonts w:ascii="Arial" w:hAnsi="Arial" w:cs="Arial"/>
          <w:iCs/>
          <w:sz w:val="24"/>
          <w:szCs w:val="24"/>
          <w:lang w:val="en-US"/>
        </w:rPr>
        <w:instrText xml:space="preserve"> ADDIN EN.CITE &lt;EndNote&gt;&lt;Cite&gt;&lt;Author&gt;Grillon J&lt;/Author&gt;&lt;Year&gt;2012&lt;/Year&gt;&lt;RecNum&gt;89&lt;/RecNum&gt;&lt;DisplayText&gt;(9)&lt;/DisplayText&gt;&lt;record&gt;&lt;rec-number&gt;89&lt;/rec-number&gt;&lt;foreign-keys&gt;&lt;key app="EN" db-id="zxp9w5sa30aeafes0xox2eem00dz2z2aswad"&gt;89&lt;/key&gt;&lt;key app="ENWeb" db-id="UG1-3grtqigAAEqvEt0"&gt;139&lt;/key&gt;&lt;/foreign-keys&gt;&lt;ref-type name="Journal Article"&gt;17&lt;/ref-type&gt;&lt;contributors&gt;&lt;authors&gt;&lt;author&gt;Grillon J,&lt;/author&gt;&lt;author&gt;Johnson K,&lt;/author&gt;&lt;author&gt;Kotlo K,&lt;/author&gt;&lt;author&gt;Danziger R,&lt;/author&gt;&lt;/authors&gt;&lt;/contributors&gt;&lt;titles&gt;&lt;title&gt;Non-histone lysine acetylated proteins in heart failure&lt;/title&gt;&lt;secondary-title&gt;Biochimica et Biophysica Acta&lt;/secondary-title&gt;&lt;/titles&gt;&lt;periodical&gt;&lt;full-title&gt;Biochimica et Biophysica Acta&lt;/full-title&gt;&lt;/periodical&gt;&lt;pages&gt;607–614&lt;/pages&gt;&lt;volume&gt;1822&lt;/volume&gt;&lt;number&gt;4&lt;/number&gt;&lt;dates&gt;&lt;year&gt;2012&lt;/year&gt;&lt;/dates&gt;&lt;urls&gt;&lt;/urls&gt;&lt;/record&gt;&lt;/Cite&gt;&lt;/EndNote&gt;</w:instrText>
      </w:r>
      <w:r w:rsidR="006C2756">
        <w:rPr>
          <w:rStyle w:val="SC118877"/>
          <w:rFonts w:ascii="Arial" w:hAnsi="Arial" w:cs="Arial"/>
          <w:iCs/>
          <w:sz w:val="24"/>
          <w:szCs w:val="24"/>
          <w:lang w:val="en-US"/>
        </w:rPr>
        <w:fldChar w:fldCharType="separate"/>
      </w:r>
      <w:r>
        <w:rPr>
          <w:rStyle w:val="SC118877"/>
          <w:rFonts w:ascii="Arial" w:hAnsi="Arial" w:cs="Arial"/>
          <w:iCs/>
          <w:noProof/>
          <w:sz w:val="24"/>
          <w:szCs w:val="24"/>
          <w:lang w:val="en-US"/>
        </w:rPr>
        <w:t>(</w:t>
      </w:r>
      <w:hyperlink w:anchor="_ENREF_9" w:tooltip="Grillon J, 2012 #89" w:history="1">
        <w:r w:rsidR="00AB7E17">
          <w:rPr>
            <w:rStyle w:val="SC118877"/>
            <w:rFonts w:ascii="Arial" w:hAnsi="Arial" w:cs="Arial"/>
            <w:iCs/>
            <w:noProof/>
            <w:sz w:val="24"/>
            <w:szCs w:val="24"/>
            <w:lang w:val="en-US"/>
          </w:rPr>
          <w:t>9</w:t>
        </w:r>
      </w:hyperlink>
      <w:r>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by modifying</w:t>
      </w:r>
      <w:r>
        <w:rPr>
          <w:rFonts w:ascii="Arial" w:hAnsi="Arial" w:cs="Arial"/>
          <w:noProof/>
          <w:sz w:val="24"/>
          <w:szCs w:val="24"/>
          <w:lang w:val="en-US"/>
        </w:rPr>
        <w:t xml:space="preserve"> global protein acetylation patterns </w:t>
      </w:r>
      <w:r w:rsidR="006C2756">
        <w:rPr>
          <w:rFonts w:ascii="Arial" w:hAnsi="Arial" w:cs="Arial"/>
          <w:noProof/>
          <w:sz w:val="24"/>
          <w:szCs w:val="24"/>
          <w:lang w:val="en-US"/>
        </w:rPr>
        <w:fldChar w:fldCharType="begin"/>
      </w:r>
      <w:r>
        <w:rPr>
          <w:rFonts w:ascii="Arial" w:hAnsi="Arial" w:cs="Arial"/>
          <w:noProof/>
          <w:sz w:val="24"/>
          <w:szCs w:val="24"/>
          <w:lang w:val="en-US"/>
        </w:rPr>
        <w:instrText xml:space="preserve"> ADDIN EN.CITE &lt;EndNote&gt;&lt;Cite&gt;&lt;Author&gt;Corfe B&lt;/Author&gt;&lt;Year&gt;2009&lt;/Year&gt;&lt;RecNum&gt;49&lt;/RecNum&gt;&lt;DisplayText&gt;(10)&lt;/DisplayText&gt;&lt;record&gt;&lt;rec-number&gt;49&lt;/rec-number&gt;&lt;foreign-keys&gt;&lt;key app="EN" db-id="zxp9w5sa30aeafes0xox2eem00dz2z2aswad"&gt;49&lt;/key&gt;&lt;key app="ENWeb" db-id="UG1-3grtqigAAEqvEt0"&gt;128&lt;/key&gt;&lt;/foreign-keys&gt;&lt;ref-type name="Journal Article"&gt;17&lt;/ref-type&gt;&lt;contributors&gt;&lt;authors&gt;&lt;author&gt;Corfe B,&lt;/author&gt;&lt;author&gt;Williams E,&lt;/author&gt;&lt;author&gt;Bury J,&lt;/author&gt;&lt;author&gt;Riley S,&lt;/author&gt;&lt;author&gt;Croucher L,&lt;/author&gt;&lt;author&gt;Lai D,&lt;/author&gt;&lt;author&gt;Evans C,&lt;/author&gt;&lt;/authors&gt;&lt;/contributors&gt;&lt;titles&gt;&lt;title&gt;A study protocol to investigate the relationship between dietary fibre intake and fermentation, colon cell turnover, global protein acetylation and early carcinogenesis: the FACT study&lt;/title&gt;&lt;secondary-title&gt;BMC Cancer&lt;/secondary-title&gt;&lt;/titles&gt;&lt;periodical&gt;&lt;full-title&gt;BMC Cancer&lt;/full-title&gt;&lt;/periodical&gt;&lt;pages&gt;doi: 10.1186/1471-2407-9-332.&lt;/pages&gt;&lt;volume&gt;9&lt;/volume&gt;&lt;number&gt;332&lt;/number&gt;&lt;dates&gt;&lt;year&gt;2009&lt;/year&gt;&lt;/dates&gt;&lt;urls&gt;&lt;/urls&gt;&lt;/record&gt;&lt;/Cite&gt;&lt;/EndNote&gt;</w:instrText>
      </w:r>
      <w:r w:rsidR="006C2756">
        <w:rPr>
          <w:rFonts w:ascii="Arial" w:hAnsi="Arial" w:cs="Arial"/>
          <w:noProof/>
          <w:sz w:val="24"/>
          <w:szCs w:val="24"/>
          <w:lang w:val="en-US"/>
        </w:rPr>
        <w:fldChar w:fldCharType="separate"/>
      </w:r>
      <w:r>
        <w:rPr>
          <w:rFonts w:ascii="Arial" w:hAnsi="Arial" w:cs="Arial"/>
          <w:noProof/>
          <w:sz w:val="24"/>
          <w:szCs w:val="24"/>
          <w:lang w:val="en-US"/>
        </w:rPr>
        <w:t>(</w:t>
      </w:r>
      <w:hyperlink w:anchor="_ENREF_10" w:tooltip="Corfe B, 2009 #49" w:history="1">
        <w:r w:rsidR="00AB7E17">
          <w:rPr>
            <w:rFonts w:ascii="Arial" w:hAnsi="Arial" w:cs="Arial"/>
            <w:noProof/>
            <w:sz w:val="24"/>
            <w:szCs w:val="24"/>
            <w:lang w:val="en-US"/>
          </w:rPr>
          <w:t>10</w:t>
        </w:r>
      </w:hyperlink>
      <w:r>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w:t>
      </w:r>
      <w:r>
        <w:rPr>
          <w:rStyle w:val="SC118877"/>
          <w:rFonts w:ascii="Arial" w:hAnsi="Arial" w:cs="Arial"/>
          <w:iCs/>
          <w:sz w:val="24"/>
          <w:szCs w:val="24"/>
          <w:lang w:val="en-US"/>
        </w:rPr>
        <w:t xml:space="preserve">altering cellular metabolism, and hence controlling cell fate </w:t>
      </w:r>
      <w:r w:rsidR="006C2756" w:rsidRPr="00967AB8">
        <w:rPr>
          <w:rFonts w:ascii="Arial" w:hAnsi="Arial" w:cs="Arial"/>
          <w:sz w:val="24"/>
          <w:szCs w:val="24"/>
          <w:lang w:val="en-US"/>
        </w:rPr>
        <w:fldChar w:fldCharType="begin">
          <w:fldData xml:space="preserve">PEVuZE5vdGU+PENpdGU+PEF1dGhvcj5aaGFvIFM8L0F1dGhvcj48WWVhcj4yMDEwPC9ZZWFyPjxS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</w:fldData>
        </w:fldChar>
      </w:r>
      <w:r>
        <w:rPr>
          <w:rFonts w:ascii="Arial" w:hAnsi="Arial" w:cs="Arial"/>
          <w:sz w:val="24"/>
          <w:szCs w:val="24"/>
          <w:lang w:val="en-US"/>
        </w:rPr>
        <w:instrText xml:space="preserve"> ADDIN EN.CITE </w:instrText>
      </w:r>
      <w:r w:rsidR="006C2756">
        <w:rPr>
          <w:rFonts w:ascii="Arial" w:hAnsi="Arial" w:cs="Arial"/>
          <w:sz w:val="24"/>
          <w:szCs w:val="24"/>
          <w:lang w:val="en-US"/>
        </w:rPr>
        <w:fldChar w:fldCharType="begin">
          <w:fldData xml:space="preserve">PEVuZE5vdGU+PENpdGU+PEF1dGhvcj5aaGFvIFM8L0F1dGhvcj48WWVhcj4yMDEwPC9ZZWFyPjxS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</w:fldData>
        </w:fldChar>
      </w:r>
      <w:r>
        <w:rPr>
          <w:rFonts w:ascii="Arial" w:hAnsi="Arial" w:cs="Arial"/>
          <w:sz w:val="24"/>
          <w:szCs w:val="24"/>
          <w:lang w:val="en-US"/>
        </w:rPr>
        <w:instrText xml:space="preserve"> ADDIN EN.CITE.DATA </w:instrText>
      </w:r>
      <w:r w:rsidR="006C2756">
        <w:rPr>
          <w:rFonts w:ascii="Arial" w:hAnsi="Arial" w:cs="Arial"/>
          <w:sz w:val="24"/>
          <w:szCs w:val="24"/>
          <w:lang w:val="en-US"/>
        </w:rPr>
      </w:r>
      <w:r w:rsidR="006C2756">
        <w:rPr>
          <w:rFonts w:ascii="Arial" w:hAnsi="Arial" w:cs="Arial"/>
          <w:sz w:val="24"/>
          <w:szCs w:val="24"/>
          <w:lang w:val="en-US"/>
        </w:rPr>
        <w:fldChar w:fldCharType="end"/>
      </w:r>
      <w:r w:rsidR="006C2756" w:rsidRPr="00967AB8">
        <w:rPr>
          <w:rFonts w:ascii="Arial" w:hAnsi="Arial" w:cs="Arial"/>
          <w:sz w:val="24"/>
          <w:szCs w:val="24"/>
          <w:lang w:val="en-US"/>
        </w:rPr>
      </w:r>
      <w:r w:rsidR="006C2756" w:rsidRPr="00967AB8">
        <w:rPr>
          <w:rFonts w:ascii="Arial" w:hAnsi="Arial" w:cs="Arial"/>
          <w:sz w:val="24"/>
          <w:szCs w:val="24"/>
          <w:lang w:val="en-US"/>
        </w:rPr>
        <w:fldChar w:fldCharType="separate"/>
      </w:r>
      <w:r>
        <w:rPr>
          <w:rFonts w:ascii="Arial" w:hAnsi="Arial" w:cs="Arial"/>
          <w:noProof/>
          <w:sz w:val="24"/>
          <w:szCs w:val="24"/>
          <w:lang w:val="en-US"/>
        </w:rPr>
        <w:t>(</w:t>
      </w:r>
      <w:hyperlink w:anchor="_ENREF_11" w:tooltip="Zhao S, 2010 #301" w:history="1">
        <w:r w:rsidR="00AB7E17">
          <w:rPr>
            <w:rFonts w:ascii="Arial" w:hAnsi="Arial" w:cs="Arial"/>
            <w:noProof/>
            <w:sz w:val="24"/>
            <w:szCs w:val="24"/>
            <w:lang w:val="en-US"/>
          </w:rPr>
          <w:t>11</w:t>
        </w:r>
      </w:hyperlink>
      <w:r>
        <w:rPr>
          <w:rFonts w:ascii="Arial" w:hAnsi="Arial" w:cs="Arial"/>
          <w:noProof/>
          <w:sz w:val="24"/>
          <w:szCs w:val="24"/>
          <w:lang w:val="en-US"/>
        </w:rPr>
        <w:t>)</w:t>
      </w:r>
      <w:r w:rsidR="006C2756" w:rsidRPr="00967AB8">
        <w:rPr>
          <w:rFonts w:ascii="Arial" w:hAnsi="Arial" w:cs="Arial"/>
          <w:sz w:val="24"/>
          <w:szCs w:val="24"/>
          <w:lang w:val="en-US"/>
        </w:rPr>
        <w:fldChar w:fldCharType="end"/>
      </w:r>
      <w:r>
        <w:rPr>
          <w:rFonts w:ascii="Arial" w:hAnsi="Arial" w:cs="Arial"/>
          <w:sz w:val="24"/>
          <w:szCs w:val="24"/>
        </w:rPr>
        <w:t xml:space="preserve">, since acetylation might work as a cellular resource to deactivate metabolic enzymes to regulate dynamic cellular processes </w:t>
      </w:r>
      <w:r w:rsidR="006C2756">
        <w:rPr>
          <w:rFonts w:ascii="Arial" w:hAnsi="Arial" w:cs="Arial"/>
          <w:sz w:val="24"/>
          <w:szCs w:val="24"/>
        </w:rPr>
        <w:fldChar w:fldCharType="begin"/>
      </w:r>
      <w:r>
        <w:rPr>
          <w:rFonts w:ascii="Arial" w:hAnsi="Arial" w:cs="Arial"/>
          <w:sz w:val="24"/>
          <w:szCs w:val="24"/>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Pr>
          <w:rFonts w:ascii="Arial" w:hAnsi="Arial" w:cs="Arial"/>
          <w:sz w:val="24"/>
          <w:szCs w:val="24"/>
        </w:rPr>
        <w:fldChar w:fldCharType="separate"/>
      </w:r>
      <w:r>
        <w:rPr>
          <w:rFonts w:ascii="Arial" w:hAnsi="Arial" w:cs="Arial"/>
          <w:noProof/>
          <w:sz w:val="24"/>
          <w:szCs w:val="24"/>
        </w:rPr>
        <w:t>(</w:t>
      </w:r>
      <w:hyperlink w:anchor="_ENREF_12" w:tooltip="Lundby A, 2012 #156" w:history="1">
        <w:r w:rsidR="00AB7E17">
          <w:rPr>
            <w:rFonts w:ascii="Arial" w:hAnsi="Arial" w:cs="Arial"/>
            <w:noProof/>
            <w:sz w:val="24"/>
            <w:szCs w:val="24"/>
          </w:rPr>
          <w:t>12</w:t>
        </w:r>
      </w:hyperlink>
      <w:r>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w:t>
      </w:r>
      <w:r>
        <w:rPr>
          <w:rStyle w:val="SC118877"/>
          <w:rFonts w:ascii="Arial" w:hAnsi="Arial" w:cs="Arial"/>
          <w:iCs/>
          <w:sz w:val="24"/>
          <w:szCs w:val="24"/>
          <w:lang w:val="en-US"/>
        </w:rPr>
        <w:t xml:space="preserve"> Furthermore, the concentration of metabolites needed to start metabolic pathways, </w:t>
      </w:r>
      <w:r w:rsidR="000B3EAF">
        <w:rPr>
          <w:rStyle w:val="SC118877"/>
          <w:rFonts w:ascii="Arial" w:hAnsi="Arial" w:cs="Arial"/>
          <w:iCs/>
          <w:sz w:val="24"/>
          <w:szCs w:val="24"/>
          <w:lang w:val="en-US"/>
        </w:rPr>
        <w:t xml:space="preserve">for example </w:t>
      </w:r>
      <w:r>
        <w:rPr>
          <w:rStyle w:val="SC118877"/>
          <w:rFonts w:ascii="Arial" w:hAnsi="Arial" w:cs="Arial"/>
          <w:iCs/>
          <w:sz w:val="24"/>
          <w:szCs w:val="24"/>
          <w:lang w:val="en-US"/>
        </w:rPr>
        <w:t>SCFAs,</w:t>
      </w:r>
      <w:r w:rsidRPr="007E3FDB">
        <w:rPr>
          <w:rStyle w:val="SC118877"/>
          <w:rFonts w:ascii="Arial" w:hAnsi="Arial" w:cs="Arial"/>
          <w:iCs/>
          <w:sz w:val="24"/>
          <w:szCs w:val="24"/>
          <w:lang w:val="en-US"/>
        </w:rPr>
        <w:t xml:space="preserve"> </w:t>
      </w:r>
      <w:r>
        <w:rPr>
          <w:rStyle w:val="SC118877"/>
          <w:rFonts w:ascii="Arial" w:hAnsi="Arial" w:cs="Arial"/>
          <w:iCs/>
          <w:sz w:val="24"/>
          <w:szCs w:val="24"/>
          <w:lang w:val="en-US"/>
        </w:rPr>
        <w:t xml:space="preserve">can lead to a change in the acetylation patterns of metabolic enzymes as well, pointing to an essential role of acetylation in regulating metabolism in response to the extracellular environment </w:t>
      </w:r>
      <w:r w:rsidR="006C2756">
        <w:rPr>
          <w:rStyle w:val="SC118877"/>
          <w:rFonts w:ascii="Arial" w:hAnsi="Arial" w:cs="Arial"/>
          <w:iCs/>
          <w:sz w:val="24"/>
          <w:szCs w:val="24"/>
          <w:lang w:val="en-US"/>
        </w:rPr>
        <w:fldChar w:fldCharType="begin"/>
      </w:r>
      <w:r>
        <w:rPr>
          <w:rStyle w:val="SC118877"/>
          <w:rFonts w:ascii="Arial" w:hAnsi="Arial" w:cs="Arial"/>
          <w:iCs/>
          <w:sz w:val="24"/>
          <w:szCs w:val="24"/>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Pr>
          <w:rStyle w:val="SC118877"/>
          <w:rFonts w:ascii="Arial" w:hAnsi="Arial" w:cs="Arial"/>
          <w:iCs/>
          <w:sz w:val="24"/>
          <w:szCs w:val="24"/>
          <w:lang w:val="en-US"/>
        </w:rPr>
        <w:fldChar w:fldCharType="separate"/>
      </w:r>
      <w:r>
        <w:rPr>
          <w:rStyle w:val="SC118877"/>
          <w:rFonts w:ascii="Arial" w:hAnsi="Arial" w:cs="Arial"/>
          <w:iCs/>
          <w:noProof/>
          <w:sz w:val="24"/>
          <w:szCs w:val="24"/>
          <w:lang w:val="en-US"/>
        </w:rPr>
        <w:t>(</w:t>
      </w:r>
      <w:hyperlink w:anchor="_ENREF_11" w:tooltip="Zhao S, 2010 #301" w:history="1">
        <w:r w:rsidR="00AB7E17">
          <w:rPr>
            <w:rStyle w:val="SC118877"/>
            <w:rFonts w:ascii="Arial" w:hAnsi="Arial" w:cs="Arial"/>
            <w:iCs/>
            <w:noProof/>
            <w:sz w:val="24"/>
            <w:szCs w:val="24"/>
            <w:lang w:val="en-US"/>
          </w:rPr>
          <w:t>11</w:t>
        </w:r>
      </w:hyperlink>
      <w:r>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sidR="007D7370">
        <w:rPr>
          <w:rStyle w:val="SC118877"/>
          <w:rFonts w:ascii="Arial" w:hAnsi="Arial" w:cs="Arial"/>
          <w:iCs/>
          <w:sz w:val="24"/>
          <w:szCs w:val="24"/>
          <w:lang w:val="en-US"/>
        </w:rPr>
        <w:t>.</w:t>
      </w:r>
    </w:p>
    <w:p w:rsidR="007D7370" w:rsidRDefault="007D7370" w:rsidP="00B05AAB">
      <w:pPr>
        <w:autoSpaceDE w:val="0"/>
        <w:autoSpaceDN w:val="0"/>
        <w:adjustRightInd w:val="0"/>
        <w:spacing w:after="0" w:line="360" w:lineRule="auto"/>
        <w:ind w:firstLine="720"/>
        <w:jc w:val="both"/>
        <w:rPr>
          <w:rFonts w:ascii="Arial" w:hAnsi="Arial" w:cs="Arial"/>
          <w:iCs/>
          <w:color w:val="000000"/>
          <w:sz w:val="24"/>
          <w:szCs w:val="24"/>
        </w:rPr>
      </w:pPr>
      <w:r>
        <w:rPr>
          <w:rStyle w:val="SC118877"/>
          <w:rFonts w:ascii="Arial" w:hAnsi="Arial" w:cs="Arial"/>
          <w:iCs/>
          <w:sz w:val="24"/>
          <w:szCs w:val="24"/>
          <w:lang w:val="en-US"/>
        </w:rPr>
        <w:t>The action of SCFAs can be elucidated using different approaches, like bioinformatics analysis and modelling. This report describes two different investigations: bioinformatics analysis of proteomic data and metabolic mode</w:t>
      </w:r>
      <w:r w:rsidR="00B05AAB">
        <w:rPr>
          <w:rStyle w:val="SC118877"/>
          <w:rFonts w:ascii="Arial" w:hAnsi="Arial" w:cs="Arial"/>
          <w:iCs/>
          <w:sz w:val="24"/>
          <w:szCs w:val="24"/>
          <w:lang w:val="en-US"/>
        </w:rPr>
        <w:t>l</w:t>
      </w:r>
      <w:r>
        <w:rPr>
          <w:rStyle w:val="SC118877"/>
          <w:rFonts w:ascii="Arial" w:hAnsi="Arial" w:cs="Arial"/>
          <w:iCs/>
          <w:sz w:val="24"/>
          <w:szCs w:val="24"/>
          <w:lang w:val="en-US"/>
        </w:rPr>
        <w:t xml:space="preserve">ling. </w:t>
      </w:r>
      <w:r w:rsidR="00B05AAB">
        <w:rPr>
          <w:rStyle w:val="SC118877"/>
          <w:rFonts w:ascii="Arial" w:hAnsi="Arial" w:cs="Arial"/>
          <w:iCs/>
          <w:sz w:val="24"/>
          <w:szCs w:val="24"/>
          <w:lang w:val="en-US"/>
        </w:rPr>
        <w:t xml:space="preserve">The bioinformatics analysis will be done on a </w:t>
      </w:r>
      <w:r w:rsidR="00B05AAB" w:rsidRPr="00B05AAB">
        <w:rPr>
          <w:rFonts w:ascii="Arial" w:hAnsi="Arial" w:cs="Arial"/>
          <w:iCs/>
          <w:color w:val="000000"/>
          <w:sz w:val="24"/>
          <w:szCs w:val="24"/>
          <w:lang w:val="en-US"/>
        </w:rPr>
        <w:t xml:space="preserve">mitochondrial proteomic data set </w:t>
      </w:r>
      <w:r w:rsidR="00B05AAB">
        <w:rPr>
          <w:rFonts w:ascii="Arial" w:hAnsi="Arial" w:cs="Arial"/>
          <w:iCs/>
          <w:color w:val="000000"/>
          <w:sz w:val="24"/>
          <w:szCs w:val="24"/>
          <w:lang w:val="en-US"/>
        </w:rPr>
        <w:t xml:space="preserve">which </w:t>
      </w:r>
      <w:r w:rsidR="00B05AAB" w:rsidRPr="00B05AAB">
        <w:rPr>
          <w:rFonts w:ascii="Arial" w:hAnsi="Arial" w:cs="Arial"/>
          <w:iCs/>
          <w:color w:val="000000"/>
          <w:sz w:val="24"/>
          <w:szCs w:val="24"/>
          <w:lang w:val="en-US"/>
        </w:rPr>
        <w:t>will be mined in terms of which proteins are detected to be acetylated by qualitatively examining the data</w:t>
      </w:r>
      <w:r w:rsidR="00B05AAB">
        <w:rPr>
          <w:rFonts w:ascii="Arial" w:hAnsi="Arial" w:cs="Arial"/>
          <w:iCs/>
          <w:color w:val="000000"/>
          <w:sz w:val="24"/>
          <w:szCs w:val="24"/>
          <w:lang w:val="en-US"/>
        </w:rPr>
        <w:t>. On the other hand, the metabolic modelling will be mined in terms of t</w:t>
      </w:r>
      <w:r w:rsidR="00B05AAB" w:rsidRPr="00B05AAB">
        <w:rPr>
          <w:rFonts w:ascii="Arial" w:hAnsi="Arial" w:cs="Arial"/>
          <w:iCs/>
          <w:color w:val="000000"/>
          <w:sz w:val="24"/>
          <w:szCs w:val="24"/>
        </w:rPr>
        <w:t>he action of SCFAs and glucose increasing concentrations on acetyl-CoA and CoA levels and the effect of physiological ranges of SCFAs on a time course</w:t>
      </w:r>
      <w:r w:rsidR="00B05AAB">
        <w:rPr>
          <w:rFonts w:ascii="Arial" w:hAnsi="Arial" w:cs="Arial"/>
          <w:iCs/>
          <w:color w:val="000000"/>
          <w:sz w:val="24"/>
          <w:szCs w:val="24"/>
        </w:rPr>
        <w:t>.</w:t>
      </w:r>
    </w:p>
    <w:p w:rsidR="003512B8" w:rsidRDefault="003512B8" w:rsidP="00B05AAB">
      <w:pPr>
        <w:autoSpaceDE w:val="0"/>
        <w:autoSpaceDN w:val="0"/>
        <w:adjustRightInd w:val="0"/>
        <w:spacing w:after="0" w:line="360" w:lineRule="auto"/>
        <w:ind w:firstLine="720"/>
        <w:jc w:val="both"/>
        <w:rPr>
          <w:rFonts w:ascii="Arial" w:hAnsi="Arial" w:cs="Arial"/>
          <w:iCs/>
          <w:color w:val="000000"/>
          <w:sz w:val="24"/>
          <w:szCs w:val="24"/>
          <w:lang w:val="en-US"/>
        </w:rPr>
      </w:pPr>
    </w:p>
    <w:p w:rsidR="00EF1380" w:rsidRPr="00B62A7F" w:rsidRDefault="00ED44D4" w:rsidP="001E52CA">
      <w:pPr>
        <w:pStyle w:val="Heading1"/>
        <w:numPr>
          <w:ilvl w:val="0"/>
          <w:numId w:val="3"/>
        </w:numPr>
        <w:ind w:left="567" w:hanging="567"/>
        <w:rPr>
          <w:rFonts w:ascii="Arial" w:hAnsi="Arial" w:cs="Arial"/>
          <w:sz w:val="28"/>
          <w:szCs w:val="24"/>
          <w:lang w:val="en-US"/>
        </w:rPr>
      </w:pPr>
      <w:bookmarkStart w:id="6" w:name="_Toc413753740"/>
      <w:r>
        <w:rPr>
          <w:rFonts w:ascii="Arial" w:hAnsi="Arial" w:cs="Arial"/>
          <w:sz w:val="28"/>
          <w:szCs w:val="24"/>
          <w:lang w:val="en-US"/>
        </w:rPr>
        <w:lastRenderedPageBreak/>
        <w:t xml:space="preserve">Short </w:t>
      </w:r>
      <w:r w:rsidR="00EF1380" w:rsidRPr="00B62A7F">
        <w:rPr>
          <w:rFonts w:ascii="Arial" w:hAnsi="Arial" w:cs="Arial"/>
          <w:sz w:val="28"/>
          <w:szCs w:val="24"/>
          <w:lang w:val="en-US"/>
        </w:rPr>
        <w:t>chain fatty acids</w:t>
      </w:r>
      <w:bookmarkEnd w:id="6"/>
    </w:p>
    <w:p w:rsidR="00EF1380" w:rsidRDefault="00EF1380" w:rsidP="00EF1380">
      <w:pPr>
        <w:spacing w:line="360" w:lineRule="auto"/>
        <w:ind w:firstLine="708"/>
        <w:jc w:val="both"/>
        <w:rPr>
          <w:rFonts w:ascii="Arial" w:hAnsi="Arial" w:cs="Arial"/>
          <w:noProof/>
          <w:sz w:val="24"/>
          <w:szCs w:val="24"/>
          <w:lang w:val="en-US"/>
        </w:rPr>
      </w:pPr>
      <w:r>
        <w:rPr>
          <w:rFonts w:ascii="Arial" w:hAnsi="Arial" w:cs="Arial"/>
          <w:sz w:val="24"/>
          <w:szCs w:val="24"/>
          <w:lang w:val="en-US"/>
        </w:rPr>
        <w:t xml:space="preserve">Anaerobic bacteria in the colon regulate the fermentation of dietary components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&lt;EndNote&gt;&lt;Cite&gt;&lt;Author&gt;Salyers A&lt;/Author&gt;&lt;Year&gt;1979&amp;#xD;&lt;/Year&gt;&lt;RecNum&gt;309&lt;/RecNum&gt;&lt;DisplayText&gt;(13, 14)&lt;/DisplayText&gt;&lt;record&gt;&lt;rec-number&gt;309&lt;/rec-number&gt;&lt;foreign-keys&gt;&lt;key app="EN" db-id="zxp9w5sa30aeafes0xox2eem00dz2z2aswad"&gt;309&lt;/key&gt;&lt;/foreign-keys&gt;&lt;ref-type name="Journal Article"&gt;17&lt;/ref-type&gt;&lt;contributors&gt;&lt;authors&gt;&lt;author&gt;Salyers A,&lt;/author&gt;&lt;/authors&gt;&lt;/contributors&gt;&lt;titles&gt;&lt;title&gt;Energy sources of major fermentative anaerobes&lt;/title&gt;&lt;secondary-title&gt;Am J Clin Nutr&lt;/secondary-title&gt;&lt;/titles&gt;&lt;periodical&gt;&lt;full-title&gt;Am J Clin Nutr&lt;/full-title&gt;&lt;/periodical&gt;&lt;pages&gt;158-163&lt;/pages&gt;&lt;volume&gt;32&lt;/volume&gt;&lt;number&gt;1&lt;/number&gt;&lt;dates&gt;&lt;year&gt;1979&lt;/year&gt;&lt;/dates&gt;&lt;urls&gt;&lt;/urls&gt;&lt;/record&gt;&lt;/Cite&gt;&lt;Cite&gt;&lt;Author&gt;Salyers A&lt;/Author&gt;&lt;Year&gt;1977&amp;#xD;&lt;/Year&gt;&lt;RecNum&gt;308&lt;/RecNum&gt;&lt;record&gt;&lt;rec-number&gt;308&lt;/rec-number&gt;&lt;foreign-keys&gt;&lt;key app="EN" db-id="zxp9w5sa30aeafes0xox2eem00dz2z2aswad"&gt;308&lt;/key&gt;&lt;/foreign-keys&gt;&lt;ref-type name="Journal Article"&gt;17&lt;/ref-type&gt;&lt;contributors&gt;&lt;authors&gt;&lt;author&gt;Salyers A,&lt;/author&gt;&lt;author&gt;Vercellotti J,&lt;/author&gt;&lt;author&gt;West S,&lt;/author&gt;&lt;author&gt;Wilkins T,&lt;/author&gt;&lt;/authors&gt;&lt;/contributors&gt;&lt;titles&gt;&lt;title&gt;Fermentation of mucin and plant polysaccharides bv strains of Bacteroides from the human colon&lt;/title&gt;&lt;secondary-title&gt;Appl Environ Microbiol &lt;/secondary-title&gt;&lt;/titles&gt;&lt;periodical&gt;&lt;full-title&gt;Appl Environ Microbiol&lt;/full-title&gt;&lt;/periodical&gt;&lt;pages&gt;319-322&lt;/pages&gt;&lt;volume&gt;33&lt;/volume&gt;&lt;number&gt;2&lt;/number&gt;&lt;dates&gt;&lt;year&gt;1977&lt;/year&gt;&lt;/dates&gt;&lt;urls&gt;&lt;/urls&gt;&lt;/record&gt;&lt;/Cite&gt;&lt;/EndNote&gt;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13" w:tooltip="Salyers A, 1979 #309" w:history="1">
        <w:r w:rsidR="00AB7E17">
          <w:rPr>
            <w:rFonts w:ascii="Arial" w:hAnsi="Arial" w:cs="Arial"/>
            <w:noProof/>
            <w:sz w:val="24"/>
            <w:szCs w:val="24"/>
            <w:lang w:val="en-US"/>
          </w:rPr>
          <w:t>13</w:t>
        </w:r>
      </w:hyperlink>
      <w:r w:rsidR="000B3EAF">
        <w:rPr>
          <w:rFonts w:ascii="Arial" w:hAnsi="Arial" w:cs="Arial"/>
          <w:noProof/>
          <w:sz w:val="24"/>
          <w:szCs w:val="24"/>
          <w:lang w:val="en-US"/>
        </w:rPr>
        <w:t xml:space="preserve">, </w:t>
      </w:r>
      <w:hyperlink w:anchor="_ENREF_14" w:tooltip="Salyers A, 1977 #308" w:history="1">
        <w:r w:rsidR="00AB7E17">
          <w:rPr>
            <w:rFonts w:ascii="Arial" w:hAnsi="Arial" w:cs="Arial"/>
            <w:noProof/>
            <w:sz w:val="24"/>
            <w:szCs w:val="24"/>
            <w:lang w:val="en-US"/>
          </w:rPr>
          <w:t>14</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sidR="00ED44D4">
        <w:rPr>
          <w:rFonts w:ascii="Arial" w:hAnsi="Arial" w:cs="Arial"/>
          <w:noProof/>
          <w:sz w:val="24"/>
          <w:szCs w:val="24"/>
          <w:lang w:val="en-US"/>
        </w:rPr>
        <w:t xml:space="preserve">. </w:t>
      </w:r>
      <w:r>
        <w:rPr>
          <w:rFonts w:ascii="Arial" w:hAnsi="Arial" w:cs="Arial"/>
          <w:noProof/>
          <w:sz w:val="24"/>
          <w:szCs w:val="24"/>
          <w:lang w:val="en-US"/>
        </w:rPr>
        <w:t xml:space="preserve">SCFAs act as the main anions in colonic contents, and are one of the </w:t>
      </w:r>
      <w:r w:rsidRPr="00EE33ED">
        <w:rPr>
          <w:rFonts w:ascii="Arial" w:hAnsi="Arial" w:cs="Arial"/>
          <w:noProof/>
          <w:sz w:val="24"/>
          <w:szCs w:val="24"/>
          <w:lang w:val="en-US"/>
        </w:rPr>
        <w:t>main products of fibre fermentation</w:t>
      </w:r>
      <w:r>
        <w:rPr>
          <w:rFonts w:ascii="Arial" w:hAnsi="Arial" w:cs="Arial"/>
          <w:noProof/>
          <w:sz w:val="24"/>
          <w:szCs w:val="24"/>
          <w:lang w:val="en-US"/>
        </w:rPr>
        <w:t xml:space="preserve"> </w:t>
      </w:r>
      <w:r w:rsidR="006C2756">
        <w:rPr>
          <w:rFonts w:ascii="Arial" w:hAnsi="Arial" w:cs="Arial"/>
          <w:lang w:val="en-US"/>
        </w:rPr>
        <w:fldChar w:fldCharType="begin"/>
      </w:r>
      <w:r w:rsidR="000B3EAF">
        <w:rPr>
          <w:rFonts w:ascii="Arial" w:hAnsi="Arial" w:cs="Arial"/>
          <w:lang w:val="en-US"/>
        </w:rPr>
        <w:instrText xml:space="preserve"> ADDIN EN.CITE &lt;EndNote&gt;&lt;Cite&gt;&lt;Author&gt;McNeil N&lt;/Author&gt;&lt;Year&gt;1978&lt;/Year&gt;&lt;RecNum&gt;346&lt;/RecNum&gt;&lt;DisplayText&gt;(15)&lt;/DisplayText&gt;&lt;record&gt;&lt;rec-number&gt;346&lt;/rec-number&gt;&lt;foreign-keys&gt;&lt;key app="EN" db-id="zxp9w5sa30aeafes0xox2eem00dz2z2aswad"&gt;346&lt;/key&gt;&lt;/foreign-keys&gt;&lt;ref-type name="Journal Article"&gt;17&lt;/ref-type&gt;&lt;contributors&gt;&lt;authors&gt;&lt;author&gt;McNeil N,&lt;/author&gt;&lt;author&gt;Cummings J,&lt;/author&gt;&lt;author&gt;James W,&lt;/author&gt;&lt;/authors&gt;&lt;/contributors&gt;&lt;titles&gt;&lt;title&gt;Short chain fatty acid absorption by the human large intestine&lt;/title&gt;&lt;secondary-title&gt;Gut&lt;/secondary-title&gt;&lt;/titles&gt;&lt;periodical&gt;&lt;full-title&gt;Gut&lt;/full-title&gt;&lt;/periodical&gt;&lt;pages&gt;819-822&lt;/pages&gt;&lt;volume&gt;19&lt;/volume&gt;&lt;number&gt;9&lt;/number&gt;&lt;dates&gt;&lt;year&gt;1978&lt;/year&gt;&lt;/dates&gt;&lt;urls&gt;&lt;/urls&gt;&lt;/record&gt;&lt;/Cite&gt;&lt;/EndNote&gt;</w:instrText>
      </w:r>
      <w:r w:rsidR="006C2756">
        <w:rPr>
          <w:rFonts w:ascii="Arial" w:hAnsi="Arial" w:cs="Arial"/>
          <w:lang w:val="en-US"/>
        </w:rPr>
        <w:fldChar w:fldCharType="separate"/>
      </w:r>
      <w:r w:rsidR="000B3EAF">
        <w:rPr>
          <w:rFonts w:ascii="Arial" w:hAnsi="Arial" w:cs="Arial"/>
          <w:noProof/>
          <w:lang w:val="en-US"/>
        </w:rPr>
        <w:t>(</w:t>
      </w:r>
      <w:hyperlink w:anchor="_ENREF_15" w:tooltip="McNeil N, 1978 #346" w:history="1">
        <w:r w:rsidR="00AB7E17">
          <w:rPr>
            <w:rFonts w:ascii="Arial" w:hAnsi="Arial" w:cs="Arial"/>
            <w:noProof/>
            <w:lang w:val="en-US"/>
          </w:rPr>
          <w:t>15</w:t>
        </w:r>
      </w:hyperlink>
      <w:r w:rsidR="000B3EAF">
        <w:rPr>
          <w:rFonts w:ascii="Arial" w:hAnsi="Arial" w:cs="Arial"/>
          <w:noProof/>
          <w:lang w:val="en-US"/>
        </w:rPr>
        <w:t>)</w:t>
      </w:r>
      <w:r w:rsidR="006C2756">
        <w:rPr>
          <w:rFonts w:ascii="Arial" w:hAnsi="Arial" w:cs="Arial"/>
          <w:lang w:val="en-US"/>
        </w:rPr>
        <w:fldChar w:fldCharType="end"/>
      </w:r>
      <w:r w:rsidRPr="00EE33ED">
        <w:rPr>
          <w:rFonts w:ascii="Arial" w:hAnsi="Arial" w:cs="Arial"/>
          <w:sz w:val="24"/>
          <w:szCs w:val="24"/>
          <w:lang w:val="en-US"/>
        </w:rPr>
        <w:t xml:space="preserve">. Another function of SCFAs is </w:t>
      </w:r>
      <w:r>
        <w:rPr>
          <w:rFonts w:ascii="Arial" w:hAnsi="Arial" w:cs="Arial"/>
          <w:sz w:val="24"/>
          <w:szCs w:val="24"/>
          <w:lang w:val="en-US"/>
        </w:rPr>
        <w:t xml:space="preserve">the </w:t>
      </w:r>
      <w:r w:rsidRPr="00EE33ED">
        <w:rPr>
          <w:rFonts w:ascii="Arial" w:hAnsi="Arial" w:cs="Arial"/>
          <w:sz w:val="24"/>
          <w:szCs w:val="24"/>
          <w:lang w:val="en-US"/>
        </w:rPr>
        <w:t xml:space="preserve">control of gene expression and cell proliferation by lowering pH levels </w:t>
      </w:r>
      <w:r w:rsidR="006C2756" w:rsidRPr="00EE33ED">
        <w:rPr>
          <w:rFonts w:ascii="Arial" w:hAnsi="Arial" w:cs="Arial"/>
          <w:sz w:val="24"/>
          <w:szCs w:val="24"/>
          <w:lang w:val="en-US"/>
        </w:rPr>
        <w:fldChar w:fldCharType="begin">
          <w:fldData xml:space="preserve">PEVuZE5vdGU+PENpdGU+PEF1dGhvcj5DdW1taW5ncyBKPC9BdXRob3I+PFllYXI+MTk3NjwvWWVh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</w:fldData>
        </w:fldChar>
      </w:r>
      <w:r w:rsidR="000B3EAF">
        <w:rPr>
          <w:rFonts w:ascii="Arial" w:hAnsi="Arial" w:cs="Arial"/>
          <w:sz w:val="24"/>
          <w:szCs w:val="24"/>
          <w:lang w:val="en-US"/>
        </w:rPr>
        <w:instrText xml:space="preserve"> ADDIN EN.CITE </w:instrText>
      </w:r>
      <w:r w:rsidR="006C2756">
        <w:rPr>
          <w:rFonts w:ascii="Arial" w:hAnsi="Arial" w:cs="Arial"/>
          <w:sz w:val="24"/>
          <w:szCs w:val="24"/>
          <w:lang w:val="en-US"/>
        </w:rPr>
        <w:fldChar w:fldCharType="begin">
          <w:fldData xml:space="preserve">PEVuZE5vdGU+PENpdGU+PEF1dGhvcj5DdW1taW5ncyBKPC9BdXRob3I+PFllYXI+MTk3NjwvWWVh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</w:fldData>
        </w:fldChar>
      </w:r>
      <w:r w:rsidR="000B3EAF">
        <w:rPr>
          <w:rFonts w:ascii="Arial" w:hAnsi="Arial" w:cs="Arial"/>
          <w:sz w:val="24"/>
          <w:szCs w:val="24"/>
          <w:lang w:val="en-US"/>
        </w:rPr>
        <w:instrText xml:space="preserve"> ADDIN EN.CITE.DATA </w:instrText>
      </w:r>
      <w:r w:rsidR="006C2756">
        <w:rPr>
          <w:rFonts w:ascii="Arial" w:hAnsi="Arial" w:cs="Arial"/>
          <w:sz w:val="24"/>
          <w:szCs w:val="24"/>
          <w:lang w:val="en-US"/>
        </w:rPr>
      </w:r>
      <w:r w:rsidR="006C2756">
        <w:rPr>
          <w:rFonts w:ascii="Arial" w:hAnsi="Arial" w:cs="Arial"/>
          <w:sz w:val="24"/>
          <w:szCs w:val="24"/>
          <w:lang w:val="en-US"/>
        </w:rPr>
        <w:fldChar w:fldCharType="end"/>
      </w:r>
      <w:r w:rsidR="006C2756" w:rsidRPr="00EE33ED">
        <w:rPr>
          <w:rFonts w:ascii="Arial" w:hAnsi="Arial" w:cs="Arial"/>
          <w:sz w:val="24"/>
          <w:szCs w:val="24"/>
          <w:lang w:val="en-US"/>
        </w:rPr>
      </w:r>
      <w:r w:rsidR="006C2756" w:rsidRPr="00EE33ED">
        <w:rPr>
          <w:rFonts w:ascii="Arial" w:hAnsi="Arial" w:cs="Arial"/>
          <w:sz w:val="24"/>
          <w:szCs w:val="24"/>
          <w:lang w:val="en-US"/>
        </w:rPr>
        <w:fldChar w:fldCharType="separate"/>
      </w:r>
      <w:r w:rsidR="000B3EAF">
        <w:rPr>
          <w:rFonts w:ascii="Arial" w:hAnsi="Arial" w:cs="Arial"/>
          <w:noProof/>
          <w:sz w:val="24"/>
          <w:szCs w:val="24"/>
          <w:lang w:val="en-US"/>
        </w:rPr>
        <w:t>(</w:t>
      </w:r>
      <w:hyperlink w:anchor="_ENREF_16" w:tooltip="Cummings J, 1976 #310" w:history="1">
        <w:r w:rsidR="00AB7E17">
          <w:rPr>
            <w:rFonts w:ascii="Arial" w:hAnsi="Arial" w:cs="Arial"/>
            <w:noProof/>
            <w:sz w:val="24"/>
            <w:szCs w:val="24"/>
            <w:lang w:val="en-US"/>
          </w:rPr>
          <w:t>16-18</w:t>
        </w:r>
      </w:hyperlink>
      <w:r w:rsidR="000B3EAF">
        <w:rPr>
          <w:rFonts w:ascii="Arial" w:hAnsi="Arial" w:cs="Arial"/>
          <w:noProof/>
          <w:sz w:val="24"/>
          <w:szCs w:val="24"/>
          <w:lang w:val="en-US"/>
        </w:rPr>
        <w:t>)</w:t>
      </w:r>
      <w:r w:rsidR="006C2756" w:rsidRPr="00EE33ED">
        <w:rPr>
          <w:rFonts w:ascii="Arial" w:hAnsi="Arial" w:cs="Arial"/>
          <w:sz w:val="24"/>
          <w:szCs w:val="24"/>
          <w:lang w:val="en-US"/>
        </w:rPr>
        <w:fldChar w:fldCharType="end"/>
      </w:r>
      <w:r w:rsidRPr="00EE33ED">
        <w:rPr>
          <w:rFonts w:ascii="Arial" w:hAnsi="Arial" w:cs="Arial"/>
          <w:sz w:val="24"/>
          <w:szCs w:val="24"/>
          <w:lang w:val="en-US"/>
        </w:rPr>
        <w:t xml:space="preserve">. The main role of SCFAs is related to histone acetylation </w:t>
      </w:r>
      <w:r w:rsidR="006C2756" w:rsidRPr="00EE33ED">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&lt;EndNote&gt;&lt;Cite&gt;&lt;Author&gt;Hinnebusch B&lt;/Author&gt;&lt;Year&gt;2002&lt;/Year&gt;&lt;RecNum&gt;109&lt;/RecNum&gt;&lt;DisplayText&gt;(19)&lt;/DisplayText&gt;&lt;record&gt;&lt;rec-number&gt;109&lt;/rec-number&gt;&lt;foreign-keys&gt;&lt;key app="EN" db-id="zxp9w5sa30aeafes0xox2eem00dz2z2aswad"&gt;109&lt;/key&gt;&lt;key app="ENWeb" db-id="UG1-3grtqigAAEqvEt0"&gt;178&lt;/key&gt;&lt;/foreign-keys&gt;&lt;ref-type name="Journal Article"&gt;17&lt;/ref-type&gt;&lt;contributors&gt;&lt;authors&gt;&lt;author&gt;Hinnebusch B,&lt;/author&gt;&lt;author&gt;Meng S,&lt;/author&gt;&lt;author&gt;Wu J,&lt;/author&gt;&lt;author&gt;Archer S,&lt;/author&gt;&lt;author&gt;Hodin R,&lt;/author&gt;&lt;/authors&gt;&lt;/contributors&gt;&lt;titles&gt;&lt;title&gt;The effects of short-chain fatty acids on human colon cancer cell phenotype are associated with histone hyperacetylation&lt;/title&gt;&lt;secondary-title&gt;J Nutr&lt;/secondary-title&gt;&lt;/titles&gt;&lt;periodical&gt;&lt;full-title&gt;J Nutr&lt;/full-title&gt;&lt;/periodical&gt;&lt;pages&gt;1012-17&lt;/pages&gt;&lt;volume&gt;132&lt;/volume&gt;&lt;dates&gt;&lt;year&gt;2002&lt;/year&gt;&lt;/dates&gt;&lt;urls&gt;&lt;/urls&gt;&lt;/record&gt;&lt;/Cite&gt;&lt;/EndNote&gt;</w:instrText>
      </w:r>
      <w:r w:rsidR="006C2756" w:rsidRPr="00EE33ED">
        <w:rPr>
          <w:rFonts w:ascii="Arial" w:hAnsi="Arial" w:cs="Arial"/>
          <w:sz w:val="24"/>
          <w:szCs w:val="24"/>
          <w:lang w:val="en-US"/>
        </w:rPr>
        <w:fldChar w:fldCharType="separate"/>
      </w:r>
      <w:r w:rsidR="000B3EAF">
        <w:rPr>
          <w:rFonts w:ascii="Arial" w:hAnsi="Arial" w:cs="Arial"/>
          <w:noProof/>
          <w:sz w:val="24"/>
          <w:szCs w:val="24"/>
          <w:lang w:val="en-US"/>
        </w:rPr>
        <w:t>(</w:t>
      </w:r>
      <w:hyperlink w:anchor="_ENREF_19" w:tooltip="Hinnebusch B, 2002 #109" w:history="1">
        <w:r w:rsidR="00AB7E17">
          <w:rPr>
            <w:rFonts w:ascii="Arial" w:hAnsi="Arial" w:cs="Arial"/>
            <w:noProof/>
            <w:sz w:val="24"/>
            <w:szCs w:val="24"/>
            <w:lang w:val="en-US"/>
          </w:rPr>
          <w:t>19</w:t>
        </w:r>
      </w:hyperlink>
      <w:r w:rsidR="000B3EAF">
        <w:rPr>
          <w:rFonts w:ascii="Arial" w:hAnsi="Arial" w:cs="Arial"/>
          <w:noProof/>
          <w:sz w:val="24"/>
          <w:szCs w:val="24"/>
          <w:lang w:val="en-US"/>
        </w:rPr>
        <w:t>)</w:t>
      </w:r>
      <w:r w:rsidR="006C2756" w:rsidRPr="00EE33ED">
        <w:rPr>
          <w:rFonts w:ascii="Arial" w:hAnsi="Arial" w:cs="Arial"/>
          <w:sz w:val="24"/>
          <w:szCs w:val="24"/>
          <w:lang w:val="en-US"/>
        </w:rPr>
        <w:fldChar w:fldCharType="end"/>
      </w:r>
      <w:r w:rsidRPr="00EE33ED">
        <w:rPr>
          <w:rFonts w:ascii="Arial" w:hAnsi="Arial" w:cs="Arial"/>
          <w:sz w:val="24"/>
          <w:szCs w:val="24"/>
          <w:lang w:val="en-US"/>
        </w:rPr>
        <w:t xml:space="preserve"> as lysine deacetylase inhibitors (KDACi). In terms of </w:t>
      </w:r>
      <w:r>
        <w:rPr>
          <w:rFonts w:ascii="Arial" w:hAnsi="Arial" w:cs="Arial"/>
          <w:sz w:val="24"/>
          <w:szCs w:val="24"/>
          <w:lang w:val="en-US"/>
        </w:rPr>
        <w:t>lysine deacetylases (</w:t>
      </w:r>
      <w:r w:rsidRPr="00EE33ED">
        <w:rPr>
          <w:rFonts w:ascii="Arial" w:hAnsi="Arial" w:cs="Arial"/>
          <w:sz w:val="24"/>
          <w:szCs w:val="24"/>
          <w:lang w:val="en-US"/>
        </w:rPr>
        <w:t>KDAC</w:t>
      </w:r>
      <w:r>
        <w:rPr>
          <w:rFonts w:ascii="Arial" w:hAnsi="Arial" w:cs="Arial"/>
          <w:sz w:val="24"/>
          <w:szCs w:val="24"/>
          <w:lang w:val="en-US"/>
        </w:rPr>
        <w:t>s)</w:t>
      </w:r>
      <w:r w:rsidRPr="00EE33ED">
        <w:rPr>
          <w:rFonts w:ascii="Arial" w:hAnsi="Arial" w:cs="Arial"/>
          <w:sz w:val="24"/>
          <w:szCs w:val="24"/>
          <w:lang w:val="en-US"/>
        </w:rPr>
        <w:t xml:space="preserve"> inhibition, </w:t>
      </w:r>
      <w:r w:rsidRPr="00EE33ED">
        <w:rPr>
          <w:rFonts w:ascii="Arial" w:hAnsi="Arial" w:cs="Arial"/>
          <w:noProof/>
          <w:sz w:val="24"/>
          <w:szCs w:val="24"/>
          <w:lang w:val="en-US"/>
        </w:rPr>
        <w:t xml:space="preserve">butyrate is the most effective </w:t>
      </w:r>
      <w:r>
        <w:rPr>
          <w:rFonts w:ascii="Arial" w:hAnsi="Arial" w:cs="Arial"/>
          <w:noProof/>
          <w:sz w:val="24"/>
          <w:szCs w:val="24"/>
          <w:lang w:val="en-US"/>
        </w:rPr>
        <w:t>short-chain fatty acid (</w:t>
      </w:r>
      <w:r w:rsidRPr="00EE33ED">
        <w:rPr>
          <w:rFonts w:ascii="Arial" w:hAnsi="Arial" w:cs="Arial"/>
          <w:noProof/>
          <w:sz w:val="24"/>
          <w:szCs w:val="24"/>
          <w:lang w:val="en-US"/>
        </w:rPr>
        <w:t>SCFA</w:t>
      </w:r>
      <w:r>
        <w:rPr>
          <w:rFonts w:ascii="Arial" w:hAnsi="Arial" w:cs="Arial"/>
          <w:noProof/>
          <w:sz w:val="24"/>
          <w:szCs w:val="24"/>
          <w:lang w:val="en-US"/>
        </w:rPr>
        <w:t>)</w:t>
      </w:r>
      <w:r w:rsidRPr="00EE33ED">
        <w:rPr>
          <w:rFonts w:ascii="Arial" w:hAnsi="Arial" w:cs="Arial"/>
          <w:noProof/>
          <w:sz w:val="24"/>
          <w:szCs w:val="24"/>
          <w:lang w:val="en-US"/>
        </w:rPr>
        <w:t xml:space="preserve"> </w:t>
      </w:r>
      <w:r w:rsidR="006C2756" w:rsidRPr="00EE33ED">
        <w:rPr>
          <w:rFonts w:ascii="Arial" w:hAnsi="Arial" w:cs="Arial"/>
          <w:noProof/>
          <w:sz w:val="24"/>
          <w:szCs w:val="24"/>
          <w:lang w:val="en-US"/>
        </w:rPr>
        <w:fldChar w:fldCharType="begin">
          <w:fldData xml:space="preserve">PEVuZE5vdGU+PENpdGU+PEF1dGhvcj5XYWxkZWNrZXIgTTwvQXV0aG9yPjxZZWFyPjIwMDg8L1ll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</w:fldData>
        </w:fldChar>
      </w:r>
      <w:r w:rsidR="000B3EAF">
        <w:rPr>
          <w:rFonts w:ascii="Arial" w:hAnsi="Arial" w:cs="Arial"/>
          <w:noProof/>
          <w:sz w:val="24"/>
          <w:szCs w:val="24"/>
          <w:lang w:val="en-US"/>
        </w:rPr>
        <w:instrText xml:space="preserve"> ADDIN EN.CITE </w:instrText>
      </w:r>
      <w:r w:rsidR="006C2756">
        <w:rPr>
          <w:rFonts w:ascii="Arial" w:hAnsi="Arial" w:cs="Arial"/>
          <w:noProof/>
          <w:sz w:val="24"/>
          <w:szCs w:val="24"/>
          <w:lang w:val="en-US"/>
        </w:rPr>
        <w:fldChar w:fldCharType="begin">
          <w:fldData xml:space="preserve">PEVuZE5vdGU+PENpdGU+PEF1dGhvcj5XYWxkZWNrZXIgTTwvQXV0aG9yPjxZZWFyPjIwMDg8L1ll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</w:fldData>
        </w:fldChar>
      </w:r>
      <w:r w:rsidR="000B3EAF">
        <w:rPr>
          <w:rFonts w:ascii="Arial" w:hAnsi="Arial" w:cs="Arial"/>
          <w:noProof/>
          <w:sz w:val="24"/>
          <w:szCs w:val="24"/>
          <w:lang w:val="en-US"/>
        </w:rPr>
        <w:instrText xml:space="preserve"> ADDIN EN.CITE.DATA </w:instrText>
      </w:r>
      <w:r w:rsidR="006C2756">
        <w:rPr>
          <w:rFonts w:ascii="Arial" w:hAnsi="Arial" w:cs="Arial"/>
          <w:noProof/>
          <w:sz w:val="24"/>
          <w:szCs w:val="24"/>
          <w:lang w:val="en-US"/>
        </w:rPr>
      </w:r>
      <w:r w:rsidR="006C2756">
        <w:rPr>
          <w:rFonts w:ascii="Arial" w:hAnsi="Arial" w:cs="Arial"/>
          <w:noProof/>
          <w:sz w:val="24"/>
          <w:szCs w:val="24"/>
          <w:lang w:val="en-US"/>
        </w:rPr>
        <w:fldChar w:fldCharType="end"/>
      </w:r>
      <w:r w:rsidR="006C2756" w:rsidRPr="00EE33ED">
        <w:rPr>
          <w:rFonts w:ascii="Arial" w:hAnsi="Arial" w:cs="Arial"/>
          <w:noProof/>
          <w:sz w:val="24"/>
          <w:szCs w:val="24"/>
          <w:lang w:val="en-US"/>
        </w:rPr>
      </w:r>
      <w:r w:rsidR="006C2756" w:rsidRPr="00EE33ED">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19" w:tooltip="Hinnebusch B, 2002 #109" w:history="1">
        <w:r w:rsidR="00AB7E17">
          <w:rPr>
            <w:rFonts w:ascii="Arial" w:hAnsi="Arial" w:cs="Arial"/>
            <w:noProof/>
            <w:sz w:val="24"/>
            <w:szCs w:val="24"/>
            <w:lang w:val="en-US"/>
          </w:rPr>
          <w:t>19-21</w:t>
        </w:r>
      </w:hyperlink>
      <w:r w:rsidR="000B3EAF">
        <w:rPr>
          <w:rFonts w:ascii="Arial" w:hAnsi="Arial" w:cs="Arial"/>
          <w:noProof/>
          <w:sz w:val="24"/>
          <w:szCs w:val="24"/>
          <w:lang w:val="en-US"/>
        </w:rPr>
        <w:t>)</w:t>
      </w:r>
      <w:r w:rsidR="006C2756" w:rsidRPr="00EE33ED">
        <w:rPr>
          <w:rFonts w:ascii="Arial" w:hAnsi="Arial" w:cs="Arial"/>
          <w:noProof/>
          <w:sz w:val="24"/>
          <w:szCs w:val="24"/>
          <w:lang w:val="en-US"/>
        </w:rPr>
        <w:fldChar w:fldCharType="end"/>
      </w:r>
      <w:r w:rsidRPr="00EE33ED">
        <w:rPr>
          <w:rFonts w:ascii="Arial" w:hAnsi="Arial" w:cs="Arial"/>
          <w:noProof/>
          <w:sz w:val="24"/>
          <w:szCs w:val="24"/>
          <w:lang w:val="en-US"/>
        </w:rPr>
        <w:t xml:space="preserve">, followed by </w:t>
      </w:r>
      <w:r>
        <w:rPr>
          <w:rFonts w:ascii="Arial" w:hAnsi="Arial" w:cs="Arial"/>
          <w:noProof/>
          <w:sz w:val="24"/>
          <w:szCs w:val="24"/>
          <w:lang w:val="en-US"/>
        </w:rPr>
        <w:t>p</w:t>
      </w:r>
      <w:r w:rsidRPr="00EE33ED">
        <w:rPr>
          <w:rFonts w:ascii="Arial" w:hAnsi="Arial" w:cs="Arial"/>
          <w:noProof/>
          <w:sz w:val="24"/>
          <w:szCs w:val="24"/>
          <w:lang w:val="en-US"/>
        </w:rPr>
        <w:t xml:space="preserve">ropionate, and </w:t>
      </w:r>
      <w:r>
        <w:rPr>
          <w:rFonts w:ascii="Arial" w:hAnsi="Arial" w:cs="Arial"/>
          <w:noProof/>
          <w:sz w:val="24"/>
          <w:szCs w:val="24"/>
          <w:lang w:val="en-US"/>
        </w:rPr>
        <w:t>a</w:t>
      </w:r>
      <w:r w:rsidRPr="00EE33ED">
        <w:rPr>
          <w:rFonts w:ascii="Arial" w:hAnsi="Arial" w:cs="Arial"/>
          <w:noProof/>
          <w:sz w:val="24"/>
          <w:szCs w:val="24"/>
          <w:lang w:val="en-US"/>
        </w:rPr>
        <w:t xml:space="preserve">cetate </w:t>
      </w:r>
      <w:r w:rsidR="006C2756" w:rsidRPr="00EE33ED">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&lt;EndNote&gt;&lt;Cite&gt;&lt;Author&gt;Hinnebusch B&lt;/Author&gt;&lt;Year&gt;2002&lt;/Year&gt;&lt;RecNum&gt;109&lt;/RecNum&gt;&lt;DisplayText&gt;(19)&lt;/DisplayText&gt;&lt;record&gt;&lt;rec-number&gt;109&lt;/rec-number&gt;&lt;foreign-keys&gt;&lt;key app="EN" db-id="zxp9w5sa30aeafes0xox2eem00dz2z2aswad"&gt;109&lt;/key&gt;&lt;key app="ENWeb" db-id="UG1-3grtqigAAEqvEt0"&gt;178&lt;/key&gt;&lt;/foreign-keys&gt;&lt;ref-type name="Journal Article"&gt;17&lt;/ref-type&gt;&lt;contributors&gt;&lt;authors&gt;&lt;author&gt;Hinnebusch B,&lt;/author&gt;&lt;author&gt;Meng S,&lt;/author&gt;&lt;author&gt;Wu J,&lt;/author&gt;&lt;author&gt;Archer S,&lt;/author&gt;&lt;author&gt;Hodin R,&lt;/author&gt;&lt;/authors&gt;&lt;/contributors&gt;&lt;titles&gt;&lt;title&gt;The effects of short-chain fatty acids on human colon cancer cell phenotype are associated with histone hyperacetylation&lt;/title&gt;&lt;secondary-title&gt;J Nutr&lt;/secondary-title&gt;&lt;/titles&gt;&lt;periodical&gt;&lt;full-title&gt;J Nutr&lt;/full-title&gt;&lt;/periodical&gt;&lt;pages&gt;1012-17&lt;/pages&gt;&lt;volume&gt;132&lt;/volume&gt;&lt;dates&gt;&lt;year&gt;2002&lt;/year&gt;&lt;/dates&gt;&lt;urls&gt;&lt;/urls&gt;&lt;/record&gt;&lt;/Cite&gt;&lt;/EndNote&gt;</w:instrText>
      </w:r>
      <w:r w:rsidR="006C2756" w:rsidRPr="00EE33ED">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19" w:tooltip="Hinnebusch B, 2002 #109" w:history="1">
        <w:r w:rsidR="00AB7E17">
          <w:rPr>
            <w:rFonts w:ascii="Arial" w:hAnsi="Arial" w:cs="Arial"/>
            <w:noProof/>
            <w:sz w:val="24"/>
            <w:szCs w:val="24"/>
            <w:lang w:val="en-US"/>
          </w:rPr>
          <w:t>19</w:t>
        </w:r>
      </w:hyperlink>
      <w:r w:rsidR="000B3EAF">
        <w:rPr>
          <w:rFonts w:ascii="Arial" w:hAnsi="Arial" w:cs="Arial"/>
          <w:noProof/>
          <w:sz w:val="24"/>
          <w:szCs w:val="24"/>
          <w:lang w:val="en-US"/>
        </w:rPr>
        <w:t>)</w:t>
      </w:r>
      <w:r w:rsidR="006C2756" w:rsidRPr="00EE33ED">
        <w:rPr>
          <w:rFonts w:ascii="Arial" w:hAnsi="Arial" w:cs="Arial"/>
          <w:noProof/>
          <w:sz w:val="24"/>
          <w:szCs w:val="24"/>
          <w:lang w:val="en-US"/>
        </w:rPr>
        <w:fldChar w:fldCharType="end"/>
      </w:r>
      <w:r w:rsidRPr="00EE33ED">
        <w:rPr>
          <w:rFonts w:ascii="Arial" w:hAnsi="Arial" w:cs="Arial"/>
          <w:noProof/>
          <w:sz w:val="24"/>
          <w:szCs w:val="24"/>
          <w:lang w:val="en-US"/>
        </w:rPr>
        <w:t xml:space="preserve">. In the colon, acetate is the most abundant SCFA, followed by butyrate and propionate. Table </w:t>
      </w:r>
      <w:r>
        <w:rPr>
          <w:rFonts w:ascii="Arial" w:hAnsi="Arial" w:cs="Arial"/>
          <w:noProof/>
          <w:sz w:val="24"/>
          <w:szCs w:val="24"/>
          <w:lang w:val="en-US"/>
        </w:rPr>
        <w:t>1</w:t>
      </w:r>
      <w:r w:rsidRPr="00EE33ED">
        <w:rPr>
          <w:rFonts w:ascii="Arial" w:hAnsi="Arial" w:cs="Arial"/>
          <w:noProof/>
          <w:sz w:val="24"/>
          <w:szCs w:val="24"/>
          <w:lang w:val="en-US"/>
        </w:rPr>
        <w:t xml:space="preserve"> summarises </w:t>
      </w:r>
      <w:r>
        <w:rPr>
          <w:rFonts w:ascii="Arial" w:hAnsi="Arial" w:cs="Arial"/>
          <w:noProof/>
          <w:sz w:val="24"/>
          <w:szCs w:val="24"/>
          <w:lang w:val="en-US"/>
        </w:rPr>
        <w:t>physiological ranges</w:t>
      </w:r>
      <w:r w:rsidRPr="00EE33ED">
        <w:rPr>
          <w:rFonts w:ascii="Arial" w:hAnsi="Arial" w:cs="Arial"/>
          <w:noProof/>
          <w:sz w:val="24"/>
          <w:szCs w:val="24"/>
          <w:lang w:val="en-US"/>
        </w:rPr>
        <w:t xml:space="preserve">, and the </w:t>
      </w:r>
      <w:r>
        <w:rPr>
          <w:rFonts w:ascii="Arial" w:hAnsi="Arial" w:cs="Arial"/>
          <w:noProof/>
          <w:sz w:val="24"/>
          <w:szCs w:val="24"/>
          <w:lang w:val="en-US"/>
        </w:rPr>
        <w:t xml:space="preserve">function </w:t>
      </w:r>
      <w:r w:rsidRPr="00EE33ED">
        <w:rPr>
          <w:rFonts w:ascii="Arial" w:hAnsi="Arial" w:cs="Arial"/>
          <w:noProof/>
          <w:sz w:val="24"/>
          <w:szCs w:val="24"/>
          <w:lang w:val="en-US"/>
        </w:rPr>
        <w:t>of the three most abundant SCFAs.</w:t>
      </w:r>
    </w:p>
    <w:tbl>
      <w:tblPr>
        <w:tblStyle w:val="LightList1"/>
        <w:tblW w:w="9039" w:type="dxa"/>
        <w:tblLayout w:type="fixed"/>
        <w:tblLook w:val="04A0" w:firstRow="1" w:lastRow="0" w:firstColumn="1" w:lastColumn="0" w:noHBand="0" w:noVBand="1"/>
      </w:tblPr>
      <w:tblGrid>
        <w:gridCol w:w="959"/>
        <w:gridCol w:w="1276"/>
        <w:gridCol w:w="3118"/>
        <w:gridCol w:w="3686"/>
      </w:tblGrid>
      <w:tr w:rsidR="00EF1380" w:rsidTr="009B400B">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59" w:type="dxa"/>
          </w:tcPr>
          <w:p w:rsidR="00EF1380" w:rsidRPr="004F4304" w:rsidRDefault="00EF1380" w:rsidP="009B400B">
            <w:pPr>
              <w:jc w:val="center"/>
              <w:rPr>
                <w:sz w:val="18"/>
                <w:szCs w:val="18"/>
              </w:rPr>
            </w:pPr>
            <w:r w:rsidRPr="004F4304">
              <w:rPr>
                <w:sz w:val="18"/>
                <w:szCs w:val="18"/>
              </w:rPr>
              <w:t>SCFA</w:t>
            </w:r>
          </w:p>
        </w:tc>
        <w:tc>
          <w:tcPr>
            <w:tcW w:w="1276" w:type="dxa"/>
          </w:tcPr>
          <w:p w:rsidR="00EF1380" w:rsidRPr="004F4304" w:rsidRDefault="00EF1380" w:rsidP="009B400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F4304">
              <w:rPr>
                <w:sz w:val="18"/>
                <w:szCs w:val="18"/>
              </w:rPr>
              <w:t>Physiological ranges</w:t>
            </w:r>
          </w:p>
        </w:tc>
        <w:tc>
          <w:tcPr>
            <w:tcW w:w="3118" w:type="dxa"/>
          </w:tcPr>
          <w:p w:rsidR="00EF1380" w:rsidRPr="004F4304" w:rsidRDefault="00EF1380" w:rsidP="009B400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F4304">
              <w:rPr>
                <w:sz w:val="18"/>
                <w:szCs w:val="18"/>
              </w:rPr>
              <w:t xml:space="preserve">Structure </w:t>
            </w:r>
          </w:p>
        </w:tc>
        <w:tc>
          <w:tcPr>
            <w:tcW w:w="3686" w:type="dxa"/>
          </w:tcPr>
          <w:p w:rsidR="00EF1380" w:rsidRPr="004F4304" w:rsidRDefault="00EF1380" w:rsidP="009B400B">
            <w:pPr>
              <w:jc w:val="center"/>
              <w:cnfStyle w:val="100000000000" w:firstRow="1" w:lastRow="0" w:firstColumn="0" w:lastColumn="0" w:oddVBand="0" w:evenVBand="0" w:oddHBand="0" w:evenHBand="0" w:firstRowFirstColumn="0" w:firstRowLastColumn="0" w:lastRowFirstColumn="0" w:lastRowLastColumn="0"/>
              <w:rPr>
                <w:sz w:val="18"/>
                <w:szCs w:val="18"/>
              </w:rPr>
            </w:pPr>
            <w:r w:rsidRPr="004F4304">
              <w:rPr>
                <w:sz w:val="18"/>
                <w:szCs w:val="18"/>
              </w:rPr>
              <w:t>Physiological functions</w:t>
            </w:r>
          </w:p>
        </w:tc>
      </w:tr>
      <w:tr w:rsidR="00EF1380" w:rsidTr="00257BA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vAlign w:val="center"/>
          </w:tcPr>
          <w:p w:rsidR="00EF1380" w:rsidRPr="004F4304" w:rsidRDefault="00EF1380" w:rsidP="009B400B">
            <w:pPr>
              <w:jc w:val="center"/>
              <w:rPr>
                <w:sz w:val="16"/>
                <w:szCs w:val="16"/>
              </w:rPr>
            </w:pPr>
            <w:r w:rsidRPr="004F4304">
              <w:rPr>
                <w:sz w:val="16"/>
                <w:szCs w:val="16"/>
              </w:rPr>
              <w:t>Butyrate</w:t>
            </w:r>
          </w:p>
        </w:tc>
        <w:tc>
          <w:tcPr>
            <w:tcW w:w="1276" w:type="dxa"/>
            <w:vAlign w:val="center"/>
          </w:tcPr>
          <w:p w:rsidR="00EF1380" w:rsidRPr="004F4304" w:rsidRDefault="00EF1380" w:rsidP="009B400B">
            <w:pPr>
              <w:jc w:val="center"/>
              <w:cnfStyle w:val="000000100000" w:firstRow="0" w:lastRow="0" w:firstColumn="0" w:lastColumn="0" w:oddVBand="0" w:evenVBand="0" w:oddHBand="1" w:evenHBand="0" w:firstRowFirstColumn="0" w:firstRowLastColumn="0" w:lastRowFirstColumn="0" w:lastRowLastColumn="0"/>
              <w:rPr>
                <w:sz w:val="16"/>
                <w:szCs w:val="16"/>
              </w:rPr>
            </w:pPr>
            <w:r w:rsidRPr="004F4304">
              <w:rPr>
                <w:sz w:val="16"/>
                <w:szCs w:val="16"/>
              </w:rPr>
              <w:t>1-20mM</w:t>
            </w:r>
          </w:p>
        </w:tc>
        <w:tc>
          <w:tcPr>
            <w:tcW w:w="3118" w:type="dxa"/>
            <w:vAlign w:val="center"/>
          </w:tcPr>
          <w:p w:rsidR="00EF1380" w:rsidRPr="00EE33ED" w:rsidRDefault="00257BAE" w:rsidP="00257BAE">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inline distT="0" distB="0" distL="0" distR="0" wp14:anchorId="4C98D1E3" wp14:editId="1DB8CF5A">
                  <wp:extent cx="1742400" cy="10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yr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2400" cy="1080000"/>
                          </a:xfrm>
                          <a:prstGeom prst="rect">
                            <a:avLst/>
                          </a:prstGeom>
                        </pic:spPr>
                      </pic:pic>
                    </a:graphicData>
                  </a:graphic>
                </wp:inline>
              </w:drawing>
            </w:r>
          </w:p>
        </w:tc>
        <w:tc>
          <w:tcPr>
            <w:tcW w:w="3686" w:type="dxa"/>
          </w:tcPr>
          <w:p w:rsidR="00EF1380" w:rsidRPr="00B55C16" w:rsidRDefault="00EF1380" w:rsidP="009B400B">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B55C16">
              <w:rPr>
                <w:rFonts w:cs="Arial"/>
                <w:sz w:val="16"/>
                <w:szCs w:val="16"/>
                <w:lang w:val="en-US"/>
              </w:rPr>
              <w:t xml:space="preserve">Stimulates cell cycle arrest and terminal differentiation of colorectal cancer cells </w:t>
            </w:r>
            <w:r w:rsidR="006C2756" w:rsidRPr="00B55C16">
              <w:rPr>
                <w:rFonts w:cs="Arial"/>
                <w:sz w:val="16"/>
                <w:szCs w:val="16"/>
                <w:lang w:val="en-US"/>
              </w:rPr>
              <w:fldChar w:fldCharType="begin"/>
            </w:r>
            <w:r w:rsidR="000B3EAF">
              <w:rPr>
                <w:rFonts w:cs="Arial"/>
                <w:sz w:val="16"/>
                <w:szCs w:val="16"/>
                <w:lang w:val="en-US"/>
              </w:rPr>
              <w:instrText xml:space="preserve"> ADDIN EN.CITE &lt;EndNote&gt;&lt;Cite&gt;&lt;Author&gt;Medina V&lt;/Author&gt;&lt;Year&gt;1997&lt;/Year&gt;&lt;RecNum&gt;184&lt;/RecNum&gt;&lt;DisplayText&gt;(1)&lt;/DisplayText&gt;&lt;record&gt;&lt;rec-number&gt;184&lt;/rec-number&gt;&lt;foreign-keys&gt;&lt;key app="EN" db-id="zxp9w5sa30aeafes0xox2eem00dz2z2aswad"&gt;184&lt;/key&gt;&lt;key app="ENWeb" db-id="UG1-3grtqigAAEqvEt0"&gt;379&lt;/key&gt;&lt;/foreign-keys&gt;&lt;ref-type name="Journal Article"&gt;17&lt;/ref-type&gt;&lt;contributors&gt;&lt;authors&gt;&lt;author&gt;Medina V,&lt;/author&gt;&lt;author&gt;Edmonds B,&lt;/author&gt;&lt;author&gt;Young G,&lt;/author&gt;&lt;author&gt;James R,&lt;/author&gt;&lt;author&gt;Appleton S,&lt;/author&gt;&lt;author&gt;Zalewski P,&lt;/author&gt;&lt;/authors&gt;&lt;/contributors&gt;&lt;titles&gt;&lt;title&gt;Induction of caspase-3 protease activity and apoptosis by butyrate and trichostatin A (inhibitors of histones deacetylase): dependence on protein synthesis and synergy with a mitochondrial/cytochrome c-dependet pathway&lt;/title&gt;&lt;secondary-title&gt;Cancer Res&lt;/secondary-title&gt;&lt;/titles&gt;&lt;periodical&gt;&lt;full-title&gt;Cancer Res&lt;/full-title&gt;&lt;/periodical&gt;&lt;pages&gt;3697-3707&lt;/pages&gt;&lt;volume&gt;57&lt;/volume&gt;&lt;number&gt;17&lt;/number&gt;&lt;dates&gt;&lt;year&gt;1997&lt;/year&gt;&lt;/dates&gt;&lt;urls&gt;&lt;/urls&gt;&lt;/record&gt;&lt;/Cite&gt;&lt;/EndNote&gt;</w:instrText>
            </w:r>
            <w:r w:rsidR="006C2756" w:rsidRPr="00B55C16">
              <w:rPr>
                <w:rFonts w:cs="Arial"/>
                <w:sz w:val="16"/>
                <w:szCs w:val="16"/>
                <w:lang w:val="en-US"/>
              </w:rPr>
              <w:fldChar w:fldCharType="separate"/>
            </w:r>
            <w:r w:rsidR="000B3EAF">
              <w:rPr>
                <w:rFonts w:cs="Arial"/>
                <w:noProof/>
                <w:sz w:val="16"/>
                <w:szCs w:val="16"/>
                <w:lang w:val="en-US"/>
              </w:rPr>
              <w:t>(</w:t>
            </w:r>
            <w:hyperlink w:anchor="_ENREF_1" w:tooltip="Medina V, 1997 #184" w:history="1">
              <w:r w:rsidR="00AB7E17">
                <w:rPr>
                  <w:rFonts w:cs="Arial"/>
                  <w:noProof/>
                  <w:sz w:val="16"/>
                  <w:szCs w:val="16"/>
                  <w:lang w:val="en-US"/>
                </w:rPr>
                <w:t>1</w:t>
              </w:r>
            </w:hyperlink>
            <w:r w:rsidR="000B3EAF">
              <w:rPr>
                <w:rFonts w:cs="Arial"/>
                <w:noProof/>
                <w:sz w:val="16"/>
                <w:szCs w:val="16"/>
                <w:lang w:val="en-US"/>
              </w:rPr>
              <w:t>)</w:t>
            </w:r>
            <w:r w:rsidR="006C2756" w:rsidRPr="00B55C16">
              <w:rPr>
                <w:rFonts w:cs="Arial"/>
                <w:sz w:val="16"/>
                <w:szCs w:val="16"/>
                <w:lang w:val="en-US"/>
              </w:rPr>
              <w:fldChar w:fldCharType="end"/>
            </w:r>
            <w:r w:rsidRPr="00B55C16">
              <w:rPr>
                <w:rFonts w:cs="Arial"/>
                <w:noProof/>
                <w:sz w:val="16"/>
                <w:szCs w:val="16"/>
                <w:lang w:val="en-US"/>
              </w:rPr>
              <w:t xml:space="preserve"> by </w:t>
            </w:r>
            <w:r w:rsidRPr="00B55C16">
              <w:rPr>
                <w:rFonts w:cs="Arial"/>
                <w:sz w:val="16"/>
                <w:szCs w:val="16"/>
                <w:lang w:val="en-US"/>
              </w:rPr>
              <w:t xml:space="preserve">inhibiting KDACs </w:t>
            </w:r>
            <w:r w:rsidR="006C2756" w:rsidRPr="00B55C16">
              <w:rPr>
                <w:rFonts w:cs="Arial"/>
                <w:sz w:val="16"/>
                <w:szCs w:val="16"/>
                <w:lang w:val="en-US"/>
              </w:rPr>
              <w:fldChar w:fldCharType="begin"/>
            </w:r>
            <w:r w:rsidR="000B3EAF">
              <w:rPr>
                <w:rFonts w:cs="Arial"/>
                <w:sz w:val="16"/>
                <w:szCs w:val="16"/>
                <w:lang w:val="en-US"/>
              </w:rPr>
              <w:instrText xml:space="preserve"> ADDIN EN.CITE &lt;EndNote&gt;&lt;Cite&gt;&lt;Author&gt;Davie J&lt;/Author&gt;&lt;Year&gt;2003&lt;/Year&gt;&lt;RecNum&gt;59&lt;/RecNum&gt;&lt;DisplayText&gt;(4, 22)&lt;/DisplayText&gt;&lt;record&gt;&lt;rec-number&gt;59&lt;/rec-number&gt;&lt;foreign-keys&gt;&lt;key app="EN" db-id="zxp9w5sa30aeafes0xox2eem00dz2z2aswad"&gt;59&lt;/key&gt;&lt;key app="ENWeb" db-id="UG1-3grtqigAAEqvEt0"&gt;382&lt;/key&gt;&lt;/foreign-keys&gt;&lt;ref-type name="Journal Article"&gt;17&lt;/ref-type&gt;&lt;contributors&gt;&lt;authors&gt;&lt;author&gt;Davie J,&lt;/author&gt;&lt;/authors&gt;&lt;/contributors&gt;&lt;titles&gt;&lt;title&gt;Inhibition of histone deacetylase activity by butyrate&lt;/title&gt;&lt;secondary-title&gt;J Nutr&lt;/secondary-title&gt;&lt;/titles&gt;&lt;periodical&gt;&lt;full-title&gt;J Nutr&lt;/full-title&gt;&lt;/periodical&gt;&lt;pages&gt;2485S-2493S&lt;/pages&gt;&lt;volume&gt;133&lt;/volume&gt;&lt;number&gt;7 Suppl&lt;/number&gt;&lt;dates&gt;&lt;year&gt;2003&lt;/year&gt;&lt;/dates&gt;&lt;urls&gt;&lt;/urls&gt;&lt;/record&gt;&lt;/Cite&gt;&lt;Cite&gt;&lt;Author&gt;Donohoe D&lt;/Author&gt;&lt;Year&gt;2012&lt;/Year&gt;&lt;RecNum&gt;71&lt;/RecNum&gt;&lt;record&gt;&lt;rec-number&gt;71&lt;/rec-number&gt;&lt;foreign-keys&gt;&lt;key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B55C16">
              <w:rPr>
                <w:rFonts w:cs="Arial"/>
                <w:sz w:val="16"/>
                <w:szCs w:val="16"/>
                <w:lang w:val="en-US"/>
              </w:rPr>
              <w:fldChar w:fldCharType="separate"/>
            </w:r>
            <w:r w:rsidR="000B3EAF">
              <w:rPr>
                <w:rFonts w:cs="Arial"/>
                <w:noProof/>
                <w:sz w:val="16"/>
                <w:szCs w:val="16"/>
                <w:lang w:val="en-US"/>
              </w:rPr>
              <w:t>(</w:t>
            </w:r>
            <w:hyperlink w:anchor="_ENREF_4" w:tooltip="Donohoe D, 2012 #71" w:history="1">
              <w:r w:rsidR="00AB7E17">
                <w:rPr>
                  <w:rFonts w:cs="Arial"/>
                  <w:noProof/>
                  <w:sz w:val="16"/>
                  <w:szCs w:val="16"/>
                  <w:lang w:val="en-US"/>
                </w:rPr>
                <w:t>4</w:t>
              </w:r>
            </w:hyperlink>
            <w:r w:rsidR="000B3EAF">
              <w:rPr>
                <w:rFonts w:cs="Arial"/>
                <w:noProof/>
                <w:sz w:val="16"/>
                <w:szCs w:val="16"/>
                <w:lang w:val="en-US"/>
              </w:rPr>
              <w:t xml:space="preserve">, </w:t>
            </w:r>
            <w:hyperlink w:anchor="_ENREF_22" w:tooltip="Davie J, 2003 #59" w:history="1">
              <w:r w:rsidR="00AB7E17">
                <w:rPr>
                  <w:rFonts w:cs="Arial"/>
                  <w:noProof/>
                  <w:sz w:val="16"/>
                  <w:szCs w:val="16"/>
                  <w:lang w:val="en-US"/>
                </w:rPr>
                <w:t>22</w:t>
              </w:r>
            </w:hyperlink>
            <w:r w:rsidR="000B3EAF">
              <w:rPr>
                <w:rFonts w:cs="Arial"/>
                <w:noProof/>
                <w:sz w:val="16"/>
                <w:szCs w:val="16"/>
                <w:lang w:val="en-US"/>
              </w:rPr>
              <w:t>)</w:t>
            </w:r>
            <w:r w:rsidR="006C2756" w:rsidRPr="00B55C16">
              <w:rPr>
                <w:rFonts w:cs="Arial"/>
                <w:sz w:val="16"/>
                <w:szCs w:val="16"/>
                <w:lang w:val="en-US"/>
              </w:rPr>
              <w:fldChar w:fldCharType="end"/>
            </w:r>
            <w:r w:rsidRPr="00B55C16">
              <w:rPr>
                <w:rFonts w:cs="Arial"/>
                <w:b/>
                <w:sz w:val="16"/>
                <w:szCs w:val="16"/>
                <w:lang w:val="en-US"/>
              </w:rPr>
              <w:t xml:space="preserve"> </w:t>
            </w:r>
            <w:r w:rsidRPr="00B55C16">
              <w:rPr>
                <w:rFonts w:cs="Arial"/>
                <w:sz w:val="16"/>
                <w:szCs w:val="16"/>
                <w:lang w:val="en-US"/>
              </w:rPr>
              <w:t>and</w:t>
            </w:r>
            <w:r w:rsidRPr="00B55C16">
              <w:rPr>
                <w:rFonts w:cs="Arial"/>
                <w:b/>
                <w:sz w:val="16"/>
                <w:szCs w:val="16"/>
                <w:lang w:val="en-US"/>
              </w:rPr>
              <w:t xml:space="preserve"> </w:t>
            </w:r>
            <w:r w:rsidRPr="00B55C16">
              <w:rPr>
                <w:rFonts w:cs="Arial"/>
                <w:sz w:val="16"/>
                <w:szCs w:val="16"/>
                <w:lang w:val="en-US"/>
              </w:rPr>
              <w:t xml:space="preserve">DNA* synthesis </w:t>
            </w:r>
            <w:r w:rsidR="006C2756" w:rsidRPr="00B55C16">
              <w:rPr>
                <w:rFonts w:cs="Arial"/>
                <w:sz w:val="16"/>
                <w:szCs w:val="16"/>
                <w:lang w:val="en-US"/>
              </w:rPr>
              <w:fldChar w:fldCharType="begin"/>
            </w:r>
            <w:r w:rsidR="000B3EAF">
              <w:rPr>
                <w:rFonts w:cs="Arial"/>
                <w:sz w:val="16"/>
                <w:szCs w:val="16"/>
                <w:lang w:val="en-US"/>
              </w:rPr>
              <w:instrText xml:space="preserve"> ADDIN EN.CITE &lt;EndNote&gt;&lt;Cite&gt;&lt;Author&gt;Toscani A&lt;/Author&gt;&lt;Year&gt;1988&lt;/Year&gt;&lt;RecNum&gt;253&lt;/RecNum&gt;&lt;DisplayText&gt;(23)&lt;/DisplayText&gt;&lt;record&gt;&lt;rec-number&gt;253&lt;/rec-number&gt;&lt;foreign-keys&gt;&lt;key app="EN" db-id="zxp9w5sa30aeafes0xox2eem00dz2z2aswad"&gt;253&lt;/key&gt;&lt;key app="ENWeb" db-id="UG1-3grtqigAAEqvEt0"&gt;383&lt;/key&gt;&lt;/foreign-keys&gt;&lt;ref-type name="Journal Article"&gt;17&lt;/ref-type&gt;&lt;contributors&gt;&lt;authors&gt;&lt;author&gt;Toscani A,&lt;/author&gt;&lt;author&gt;Soprano D,&lt;/author&gt;&lt;author&gt;Soprano K,&lt;/author&gt;&lt;/authors&gt;&lt;/contributors&gt;&lt;titles&gt;&lt;title&gt;Molecular analysis of sodium butyrate-induced growth arrest&lt;/title&gt;&lt;secondary-title&gt;Oncogene Res&lt;/secondary-title&gt;&lt;/titles&gt;&lt;periodical&gt;&lt;full-title&gt;Oncogene Res&lt;/full-title&gt;&lt;/periodical&gt;&lt;pages&gt;223-238&lt;/pages&gt;&lt;volume&gt;3&lt;/volume&gt;&lt;number&gt;3&lt;/number&gt;&lt;dates&gt;&lt;year&gt;1988&lt;/year&gt;&lt;/dates&gt;&lt;urls&gt;&lt;/urls&gt;&lt;/record&gt;&lt;/Cite&gt;&lt;/EndNote&gt;</w:instrText>
            </w:r>
            <w:r w:rsidR="006C2756" w:rsidRPr="00B55C16">
              <w:rPr>
                <w:rFonts w:cs="Arial"/>
                <w:sz w:val="16"/>
                <w:szCs w:val="16"/>
                <w:lang w:val="en-US"/>
              </w:rPr>
              <w:fldChar w:fldCharType="separate"/>
            </w:r>
            <w:r w:rsidR="000B3EAF">
              <w:rPr>
                <w:rFonts w:cs="Arial"/>
                <w:noProof/>
                <w:sz w:val="16"/>
                <w:szCs w:val="16"/>
                <w:lang w:val="en-US"/>
              </w:rPr>
              <w:t>(</w:t>
            </w:r>
            <w:hyperlink w:anchor="_ENREF_23" w:tooltip="Toscani A, 1988 #253" w:history="1">
              <w:r w:rsidR="00AB7E17">
                <w:rPr>
                  <w:rFonts w:cs="Arial"/>
                  <w:noProof/>
                  <w:sz w:val="16"/>
                  <w:szCs w:val="16"/>
                  <w:lang w:val="en-US"/>
                </w:rPr>
                <w:t>23</w:t>
              </w:r>
            </w:hyperlink>
            <w:r w:rsidR="000B3EAF">
              <w:rPr>
                <w:rFonts w:cs="Arial"/>
                <w:noProof/>
                <w:sz w:val="16"/>
                <w:szCs w:val="16"/>
                <w:lang w:val="en-US"/>
              </w:rPr>
              <w:t>)</w:t>
            </w:r>
            <w:r w:rsidR="006C2756" w:rsidRPr="00B55C16">
              <w:rPr>
                <w:rFonts w:cs="Arial"/>
                <w:sz w:val="16"/>
                <w:szCs w:val="16"/>
                <w:lang w:val="en-US"/>
              </w:rPr>
              <w:fldChar w:fldCharType="end"/>
            </w:r>
            <w:r w:rsidRPr="00B55C16">
              <w:rPr>
                <w:rFonts w:cs="Arial"/>
                <w:sz w:val="16"/>
                <w:szCs w:val="16"/>
                <w:lang w:val="en-US"/>
              </w:rPr>
              <w:t>.</w:t>
            </w:r>
          </w:p>
          <w:p w:rsidR="00EF1380" w:rsidRPr="00B55C16" w:rsidRDefault="00EF1380" w:rsidP="009B400B">
            <w:pPr>
              <w:jc w:val="both"/>
              <w:cnfStyle w:val="000000100000" w:firstRow="0" w:lastRow="0" w:firstColumn="0" w:lastColumn="0" w:oddVBand="0" w:evenVBand="0" w:oddHBand="1" w:evenHBand="0" w:firstRowFirstColumn="0" w:firstRowLastColumn="0" w:lastRowFirstColumn="0" w:lastRowLastColumn="0"/>
              <w:rPr>
                <w:rFonts w:cs="Arial"/>
                <w:noProof/>
                <w:sz w:val="16"/>
                <w:szCs w:val="16"/>
                <w:lang w:val="en-US"/>
              </w:rPr>
            </w:pPr>
            <w:r>
              <w:rPr>
                <w:rFonts w:cs="Arial"/>
                <w:noProof/>
                <w:sz w:val="16"/>
                <w:szCs w:val="16"/>
                <w:lang w:val="en-US"/>
              </w:rPr>
              <w:t>D</w:t>
            </w:r>
            <w:r w:rsidRPr="00B55C16">
              <w:rPr>
                <w:rFonts w:cs="Arial"/>
                <w:noProof/>
                <w:sz w:val="16"/>
                <w:szCs w:val="16"/>
                <w:lang w:val="en-US"/>
              </w:rPr>
              <w:t>own-regulat</w:t>
            </w:r>
            <w:r>
              <w:rPr>
                <w:rFonts w:cs="Arial"/>
                <w:noProof/>
                <w:sz w:val="16"/>
                <w:szCs w:val="16"/>
                <w:lang w:val="en-US"/>
              </w:rPr>
              <w:t>es</w:t>
            </w:r>
            <w:r w:rsidRPr="00B55C16">
              <w:rPr>
                <w:rFonts w:cs="Arial"/>
                <w:noProof/>
                <w:sz w:val="16"/>
                <w:szCs w:val="16"/>
                <w:lang w:val="en-US"/>
              </w:rPr>
              <w:t xml:space="preserve"> Sp1 binding and up-regulat</w:t>
            </w:r>
            <w:r>
              <w:rPr>
                <w:rFonts w:cs="Arial"/>
                <w:noProof/>
                <w:sz w:val="16"/>
                <w:szCs w:val="16"/>
                <w:lang w:val="en-US"/>
              </w:rPr>
              <w:t>es</w:t>
            </w:r>
            <w:r w:rsidRPr="00B55C16">
              <w:rPr>
                <w:rFonts w:cs="Arial"/>
                <w:noProof/>
                <w:sz w:val="16"/>
                <w:szCs w:val="16"/>
                <w:lang w:val="en-US"/>
              </w:rPr>
              <w:t xml:space="preserve"> Sp3 binding </w:t>
            </w:r>
            <w:r w:rsidR="006C2756" w:rsidRPr="00B55C16">
              <w:rPr>
                <w:rFonts w:cs="Arial"/>
                <w:noProof/>
                <w:sz w:val="16"/>
                <w:szCs w:val="16"/>
                <w:lang w:val="en-US"/>
              </w:rPr>
              <w:fldChar w:fldCharType="begin"/>
            </w:r>
            <w:r w:rsidR="000B3EAF">
              <w:rPr>
                <w:rFonts w:cs="Arial"/>
                <w:noProof/>
                <w:sz w:val="16"/>
                <w:szCs w:val="16"/>
                <w:lang w:val="en-US"/>
              </w:rPr>
              <w:instrText xml:space="preserve"> ADDIN EN.CITE &lt;EndNote&gt;&lt;Cite&gt;&lt;Author&gt;Yu D&lt;/Author&gt;&lt;Year&gt;2010&lt;/Year&gt;&lt;RecNum&gt;296&lt;/RecNum&gt;&lt;DisplayText&gt;(24)&lt;/DisplayText&gt;&lt;record&gt;&lt;rec-number&gt;296&lt;/rec-number&gt;&lt;foreign-keys&gt;&lt;key app="EN" db-id="zxp9w5sa30aeafes0xox2eem00dz2z2aswad"&gt;296&lt;/key&gt;&lt;key app="ENWeb" db-id="UG1-3grtqigAAEqvEt0"&gt;373&lt;/key&gt;&lt;/foreign-keys&gt;&lt;ref-type name="Journal Article"&gt;17&lt;/ref-type&gt;&lt;contributors&gt;&lt;authors&gt;&lt;author&gt;Yu D,&lt;/author&gt;&lt;author&gt;Waby J,&lt;/author&gt;&lt;author&gt;Chirakkal H,&lt;/author&gt;&lt;author&gt;Staton C,&lt;/author&gt;&lt;author&gt;Corfe B,&lt;/author&gt;&lt;/authors&gt;&lt;/contributors&gt;&lt;titles&gt;&lt;title&gt;Butyrate suppresses expression of neuropilin I in colorectal cell lines through inhibition of Sp1 transactivation&lt;/title&gt;&lt;secondary-title&gt;Mol Cancer&lt;/secondary-title&gt;&lt;/titles&gt;&lt;periodical&gt;&lt;full-title&gt;Mol Cancer&lt;/full-title&gt;&lt;/periodical&gt;&lt;pages&gt;doi: 10.1186/1476-4598-9-276&lt;/pages&gt;&lt;volume&gt;9&lt;/volume&gt;&lt;number&gt;276&lt;/number&gt;&lt;dates&gt;&lt;year&gt;2010&lt;/year&gt;&lt;/dates&gt;&lt;urls&gt;&lt;/urls&gt;&lt;/record&gt;&lt;/Cite&gt;&lt;/EndNote&gt;</w:instrText>
            </w:r>
            <w:r w:rsidR="006C2756" w:rsidRPr="00B55C16">
              <w:rPr>
                <w:rFonts w:cs="Arial"/>
                <w:noProof/>
                <w:sz w:val="16"/>
                <w:szCs w:val="16"/>
                <w:lang w:val="en-US"/>
              </w:rPr>
              <w:fldChar w:fldCharType="separate"/>
            </w:r>
            <w:r w:rsidR="000B3EAF">
              <w:rPr>
                <w:rFonts w:cs="Arial"/>
                <w:noProof/>
                <w:sz w:val="16"/>
                <w:szCs w:val="16"/>
                <w:lang w:val="en-US"/>
              </w:rPr>
              <w:t>(</w:t>
            </w:r>
            <w:hyperlink w:anchor="_ENREF_24" w:tooltip="Yu D, 2010 #296" w:history="1">
              <w:r w:rsidR="00AB7E17">
                <w:rPr>
                  <w:rFonts w:cs="Arial"/>
                  <w:noProof/>
                  <w:sz w:val="16"/>
                  <w:szCs w:val="16"/>
                  <w:lang w:val="en-US"/>
                </w:rPr>
                <w:t>24</w:t>
              </w:r>
            </w:hyperlink>
            <w:r w:rsidR="000B3EAF">
              <w:rPr>
                <w:rFonts w:cs="Arial"/>
                <w:noProof/>
                <w:sz w:val="16"/>
                <w:szCs w:val="16"/>
                <w:lang w:val="en-US"/>
              </w:rPr>
              <w:t>)</w:t>
            </w:r>
            <w:r w:rsidR="006C2756" w:rsidRPr="00B55C16">
              <w:rPr>
                <w:rFonts w:cs="Arial"/>
                <w:noProof/>
                <w:sz w:val="16"/>
                <w:szCs w:val="16"/>
                <w:lang w:val="en-US"/>
              </w:rPr>
              <w:fldChar w:fldCharType="end"/>
            </w:r>
            <w:r>
              <w:rPr>
                <w:rFonts w:cs="Arial"/>
                <w:noProof/>
                <w:sz w:val="16"/>
                <w:szCs w:val="16"/>
                <w:lang w:val="en-US"/>
              </w:rPr>
              <w:t xml:space="preserve"> leading to cell cycle arrest</w:t>
            </w:r>
            <w:r w:rsidRPr="00B55C16">
              <w:rPr>
                <w:rFonts w:cs="Arial"/>
                <w:noProof/>
                <w:sz w:val="16"/>
                <w:szCs w:val="16"/>
                <w:lang w:val="en-US"/>
              </w:rPr>
              <w:t xml:space="preserve"> </w:t>
            </w:r>
            <w:r w:rsidR="006C2756" w:rsidRPr="00B55C16">
              <w:rPr>
                <w:rFonts w:cs="Arial"/>
                <w:noProof/>
                <w:sz w:val="16"/>
                <w:szCs w:val="16"/>
                <w:lang w:val="en-US"/>
              </w:rPr>
              <w:fldChar w:fldCharType="begin"/>
            </w:r>
            <w:r w:rsidR="000B3EAF">
              <w:rPr>
                <w:rFonts w:cs="Arial"/>
                <w:noProof/>
                <w:sz w:val="16"/>
                <w:szCs w:val="16"/>
                <w:lang w:val="en-US"/>
              </w:rPr>
              <w:instrText xml:space="preserve"> ADDIN EN.CITE &lt;EndNote&gt;&lt;Cite&gt;&lt;Author&gt;Davie J&lt;/Author&gt;&lt;Year&gt;2003&lt;/Year&gt;&lt;RecNum&gt;59&lt;/RecNum&gt;&lt;DisplayText&gt;(22)&lt;/DisplayText&gt;&lt;record&gt;&lt;rec-number&gt;59&lt;/rec-number&gt;&lt;foreign-keys&gt;&lt;key app="EN" db-id="zxp9w5sa30aeafes0xox2eem00dz2z2aswad"&gt;59&lt;/key&gt;&lt;key app="ENWeb" db-id="UG1-3grtqigAAEqvEt0"&gt;382&lt;/key&gt;&lt;/foreign-keys&gt;&lt;ref-type name="Journal Article"&gt;17&lt;/ref-type&gt;&lt;contributors&gt;&lt;authors&gt;&lt;author&gt;Davie J,&lt;/author&gt;&lt;/authors&gt;&lt;/contributors&gt;&lt;titles&gt;&lt;title&gt;Inhibition of histone deacetylase activity by butyrate&lt;/title&gt;&lt;secondary-title&gt;J Nutr&lt;/secondary-title&gt;&lt;/titles&gt;&lt;periodical&gt;&lt;full-title&gt;J Nutr&lt;/full-title&gt;&lt;/periodical&gt;&lt;pages&gt;2485S-2493S&lt;/pages&gt;&lt;volume&gt;133&lt;/volume&gt;&lt;number&gt;7 Suppl&lt;/number&gt;&lt;dates&gt;&lt;year&gt;2003&lt;/year&gt;&lt;/dates&gt;&lt;urls&gt;&lt;/urls&gt;&lt;/record&gt;&lt;/Cite&gt;&lt;/EndNote&gt;</w:instrText>
            </w:r>
            <w:r w:rsidR="006C2756" w:rsidRPr="00B55C16">
              <w:rPr>
                <w:rFonts w:cs="Arial"/>
                <w:noProof/>
                <w:sz w:val="16"/>
                <w:szCs w:val="16"/>
                <w:lang w:val="en-US"/>
              </w:rPr>
              <w:fldChar w:fldCharType="separate"/>
            </w:r>
            <w:r w:rsidR="000B3EAF">
              <w:rPr>
                <w:rFonts w:cs="Arial"/>
                <w:noProof/>
                <w:sz w:val="16"/>
                <w:szCs w:val="16"/>
                <w:lang w:val="en-US"/>
              </w:rPr>
              <w:t>(</w:t>
            </w:r>
            <w:hyperlink w:anchor="_ENREF_22" w:tooltip="Davie J, 2003 #59" w:history="1">
              <w:r w:rsidR="00AB7E17">
                <w:rPr>
                  <w:rFonts w:cs="Arial"/>
                  <w:noProof/>
                  <w:sz w:val="16"/>
                  <w:szCs w:val="16"/>
                  <w:lang w:val="en-US"/>
                </w:rPr>
                <w:t>22</w:t>
              </w:r>
            </w:hyperlink>
            <w:r w:rsidR="000B3EAF">
              <w:rPr>
                <w:rFonts w:cs="Arial"/>
                <w:noProof/>
                <w:sz w:val="16"/>
                <w:szCs w:val="16"/>
                <w:lang w:val="en-US"/>
              </w:rPr>
              <w:t>)</w:t>
            </w:r>
            <w:r w:rsidR="006C2756" w:rsidRPr="00B55C16">
              <w:rPr>
                <w:rFonts w:cs="Arial"/>
                <w:noProof/>
                <w:sz w:val="16"/>
                <w:szCs w:val="16"/>
                <w:lang w:val="en-US"/>
              </w:rPr>
              <w:fldChar w:fldCharType="end"/>
            </w:r>
            <w:r w:rsidRPr="00B55C16">
              <w:rPr>
                <w:rFonts w:cs="Arial"/>
                <w:noProof/>
                <w:sz w:val="16"/>
                <w:szCs w:val="16"/>
                <w:lang w:val="en-US"/>
              </w:rPr>
              <w:t xml:space="preserve">, and apoptosis </w:t>
            </w:r>
            <w:r w:rsidR="006C2756" w:rsidRPr="00B55C16">
              <w:rPr>
                <w:rFonts w:cs="Arial"/>
                <w:noProof/>
                <w:sz w:val="16"/>
                <w:szCs w:val="16"/>
                <w:lang w:val="en-US"/>
              </w:rPr>
              <w:fldChar w:fldCharType="begin"/>
            </w:r>
            <w:r w:rsidR="000B3EAF">
              <w:rPr>
                <w:rFonts w:cs="Arial"/>
                <w:noProof/>
                <w:sz w:val="16"/>
                <w:szCs w:val="16"/>
                <w:lang w:val="en-US"/>
              </w:rPr>
              <w:instrText xml:space="preserve"> ADDIN EN.CITE &lt;EndNote&gt;&lt;Cite&gt;&lt;Author&gt;Chirakkal H&lt;/Author&gt;&lt;Year&gt;2006&lt;/Year&gt;&lt;RecNum&gt;43&lt;/RecNum&gt;&lt;DisplayText&gt;(25)&lt;/DisplayText&gt;&lt;record&gt;&lt;rec-number&gt;43&lt;/rec-number&gt;&lt;foreign-keys&gt;&lt;key app="EN" db-id="zxp9w5sa30aeafes0xox2eem00dz2z2aswad"&gt;43&lt;/key&gt;&lt;key app="ENWeb" db-id="UG1-3grtqigAAEqvEt0"&gt;37&lt;/key&gt;&lt;/foreign-keys&gt;&lt;ref-type name="Journal Article"&gt;17&lt;/ref-type&gt;&lt;contributors&gt;&lt;authors&gt;&lt;author&gt;Chirakkal H,&lt;/author&gt;&lt;author&gt;Leech S,&lt;/author&gt;&lt;author&gt;Brookes K,&lt;/author&gt;&lt;author&gt;Prais A,&lt;/author&gt;&lt;author&gt;Waby J,&lt;/author&gt;&lt;author&gt;Corfe B,&lt;/author&gt;&lt;/authors&gt;&lt;/contributors&gt;&lt;titles&gt;&lt;title&gt;Upregulation of Bak by butyrate in the colon is associated with increased Sp3 binding&lt;/title&gt;&lt;secondary-title&gt;Oncogene&lt;/secondary-title&gt;&lt;/titles&gt;&lt;periodical&gt;&lt;full-title&gt;Oncogene&lt;/full-title&gt;&lt;/periodical&gt;&lt;pages&gt;7192-200&lt;/pages&gt;&lt;volume&gt;25&lt;/volume&gt;&lt;number&gt;54&lt;/number&gt;&lt;dates&gt;&lt;year&gt;2006&lt;/year&gt;&lt;/dates&gt;&lt;urls&gt;&lt;/urls&gt;&lt;/record&gt;&lt;/Cite&gt;&lt;/EndNote&gt;</w:instrText>
            </w:r>
            <w:r w:rsidR="006C2756" w:rsidRPr="00B55C16">
              <w:rPr>
                <w:rFonts w:cs="Arial"/>
                <w:noProof/>
                <w:sz w:val="16"/>
                <w:szCs w:val="16"/>
                <w:lang w:val="en-US"/>
              </w:rPr>
              <w:fldChar w:fldCharType="separate"/>
            </w:r>
            <w:r w:rsidR="000B3EAF">
              <w:rPr>
                <w:rFonts w:cs="Arial"/>
                <w:noProof/>
                <w:sz w:val="16"/>
                <w:szCs w:val="16"/>
                <w:lang w:val="en-US"/>
              </w:rPr>
              <w:t>(</w:t>
            </w:r>
            <w:hyperlink w:anchor="_ENREF_25" w:tooltip="Chirakkal H, 2006 #43" w:history="1">
              <w:r w:rsidR="00AB7E17">
                <w:rPr>
                  <w:rFonts w:cs="Arial"/>
                  <w:noProof/>
                  <w:sz w:val="16"/>
                  <w:szCs w:val="16"/>
                  <w:lang w:val="en-US"/>
                </w:rPr>
                <w:t>25</w:t>
              </w:r>
            </w:hyperlink>
            <w:r w:rsidR="000B3EAF">
              <w:rPr>
                <w:rFonts w:cs="Arial"/>
                <w:noProof/>
                <w:sz w:val="16"/>
                <w:szCs w:val="16"/>
                <w:lang w:val="en-US"/>
              </w:rPr>
              <w:t>)</w:t>
            </w:r>
            <w:r w:rsidR="006C2756" w:rsidRPr="00B55C16">
              <w:rPr>
                <w:rFonts w:cs="Arial"/>
                <w:noProof/>
                <w:sz w:val="16"/>
                <w:szCs w:val="16"/>
                <w:lang w:val="en-US"/>
              </w:rPr>
              <w:fldChar w:fldCharType="end"/>
            </w:r>
            <w:r w:rsidRPr="00B55C16">
              <w:rPr>
                <w:rFonts w:cs="Arial"/>
                <w:noProof/>
                <w:sz w:val="16"/>
                <w:szCs w:val="16"/>
                <w:lang w:val="en-US"/>
              </w:rPr>
              <w:t>.</w:t>
            </w:r>
          </w:p>
          <w:p w:rsidR="00EF1380" w:rsidRPr="00B55C16" w:rsidRDefault="00EF1380" w:rsidP="00AB7E1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shd w:val="clear" w:color="auto" w:fill="FFFFFF"/>
              </w:rPr>
            </w:pPr>
            <w:r w:rsidRPr="00B55C16">
              <w:rPr>
                <w:sz w:val="16"/>
                <w:szCs w:val="16"/>
              </w:rPr>
              <w:t xml:space="preserve">The “Butyrate paradox” is related to contrasting effects on the proliferation of normal and cancerous colonocytes. </w:t>
            </w:r>
            <w:r w:rsidRPr="00B55C16">
              <w:rPr>
                <w:i/>
                <w:sz w:val="16"/>
                <w:szCs w:val="16"/>
              </w:rPr>
              <w:t xml:space="preserve">In vitro </w:t>
            </w:r>
            <w:r w:rsidRPr="00B55C16">
              <w:rPr>
                <w:sz w:val="16"/>
                <w:szCs w:val="16"/>
              </w:rPr>
              <w:t>butyrate restrains cell proliferation enhanc</w:t>
            </w:r>
            <w:r>
              <w:rPr>
                <w:sz w:val="16"/>
                <w:szCs w:val="16"/>
              </w:rPr>
              <w:t>ing</w:t>
            </w:r>
            <w:r w:rsidRPr="00B55C16">
              <w:rPr>
                <w:sz w:val="16"/>
                <w:szCs w:val="16"/>
              </w:rPr>
              <w:t xml:space="preserve"> differentiation and apoptosis in colon cancer cells </w:t>
            </w:r>
            <w:r w:rsidR="006C2756" w:rsidRPr="00B55C16">
              <w:rPr>
                <w:rFonts w:cs="Arial"/>
                <w:color w:val="000000"/>
                <w:sz w:val="16"/>
                <w:szCs w:val="16"/>
                <w:shd w:val="clear" w:color="auto" w:fill="FFFFFF"/>
              </w:rPr>
              <w:fldChar w:fldCharType="begin">
                <w:fldData xml:space="preserve">PEVuZE5vdGU+PENpdGU+PEF1dGhvcj5IYWd1ZSBBPC9BdXRob3I+PFllYXI+MTk5MzwvWWVhcj48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</w:fldData>
              </w:fldChar>
            </w:r>
            <w:r w:rsidR="000B3EAF">
              <w:rPr>
                <w:rFonts w:cs="Arial"/>
                <w:color w:val="000000"/>
                <w:sz w:val="16"/>
                <w:szCs w:val="16"/>
                <w:shd w:val="clear" w:color="auto" w:fill="FFFFFF"/>
              </w:rPr>
              <w:instrText xml:space="preserve"> ADDIN EN.CITE </w:instrText>
            </w:r>
            <w:r w:rsidR="006C2756">
              <w:rPr>
                <w:rFonts w:cs="Arial"/>
                <w:color w:val="000000"/>
                <w:sz w:val="16"/>
                <w:szCs w:val="16"/>
                <w:shd w:val="clear" w:color="auto" w:fill="FFFFFF"/>
              </w:rPr>
              <w:fldChar w:fldCharType="begin">
                <w:fldData xml:space="preserve">PEVuZE5vdGU+PENpdGU+PEF1dGhvcj5IYWd1ZSBBPC9BdXRob3I+PFllYXI+MTk5MzwvWWVhcj48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</w:fldData>
              </w:fldChar>
            </w:r>
            <w:r w:rsidR="000B3EAF">
              <w:rPr>
                <w:rFonts w:cs="Arial"/>
                <w:color w:val="000000"/>
                <w:sz w:val="16"/>
                <w:szCs w:val="16"/>
                <w:shd w:val="clear" w:color="auto" w:fill="FFFFFF"/>
              </w:rPr>
              <w:instrText xml:space="preserve"> ADDIN EN.CITE.DATA </w:instrText>
            </w:r>
            <w:r w:rsidR="006C2756">
              <w:rPr>
                <w:rFonts w:cs="Arial"/>
                <w:color w:val="000000"/>
                <w:sz w:val="16"/>
                <w:szCs w:val="16"/>
                <w:shd w:val="clear" w:color="auto" w:fill="FFFFFF"/>
              </w:rPr>
            </w:r>
            <w:r w:rsidR="006C2756">
              <w:rPr>
                <w:rFonts w:cs="Arial"/>
                <w:color w:val="000000"/>
                <w:sz w:val="16"/>
                <w:szCs w:val="16"/>
                <w:shd w:val="clear" w:color="auto" w:fill="FFFFFF"/>
              </w:rPr>
              <w:fldChar w:fldCharType="end"/>
            </w:r>
            <w:r w:rsidR="006C2756" w:rsidRPr="00B55C16">
              <w:rPr>
                <w:rFonts w:cs="Arial"/>
                <w:color w:val="000000"/>
                <w:sz w:val="16"/>
                <w:szCs w:val="16"/>
                <w:shd w:val="clear" w:color="auto" w:fill="FFFFFF"/>
              </w:rPr>
            </w:r>
            <w:r w:rsidR="006C2756" w:rsidRPr="00B55C16">
              <w:rPr>
                <w:rFonts w:cs="Arial"/>
                <w:color w:val="000000"/>
                <w:sz w:val="16"/>
                <w:szCs w:val="16"/>
                <w:shd w:val="clear" w:color="auto" w:fill="FFFFFF"/>
              </w:rPr>
              <w:fldChar w:fldCharType="separate"/>
            </w:r>
            <w:r w:rsidR="000B3EAF">
              <w:rPr>
                <w:rFonts w:cs="Arial"/>
                <w:noProof/>
                <w:color w:val="000000"/>
                <w:sz w:val="16"/>
                <w:szCs w:val="16"/>
                <w:shd w:val="clear" w:color="auto" w:fill="FFFFFF"/>
              </w:rPr>
              <w:t>(</w:t>
            </w:r>
            <w:hyperlink w:anchor="_ENREF_26" w:tooltip="Hague A, 1993 #99" w:history="1">
              <w:r w:rsidR="00AB7E17">
                <w:rPr>
                  <w:rFonts w:cs="Arial"/>
                  <w:noProof/>
                  <w:color w:val="000000"/>
                  <w:sz w:val="16"/>
                  <w:szCs w:val="16"/>
                  <w:shd w:val="clear" w:color="auto" w:fill="FFFFFF"/>
                </w:rPr>
                <w:t>26-30</w:t>
              </w:r>
            </w:hyperlink>
            <w:r w:rsidR="000B3EAF">
              <w:rPr>
                <w:rFonts w:cs="Arial"/>
                <w:noProof/>
                <w:color w:val="000000"/>
                <w:sz w:val="16"/>
                <w:szCs w:val="16"/>
                <w:shd w:val="clear" w:color="auto" w:fill="FFFFFF"/>
              </w:rPr>
              <w:t>)</w:t>
            </w:r>
            <w:r w:rsidR="006C2756" w:rsidRPr="00B55C16">
              <w:rPr>
                <w:rFonts w:cs="Arial"/>
                <w:color w:val="000000"/>
                <w:sz w:val="16"/>
                <w:szCs w:val="16"/>
                <w:shd w:val="clear" w:color="auto" w:fill="FFFFFF"/>
              </w:rPr>
              <w:fldChar w:fldCharType="end"/>
            </w:r>
            <w:r w:rsidRPr="00B55C16">
              <w:rPr>
                <w:rFonts w:cs="Arial"/>
                <w:color w:val="000000"/>
                <w:sz w:val="16"/>
                <w:szCs w:val="16"/>
                <w:shd w:val="clear" w:color="auto" w:fill="FFFFFF"/>
              </w:rPr>
              <w:t xml:space="preserve">. </w:t>
            </w:r>
            <w:r w:rsidRPr="00B55C16">
              <w:rPr>
                <w:rFonts w:cs="Arial"/>
                <w:i/>
                <w:color w:val="000000"/>
                <w:sz w:val="16"/>
                <w:szCs w:val="16"/>
                <w:shd w:val="clear" w:color="auto" w:fill="FFFFFF"/>
              </w:rPr>
              <w:t xml:space="preserve">In vivo </w:t>
            </w:r>
            <w:r w:rsidRPr="00B55C16">
              <w:rPr>
                <w:rFonts w:cs="Arial"/>
                <w:color w:val="000000"/>
                <w:sz w:val="16"/>
                <w:szCs w:val="16"/>
                <w:shd w:val="clear" w:color="auto" w:fill="FFFFFF"/>
              </w:rPr>
              <w:t xml:space="preserve">butyrate is related to tumour </w:t>
            </w:r>
            <w:r>
              <w:rPr>
                <w:rFonts w:cs="Arial"/>
                <w:color w:val="000000"/>
                <w:sz w:val="16"/>
                <w:szCs w:val="16"/>
                <w:shd w:val="clear" w:color="auto" w:fill="FFFFFF"/>
              </w:rPr>
              <w:t xml:space="preserve">development </w:t>
            </w:r>
            <w:r w:rsidR="006C2756" w:rsidRPr="00B55C16">
              <w:rPr>
                <w:rFonts w:cs="Arial"/>
                <w:color w:val="000000"/>
                <w:sz w:val="16"/>
                <w:szCs w:val="16"/>
                <w:shd w:val="clear" w:color="auto" w:fill="FFFFFF"/>
              </w:rPr>
              <w:fldChar w:fldCharType="begin"/>
            </w:r>
            <w:r w:rsidR="000B3EAF">
              <w:rPr>
                <w:rFonts w:cs="Arial"/>
                <w:color w:val="000000"/>
                <w:sz w:val="16"/>
                <w:szCs w:val="16"/>
                <w:shd w:val="clear" w:color="auto" w:fill="FFFFFF"/>
              </w:rPr>
              <w:instrText xml:space="preserve"> ADDIN EN.CITE &lt;EndNote&gt;&lt;Cite&gt;&lt;Author&gt;Freeman H&lt;/Author&gt;&lt;Year&gt;1986&lt;/Year&gt;&lt;RecNum&gt;76&lt;/RecNum&gt;&lt;DisplayText&gt;(31, 32)&lt;/DisplayText&gt;&lt;record&gt;&lt;rec-number&gt;76&lt;/rec-number&gt;&lt;foreign-keys&gt;&lt;key app="EN" db-id="zxp9w5sa30aeafes0xox2eem00dz2z2aswad"&gt;76&lt;/key&gt;&lt;key app="ENWeb" db-id="UG1-3grtqigAAEqvEt0"&gt;395&lt;/key&gt;&lt;/foreign-keys&gt;&lt;ref-type name="Journal Article"&gt;17&lt;/ref-type&gt;&lt;contributors&gt;&lt;authors&gt;&lt;author&gt;Freeman H,&lt;/author&gt;&lt;/authors&gt;&lt;/contributors&gt;&lt;titles&gt;&lt;title&gt;Effects of differing concentrations of sodium butyrate on 1, 2-dimethylhydrazine-induced rat intestinal neoplasia&lt;/title&gt;&lt;secondary-title&gt;Gastroenterology&lt;/secondary-title&gt;&lt;/titles&gt;&lt;periodical&gt;&lt;full-title&gt;Gastroenterology&lt;/full-title&gt;&lt;/periodical&gt;&lt;pages&gt;596-602&lt;/pages&gt;&lt;volume&gt;91&lt;/volume&gt;&lt;number&gt;3&lt;/number&gt;&lt;dates&gt;&lt;year&gt;1986&lt;/year&gt;&lt;/dates&gt;&lt;urls&gt;&lt;/urls&gt;&lt;/record&gt;&lt;/Cite&gt;&lt;Cite&gt;&lt;Author&gt;Zoran D&lt;/Author&gt;&lt;Year&gt;1997&lt;/Year&gt;&lt;RecNum&gt;305&lt;/RecNum&gt;&lt;record&gt;&lt;rec-number&gt;305&lt;/rec-number&gt;&lt;foreign-keys&gt;&lt;key app="EN" db-id="zxp9w5sa30aeafes0xox2eem00dz2z2aswad"&gt;305&lt;/key&gt;&lt;key app="ENWeb" db-id="UG1-3grtqigAAEqvEt0"&gt;396&lt;/key&gt;&lt;/foreign-keys&gt;&lt;ref-type name="Journal Article"&gt;17&lt;/ref-type&gt;&lt;contributors&gt;&lt;authors&gt;&lt;author&gt;Zoran D,&lt;/author&gt;&lt;author&gt;Turner N,&lt;/author&gt;&lt;author&gt;Taddeo S,&lt;/author&gt;&lt;author&gt;Chapkin R,&lt;/author&gt;&lt;author&gt;Lupton J,&lt;/author&gt;&lt;/authors&gt;&lt;/contributors&gt;&lt;titles&gt;&lt;title&gt;Wheat bran diet reduces tumor incidence in a rat model of colon cancer independent of effects on distal luminal butyrate concentrations&lt;/title&gt;&lt;secondary-title&gt;J. Nutr&lt;/secondary-title&gt;&lt;/titles&gt;&lt;periodical&gt;&lt;full-title&gt;J. Nutr&lt;/full-title&gt;&lt;/periodical&gt;&lt;pages&gt;2217-2225&lt;/pages&gt;&lt;volume&gt;127&lt;/volume&gt;&lt;number&gt;11&lt;/number&gt;&lt;dates&gt;&lt;year&gt;1997&lt;/year&gt;&lt;/dates&gt;&lt;urls&gt;&lt;/urls&gt;&lt;/record&gt;&lt;/Cite&gt;&lt;/EndNote&gt;</w:instrText>
            </w:r>
            <w:r w:rsidR="006C2756" w:rsidRPr="00B55C16">
              <w:rPr>
                <w:rFonts w:cs="Arial"/>
                <w:color w:val="000000"/>
                <w:sz w:val="16"/>
                <w:szCs w:val="16"/>
                <w:shd w:val="clear" w:color="auto" w:fill="FFFFFF"/>
              </w:rPr>
              <w:fldChar w:fldCharType="separate"/>
            </w:r>
            <w:r w:rsidR="000B3EAF">
              <w:rPr>
                <w:rFonts w:cs="Arial"/>
                <w:noProof/>
                <w:color w:val="000000"/>
                <w:sz w:val="16"/>
                <w:szCs w:val="16"/>
                <w:shd w:val="clear" w:color="auto" w:fill="FFFFFF"/>
              </w:rPr>
              <w:t>(</w:t>
            </w:r>
            <w:hyperlink w:anchor="_ENREF_31" w:tooltip="Freeman H, 1986 #76" w:history="1">
              <w:r w:rsidR="00AB7E17">
                <w:rPr>
                  <w:rFonts w:cs="Arial"/>
                  <w:noProof/>
                  <w:color w:val="000000"/>
                  <w:sz w:val="16"/>
                  <w:szCs w:val="16"/>
                  <w:shd w:val="clear" w:color="auto" w:fill="FFFFFF"/>
                </w:rPr>
                <w:t>31</w:t>
              </w:r>
            </w:hyperlink>
            <w:r w:rsidR="000B3EAF">
              <w:rPr>
                <w:rFonts w:cs="Arial"/>
                <w:noProof/>
                <w:color w:val="000000"/>
                <w:sz w:val="16"/>
                <w:szCs w:val="16"/>
                <w:shd w:val="clear" w:color="auto" w:fill="FFFFFF"/>
              </w:rPr>
              <w:t xml:space="preserve">, </w:t>
            </w:r>
            <w:hyperlink w:anchor="_ENREF_32" w:tooltip="Zoran D, 1997 #305" w:history="1">
              <w:r w:rsidR="00AB7E17">
                <w:rPr>
                  <w:rFonts w:cs="Arial"/>
                  <w:noProof/>
                  <w:color w:val="000000"/>
                  <w:sz w:val="16"/>
                  <w:szCs w:val="16"/>
                  <w:shd w:val="clear" w:color="auto" w:fill="FFFFFF"/>
                </w:rPr>
                <w:t>32</w:t>
              </w:r>
            </w:hyperlink>
            <w:r w:rsidR="000B3EAF">
              <w:rPr>
                <w:rFonts w:cs="Arial"/>
                <w:noProof/>
                <w:color w:val="000000"/>
                <w:sz w:val="16"/>
                <w:szCs w:val="16"/>
                <w:shd w:val="clear" w:color="auto" w:fill="FFFFFF"/>
              </w:rPr>
              <w:t>)</w:t>
            </w:r>
            <w:r w:rsidR="006C2756" w:rsidRPr="00B55C16">
              <w:rPr>
                <w:rFonts w:cs="Arial"/>
                <w:color w:val="000000"/>
                <w:sz w:val="16"/>
                <w:szCs w:val="16"/>
                <w:shd w:val="clear" w:color="auto" w:fill="FFFFFF"/>
              </w:rPr>
              <w:fldChar w:fldCharType="end"/>
            </w:r>
            <w:r>
              <w:rPr>
                <w:rFonts w:cs="Arial"/>
                <w:color w:val="000000"/>
                <w:sz w:val="16"/>
                <w:szCs w:val="16"/>
                <w:shd w:val="clear" w:color="auto" w:fill="FFFFFF"/>
              </w:rPr>
              <w:t xml:space="preserve"> and incidence </w:t>
            </w:r>
            <w:r w:rsidR="006C2756" w:rsidRPr="00B55C16">
              <w:rPr>
                <w:rFonts w:cs="Arial"/>
                <w:color w:val="000000"/>
                <w:sz w:val="16"/>
                <w:szCs w:val="16"/>
                <w:shd w:val="clear" w:color="auto" w:fill="FFFFFF"/>
              </w:rPr>
              <w:fldChar w:fldCharType="begin"/>
            </w:r>
            <w:r w:rsidR="000B3EAF">
              <w:rPr>
                <w:rFonts w:cs="Arial"/>
                <w:color w:val="000000"/>
                <w:sz w:val="16"/>
                <w:szCs w:val="16"/>
                <w:shd w:val="clear" w:color="auto" w:fill="FFFFFF"/>
              </w:rPr>
              <w:instrText xml:space="preserve"> ADDIN EN.CITE &lt;EndNote&gt;&lt;Cite&gt;&lt;Author&gt;Deschner E&lt;/Author&gt;&lt;Year&gt;1990&lt;/Year&gt;&lt;RecNum&gt;67&lt;/RecNum&gt;&lt;DisplayText&gt;(33, 34)&lt;/DisplayText&gt;&lt;record&gt;&lt;rec-number&gt;67&lt;/rec-number&gt;&lt;foreign-keys&gt;&lt;key app="EN" db-id="zxp9w5sa30aeafes0xox2eem00dz2z2aswad"&gt;67&lt;/key&gt;&lt;key app="ENWeb" db-id="UG1-3grtqigAAEqvEt0"&gt;397&lt;/key&gt;&lt;/foreign-keys&gt;&lt;ref-type name="Journal Article"&gt;17&lt;/ref-type&gt;&lt;contributors&gt;&lt;authors&gt;&lt;author&gt;Deschner E,&lt;/author&gt;&lt;author&gt;Ruperto J,&lt;/author&gt;&lt;author&gt;Lupton J,&lt;/author&gt;&lt;/authors&gt;&lt;/contributors&gt;&lt;titles&gt;&lt;title&gt;Dietary butyrate (tributyrin) does not enhance AOM-induced colon tumorigenesis&lt;/title&gt;&lt;secondary-title&gt;Cancer Lett&lt;/secondary-title&gt;&lt;/titles&gt;&lt;periodical&gt;&lt;full-title&gt;Cancer Lett&lt;/full-title&gt;&lt;/periodical&gt;&lt;pages&gt;79-82&lt;/pages&gt;&lt;volume&gt;52&lt;/volume&gt;&lt;number&gt;1&lt;/number&gt;&lt;dates&gt;&lt;year&gt;1990&lt;/year&gt;&lt;/dates&gt;&lt;urls&gt;&lt;/urls&gt;&lt;/record&gt;&lt;/Cite&gt;&lt;Cite&gt;&lt;Author&gt;Caderni G&lt;/Author&gt;&lt;Year&gt;2001&lt;/Year&gt;&lt;RecNum&gt;31&lt;/RecNum&gt;&lt;record&gt;&lt;rec-number&gt;31&lt;/rec-number&gt;&lt;foreign-keys&gt;&lt;key app="EN" db-id="zxp9w5sa30aeafes0xox2eem00dz2z2aswad"&gt;31&lt;/key&gt;&lt;key app="ENWeb" db-id="UG1-3grtqigAAEqvEt0"&gt;399&lt;/key&gt;&lt;/foreign-keys&gt;&lt;ref-type name="Journal Article"&gt;17&lt;/ref-type&gt;&lt;contributors&gt;&lt;authors&gt;&lt;author&gt;Caderni G,&lt;/author&gt;&lt;author&gt;Luceri C,&lt;/author&gt;&lt;author&gt;De Filippo C,&lt;/author&gt;&lt;author&gt;Salvadori M,&lt;/author&gt;&lt;author&gt;Giannini A,&lt;/author&gt;&lt;author&gt;Tessitore L,&lt;/author&gt;&lt;author&gt;Dolara P,&lt;/author&gt;&lt;/authors&gt;&lt;/contributors&gt;&lt;titles&gt;&lt;title&gt;Slow-release pellets of sodium butyrate do not modify azoxymethane (AOM)-induced intestinal carcinogenesis in F344 rats&lt;/title&gt;&lt;secondary-title&gt;Carcinogenesis&lt;/secondary-title&gt;&lt;/titles&gt;&lt;periodical&gt;&lt;full-title&gt;Carcinogenesis&lt;/full-title&gt;&lt;/periodical&gt;&lt;pages&gt;525-527&lt;/pages&gt;&lt;volume&gt;22&lt;/volume&gt;&lt;number&gt;3&lt;/number&gt;&lt;dates&gt;&lt;year&gt;2001&lt;/year&gt;&lt;/dates&gt;&lt;urls&gt;&lt;/urls&gt;&lt;/record&gt;&lt;/Cite&gt;&lt;/EndNote&gt;</w:instrText>
            </w:r>
            <w:r w:rsidR="006C2756" w:rsidRPr="00B55C16">
              <w:rPr>
                <w:rFonts w:cs="Arial"/>
                <w:color w:val="000000"/>
                <w:sz w:val="16"/>
                <w:szCs w:val="16"/>
                <w:shd w:val="clear" w:color="auto" w:fill="FFFFFF"/>
              </w:rPr>
              <w:fldChar w:fldCharType="separate"/>
            </w:r>
            <w:r w:rsidR="000B3EAF">
              <w:rPr>
                <w:rFonts w:cs="Arial"/>
                <w:noProof/>
                <w:color w:val="000000"/>
                <w:sz w:val="16"/>
                <w:szCs w:val="16"/>
                <w:shd w:val="clear" w:color="auto" w:fill="FFFFFF"/>
              </w:rPr>
              <w:t>(</w:t>
            </w:r>
            <w:hyperlink w:anchor="_ENREF_33" w:tooltip="Deschner E, 1990 #67" w:history="1">
              <w:r w:rsidR="00AB7E17">
                <w:rPr>
                  <w:rFonts w:cs="Arial"/>
                  <w:noProof/>
                  <w:color w:val="000000"/>
                  <w:sz w:val="16"/>
                  <w:szCs w:val="16"/>
                  <w:shd w:val="clear" w:color="auto" w:fill="FFFFFF"/>
                </w:rPr>
                <w:t>33</w:t>
              </w:r>
            </w:hyperlink>
            <w:r w:rsidR="000B3EAF">
              <w:rPr>
                <w:rFonts w:cs="Arial"/>
                <w:noProof/>
                <w:color w:val="000000"/>
                <w:sz w:val="16"/>
                <w:szCs w:val="16"/>
                <w:shd w:val="clear" w:color="auto" w:fill="FFFFFF"/>
              </w:rPr>
              <w:t xml:space="preserve">, </w:t>
            </w:r>
            <w:hyperlink w:anchor="_ENREF_34" w:tooltip="Caderni G, 2001 #31" w:history="1">
              <w:r w:rsidR="00AB7E17">
                <w:rPr>
                  <w:rFonts w:cs="Arial"/>
                  <w:noProof/>
                  <w:color w:val="000000"/>
                  <w:sz w:val="16"/>
                  <w:szCs w:val="16"/>
                  <w:shd w:val="clear" w:color="auto" w:fill="FFFFFF"/>
                </w:rPr>
                <w:t>34</w:t>
              </w:r>
            </w:hyperlink>
            <w:r w:rsidR="000B3EAF">
              <w:rPr>
                <w:rFonts w:cs="Arial"/>
                <w:noProof/>
                <w:color w:val="000000"/>
                <w:sz w:val="16"/>
                <w:szCs w:val="16"/>
                <w:shd w:val="clear" w:color="auto" w:fill="FFFFFF"/>
              </w:rPr>
              <w:t>)</w:t>
            </w:r>
            <w:r w:rsidR="006C2756" w:rsidRPr="00B55C16">
              <w:rPr>
                <w:rFonts w:cs="Arial"/>
                <w:color w:val="000000"/>
                <w:sz w:val="16"/>
                <w:szCs w:val="16"/>
                <w:shd w:val="clear" w:color="auto" w:fill="FFFFFF"/>
              </w:rPr>
              <w:fldChar w:fldCharType="end"/>
            </w:r>
            <w:r w:rsidRPr="008830C8">
              <w:rPr>
                <w:rFonts w:cs="Arial"/>
                <w:color w:val="000000"/>
                <w:sz w:val="16"/>
                <w:szCs w:val="16"/>
                <w:shd w:val="clear" w:color="auto" w:fill="FFFFFF"/>
              </w:rPr>
              <w:t>.</w:t>
            </w:r>
          </w:p>
        </w:tc>
      </w:tr>
      <w:tr w:rsidR="00EF1380" w:rsidTr="00257BAE">
        <w:trPr>
          <w:trHeight w:val="1134"/>
        </w:trPr>
        <w:tc>
          <w:tcPr>
            <w:cnfStyle w:val="001000000000" w:firstRow="0" w:lastRow="0" w:firstColumn="1" w:lastColumn="0" w:oddVBand="0" w:evenVBand="0" w:oddHBand="0" w:evenHBand="0" w:firstRowFirstColumn="0" w:firstRowLastColumn="0" w:lastRowFirstColumn="0" w:lastRowLastColumn="0"/>
            <w:tcW w:w="959" w:type="dxa"/>
            <w:vAlign w:val="center"/>
          </w:tcPr>
          <w:p w:rsidR="00EF1380" w:rsidRPr="004F4304" w:rsidRDefault="00EF1380" w:rsidP="009B400B">
            <w:pPr>
              <w:jc w:val="center"/>
              <w:rPr>
                <w:sz w:val="16"/>
                <w:szCs w:val="16"/>
              </w:rPr>
            </w:pPr>
            <w:r w:rsidRPr="004F4304">
              <w:rPr>
                <w:sz w:val="16"/>
                <w:szCs w:val="16"/>
              </w:rPr>
              <w:t>Propionate</w:t>
            </w:r>
          </w:p>
        </w:tc>
        <w:tc>
          <w:tcPr>
            <w:tcW w:w="1276" w:type="dxa"/>
            <w:vAlign w:val="center"/>
          </w:tcPr>
          <w:p w:rsidR="00EF1380" w:rsidRPr="004F4304" w:rsidRDefault="00EF1380" w:rsidP="009B400B">
            <w:pPr>
              <w:jc w:val="center"/>
              <w:cnfStyle w:val="000000000000" w:firstRow="0" w:lastRow="0" w:firstColumn="0" w:lastColumn="0" w:oddVBand="0" w:evenVBand="0" w:oddHBand="0" w:evenHBand="0" w:firstRowFirstColumn="0" w:firstRowLastColumn="0" w:lastRowFirstColumn="0" w:lastRowLastColumn="0"/>
              <w:rPr>
                <w:sz w:val="16"/>
                <w:szCs w:val="16"/>
              </w:rPr>
            </w:pPr>
            <w:r w:rsidRPr="004F4304">
              <w:rPr>
                <w:sz w:val="16"/>
                <w:szCs w:val="16"/>
              </w:rPr>
              <w:t>1-20mM</w:t>
            </w:r>
          </w:p>
        </w:tc>
        <w:tc>
          <w:tcPr>
            <w:tcW w:w="3118" w:type="dxa"/>
            <w:vAlign w:val="center"/>
          </w:tcPr>
          <w:p w:rsidR="00EF1380" w:rsidRPr="00CA0D04" w:rsidRDefault="00257BAE" w:rsidP="00257BAE">
            <w:pPr>
              <w:jc w:val="center"/>
              <w:cnfStyle w:val="000000000000" w:firstRow="0" w:lastRow="0" w:firstColumn="0" w:lastColumn="0" w:oddVBand="0" w:evenVBand="0" w:oddHBand="0" w:evenHBand="0" w:firstRowFirstColumn="0" w:firstRowLastColumn="0" w:lastRowFirstColumn="0" w:lastRowLastColumn="0"/>
              <w:rPr>
                <w:sz w:val="20"/>
              </w:rPr>
            </w:pPr>
            <w:r>
              <w:rPr>
                <w:noProof/>
                <w:sz w:val="20"/>
              </w:rPr>
              <w:drawing>
                <wp:inline distT="0" distB="0" distL="0" distR="0" wp14:anchorId="55F77A06" wp14:editId="12111937">
                  <wp:extent cx="1324105" cy="108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ion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4105" cy="1080000"/>
                          </a:xfrm>
                          <a:prstGeom prst="rect">
                            <a:avLst/>
                          </a:prstGeom>
                        </pic:spPr>
                      </pic:pic>
                    </a:graphicData>
                  </a:graphic>
                </wp:inline>
              </w:drawing>
            </w:r>
          </w:p>
        </w:tc>
        <w:tc>
          <w:tcPr>
            <w:tcW w:w="3686" w:type="dxa"/>
          </w:tcPr>
          <w:p w:rsidR="00EF1380" w:rsidRDefault="00EF1380" w:rsidP="009B400B">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C</w:t>
            </w:r>
            <w:r w:rsidRPr="00B55C16">
              <w:rPr>
                <w:rFonts w:cs="Arial"/>
                <w:sz w:val="16"/>
                <w:szCs w:val="16"/>
              </w:rPr>
              <w:t xml:space="preserve">ytotoxic in the nucleus at a higher than physiological concentrations (68.3mM) </w:t>
            </w:r>
            <w:r w:rsidR="006C2756" w:rsidRPr="00B55C16">
              <w:rPr>
                <w:rFonts w:cs="Arial"/>
                <w:sz w:val="16"/>
                <w:szCs w:val="16"/>
              </w:rPr>
              <w:fldChar w:fldCharType="begin"/>
            </w:r>
            <w:r w:rsidR="000B3EAF">
              <w:rPr>
                <w:rFonts w:cs="Arial"/>
                <w:sz w:val="16"/>
                <w:szCs w:val="16"/>
              </w:rPr>
              <w:instrText xml:space="preserve"> ADDIN EN.CITE &lt;EndNote&gt;&lt;Cite&gt;&lt;Author&gt;Waldecker M&lt;/Author&gt;&lt;Year&gt;2008&lt;/Year&gt;&lt;RecNum&gt;269&lt;/RecNum&gt;&lt;DisplayText&gt;(20)&lt;/DisplayText&gt;&lt;record&gt;&lt;rec-number&gt;269&lt;/rec-number&gt;&lt;foreign-keys&gt;&lt;key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Biochemistry&lt;/full-title&gt;&lt;/periodical&gt;&lt;pages&gt;587-593&lt;/pages&gt;&lt;volume&gt;19&lt;/volume&gt;&lt;dates&gt;&lt;year&gt;2008&lt;/year&gt;&lt;/dates&gt;&lt;urls&gt;&lt;/urls&gt;&lt;/record&gt;&lt;/Cite&gt;&lt;/EndNote&gt;</w:instrText>
            </w:r>
            <w:r w:rsidR="006C2756" w:rsidRPr="00B55C16">
              <w:rPr>
                <w:rFonts w:cs="Arial"/>
                <w:sz w:val="16"/>
                <w:szCs w:val="16"/>
              </w:rPr>
              <w:fldChar w:fldCharType="separate"/>
            </w:r>
            <w:r w:rsidR="000B3EAF">
              <w:rPr>
                <w:rFonts w:cs="Arial"/>
                <w:noProof/>
                <w:sz w:val="16"/>
                <w:szCs w:val="16"/>
              </w:rPr>
              <w:t>(</w:t>
            </w:r>
            <w:hyperlink w:anchor="_ENREF_20" w:tooltip="Waldecker M, 2008 #269" w:history="1">
              <w:r w:rsidR="00AB7E17">
                <w:rPr>
                  <w:rFonts w:cs="Arial"/>
                  <w:noProof/>
                  <w:sz w:val="16"/>
                  <w:szCs w:val="16"/>
                </w:rPr>
                <w:t>20</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 xml:space="preserve">. </w:t>
            </w:r>
          </w:p>
          <w:p w:rsidR="00EF1380" w:rsidRPr="00B55C16" w:rsidRDefault="00EF1380" w:rsidP="009B400B">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I</w:t>
            </w:r>
            <w:r w:rsidRPr="00B55C16">
              <w:rPr>
                <w:rFonts w:cs="Arial"/>
                <w:sz w:val="16"/>
                <w:szCs w:val="16"/>
              </w:rPr>
              <w:t xml:space="preserve">ts KDACs inhibitory effect is not as potent as butyrate </w:t>
            </w:r>
            <w:r w:rsidR="006C2756" w:rsidRPr="00B55C16">
              <w:rPr>
                <w:rFonts w:cs="Arial"/>
                <w:sz w:val="16"/>
                <w:szCs w:val="16"/>
              </w:rPr>
              <w:fldChar w:fldCharType="begin"/>
            </w:r>
            <w:r w:rsidR="000B3EAF">
              <w:rPr>
                <w:rFonts w:cs="Arial"/>
                <w:sz w:val="16"/>
                <w:szCs w:val="16"/>
              </w:rPr>
              <w:instrText xml:space="preserve"> ADDIN EN.CITE &lt;EndNote&gt;&lt;Cite&gt;&lt;Author&gt;Waldecker M&lt;/Author&gt;&lt;Year&gt;2008&lt;/Year&gt;&lt;RecNum&gt;269&lt;/RecNum&gt;&lt;DisplayText&gt;(20, 21)&lt;/DisplayText&gt;&lt;record&gt;&lt;rec-number&gt;269&lt;/rec-number&gt;&lt;foreign-keys&gt;&lt;key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Biochemistry&lt;/full-title&gt;&lt;/periodical&gt;&lt;pages&gt;587-593&lt;/pages&gt;&lt;volume&gt;19&lt;/volume&gt;&lt;dates&gt;&lt;year&gt;2008&lt;/year&gt;&lt;/dates&gt;&lt;urls&gt;&lt;/urls&gt;&lt;/record&gt;&lt;/Cite&gt;&lt;Cite&gt;&lt;Author&gt;Vinoloa M&lt;/Author&gt;&lt;Year&gt;2011&lt;/Year&gt;&lt;RecNum&gt;265&lt;/RecNum&gt;&lt;record&gt;&lt;rec-number&gt;265&lt;/rec-number&gt;&lt;foreign-keys&gt;&lt;key app="EN" db-id="zxp9w5sa30aeafes0xox2eem00dz2z2aswad"&gt;265&lt;/key&gt;&lt;key app="ENWeb" db-id="UG1-3grtqigAAEqvEt0"&gt;169&lt;/key&gt;&lt;/foreign-keys&gt;&lt;ref-type name="Journal Article"&gt;17&lt;/ref-type&gt;&lt;contributors&gt;&lt;authors&gt;&lt;author&gt;Vinoloa M,&lt;/author&gt;&lt;author&gt;Rodrigues A,&lt;/author&gt;&lt;author&gt;Hatanaka E&lt;/author&gt;&lt;author&gt;Satoa F,&lt;/author&gt;&lt;author&gt;Sampaio S,&lt;/author&gt;&lt;author&gt;Curia R,&lt;/author&gt;&lt;/authors&gt;&lt;/contributors&gt;&lt;titles&gt;&lt;title&gt;Suppressive effect of short-chain fatty acids on production of proinflammatory mediators by neutrophils&lt;/title&gt;&lt;secondary-title&gt;Journal of Nutritional Biochemistry&lt;/secondary-title&gt;&lt;/titles&gt;&lt;periodical&gt;&lt;full-title&gt;Journal of Nutritional Biochemistry&lt;/full-title&gt;&lt;/periodical&gt;&lt;pages&gt;849-55&lt;/pages&gt;&lt;volume&gt;22&lt;/volume&gt;&lt;dates&gt;&lt;year&gt;2011&lt;/year&gt;&lt;/dates&gt;&lt;urls&gt;&lt;/urls&gt;&lt;/record&gt;&lt;/Cite&gt;&lt;/EndNote&gt;</w:instrText>
            </w:r>
            <w:r w:rsidR="006C2756" w:rsidRPr="00B55C16">
              <w:rPr>
                <w:rFonts w:cs="Arial"/>
                <w:sz w:val="16"/>
                <w:szCs w:val="16"/>
              </w:rPr>
              <w:fldChar w:fldCharType="separate"/>
            </w:r>
            <w:r w:rsidR="000B3EAF">
              <w:rPr>
                <w:rFonts w:cs="Arial"/>
                <w:noProof/>
                <w:sz w:val="16"/>
                <w:szCs w:val="16"/>
              </w:rPr>
              <w:t>(</w:t>
            </w:r>
            <w:hyperlink w:anchor="_ENREF_20" w:tooltip="Waldecker M, 2008 #269" w:history="1">
              <w:r w:rsidR="00AB7E17">
                <w:rPr>
                  <w:rFonts w:cs="Arial"/>
                  <w:noProof/>
                  <w:sz w:val="16"/>
                  <w:szCs w:val="16"/>
                </w:rPr>
                <w:t>20</w:t>
              </w:r>
            </w:hyperlink>
            <w:r w:rsidR="000B3EAF">
              <w:rPr>
                <w:rFonts w:cs="Arial"/>
                <w:noProof/>
                <w:sz w:val="16"/>
                <w:szCs w:val="16"/>
              </w:rPr>
              <w:t xml:space="preserve">, </w:t>
            </w:r>
            <w:hyperlink w:anchor="_ENREF_21" w:tooltip="Vinoloa M, 2011 #265" w:history="1">
              <w:r w:rsidR="00AB7E17">
                <w:rPr>
                  <w:rFonts w:cs="Arial"/>
                  <w:noProof/>
                  <w:sz w:val="16"/>
                  <w:szCs w:val="16"/>
                </w:rPr>
                <w:t>21</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w:t>
            </w:r>
          </w:p>
          <w:p w:rsidR="00EF1380" w:rsidRDefault="00EF1380" w:rsidP="009B40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I</w:t>
            </w:r>
            <w:r w:rsidRPr="00B55C16">
              <w:rPr>
                <w:rFonts w:cs="Arial"/>
                <w:sz w:val="16"/>
                <w:szCs w:val="16"/>
              </w:rPr>
              <w:t>nhibit</w:t>
            </w:r>
            <w:r>
              <w:rPr>
                <w:rFonts w:cs="Arial"/>
                <w:sz w:val="16"/>
                <w:szCs w:val="16"/>
              </w:rPr>
              <w:t>s</w:t>
            </w:r>
            <w:r w:rsidRPr="00B55C16">
              <w:rPr>
                <w:rFonts w:cs="Arial"/>
                <w:sz w:val="16"/>
                <w:szCs w:val="16"/>
              </w:rPr>
              <w:t xml:space="preserve"> HDAC8*, HDAC6</w:t>
            </w:r>
            <w:r>
              <w:rPr>
                <w:rFonts w:cs="Arial"/>
                <w:sz w:val="16"/>
                <w:szCs w:val="16"/>
              </w:rPr>
              <w:t>*</w:t>
            </w:r>
            <w:r w:rsidRPr="00B55C16">
              <w:rPr>
                <w:rFonts w:cs="Arial"/>
                <w:sz w:val="16"/>
                <w:szCs w:val="16"/>
              </w:rPr>
              <w:t xml:space="preserve">, and FB188 HDAH* in preparations derived from rat, human and bacterial sources </w:t>
            </w:r>
            <w:r w:rsidR="006C2756" w:rsidRPr="00B55C16">
              <w:rPr>
                <w:rFonts w:cs="Arial"/>
                <w:sz w:val="16"/>
                <w:szCs w:val="16"/>
              </w:rPr>
              <w:fldChar w:fldCharType="begin"/>
            </w:r>
            <w:r w:rsidR="000B3EAF">
              <w:rPr>
                <w:rFonts w:cs="Arial"/>
                <w:sz w:val="16"/>
                <w:szCs w:val="16"/>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sidRPr="00B55C16">
              <w:rPr>
                <w:rFonts w:cs="Arial"/>
                <w:sz w:val="16"/>
                <w:szCs w:val="16"/>
              </w:rPr>
              <w:fldChar w:fldCharType="separate"/>
            </w:r>
            <w:r w:rsidR="000B3EAF">
              <w:rPr>
                <w:rFonts w:cs="Arial"/>
                <w:noProof/>
                <w:sz w:val="16"/>
                <w:szCs w:val="16"/>
              </w:rPr>
              <w:t>(</w:t>
            </w:r>
            <w:hyperlink w:anchor="_ENREF_35" w:tooltip="Riester D, 2004 #209" w:history="1">
              <w:r w:rsidR="00AB7E17">
                <w:rPr>
                  <w:rFonts w:cs="Arial"/>
                  <w:noProof/>
                  <w:sz w:val="16"/>
                  <w:szCs w:val="16"/>
                </w:rPr>
                <w:t>35</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w:t>
            </w:r>
          </w:p>
          <w:p w:rsidR="00257BAE" w:rsidRDefault="00257BAE" w:rsidP="009B40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rsidR="00257BAE" w:rsidRPr="00B55C16" w:rsidRDefault="00257BAE" w:rsidP="009B40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EF1380" w:rsidTr="00257BAE">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959" w:type="dxa"/>
            <w:vAlign w:val="center"/>
          </w:tcPr>
          <w:p w:rsidR="00EF1380" w:rsidRPr="004F4304" w:rsidRDefault="00EF1380" w:rsidP="009B400B">
            <w:pPr>
              <w:jc w:val="center"/>
              <w:rPr>
                <w:sz w:val="16"/>
                <w:szCs w:val="16"/>
              </w:rPr>
            </w:pPr>
            <w:r w:rsidRPr="004F4304">
              <w:rPr>
                <w:sz w:val="16"/>
                <w:szCs w:val="16"/>
              </w:rPr>
              <w:t>Acetate</w:t>
            </w:r>
          </w:p>
        </w:tc>
        <w:tc>
          <w:tcPr>
            <w:tcW w:w="1276" w:type="dxa"/>
            <w:vAlign w:val="center"/>
          </w:tcPr>
          <w:p w:rsidR="00EF1380" w:rsidRPr="004F4304" w:rsidRDefault="00EF1380" w:rsidP="009B400B">
            <w:pPr>
              <w:jc w:val="center"/>
              <w:cnfStyle w:val="000000100000" w:firstRow="0" w:lastRow="0" w:firstColumn="0" w:lastColumn="0" w:oddVBand="0" w:evenVBand="0" w:oddHBand="1" w:evenHBand="0" w:firstRowFirstColumn="0" w:firstRowLastColumn="0" w:lastRowFirstColumn="0" w:lastRowLastColumn="0"/>
              <w:rPr>
                <w:sz w:val="16"/>
                <w:szCs w:val="16"/>
              </w:rPr>
            </w:pPr>
            <w:r w:rsidRPr="004F4304">
              <w:rPr>
                <w:sz w:val="16"/>
                <w:szCs w:val="16"/>
              </w:rPr>
              <w:t>1-52mM</w:t>
            </w:r>
          </w:p>
        </w:tc>
        <w:tc>
          <w:tcPr>
            <w:tcW w:w="3118" w:type="dxa"/>
            <w:vAlign w:val="center"/>
          </w:tcPr>
          <w:p w:rsidR="00EF1380" w:rsidRPr="00CA0D04" w:rsidRDefault="00257BAE" w:rsidP="00257BAE">
            <w:pPr>
              <w:jc w:val="center"/>
              <w:cnfStyle w:val="000000100000" w:firstRow="0" w:lastRow="0" w:firstColumn="0" w:lastColumn="0" w:oddVBand="0" w:evenVBand="0" w:oddHBand="1" w:evenHBand="0" w:firstRowFirstColumn="0" w:firstRowLastColumn="0" w:lastRowFirstColumn="0" w:lastRowLastColumn="0"/>
              <w:rPr>
                <w:sz w:val="20"/>
              </w:rPr>
            </w:pPr>
            <w:r>
              <w:rPr>
                <w:noProof/>
                <w:sz w:val="20"/>
              </w:rPr>
              <w:drawing>
                <wp:inline distT="0" distB="0" distL="0" distR="0" wp14:anchorId="35010F13" wp14:editId="04AC194F">
                  <wp:extent cx="954000" cy="108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4000" cy="1080000"/>
                          </a:xfrm>
                          <a:prstGeom prst="rect">
                            <a:avLst/>
                          </a:prstGeom>
                        </pic:spPr>
                      </pic:pic>
                    </a:graphicData>
                  </a:graphic>
                </wp:inline>
              </w:drawing>
            </w:r>
          </w:p>
        </w:tc>
        <w:tc>
          <w:tcPr>
            <w:tcW w:w="3686" w:type="dxa"/>
          </w:tcPr>
          <w:p w:rsidR="00EF1380" w:rsidRDefault="00EF1380" w:rsidP="009B400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N</w:t>
            </w:r>
            <w:r w:rsidRPr="00B55C16">
              <w:rPr>
                <w:rFonts w:cs="Arial"/>
                <w:sz w:val="16"/>
                <w:szCs w:val="16"/>
              </w:rPr>
              <w:t>ot very potent HDAC</w:t>
            </w:r>
            <w:r>
              <w:rPr>
                <w:rFonts w:cs="Arial"/>
                <w:sz w:val="16"/>
                <w:szCs w:val="16"/>
              </w:rPr>
              <w:t>i</w:t>
            </w:r>
            <w:r w:rsidRPr="00B55C16">
              <w:rPr>
                <w:rFonts w:cs="Arial"/>
                <w:sz w:val="16"/>
                <w:szCs w:val="16"/>
              </w:rPr>
              <w:t xml:space="preserve"> </w:t>
            </w:r>
            <w:r w:rsidR="006C2756" w:rsidRPr="00B55C16">
              <w:rPr>
                <w:rFonts w:cs="Arial"/>
                <w:sz w:val="16"/>
                <w:szCs w:val="16"/>
              </w:rPr>
              <w:fldChar w:fldCharType="begin">
                <w:fldData xml:space="preserve">PEVuZE5vdGU+PENpdGU+PEF1dGhvcj5WaW5vbG9hIE08L0F1dGhvcj48WWVhcj4yMDExPC9ZZWFy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</w:fldData>
              </w:fldChar>
            </w:r>
            <w:r w:rsidR="000B3EAF">
              <w:rPr>
                <w:rFonts w:cs="Arial"/>
                <w:sz w:val="16"/>
                <w:szCs w:val="16"/>
              </w:rPr>
              <w:instrText xml:space="preserve"> ADDIN EN.CITE </w:instrText>
            </w:r>
            <w:r w:rsidR="006C2756">
              <w:rPr>
                <w:rFonts w:cs="Arial"/>
                <w:sz w:val="16"/>
                <w:szCs w:val="16"/>
              </w:rPr>
              <w:fldChar w:fldCharType="begin">
                <w:fldData xml:space="preserve">PEVuZE5vdGU+PENpdGU+PEF1dGhvcj5WaW5vbG9hIE08L0F1dGhvcj48WWVhcj4yMDExPC9ZZWFy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</w:fldData>
              </w:fldChar>
            </w:r>
            <w:r w:rsidR="000B3EAF">
              <w:rPr>
                <w:rFonts w:cs="Arial"/>
                <w:sz w:val="16"/>
                <w:szCs w:val="16"/>
              </w:rPr>
              <w:instrText xml:space="preserve"> ADDIN EN.CITE.DATA </w:instrText>
            </w:r>
            <w:r w:rsidR="006C2756">
              <w:rPr>
                <w:rFonts w:cs="Arial"/>
                <w:sz w:val="16"/>
                <w:szCs w:val="16"/>
              </w:rPr>
            </w:r>
            <w:r w:rsidR="006C2756">
              <w:rPr>
                <w:rFonts w:cs="Arial"/>
                <w:sz w:val="16"/>
                <w:szCs w:val="16"/>
              </w:rPr>
              <w:fldChar w:fldCharType="end"/>
            </w:r>
            <w:r w:rsidR="006C2756" w:rsidRPr="00B55C16">
              <w:rPr>
                <w:rFonts w:cs="Arial"/>
                <w:sz w:val="16"/>
                <w:szCs w:val="16"/>
              </w:rPr>
            </w:r>
            <w:r w:rsidR="006C2756" w:rsidRPr="00B55C16">
              <w:rPr>
                <w:rFonts w:cs="Arial"/>
                <w:sz w:val="16"/>
                <w:szCs w:val="16"/>
              </w:rPr>
              <w:fldChar w:fldCharType="separate"/>
            </w:r>
            <w:r w:rsidR="000B3EAF">
              <w:rPr>
                <w:rFonts w:cs="Arial"/>
                <w:noProof/>
                <w:sz w:val="16"/>
                <w:szCs w:val="16"/>
              </w:rPr>
              <w:t>(</w:t>
            </w:r>
            <w:hyperlink w:anchor="_ENREF_19" w:tooltip="Hinnebusch B, 2002 #109" w:history="1">
              <w:r w:rsidR="00AB7E17">
                <w:rPr>
                  <w:rFonts w:cs="Arial"/>
                  <w:noProof/>
                  <w:sz w:val="16"/>
                  <w:szCs w:val="16"/>
                </w:rPr>
                <w:t>19-21</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 xml:space="preserve">. </w:t>
            </w:r>
          </w:p>
          <w:p w:rsidR="00EF1380" w:rsidRPr="00B55C16" w:rsidRDefault="00EF1380" w:rsidP="009B400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B55C16">
              <w:rPr>
                <w:rFonts w:cs="Arial"/>
                <w:sz w:val="16"/>
                <w:szCs w:val="16"/>
              </w:rPr>
              <w:t xml:space="preserve">Despite this, it has been shown that it is able to inhibit HDAC8, HDAC6 and FB188 HDAH in preparations derived from rat, human and bacterial sources </w:t>
            </w:r>
            <w:r w:rsidR="006C2756" w:rsidRPr="00B55C16">
              <w:rPr>
                <w:rFonts w:cs="Arial"/>
                <w:sz w:val="16"/>
                <w:szCs w:val="16"/>
              </w:rPr>
              <w:fldChar w:fldCharType="begin"/>
            </w:r>
            <w:r w:rsidR="000B3EAF">
              <w:rPr>
                <w:rFonts w:cs="Arial"/>
                <w:sz w:val="16"/>
                <w:szCs w:val="16"/>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sidRPr="00B55C16">
              <w:rPr>
                <w:rFonts w:cs="Arial"/>
                <w:sz w:val="16"/>
                <w:szCs w:val="16"/>
              </w:rPr>
              <w:fldChar w:fldCharType="separate"/>
            </w:r>
            <w:r w:rsidR="000B3EAF">
              <w:rPr>
                <w:rFonts w:cs="Arial"/>
                <w:noProof/>
                <w:sz w:val="16"/>
                <w:szCs w:val="16"/>
              </w:rPr>
              <w:t>(</w:t>
            </w:r>
            <w:hyperlink w:anchor="_ENREF_35" w:tooltip="Riester D, 2004 #209" w:history="1">
              <w:r w:rsidR="00AB7E17">
                <w:rPr>
                  <w:rFonts w:cs="Arial"/>
                  <w:noProof/>
                  <w:sz w:val="16"/>
                  <w:szCs w:val="16"/>
                </w:rPr>
                <w:t>35</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 xml:space="preserve">. This effect is synergistic with propionate </w:t>
            </w:r>
            <w:r w:rsidR="006C2756" w:rsidRPr="00B55C16">
              <w:rPr>
                <w:rFonts w:cs="Arial"/>
                <w:sz w:val="16"/>
                <w:szCs w:val="16"/>
              </w:rPr>
              <w:fldChar w:fldCharType="begin"/>
            </w:r>
            <w:r w:rsidR="000B3EAF">
              <w:rPr>
                <w:rFonts w:cs="Arial"/>
                <w:sz w:val="16"/>
                <w:szCs w:val="16"/>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sidRPr="00B55C16">
              <w:rPr>
                <w:rFonts w:cs="Arial"/>
                <w:sz w:val="16"/>
                <w:szCs w:val="16"/>
              </w:rPr>
              <w:fldChar w:fldCharType="separate"/>
            </w:r>
            <w:r w:rsidR="000B3EAF">
              <w:rPr>
                <w:rFonts w:cs="Arial"/>
                <w:noProof/>
                <w:sz w:val="16"/>
                <w:szCs w:val="16"/>
              </w:rPr>
              <w:t>(</w:t>
            </w:r>
            <w:hyperlink w:anchor="_ENREF_35" w:tooltip="Riester D, 2004 #209" w:history="1">
              <w:r w:rsidR="00AB7E17">
                <w:rPr>
                  <w:rFonts w:cs="Arial"/>
                  <w:noProof/>
                  <w:sz w:val="16"/>
                  <w:szCs w:val="16"/>
                </w:rPr>
                <w:t>35</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w:t>
            </w:r>
          </w:p>
          <w:p w:rsidR="00EF1380" w:rsidRDefault="00EF1380" w:rsidP="009B400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A</w:t>
            </w:r>
            <w:r w:rsidRPr="00B55C16">
              <w:rPr>
                <w:rFonts w:cs="Arial"/>
                <w:sz w:val="16"/>
                <w:szCs w:val="16"/>
              </w:rPr>
              <w:t>cetylate</w:t>
            </w:r>
            <w:r>
              <w:rPr>
                <w:rFonts w:cs="Arial"/>
                <w:sz w:val="16"/>
                <w:szCs w:val="16"/>
              </w:rPr>
              <w:t>s</w:t>
            </w:r>
            <w:r w:rsidRPr="00B55C16">
              <w:rPr>
                <w:rFonts w:cs="Arial"/>
                <w:sz w:val="16"/>
                <w:szCs w:val="16"/>
              </w:rPr>
              <w:t xml:space="preserve"> rat brain histones, specifically H4</w:t>
            </w:r>
            <w:r w:rsidR="006A2D7E">
              <w:rPr>
                <w:rFonts w:cs="Arial"/>
                <w:sz w:val="16"/>
                <w:szCs w:val="16"/>
              </w:rPr>
              <w:t xml:space="preserve">* </w:t>
            </w:r>
            <w:r w:rsidRPr="00B55C16">
              <w:rPr>
                <w:rFonts w:cs="Arial"/>
                <w:sz w:val="16"/>
                <w:szCs w:val="16"/>
              </w:rPr>
              <w:t>and H3</w:t>
            </w:r>
            <w:r w:rsidR="006A2D7E">
              <w:rPr>
                <w:rFonts w:cs="Arial"/>
                <w:sz w:val="16"/>
                <w:szCs w:val="16"/>
              </w:rPr>
              <w:t>*</w:t>
            </w:r>
            <w:r w:rsidRPr="00B55C16">
              <w:rPr>
                <w:rFonts w:cs="Arial"/>
                <w:sz w:val="16"/>
                <w:szCs w:val="16"/>
              </w:rPr>
              <w:t xml:space="preserve"> </w:t>
            </w:r>
            <w:r w:rsidR="006C2756" w:rsidRPr="00B55C16">
              <w:rPr>
                <w:rFonts w:cs="Arial"/>
                <w:sz w:val="16"/>
                <w:szCs w:val="16"/>
              </w:rPr>
              <w:fldChar w:fldCharType="begin"/>
            </w:r>
            <w:r w:rsidR="000B3EAF">
              <w:rPr>
                <w:rFonts w:cs="Arial"/>
                <w:sz w:val="16"/>
                <w:szCs w:val="16"/>
              </w:rPr>
              <w:instrText xml:space="preserve"> ADDIN EN.CITE &lt;EndNote&gt;&lt;Cite&gt;&lt;Author&gt;Soliman M&lt;/Author&gt;&lt;Year&gt;2011&lt;/Year&gt;&lt;RecNum&gt;237&lt;/RecNum&gt;&lt;DisplayText&gt;(36)&lt;/DisplayText&gt;&lt;record&gt;&lt;rec-number&gt;237&lt;/rec-number&gt;&lt;foreign-keys&gt;&lt;key app="EN" db-id="zxp9w5sa30aeafes0xox2eem00dz2z2aswad"&gt;237&lt;/key&gt;&lt;key app="ENWeb" db-id="UG1-3grtqigAAEqvEt0"&gt;175&lt;/key&gt;&lt;/foreign-keys&gt;&lt;ref-type name="Journal Article"&gt;17&lt;/ref-type&gt;&lt;contributors&gt;&lt;authors&gt;&lt;author&gt;Soliman M,&lt;/author&gt;&lt;author&gt;Rosenberger T,&lt;/author&gt;&lt;/authors&gt;&lt;/contributors&gt;&lt;titles&gt;&lt;title&gt;Acetate supplementation increases brain histone acetylation and inhibits histone deacetylase activity and expression&lt;/title&gt;&lt;secondary-title&gt;Mol Cell Biochem&lt;/secondary-title&gt;&lt;/titles&gt;&lt;periodical&gt;&lt;full-title&gt;Mol Cell Biochem&lt;/full-title&gt;&lt;/periodical&gt;&lt;pages&gt;173-180&lt;/pages&gt;&lt;volume&gt;352&lt;/volume&gt;&lt;dates&gt;&lt;year&gt;2011&lt;/year&gt;&lt;/dates&gt;&lt;urls&gt;&lt;/urls&gt;&lt;/record&gt;&lt;/Cite&gt;&lt;/EndNote&gt;</w:instrText>
            </w:r>
            <w:r w:rsidR="006C2756" w:rsidRPr="00B55C16">
              <w:rPr>
                <w:rFonts w:cs="Arial"/>
                <w:sz w:val="16"/>
                <w:szCs w:val="16"/>
              </w:rPr>
              <w:fldChar w:fldCharType="separate"/>
            </w:r>
            <w:r w:rsidR="000B3EAF">
              <w:rPr>
                <w:rFonts w:cs="Arial"/>
                <w:noProof/>
                <w:sz w:val="16"/>
                <w:szCs w:val="16"/>
              </w:rPr>
              <w:t>(</w:t>
            </w:r>
            <w:hyperlink w:anchor="_ENREF_36" w:tooltip="Soliman M, 2011 #237" w:history="1">
              <w:r w:rsidR="00AB7E17">
                <w:rPr>
                  <w:rFonts w:cs="Arial"/>
                  <w:noProof/>
                  <w:sz w:val="16"/>
                  <w:szCs w:val="16"/>
                </w:rPr>
                <w:t>36</w:t>
              </w:r>
            </w:hyperlink>
            <w:r w:rsidR="000B3EAF">
              <w:rPr>
                <w:rFonts w:cs="Arial"/>
                <w:noProof/>
                <w:sz w:val="16"/>
                <w:szCs w:val="16"/>
              </w:rPr>
              <w:t>)</w:t>
            </w:r>
            <w:r w:rsidR="006C2756" w:rsidRPr="00B55C16">
              <w:rPr>
                <w:rFonts w:cs="Arial"/>
                <w:sz w:val="16"/>
                <w:szCs w:val="16"/>
              </w:rPr>
              <w:fldChar w:fldCharType="end"/>
            </w:r>
            <w:r w:rsidRPr="00B55C16">
              <w:rPr>
                <w:rFonts w:cs="Arial"/>
                <w:sz w:val="16"/>
                <w:szCs w:val="16"/>
              </w:rPr>
              <w:t>.</w:t>
            </w:r>
          </w:p>
          <w:p w:rsidR="00257BAE" w:rsidRPr="00B55C16" w:rsidRDefault="00257BAE" w:rsidP="009B400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r>
    </w:tbl>
    <w:p w:rsidR="00EF1380" w:rsidRDefault="00EF1380" w:rsidP="00EF1380">
      <w:pPr>
        <w:pStyle w:val="Caption"/>
        <w:jc w:val="both"/>
        <w:rPr>
          <w:rFonts w:ascii="Arial" w:hAnsi="Arial" w:cs="Arial"/>
          <w:i/>
          <w:color w:val="auto"/>
          <w:sz w:val="16"/>
          <w:szCs w:val="16"/>
          <w:shd w:val="clear" w:color="auto" w:fill="FFFFFF"/>
        </w:rPr>
      </w:pPr>
      <w:bookmarkStart w:id="7" w:name="_Toc364683124"/>
      <w:bookmarkStart w:id="8" w:name="_Toc413666988"/>
      <w:proofErr w:type="gramStart"/>
      <w:r w:rsidRPr="00796F4A">
        <w:rPr>
          <w:rFonts w:ascii="Arial" w:hAnsi="Arial" w:cs="Arial"/>
          <w:color w:val="auto"/>
          <w:sz w:val="16"/>
        </w:rPr>
        <w:t xml:space="preserve">Table </w:t>
      </w:r>
      <w:r w:rsidR="006C2756" w:rsidRPr="00796F4A">
        <w:rPr>
          <w:rFonts w:ascii="Arial" w:hAnsi="Arial" w:cs="Arial"/>
          <w:color w:val="auto"/>
          <w:sz w:val="16"/>
        </w:rPr>
        <w:fldChar w:fldCharType="begin"/>
      </w:r>
      <w:r w:rsidRPr="00796F4A">
        <w:rPr>
          <w:rFonts w:ascii="Arial" w:hAnsi="Arial" w:cs="Arial"/>
          <w:color w:val="auto"/>
          <w:sz w:val="16"/>
        </w:rPr>
        <w:instrText xml:space="preserve"> SEQ Table \* ARABIC </w:instrText>
      </w:r>
      <w:r w:rsidR="006C2756" w:rsidRPr="00796F4A">
        <w:rPr>
          <w:rFonts w:ascii="Arial" w:hAnsi="Arial" w:cs="Arial"/>
          <w:color w:val="auto"/>
          <w:sz w:val="16"/>
        </w:rPr>
        <w:fldChar w:fldCharType="separate"/>
      </w:r>
      <w:r w:rsidR="00DC0376">
        <w:rPr>
          <w:rFonts w:ascii="Arial" w:hAnsi="Arial" w:cs="Arial"/>
          <w:noProof/>
          <w:color w:val="auto"/>
          <w:sz w:val="16"/>
        </w:rPr>
        <w:t>1</w:t>
      </w:r>
      <w:r w:rsidR="006C2756" w:rsidRPr="00796F4A">
        <w:rPr>
          <w:rFonts w:ascii="Arial" w:hAnsi="Arial" w:cs="Arial"/>
          <w:color w:val="auto"/>
          <w:sz w:val="16"/>
        </w:rPr>
        <w:fldChar w:fldCharType="end"/>
      </w:r>
      <w:r w:rsidRPr="00CC0E88">
        <w:rPr>
          <w:rFonts w:ascii="Arial" w:hAnsi="Arial" w:cs="Arial"/>
          <w:color w:val="auto"/>
          <w:sz w:val="16"/>
          <w:szCs w:val="16"/>
        </w:rPr>
        <w:t>.</w:t>
      </w:r>
      <w:proofErr w:type="gramEnd"/>
      <w:r w:rsidRPr="00CC0E88">
        <w:rPr>
          <w:rFonts w:ascii="Arial" w:hAnsi="Arial" w:cs="Arial"/>
          <w:color w:val="auto"/>
          <w:sz w:val="16"/>
          <w:szCs w:val="16"/>
        </w:rPr>
        <w:t xml:space="preserve"> </w:t>
      </w:r>
      <w:proofErr w:type="gramStart"/>
      <w:r w:rsidRPr="00CC0E88">
        <w:rPr>
          <w:rFonts w:ascii="Arial" w:hAnsi="Arial" w:cs="Arial"/>
          <w:color w:val="auto"/>
          <w:sz w:val="16"/>
          <w:szCs w:val="16"/>
        </w:rPr>
        <w:t>Short Chain Fatty Acids.</w:t>
      </w:r>
      <w:proofErr w:type="gramEnd"/>
      <w:r w:rsidRPr="00CC0E88">
        <w:rPr>
          <w:rFonts w:ascii="Arial" w:hAnsi="Arial" w:cs="Arial"/>
          <w:color w:val="auto"/>
          <w:sz w:val="16"/>
          <w:szCs w:val="16"/>
        </w:rPr>
        <w:t xml:space="preserve"> </w:t>
      </w:r>
      <w:r w:rsidRPr="00CC0E88">
        <w:rPr>
          <w:rFonts w:ascii="Arial" w:hAnsi="Arial" w:cs="Arial"/>
          <w:i/>
          <w:color w:val="auto"/>
          <w:sz w:val="16"/>
          <w:szCs w:val="16"/>
        </w:rPr>
        <w:t xml:space="preserve">This table summarises </w:t>
      </w:r>
      <w:r w:rsidRPr="00CC0E88">
        <w:rPr>
          <w:rFonts w:ascii="Arial" w:hAnsi="Arial" w:cs="Arial"/>
          <w:i/>
          <w:color w:val="auto"/>
          <w:sz w:val="16"/>
          <w:szCs w:val="16"/>
          <w:shd w:val="clear" w:color="auto" w:fill="FFFFFF"/>
        </w:rPr>
        <w:t xml:space="preserve">the known </w:t>
      </w:r>
      <w:r>
        <w:rPr>
          <w:rFonts w:ascii="Arial" w:hAnsi="Arial" w:cs="Arial"/>
          <w:i/>
          <w:color w:val="auto"/>
          <w:sz w:val="16"/>
          <w:szCs w:val="16"/>
          <w:shd w:val="clear" w:color="auto" w:fill="FFFFFF"/>
        </w:rPr>
        <w:t xml:space="preserve">action </w:t>
      </w:r>
      <w:r w:rsidRPr="00CC0E88">
        <w:rPr>
          <w:rFonts w:ascii="Arial" w:hAnsi="Arial" w:cs="Arial"/>
          <w:i/>
          <w:color w:val="auto"/>
          <w:sz w:val="16"/>
          <w:szCs w:val="16"/>
          <w:shd w:val="clear" w:color="auto" w:fill="FFFFFF"/>
        </w:rPr>
        <w:t>of each SCFA</w:t>
      </w:r>
      <w:r>
        <w:rPr>
          <w:rFonts w:ascii="Arial" w:hAnsi="Arial" w:cs="Arial"/>
          <w:i/>
          <w:color w:val="auto"/>
          <w:sz w:val="16"/>
          <w:szCs w:val="16"/>
          <w:shd w:val="clear" w:color="auto" w:fill="FFFFFF"/>
        </w:rPr>
        <w:t xml:space="preserve"> at physiological ranges</w:t>
      </w:r>
      <w:r w:rsidRPr="00CC0E88">
        <w:rPr>
          <w:rFonts w:ascii="Arial" w:hAnsi="Arial" w:cs="Arial"/>
          <w:i/>
          <w:color w:val="auto"/>
          <w:sz w:val="16"/>
          <w:szCs w:val="16"/>
          <w:shd w:val="clear" w:color="auto" w:fill="FFFFFF"/>
        </w:rPr>
        <w:t>.</w:t>
      </w:r>
      <w:r>
        <w:rPr>
          <w:rFonts w:ascii="Arial" w:hAnsi="Arial" w:cs="Arial"/>
          <w:i/>
          <w:color w:val="auto"/>
          <w:sz w:val="16"/>
          <w:szCs w:val="16"/>
          <w:shd w:val="clear" w:color="auto" w:fill="FFFFFF"/>
        </w:rPr>
        <w:t xml:space="preserve"> *See Appendix 1 for abbreviations.</w:t>
      </w:r>
      <w:bookmarkEnd w:id="7"/>
      <w:bookmarkEnd w:id="8"/>
    </w:p>
    <w:p w:rsidR="00F77520" w:rsidRDefault="00F77520">
      <w:pPr>
        <w:rPr>
          <w:rFonts w:ascii="Arial" w:eastAsia="Times New Roman" w:hAnsi="Arial" w:cs="Arial"/>
          <w:b/>
          <w:bCs/>
          <w:kern w:val="36"/>
          <w:sz w:val="24"/>
          <w:szCs w:val="24"/>
          <w:lang w:val="en-US"/>
        </w:rPr>
      </w:pPr>
      <w:bookmarkStart w:id="9" w:name="_Toc379983943"/>
      <w:r>
        <w:rPr>
          <w:rFonts w:ascii="Arial" w:hAnsi="Arial" w:cs="Arial"/>
          <w:sz w:val="24"/>
          <w:szCs w:val="24"/>
          <w:lang w:val="en-US"/>
        </w:rPr>
        <w:br w:type="page"/>
      </w:r>
    </w:p>
    <w:p w:rsidR="00EF1380" w:rsidRPr="00394AD6" w:rsidRDefault="00EF1380" w:rsidP="00EF1380">
      <w:pPr>
        <w:pStyle w:val="Heading1"/>
        <w:rPr>
          <w:rFonts w:ascii="Arial" w:hAnsi="Arial" w:cs="Arial"/>
          <w:sz w:val="24"/>
          <w:szCs w:val="24"/>
          <w:lang w:val="en-US"/>
        </w:rPr>
      </w:pPr>
      <w:bookmarkStart w:id="10" w:name="_Toc413753741"/>
      <w:r w:rsidRPr="00394AD6">
        <w:rPr>
          <w:rFonts w:ascii="Arial" w:hAnsi="Arial" w:cs="Arial"/>
          <w:sz w:val="24"/>
          <w:szCs w:val="24"/>
          <w:lang w:val="en-US"/>
        </w:rPr>
        <w:lastRenderedPageBreak/>
        <w:t>I.1 Butyrate</w:t>
      </w:r>
      <w:bookmarkEnd w:id="9"/>
      <w:bookmarkEnd w:id="10"/>
    </w:p>
    <w:p w:rsidR="00EF1380" w:rsidRDefault="00EF1380" w:rsidP="00EF1380">
      <w:pPr>
        <w:shd w:val="clear" w:color="auto" w:fill="FFFFFF"/>
        <w:spacing w:line="360" w:lineRule="auto"/>
        <w:ind w:firstLine="720"/>
        <w:jc w:val="both"/>
        <w:rPr>
          <w:rFonts w:ascii="Arial" w:hAnsi="Arial" w:cs="Arial"/>
          <w:color w:val="000000"/>
          <w:sz w:val="24"/>
          <w:szCs w:val="24"/>
          <w:shd w:val="clear" w:color="auto" w:fill="FFFFFF"/>
        </w:rPr>
      </w:pPr>
      <w:r>
        <w:rPr>
          <w:rFonts w:ascii="Arial" w:hAnsi="Arial" w:cs="Arial"/>
          <w:sz w:val="24"/>
          <w:szCs w:val="24"/>
          <w:lang w:val="en-US"/>
        </w:rPr>
        <w:t xml:space="preserve">In the distal colon, butyrate, a non-toxic KDACi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&lt;EndNote&gt;&lt;Cite&gt;&lt;Author&gt;Chirakkal H&lt;/Author&gt;&lt;Year&gt;2006&lt;/Year&gt;&lt;RecNum&gt;43&lt;/RecNum&gt;&lt;DisplayText&gt;(20, 25)&lt;/DisplayText&gt;&lt;record&gt;&lt;rec-number&gt;43&lt;/rec-number&gt;&lt;foreign-keys&gt;&lt;key app="EN" db-id="zxp9w5sa30aeafes0xox2eem00dz2z2aswad"&gt;43&lt;/key&gt;&lt;key app="ENWeb" db-id="UG1-3grtqigAAEqvEt0"&gt;37&lt;/key&gt;&lt;/foreign-keys&gt;&lt;ref-type name="Journal Article"&gt;17&lt;/ref-type&gt;&lt;contributors&gt;&lt;authors&gt;&lt;author&gt;Chirakkal H,&lt;/author&gt;&lt;author&gt;Leech S,&lt;/author&gt;&lt;author&gt;Brookes K,&lt;/author&gt;&lt;author&gt;Prais A,&lt;/author&gt;&lt;author&gt;Waby J,&lt;/author&gt;&lt;author&gt;Corfe B,&lt;/author&gt;&lt;/authors&gt;&lt;/contributors&gt;&lt;titles&gt;&lt;title&gt;Upregulation of Bak by butyrate in the colon is associated with increased Sp3 binding&lt;/title&gt;&lt;secondary-title&gt;Oncogene&lt;/secondary-title&gt;&lt;/titles&gt;&lt;periodical&gt;&lt;full-title&gt;Oncogene&lt;/full-title&gt;&lt;/periodical&gt;&lt;pages&gt;7192-200&lt;/pages&gt;&lt;volume&gt;25&lt;/volume&gt;&lt;number&gt;54&lt;/number&gt;&lt;dates&gt;&lt;year&gt;2006&lt;/year&gt;&lt;/dates&gt;&lt;urls&gt;&lt;/urls&gt;&lt;/record&gt;&lt;/Cite&gt;&lt;Cite&gt;&lt;Author&gt;Waldecker M&lt;/Author&gt;&lt;Year&gt;2008&lt;/Year&gt;&lt;RecNum&gt;269&lt;/RecNum&gt;&lt;IDText&gt;Inhibition of histone-deacetylase activity by short-chain fatty acids and some polyphenol metabolites formed in the colon&lt;/IDText&gt;&lt;record&gt;&lt;rec-number&gt;269&lt;/rec-number&gt;&lt;foreign-keys&gt;&lt;key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20" w:tooltip="Waldecker M, 2008 #269" w:history="1">
        <w:r w:rsidR="00AB7E17">
          <w:rPr>
            <w:rFonts w:ascii="Arial" w:hAnsi="Arial" w:cs="Arial"/>
            <w:noProof/>
            <w:sz w:val="24"/>
            <w:szCs w:val="24"/>
            <w:lang w:val="en-US"/>
          </w:rPr>
          <w:t>20</w:t>
        </w:r>
      </w:hyperlink>
      <w:r w:rsidR="000B3EAF">
        <w:rPr>
          <w:rFonts w:ascii="Arial" w:hAnsi="Arial" w:cs="Arial"/>
          <w:noProof/>
          <w:sz w:val="24"/>
          <w:szCs w:val="24"/>
          <w:lang w:val="en-US"/>
        </w:rPr>
        <w:t xml:space="preserve">, </w:t>
      </w:r>
      <w:hyperlink w:anchor="_ENREF_25" w:tooltip="Chirakkal H, 2006 #43" w:history="1">
        <w:r w:rsidR="00AB7E17">
          <w:rPr>
            <w:rFonts w:ascii="Arial" w:hAnsi="Arial" w:cs="Arial"/>
            <w:noProof/>
            <w:sz w:val="24"/>
            <w:szCs w:val="24"/>
            <w:lang w:val="en-US"/>
          </w:rPr>
          <w:t>25</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is the main source of energy for colonocytes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&lt;EndNote&gt;&lt;Cite&gt;&lt;Author&gt;Roediger W&lt;/Author&gt;&lt;Year&gt;1982&lt;/Year&gt;&lt;RecNum&gt;212&lt;/RecNum&gt;&lt;IDText&gt;Utilization of nutrients by osilated epithelial cells of the rat colon&lt;/IDText&gt;&lt;DisplayText&gt;(37)&lt;/DisplayText&gt;&lt;record&gt;&lt;rec-number&gt;212&lt;/rec-number&gt;&lt;foreign-keys&gt;&lt;key app="EN" db-id="zxp9w5sa30aeafes0xox2eem00dz2z2aswad"&gt;212&lt;/key&gt;&lt;key app="ENWeb" db-id="UG1-3grtqigAAEqvEt0"&gt;378&lt;/key&gt;&lt;/foreign-keys&gt;&lt;ref-type name="Journal Article"&gt;17&lt;/ref-type&gt;&lt;contributors&gt;&lt;authors&gt;&lt;author&gt;Roediger W,&lt;/author&gt;&lt;/authors&gt;&lt;/contributors&gt;&lt;titles&gt;&lt;title&gt;Utilization of nutrients by osilated epithelial cells of the rat colon&lt;/title&gt;&lt;secondary-title&gt;Gastroenterology&lt;/secondary-title&gt;&lt;/titles&gt;&lt;periodical&gt;&lt;full-title&gt;Gastroenterology&lt;/full-title&gt;&lt;/periodical&gt;&lt;pages&gt;424-429&lt;/pages&gt;&lt;volume&gt;83&lt;/volume&gt;&lt;number&gt;2&lt;/number&gt;&lt;dates&gt;&lt;year&gt;1982&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37" w:tooltip="Roediger W, 1982 #212" w:history="1">
        <w:r w:rsidR="00AB7E17">
          <w:rPr>
            <w:rFonts w:ascii="Arial" w:hAnsi="Arial" w:cs="Arial"/>
            <w:noProof/>
            <w:sz w:val="24"/>
            <w:szCs w:val="24"/>
            <w:lang w:val="en-US"/>
          </w:rPr>
          <w:t>37</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and inhibits deoxyribonucleic acid (DNA) synthesis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&lt;EndNote&gt;&lt;Cite&gt;&lt;Author&gt;Toscani A&lt;/Author&gt;&lt;Year&gt;1988&lt;/Year&gt;&lt;RecNum&gt;253&lt;/RecNum&gt;&lt;DisplayText&gt;(23)&lt;/DisplayText&gt;&lt;record&gt;&lt;rec-number&gt;253&lt;/rec-number&gt;&lt;foreign-keys&gt;&lt;key app="EN" db-id="zxp9w5sa30aeafes0xox2eem00dz2z2aswad"&gt;253&lt;/key&gt;&lt;key app="ENWeb" db-id="UG1-3grtqigAAEqvEt0"&gt;383&lt;/key&gt;&lt;/foreign-keys&gt;&lt;ref-type name="Journal Article"&gt;17&lt;/ref-type&gt;&lt;contributors&gt;&lt;authors&gt;&lt;author&gt;Toscani A,&lt;/author&gt;&lt;author&gt;Soprano D,&lt;/author&gt;&lt;author&gt;Soprano K,&lt;/author&gt;&lt;/authors&gt;&lt;/contributors&gt;&lt;titles&gt;&lt;title&gt;Molecular analysis of sodium butyrate-induced growth arrest&lt;/title&gt;&lt;secondary-title&gt;Oncogene Res&lt;/secondary-title&gt;&lt;/titles&gt;&lt;periodical&gt;&lt;full-title&gt;Oncogene Res&lt;/full-title&gt;&lt;/periodical&gt;&lt;pages&gt;223-238&lt;/pages&gt;&lt;volume&gt;3&lt;/volume&gt;&lt;number&gt;3&lt;/number&gt;&lt;dates&gt;&lt;year&gt;1988&lt;/year&gt;&lt;/dates&gt;&lt;urls&gt;&lt;/urls&gt;&lt;/record&gt;&lt;/Cite&gt;&lt;/EndNote&gt;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23" w:tooltip="Toscani A, 1988 #253" w:history="1">
        <w:r w:rsidR="00AB7E17">
          <w:rPr>
            <w:rFonts w:ascii="Arial" w:hAnsi="Arial" w:cs="Arial"/>
            <w:noProof/>
            <w:sz w:val="24"/>
            <w:szCs w:val="24"/>
            <w:lang w:val="en-US"/>
          </w:rPr>
          <w:t>23</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w:t>
      </w:r>
      <w:r>
        <w:rPr>
          <w:rFonts w:ascii="Arial" w:hAnsi="Arial" w:cs="Arial"/>
          <w:noProof/>
          <w:sz w:val="24"/>
          <w:szCs w:val="24"/>
          <w:lang w:val="en-US"/>
        </w:rPr>
        <w:t xml:space="preserve">and KDACs </w:t>
      </w:r>
      <w:r w:rsidR="006C2756" w:rsidRPr="007462F9">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&lt;EndNote&gt;&lt;Cite&gt;&lt;Author&gt;Davie J&lt;/Author&gt;&lt;Year&gt;2003&lt;/Year&gt;&lt;RecNum&gt;59&lt;/RecNum&gt;&lt;DisplayText&gt;(4, 22)&lt;/DisplayText&gt;&lt;record&gt;&lt;rec-number&gt;59&lt;/rec-number&gt;&lt;foreign-keys&gt;&lt;key app="EN" db-id="zxp9w5sa30aeafes0xox2eem00dz2z2aswad"&gt;59&lt;/key&gt;&lt;key app="ENWeb" db-id="UG1-3grtqigAAEqvEt0"&gt;382&lt;/key&gt;&lt;/foreign-keys&gt;&lt;ref-type name="Journal Article"&gt;17&lt;/ref-type&gt;&lt;contributors&gt;&lt;authors&gt;&lt;author&gt;Davie J,&lt;/author&gt;&lt;/authors&gt;&lt;/contributors&gt;&lt;titles&gt;&lt;title&gt;Inhibition of histone deacetylase activity by butyrate&lt;/title&gt;&lt;secondary-title&gt;J Nutr&lt;/secondary-title&gt;&lt;/titles&gt;&lt;periodical&gt;&lt;full-title&gt;J Nutr&lt;/full-title&gt;&lt;/periodical&gt;&lt;pages&gt;2485S-2493S&lt;/pages&gt;&lt;volume&gt;133&lt;/volume&gt;&lt;number&gt;7 Suppl&lt;/number&gt;&lt;dates&gt;&lt;year&gt;2003&lt;/year&gt;&lt;/dates&gt;&lt;urls&gt;&lt;/urls&gt;&lt;/record&gt;&lt;/Cite&gt;&lt;Cite&gt;&lt;Author&gt;Donohoe D&lt;/Author&gt;&lt;Year&gt;2012&lt;/Year&gt;&lt;RecNum&gt;71&lt;/RecNum&gt;&lt;record&gt;&lt;rec-number&gt;71&lt;/rec-number&gt;&lt;foreign-keys&gt;&lt;key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7462F9">
        <w:rPr>
          <w:rFonts w:ascii="Arial" w:hAnsi="Arial" w:cs="Arial"/>
          <w:sz w:val="24"/>
          <w:szCs w:val="24"/>
          <w:lang w:val="en-US"/>
        </w:rPr>
        <w:fldChar w:fldCharType="separate"/>
      </w:r>
      <w:r w:rsidR="000B3EAF">
        <w:rPr>
          <w:rFonts w:ascii="Arial" w:hAnsi="Arial" w:cs="Arial"/>
          <w:noProof/>
          <w:sz w:val="24"/>
          <w:szCs w:val="24"/>
          <w:lang w:val="en-US"/>
        </w:rPr>
        <w:t>(</w:t>
      </w:r>
      <w:hyperlink w:anchor="_ENREF_4" w:tooltip="Donohoe D, 2012 #71" w:history="1">
        <w:r w:rsidR="00AB7E17">
          <w:rPr>
            <w:rFonts w:ascii="Arial" w:hAnsi="Arial" w:cs="Arial"/>
            <w:noProof/>
            <w:sz w:val="24"/>
            <w:szCs w:val="24"/>
            <w:lang w:val="en-US"/>
          </w:rPr>
          <w:t>4</w:t>
        </w:r>
      </w:hyperlink>
      <w:r w:rsidR="000B3EAF">
        <w:rPr>
          <w:rFonts w:ascii="Arial" w:hAnsi="Arial" w:cs="Arial"/>
          <w:noProof/>
          <w:sz w:val="24"/>
          <w:szCs w:val="24"/>
          <w:lang w:val="en-US"/>
        </w:rPr>
        <w:t xml:space="preserve">, </w:t>
      </w:r>
      <w:hyperlink w:anchor="_ENREF_22" w:tooltip="Davie J, 2003 #59" w:history="1">
        <w:r w:rsidR="00AB7E17">
          <w:rPr>
            <w:rFonts w:ascii="Arial" w:hAnsi="Arial" w:cs="Arial"/>
            <w:noProof/>
            <w:sz w:val="24"/>
            <w:szCs w:val="24"/>
            <w:lang w:val="en-US"/>
          </w:rPr>
          <w:t>22</w:t>
        </w:r>
      </w:hyperlink>
      <w:r w:rsidR="000B3EAF">
        <w:rPr>
          <w:rFonts w:ascii="Arial" w:hAnsi="Arial" w:cs="Arial"/>
          <w:noProof/>
          <w:sz w:val="24"/>
          <w:szCs w:val="24"/>
          <w:lang w:val="en-US"/>
        </w:rPr>
        <w:t>)</w:t>
      </w:r>
      <w:r w:rsidR="006C2756" w:rsidRPr="007462F9">
        <w:rPr>
          <w:rFonts w:ascii="Arial" w:hAnsi="Arial" w:cs="Arial"/>
          <w:sz w:val="24"/>
          <w:szCs w:val="24"/>
          <w:lang w:val="en-US"/>
        </w:rPr>
        <w:fldChar w:fldCharType="end"/>
      </w:r>
      <w:r>
        <w:rPr>
          <w:rFonts w:ascii="Arial" w:hAnsi="Arial" w:cs="Arial"/>
          <w:sz w:val="24"/>
          <w:szCs w:val="24"/>
          <w:lang w:val="en-US"/>
        </w:rPr>
        <w:t xml:space="preserve"> </w:t>
      </w:r>
      <w:r>
        <w:rPr>
          <w:rFonts w:ascii="Arial" w:hAnsi="Arial" w:cs="Arial"/>
          <w:noProof/>
          <w:sz w:val="24"/>
          <w:szCs w:val="24"/>
          <w:lang w:val="en-US"/>
        </w:rPr>
        <w:t>at physiological ranges, 1-20mM. At these ranges, butyrate also stimulates cell cyc</w:t>
      </w:r>
      <w:r w:rsidR="00F77520">
        <w:rPr>
          <w:rFonts w:ascii="Arial" w:hAnsi="Arial" w:cs="Arial"/>
          <w:noProof/>
          <w:sz w:val="24"/>
          <w:szCs w:val="24"/>
          <w:lang w:val="en-US"/>
        </w:rPr>
        <w:t>le arrest and terminal differen</w:t>
      </w:r>
      <w:r>
        <w:rPr>
          <w:rFonts w:ascii="Arial" w:hAnsi="Arial" w:cs="Arial"/>
          <w:noProof/>
          <w:sz w:val="24"/>
          <w:szCs w:val="24"/>
          <w:lang w:val="en-US"/>
        </w:rPr>
        <w:t xml:space="preserve">tiation of cancer cells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&lt;EndNote&gt;&lt;Cite&gt;&lt;Author&gt;Medina V&lt;/Author&gt;&lt;Year&gt;1997&lt;/Year&gt;&lt;RecNum&gt;184&lt;/RecNum&gt;&lt;DisplayText&gt;(1)&lt;/DisplayText&gt;&lt;record&gt;&lt;rec-number&gt;184&lt;/rec-number&gt;&lt;foreign-keys&gt;&lt;key app="EN" db-id="zxp9w5sa30aeafes0xox2eem00dz2z2aswad"&gt;184&lt;/key&gt;&lt;key app="ENWeb" db-id="UG1-3grtqigAAEqvEt0"&gt;379&lt;/key&gt;&lt;/foreign-keys&gt;&lt;ref-type name="Journal Article"&gt;17&lt;/ref-type&gt;&lt;contributors&gt;&lt;authors&gt;&lt;author&gt;Medina V,&lt;/author&gt;&lt;author&gt;Edmonds B,&lt;/author&gt;&lt;author&gt;Young G,&lt;/author&gt;&lt;author&gt;James R,&lt;/author&gt;&lt;author&gt;Appleton S,&lt;/author&gt;&lt;author&gt;Zalewski P,&lt;/author&gt;&lt;/authors&gt;&lt;/contributors&gt;&lt;titles&gt;&lt;title&gt;Induction of caspase-3 protease activity and apoptosis by butyrate and trichostatin A (inhibitors of histones deacetylase): dependence on protein synthesis and synergy with a mitochondrial/cytochrome c-dependet pathway&lt;/title&gt;&lt;secondary-title&gt;Cancer Res&lt;/secondary-title&gt;&lt;/titles&gt;&lt;periodical&gt;&lt;full-title&gt;Cancer Res&lt;/full-title&gt;&lt;/periodical&gt;&lt;pages&gt;3697-3707&lt;/pages&gt;&lt;volume&gt;57&lt;/volume&gt;&lt;number&gt;17&lt;/number&gt;&lt;dates&gt;&lt;year&gt;1997&lt;/year&gt;&lt;/dates&gt;&lt;urls&gt;&lt;/urls&gt;&lt;/record&gt;&lt;/Cite&gt;&lt;/EndNote&gt;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1" w:tooltip="Medina V, 1997 #184" w:history="1">
        <w:r w:rsidR="00AB7E17">
          <w:rPr>
            <w:rFonts w:ascii="Arial" w:hAnsi="Arial" w:cs="Arial"/>
            <w:noProof/>
            <w:sz w:val="24"/>
            <w:szCs w:val="24"/>
            <w:lang w:val="en-US"/>
          </w:rPr>
          <w:t>1</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By inhibiting KDACs, butyrate is also related to down-regulation of specific protein-1 (Sp1) and up-regulation of specific protein-3 (Sp3) binding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&lt;EndNote&gt;&lt;Cite&gt;&lt;Author&gt;Yu D&lt;/Author&gt;&lt;Year&gt;2010&lt;/Year&gt;&lt;RecNum&gt;296&lt;/RecNum&gt;&lt;DisplayText&gt;(24)&lt;/DisplayText&gt;&lt;record&gt;&lt;rec-number&gt;296&lt;/rec-number&gt;&lt;foreign-keys&gt;&lt;key app="EN" db-id="zxp9w5sa30aeafes0xox2eem00dz2z2aswad"&gt;296&lt;/key&gt;&lt;key app="ENWeb" db-id="UG1-3grtqigAAEqvEt0"&gt;373&lt;/key&gt;&lt;/foreign-keys&gt;&lt;ref-type name="Journal Article"&gt;17&lt;/ref-type&gt;&lt;contributors&gt;&lt;authors&gt;&lt;author&gt;Yu D,&lt;/author&gt;&lt;author&gt;Waby J,&lt;/author&gt;&lt;author&gt;Chirakkal H,&lt;/author&gt;&lt;author&gt;Staton C,&lt;/author&gt;&lt;author&gt;Corfe B,&lt;/author&gt;&lt;/authors&gt;&lt;/contributors&gt;&lt;titles&gt;&lt;title&gt;Butyrate suppresses expression of neuropilin I in colorectal cell lines through inhibition of Sp1 transactivation&lt;/title&gt;&lt;secondary-title&gt;Mol Cancer&lt;/secondary-title&gt;&lt;/titles&gt;&lt;periodical&gt;&lt;full-title&gt;Mol Cancer&lt;/full-title&gt;&lt;/periodical&gt;&lt;pages&gt;doi: 10.1186/1476-4598-9-276&lt;/pages&gt;&lt;volume&gt;9&lt;/volume&gt;&lt;number&gt;276&lt;/number&gt;&lt;dates&gt;&lt;year&gt;2010&lt;/year&gt;&lt;/dates&gt;&lt;urls&gt;&lt;/urls&gt;&lt;/record&gt;&lt;/Cite&gt;&lt;/EndNote&gt;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24" w:tooltip="Yu D, 2010 #296" w:history="1">
        <w:r w:rsidR="00AB7E17">
          <w:rPr>
            <w:rFonts w:ascii="Arial" w:hAnsi="Arial" w:cs="Arial"/>
            <w:noProof/>
            <w:sz w:val="24"/>
            <w:szCs w:val="24"/>
            <w:lang w:val="en-US"/>
          </w:rPr>
          <w:t>24</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sidRPr="00EF2FFB">
        <w:rPr>
          <w:rFonts w:ascii="Arial" w:hAnsi="Arial" w:cs="Arial"/>
          <w:noProof/>
          <w:sz w:val="24"/>
          <w:szCs w:val="24"/>
          <w:lang w:val="en-US"/>
        </w:rPr>
        <w:t xml:space="preserve">. </w:t>
      </w:r>
      <w:r>
        <w:rPr>
          <w:rFonts w:ascii="Arial" w:hAnsi="Arial" w:cs="Arial"/>
          <w:noProof/>
          <w:sz w:val="24"/>
          <w:szCs w:val="24"/>
          <w:lang w:val="en-US"/>
        </w:rPr>
        <w:t xml:space="preserve">A change in the binding patterns of Sp1 and Sp3 induces p21 upregulation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&lt;EndNote&gt;&lt;Cite&gt;&lt;Author&gt;Chirakkal H&lt;/Author&gt;&lt;Year&gt;2006&lt;/Year&gt;&lt;RecNum&gt;43&lt;/RecNum&gt;&lt;DisplayText&gt;(25)&lt;/DisplayText&gt;&lt;record&gt;&lt;rec-number&gt;43&lt;/rec-number&gt;&lt;foreign-keys&gt;&lt;key app="EN" db-id="zxp9w5sa30aeafes0xox2eem00dz2z2aswad"&gt;43&lt;/key&gt;&lt;key app="ENWeb" db-id="UG1-3grtqigAAEqvEt0"&gt;37&lt;/key&gt;&lt;/foreign-keys&gt;&lt;ref-type name="Journal Article"&gt;17&lt;/ref-type&gt;&lt;contributors&gt;&lt;authors&gt;&lt;author&gt;Chirakkal H,&lt;/author&gt;&lt;author&gt;Leech S,&lt;/author&gt;&lt;author&gt;Brookes K,&lt;/author&gt;&lt;author&gt;Prais A,&lt;/author&gt;&lt;author&gt;Waby J,&lt;/author&gt;&lt;author&gt;Corfe B,&lt;/author&gt;&lt;/authors&gt;&lt;/contributors&gt;&lt;titles&gt;&lt;title&gt;Upregulation of Bak by butyrate in the colon is associated with increased Sp3 binding&lt;/title&gt;&lt;secondary-title&gt;Oncogene&lt;/secondary-title&gt;&lt;/titles&gt;&lt;periodical&gt;&lt;full-title&gt;Oncogene&lt;/full-title&gt;&lt;/periodical&gt;&lt;pages&gt;7192-200&lt;/pages&gt;&lt;volume&gt;25&lt;/volume&gt;&lt;number&gt;54&lt;/number&gt;&lt;dates&gt;&lt;year&gt;2006&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25" w:tooltip="Chirakkal H, 2006 #43" w:history="1">
        <w:r w:rsidR="00AB7E17">
          <w:rPr>
            <w:rFonts w:ascii="Arial" w:hAnsi="Arial" w:cs="Arial"/>
            <w:noProof/>
            <w:sz w:val="24"/>
            <w:szCs w:val="24"/>
            <w:lang w:val="en-US"/>
          </w:rPr>
          <w:t>25</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whilst enhances Bcl antagonist killer (Bak) expression. Cell cycle arrest is induced by the enhancement of p21 expression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&lt;EndNote&gt;&lt;Cite&gt;&lt;Author&gt;Davie J&lt;/Author&gt;&lt;Year&gt;2003&lt;/Year&gt;&lt;RecNum&gt;59&lt;/RecNum&gt;&lt;DisplayText&gt;(22)&lt;/DisplayText&gt;&lt;record&gt;&lt;rec-number&gt;59&lt;/rec-number&gt;&lt;foreign-keys&gt;&lt;key app="EN" db-id="zxp9w5sa30aeafes0xox2eem00dz2z2aswad"&gt;59&lt;/key&gt;&lt;key app="ENWeb" db-id="UG1-3grtqigAAEqvEt0"&gt;382&lt;/key&gt;&lt;/foreign-keys&gt;&lt;ref-type name="Journal Article"&gt;17&lt;/ref-type&gt;&lt;contributors&gt;&lt;authors&gt;&lt;author&gt;Davie J,&lt;/author&gt;&lt;/authors&gt;&lt;/contributors&gt;&lt;titles&gt;&lt;title&gt;Inhibition of histone deacetylase activity by butyrate&lt;/title&gt;&lt;secondary-title&gt;J Nutr&lt;/secondary-title&gt;&lt;/titles&gt;&lt;periodical&gt;&lt;full-title&gt;J Nutr&lt;/full-title&gt;&lt;/periodical&gt;&lt;pages&gt;2485S-2493S&lt;/pages&gt;&lt;volume&gt;133&lt;/volume&gt;&lt;number&gt;7 Suppl&lt;/number&gt;&lt;dates&gt;&lt;year&gt;2003&lt;/year&gt;&lt;/dates&gt;&lt;urls&gt;&lt;/urls&gt;&lt;/record&gt;&lt;/Cite&gt;&lt;/EndNote&gt;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22" w:tooltip="Davie J, 2003 #59" w:history="1">
        <w:r w:rsidR="00AB7E17">
          <w:rPr>
            <w:rFonts w:ascii="Arial" w:hAnsi="Arial" w:cs="Arial"/>
            <w:noProof/>
            <w:sz w:val="24"/>
            <w:szCs w:val="24"/>
            <w:lang w:val="en-US"/>
          </w:rPr>
          <w:t>22</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whereas apoptosis is activated by an enhancement of Bak expression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&lt;EndNote&gt;&lt;Cite&gt;&lt;Author&gt;Chirakkal H&lt;/Author&gt;&lt;Year&gt;2006&lt;/Year&gt;&lt;RecNum&gt;43&lt;/RecNum&gt;&lt;DisplayText&gt;(25)&lt;/DisplayText&gt;&lt;record&gt;&lt;rec-number&gt;43&lt;/rec-number&gt;&lt;foreign-keys&gt;&lt;key app="EN" db-id="zxp9w5sa30aeafes0xox2eem00dz2z2aswad"&gt;43&lt;/key&gt;&lt;key app="ENWeb" db-id="UG1-3grtqigAAEqvEt0"&gt;37&lt;/key&gt;&lt;/foreign-keys&gt;&lt;ref-type name="Journal Article"&gt;17&lt;/ref-type&gt;&lt;contributors&gt;&lt;authors&gt;&lt;author&gt;Chirakkal H,&lt;/author&gt;&lt;author&gt;Leech S,&lt;/author&gt;&lt;author&gt;Brookes K,&lt;/author&gt;&lt;author&gt;Prais A,&lt;/author&gt;&lt;author&gt;Waby J,&lt;/author&gt;&lt;author&gt;Corfe B,&lt;/author&gt;&lt;/authors&gt;&lt;/contributors&gt;&lt;titles&gt;&lt;title&gt;Upregulation of Bak by butyrate in the colon is associated with increased Sp3 binding&lt;/title&gt;&lt;secondary-title&gt;Oncogene&lt;/secondary-title&gt;&lt;/titles&gt;&lt;periodical&gt;&lt;full-title&gt;Oncogene&lt;/full-title&gt;&lt;/periodical&gt;&lt;pages&gt;7192-200&lt;/pages&gt;&lt;volume&gt;25&lt;/volume&gt;&lt;number&gt;54&lt;/number&gt;&lt;dates&gt;&lt;year&gt;2006&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25" w:tooltip="Chirakkal H, 2006 #43" w:history="1">
        <w:r w:rsidR="00AB7E17">
          <w:rPr>
            <w:rFonts w:ascii="Arial" w:hAnsi="Arial" w:cs="Arial"/>
            <w:noProof/>
            <w:sz w:val="24"/>
            <w:szCs w:val="24"/>
            <w:lang w:val="en-US"/>
          </w:rPr>
          <w:t>25</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Butyrate is not only related to cell cycle regulation and activation of apoptosis, since its concentration levels, as well as its KDACi role could both alter global protein acetylation patterns </w:t>
      </w:r>
      <w:r w:rsidR="006C2756">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&lt;EndNote&gt;&lt;Cite&gt;&lt;Author&gt;Corfe B&lt;/Author&gt;&lt;Year&gt;2009&lt;/Year&gt;&lt;RecNum&gt;49&lt;/RecNum&gt;&lt;DisplayText&gt;(10)&lt;/DisplayText&gt;&lt;record&gt;&lt;rec-number&gt;49&lt;/rec-number&gt;&lt;foreign-keys&gt;&lt;key app="EN" db-id="zxp9w5sa30aeafes0xox2eem00dz2z2aswad"&gt;49&lt;/key&gt;&lt;key app="ENWeb" db-id="UG1-3grtqigAAEqvEt0"&gt;128&lt;/key&gt;&lt;/foreign-keys&gt;&lt;ref-type name="Journal Article"&gt;17&lt;/ref-type&gt;&lt;contributors&gt;&lt;authors&gt;&lt;author&gt;Corfe B,&lt;/author&gt;&lt;author&gt;Williams E,&lt;/author&gt;&lt;author&gt;Bury J,&lt;/author&gt;&lt;author&gt;Riley S,&lt;/author&gt;&lt;author&gt;Croucher L,&lt;/author&gt;&lt;author&gt;Lai D,&lt;/author&gt;&lt;author&gt;Evans C,&lt;/author&gt;&lt;/authors&gt;&lt;/contributors&gt;&lt;titles&gt;&lt;title&gt;A study protocol to investigate the relationship between dietary fibre intake and fermentation, colon cell turnover, global protein acetylation and early carcinogenesis: the FACT study&lt;/title&gt;&lt;secondary-title&gt;BMC Cancer&lt;/secondary-title&gt;&lt;/titles&gt;&lt;periodical&gt;&lt;full-title&gt;BMC Cancer&lt;/full-title&gt;&lt;/periodical&gt;&lt;pages&gt;doi: 10.1186/1471-2407-9-332.&lt;/pages&gt;&lt;volume&gt;9&lt;/volume&gt;&lt;number&gt;332&lt;/number&gt;&lt;dates&gt;&lt;year&gt;2009&lt;/year&gt;&lt;/dates&gt;&lt;urls&gt;&lt;/urls&gt;&lt;/record&gt;&lt;/Cite&gt;&lt;/EndNote&gt;</w:instrText>
      </w:r>
      <w:r w:rsidR="006C2756">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10" w:tooltip="Corfe B, 2009 #49" w:history="1">
        <w:r w:rsidR="00AB7E17">
          <w:rPr>
            <w:rFonts w:ascii="Arial" w:hAnsi="Arial" w:cs="Arial"/>
            <w:noProof/>
            <w:sz w:val="24"/>
            <w:szCs w:val="24"/>
            <w:lang w:val="en-US"/>
          </w:rPr>
          <w:t>10</w:t>
        </w:r>
      </w:hyperlink>
      <w:r w:rsidR="000B3EAF">
        <w:rPr>
          <w:rFonts w:ascii="Arial" w:hAnsi="Arial" w:cs="Arial"/>
          <w:noProof/>
          <w:sz w:val="24"/>
          <w:szCs w:val="24"/>
          <w:lang w:val="en-US"/>
        </w:rPr>
        <w:t>)</w:t>
      </w:r>
      <w:r w:rsidR="006C2756">
        <w:rPr>
          <w:rFonts w:ascii="Arial" w:hAnsi="Arial" w:cs="Arial"/>
          <w:noProof/>
          <w:sz w:val="24"/>
          <w:szCs w:val="24"/>
          <w:lang w:val="en-US"/>
        </w:rPr>
        <w:fldChar w:fldCharType="end"/>
      </w:r>
      <w:r>
        <w:rPr>
          <w:rFonts w:ascii="Arial" w:hAnsi="Arial" w:cs="Arial"/>
          <w:noProof/>
          <w:sz w:val="24"/>
          <w:szCs w:val="24"/>
          <w:lang w:val="en-US"/>
        </w:rPr>
        <w:t xml:space="preserve">. This SCFA is also associated with a shift in the expression of tumour growth proteins in human colon tumour tissues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&lt;EndNote&gt;&lt;Cite&gt;&lt;Author&gt;Jahns&lt;/Author&gt;&lt;Year&gt;2011&lt;/Year&gt;&lt;RecNum&gt;125&lt;/RecNum&gt;&lt;DisplayText&gt;(2)&lt;/DisplayText&gt;&lt;record&gt;&lt;rec-number&gt;125&lt;/rec-number&gt;&lt;foreign-keys&gt;&lt;key app="EN" db-id="zxp9w5sa30aeafes0xox2eem00dz2z2aswad"&gt;125&lt;/key&gt;&lt;key app="ENWeb" db-id="UG1-3grtqigAAEqvEt0"&gt;66&lt;/key&gt;&lt;/foreign-keys&gt;&lt;ref-type name="Journal Article"&gt;17&lt;/ref-type&gt;&lt;contributors&gt;&lt;authors&gt;&lt;author&gt;Jahns F,&lt;/author&gt;&lt;author&gt;Wilhelm A,&lt;/author&gt;&lt;author&gt;Jablonowski N,&lt;/author&gt;&lt;author&gt;Mothes H,&lt;/author&gt;&lt;author&gt;Radeva M,&lt;/author&gt;&lt;author&gt;Wölfert A,&lt;/author&gt;&lt;author&gt;Greulich K,&lt;/author&gt;&lt;author&gt;Glei M,&lt;/author&gt;&lt;/authors&gt;&lt;/contributors&gt;&lt;titles&gt;&lt;title&gt;Butyrate suppresses mRNA increase of osteopontin and cyclookygenase-2 in human colon tumor tissue&lt;/title&gt;&lt;secondary-title&gt;Carcinogenesis&lt;/secondary-title&gt;&lt;/titles&gt;&lt;periodical&gt;&lt;full-title&gt;Carcinogenesis&lt;/full-title&gt;&lt;/periodical&gt;&lt;pages&gt;913-20&lt;/pages&gt;&lt;volume&gt;32&lt;/volume&gt;&lt;number&gt;6&lt;/number&gt;&lt;dates&gt;&lt;year&gt;2011&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2" w:tooltip="Jahns F, 2011 #125" w:history="1">
        <w:r w:rsidR="00AB7E17">
          <w:rPr>
            <w:rFonts w:ascii="Arial" w:hAnsi="Arial" w:cs="Arial"/>
            <w:noProof/>
            <w:sz w:val="24"/>
            <w:szCs w:val="24"/>
            <w:lang w:val="en-US"/>
          </w:rPr>
          <w:t>2</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 xml:space="preserve"> </w:t>
      </w:r>
      <w:r>
        <w:rPr>
          <w:rFonts w:ascii="Arial" w:hAnsi="Arial" w:cs="Arial"/>
          <w:noProof/>
          <w:sz w:val="24"/>
          <w:szCs w:val="24"/>
          <w:lang w:val="en-US"/>
        </w:rPr>
        <w:t xml:space="preserve">and apoptosis in human colon cancer cells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&lt;EndNote&gt;&lt;Cite&gt;&lt;Author&gt;Sun S&lt;/Author&gt;&lt;Year&gt;2012&lt;/Year&gt;&lt;RecNum&gt;242&lt;/RecNum&gt;&lt;IDText&gt;Requirement for store-operated calcium entry in sodium butyrate-induced apoptosis in human colon cancer cells&lt;/IDText&gt;&lt;DisplayText&gt;(3)&lt;/DisplayText&gt;&lt;record&gt;&lt;rec-number&gt;242&lt;/rec-number&gt;&lt;foreign-keys&gt;&lt;key app="EN" db-id="zxp9w5sa30aeafes0xox2eem00dz2z2aswad"&gt;242&lt;/key&gt;&lt;key app="ENWeb" db-id="UG1-3grtqigAAEqvEt0"&gt;371&lt;/key&gt;&lt;/foreign-keys&gt;&lt;ref-type name="Journal Article"&gt;17&lt;/ref-type&gt;&lt;contributors&gt;&lt;authors&gt;&lt;author&gt;Sun S,&lt;/author&gt;&lt;author&gt;Li W,&lt;/author&gt;&lt;author&gt;Zhang H,&lt;/author&gt;&lt;author&gt;Zha L,&lt;/author&gt;&lt;author&gt;Xue Y,&lt;/author&gt;&lt;author&gt;Wu X,&lt;/author&gt;&lt;author&gt;Zou  F,&lt;/author&gt;&lt;/authors&gt;&lt;/contributors&gt;&lt;titles&gt;&lt;title&gt;Requirement for store-operated calcium entry in sodium butyrate-induced apoptosis in human colon cancer cells&lt;/title&gt;&lt;secondary-title&gt;Biosci Rep&lt;/secondary-title&gt;&lt;/titles&gt;&lt;periodical&gt;&lt;full-title&gt;Biosci Rep&lt;/full-title&gt;&lt;/periodical&gt;&lt;pages&gt;83-90&lt;/pages&gt;&lt;volume&gt;32&lt;/volume&gt;&lt;number&gt;1&lt;/number&gt;&lt;dates&gt;&lt;year&gt;2012&lt;/year&gt;&lt;/dates&gt;&lt;urls&gt;&lt;/urls&gt;&lt;/record&gt;&lt;/Cite&gt;&lt;/EndNote&gt;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3" w:tooltip="Sun S, 2012 #242" w:history="1">
        <w:r w:rsidR="00AB7E17">
          <w:rPr>
            <w:rFonts w:ascii="Arial" w:hAnsi="Arial" w:cs="Arial"/>
            <w:noProof/>
            <w:sz w:val="24"/>
            <w:szCs w:val="24"/>
            <w:lang w:val="en-US"/>
          </w:rPr>
          <w:t>3</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Pr>
          <w:rFonts w:ascii="Arial" w:hAnsi="Arial" w:cs="Arial"/>
          <w:sz w:val="24"/>
          <w:szCs w:val="24"/>
          <w:lang w:val="en-US"/>
        </w:rPr>
        <w:t>.</w:t>
      </w:r>
    </w:p>
    <w:p w:rsidR="00EF1380" w:rsidRPr="00FD1F1E" w:rsidRDefault="00EF1380" w:rsidP="00EF1380">
      <w:pPr>
        <w:shd w:val="clear" w:color="auto" w:fill="FFFFFF"/>
        <w:spacing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As reviewed by Burgess, 2012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&lt;EndNote&gt;&lt;Cite&gt;&lt;Author&gt;Burgess D&lt;/Author&gt;&lt;Year&gt;2012&lt;/Year&gt;&lt;RecNum&gt;30&lt;/RecNum&gt;&lt;DisplayText&gt;(5)&lt;/DisplayText&gt;&lt;record&gt;&lt;rec-number&gt;30&lt;/rec-number&gt;&lt;foreign-keys&gt;&lt;key app="EN" db-id="zxp9w5sa30aeafes0xox2eem00dz2z2aswad"&gt;30&lt;/key&gt;&lt;key app="ENWeb" db-id="UG1-3grtqigAAEqvEt0"&gt;393&lt;/key&gt;&lt;/foreign-keys&gt;&lt;ref-type name="Journal Article"&gt;17&lt;/ref-type&gt;&lt;contributors&gt;&lt;authors&gt;&lt;author&gt;Burgess D,&lt;/author&gt;&lt;/authors&gt;&lt;/contributors&gt;&lt;titles&gt;&lt;title&gt;Metabolism: Warburg behind the butyrate paradox?&lt;/title&gt;&lt;secondary-title&gt;Nat Rev Cancer&lt;/secondary-title&gt;&lt;/titles&gt;&lt;periodical&gt;&lt;full-title&gt;Nat Rev Cancer&lt;/full-title&gt;&lt;/periodical&gt;&lt;pages&gt;798&lt;/pages&gt;&lt;volume&gt;12&lt;/volume&gt;&lt;number&gt;12&lt;/number&gt;&lt;dates&gt;&lt;year&gt;2012&lt;/year&gt;&lt;/dates&gt;&lt;urls&gt;&lt;/urls&gt;&lt;/record&gt;&lt;/Cite&gt;&lt;/EndNote&gt;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5" w:tooltip="Burgess D, 2012 #30" w:history="1">
        <w:r w:rsidR="00AB7E17">
          <w:rPr>
            <w:rFonts w:ascii="Arial" w:hAnsi="Arial" w:cs="Arial"/>
            <w:noProof/>
            <w:color w:val="000000"/>
            <w:sz w:val="24"/>
            <w:szCs w:val="24"/>
            <w:shd w:val="clear" w:color="auto" w:fill="FFFFFF"/>
          </w:rPr>
          <w:t>5</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and </w:t>
      </w:r>
      <w:r>
        <w:rPr>
          <w:rFonts w:ascii="Arial" w:eastAsiaTheme="minorHAnsi" w:hAnsi="Arial" w:cs="Arial"/>
          <w:sz w:val="24"/>
          <w:szCs w:val="24"/>
          <w:lang w:eastAsia="en-US"/>
        </w:rPr>
        <w:t xml:space="preserve">Gonçalves and Martel, 2013 </w:t>
      </w:r>
      <w:r w:rsidR="006C2756" w:rsidRPr="009D5F68">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&lt;EndNote&gt;&lt;Cite&gt;&lt;Author&gt;Gonçalves P&lt;/Author&gt;&lt;Year&gt;2013&lt;/Year&gt;&lt;RecNum&gt;85&lt;/RecNum&gt;&lt;IDText&gt;Butyrate and colorectal cancer: the role of butyrate transport&lt;/IDText&gt;&lt;DisplayText&gt;(38)&lt;/DisplayText&gt;&lt;record&gt;&lt;rec-number&gt;85&lt;/rec-number&gt;&lt;foreign-keys&gt;&lt;key app="EN" db-id="zxp9w5sa30aeafes0xox2eem00dz2z2aswad"&gt;85&lt;/key&gt;&lt;key app="ENWeb" db-id="UG1-3grtqigAAEqvEt0"&gt;392&lt;/key&gt;&lt;/foreign-keys&gt;&lt;ref-type name="Journal Article"&gt;17&lt;/ref-type&gt;&lt;contributors&gt;&lt;authors&gt;&lt;author&gt;Gonçalves P,&lt;/author&gt;&lt;author&gt;Martel F,&lt;/author&gt;&lt;/authors&gt;&lt;/contributors&gt;&lt;titles&gt;&lt;title&gt;Butyrate and colorectal cancer: the role of butyrate transport&lt;/title&gt;&lt;secondary-title&gt;Curr Drug Metab&lt;/secondary-title&gt;&lt;/titles&gt;&lt;periodical&gt;&lt;full-title&gt;Curr Drug Metab&lt;/full-title&gt;&lt;/periodical&gt;&lt;pages&gt;994-1008&lt;/pages&gt;&lt;volume&gt;14&lt;/volume&gt;&lt;number&gt;9&lt;/number&gt;&lt;dates&gt;&lt;year&gt;2013&lt;/year&gt;&lt;/dates&gt;&lt;urls&gt;&lt;/urls&gt;&lt;/record&gt;&lt;/Cite&gt;&lt;Cite&gt;&lt;Author&gt;Gonçalves P&lt;/Author&gt;&lt;Year&gt;2013&lt;/Year&gt;&lt;RecNum&gt;85&lt;/RecNum&gt;&lt;record&gt;&lt;rec-number&gt;85&lt;/rec-number&gt;&lt;foreign-keys&gt;&lt;key app="EN" db-id="zxp9w5sa30aeafes0xox2eem00dz2z2aswad"&gt;85&lt;/key&gt;&lt;key app="ENWeb" db-id="UG1-3grtqigAAEqvEt0"&gt;392&lt;/key&gt;&lt;/foreign-keys&gt;&lt;ref-type name="Journal Article"&gt;17&lt;/ref-type&gt;&lt;contributors&gt;&lt;authors&gt;&lt;author&gt;Gonçalves P,&lt;/author&gt;&lt;author&gt;Martel F,&lt;/author&gt;&lt;/authors&gt;&lt;/contributors&gt;&lt;titles&gt;&lt;title&gt;Butyrate and colorectal cancer: the role of butyrate transport&lt;/title&gt;&lt;secondary-title&gt;Curr Drug Metab&lt;/secondary-title&gt;&lt;/titles&gt;&lt;periodical&gt;&lt;full-title&gt;Curr Drug Metab&lt;/full-title&gt;&lt;/periodical&gt;&lt;pages&gt;994-1008&lt;/pages&gt;&lt;volume&gt;14&lt;/volume&gt;&lt;number&gt;9&lt;/number&gt;&lt;dates&gt;&lt;year&gt;2013&lt;/year&gt;&lt;/dates&gt;&lt;urls&gt;&lt;/urls&gt;&lt;/record&gt;&lt;/Cite&gt;&lt;/EndNote&gt;</w:instrText>
      </w:r>
      <w:r w:rsidR="006C2756" w:rsidRPr="009D5F68">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8" w:tooltip="Gonçalves P, 2013 #85" w:history="1">
        <w:r w:rsidR="00AB7E17">
          <w:rPr>
            <w:rFonts w:ascii="Arial" w:hAnsi="Arial" w:cs="Arial"/>
            <w:noProof/>
            <w:color w:val="000000"/>
            <w:sz w:val="24"/>
            <w:szCs w:val="24"/>
            <w:shd w:val="clear" w:color="auto" w:fill="FFFFFF"/>
          </w:rPr>
          <w:t>38</w:t>
        </w:r>
      </w:hyperlink>
      <w:r w:rsidR="000B3EAF">
        <w:rPr>
          <w:rFonts w:ascii="Arial" w:hAnsi="Arial" w:cs="Arial"/>
          <w:noProof/>
          <w:color w:val="000000"/>
          <w:sz w:val="24"/>
          <w:szCs w:val="24"/>
          <w:shd w:val="clear" w:color="auto" w:fill="FFFFFF"/>
        </w:rPr>
        <w:t>)</w:t>
      </w:r>
      <w:r w:rsidR="006C2756" w:rsidRPr="009D5F68">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w:t>
      </w:r>
      <w:r>
        <w:rPr>
          <w:rFonts w:ascii="Arial" w:eastAsiaTheme="minorHAnsi" w:hAnsi="Arial" w:cs="Arial"/>
          <w:sz w:val="24"/>
          <w:szCs w:val="24"/>
          <w:lang w:eastAsia="en-US"/>
        </w:rPr>
        <w:t xml:space="preserve">there are different effects of butyrate in the proliferation of normal and cancerous colonocytes. The contradiction in the effects of butyrate are also related to its different effects </w:t>
      </w:r>
      <w:r>
        <w:rPr>
          <w:rFonts w:ascii="Arial" w:eastAsiaTheme="minorHAnsi" w:hAnsi="Arial" w:cs="Arial"/>
          <w:i/>
          <w:sz w:val="24"/>
          <w:szCs w:val="24"/>
          <w:lang w:eastAsia="en-US"/>
        </w:rPr>
        <w:t xml:space="preserve">in vivo </w:t>
      </w:r>
      <w:r>
        <w:rPr>
          <w:rFonts w:ascii="Arial" w:eastAsiaTheme="minorHAnsi" w:hAnsi="Arial" w:cs="Arial"/>
          <w:sz w:val="24"/>
          <w:szCs w:val="24"/>
          <w:lang w:eastAsia="en-US"/>
        </w:rPr>
        <w:t xml:space="preserve">and </w:t>
      </w:r>
      <w:r>
        <w:rPr>
          <w:rFonts w:ascii="Arial" w:eastAsiaTheme="minorHAnsi" w:hAnsi="Arial" w:cs="Arial"/>
          <w:i/>
          <w:sz w:val="24"/>
          <w:szCs w:val="24"/>
          <w:lang w:eastAsia="en-US"/>
        </w:rPr>
        <w:t>in vitro</w:t>
      </w:r>
      <w:r>
        <w:rPr>
          <w:rFonts w:ascii="Arial" w:eastAsiaTheme="minorHAnsi" w:hAnsi="Arial" w:cs="Arial"/>
          <w:sz w:val="24"/>
          <w:szCs w:val="24"/>
          <w:lang w:eastAsia="en-US"/>
        </w:rPr>
        <w:t xml:space="preserve"> as reviewed by Csordas, 1996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&lt;EndNote&gt;&lt;Cite&gt;&lt;Author&gt;Csordas A&lt;/Author&gt;&lt;Year&gt;1996&lt;/Year&gt;&lt;RecNum&gt;53&lt;/RecNum&gt;&lt;DisplayText&gt;(30)&lt;/DisplayText&gt;&lt;record&gt;&lt;rec-number&gt;53&lt;/rec-number&gt;&lt;foreign-keys&gt;&lt;key app="EN" db-id="zxp9w5sa30aeafes0xox2eem00dz2z2aswad"&gt;53&lt;/key&gt;&lt;key app="ENWeb" db-id="UG1-3grtqigAAEqvEt0"&gt;401&lt;/key&gt;&lt;/foreign-keys&gt;&lt;ref-type name="Journal Article"&gt;17&lt;/ref-type&gt;&lt;contributors&gt;&lt;authors&gt;&lt;author&gt;Csordas A,&lt;/author&gt;&lt;/authors&gt;&lt;/contributors&gt;&lt;titles&gt;&lt;title&gt;Butyrate, aspirin and colorectal cancer&lt;/title&gt;&lt;secondary-title&gt;Eur J Cancer Prev&lt;/secondary-title&gt;&lt;/titles&gt;&lt;periodical&gt;&lt;full-title&gt;Eur J Cancer Prev&lt;/full-title&gt;&lt;/periodical&gt;&lt;pages&gt;221-231&lt;/pages&gt;&lt;volume&gt;5&lt;/volume&gt;&lt;number&gt;4&lt;/number&gt;&lt;dates&gt;&lt;year&gt;1996&lt;/year&gt;&lt;/dates&gt;&lt;urls&gt;&lt;/urls&gt;&lt;/record&gt;&lt;/Cite&gt;&lt;/EndNote&gt;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0" w:tooltip="Csordas A, 1996 #53" w:history="1">
        <w:r w:rsidR="00AB7E17">
          <w:rPr>
            <w:rFonts w:ascii="Arial" w:hAnsi="Arial" w:cs="Arial"/>
            <w:noProof/>
            <w:color w:val="000000"/>
            <w:sz w:val="24"/>
            <w:szCs w:val="24"/>
            <w:shd w:val="clear" w:color="auto" w:fill="FFFFFF"/>
          </w:rPr>
          <w:t>30</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w:t>
      </w:r>
      <w:r>
        <w:rPr>
          <w:rFonts w:ascii="Arial" w:eastAsiaTheme="minorHAnsi" w:hAnsi="Arial" w:cs="Arial"/>
          <w:sz w:val="24"/>
          <w:szCs w:val="24"/>
          <w:lang w:eastAsia="en-US"/>
        </w:rPr>
        <w:t xml:space="preserve">and Lupton, 2004 </w:t>
      </w:r>
      <w:r w:rsidR="006C2756" w:rsidRPr="009D5F68">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&lt;EndNote&gt;&lt;Cite&gt;&lt;Author&gt;Lupton J&lt;/Author&gt;&lt;Year&gt;2004&lt;/Year&gt;&lt;RecNum&gt;160&lt;/RecNum&gt;&lt;IDText&gt;Microbial degradation products influence colon cancer risk: the butyrate controversy&lt;/IDText&gt;&lt;DisplayText&gt;(39)&lt;/DisplayText&gt;&lt;record&gt;&lt;rec-number&gt;160&lt;/rec-number&gt;&lt;foreign-keys&gt;&lt;key app="EN" db-id="zxp9w5sa30aeafes0xox2eem00dz2z2aswad"&gt;160&lt;/key&gt;&lt;key app="ENWeb" db-id="UG1-3grtqigAAEqvEt0"&gt;350&lt;/key&gt;&lt;/foreign-keys&gt;&lt;ref-type name="Journal Article"&gt;17&lt;/ref-type&gt;&lt;contributors&gt;&lt;authors&gt;&lt;author&gt;Lupton J,&lt;/author&gt;&lt;/authors&gt;&lt;/contributors&gt;&lt;titles&gt;&lt;title&gt;Microbial degradation products influence colon cancer risk: the butyrate controversy&lt;/title&gt;&lt;secondary-title&gt;Journal of Nutrition&lt;/secondary-title&gt;&lt;/titles&gt;&lt;periodical&gt;&lt;full-title&gt;Journal of Nutrition&lt;/full-title&gt;&lt;/periodical&gt;&lt;pages&gt;479-482&lt;/pages&gt;&lt;volume&gt;134&lt;/volume&gt;&lt;number&gt;2&lt;/number&gt;&lt;dates&gt;&lt;year&gt;2004&lt;/year&gt;&lt;/dates&gt;&lt;urls&gt;&lt;/urls&gt;&lt;/record&gt;&lt;/Cite&gt;&lt;Cite&gt;&lt;Author&gt;Lupton J&lt;/Author&gt;&lt;Year&gt;2004&lt;/Year&gt;&lt;RecNum&gt;160&lt;/RecNum&gt;&lt;record&gt;&lt;rec-number&gt;160&lt;/rec-number&gt;&lt;foreign-keys&gt;&lt;key app="EN" db-id="zxp9w5sa30aeafes0xox2eem00dz2z2aswad"&gt;160&lt;/key&gt;&lt;key app="ENWeb" db-id="UG1-3grtqigAAEqvEt0"&gt;350&lt;/key&gt;&lt;/foreign-keys&gt;&lt;ref-type name="Journal Article"&gt;17&lt;/ref-type&gt;&lt;contributors&gt;&lt;authors&gt;&lt;author&gt;Lupton J,&lt;/author&gt;&lt;/authors&gt;&lt;/contributors&gt;&lt;titles&gt;&lt;title&gt;Microbial degradation products influence colon cancer risk: the butyrate controversy&lt;/title&gt;&lt;secondary-title&gt;Journal of Nutrition&lt;/secondary-title&gt;&lt;/titles&gt;&lt;periodical&gt;&lt;full-title&gt;Journal of Nutrition&lt;/full-title&gt;&lt;/periodical&gt;&lt;pages&gt;479-482&lt;/pages&gt;&lt;volume&gt;134&lt;/volume&gt;&lt;number&gt;2&lt;/number&gt;&lt;dates&gt;&lt;year&gt;2004&lt;/year&gt;&lt;/dates&gt;&lt;urls&gt;&lt;/urls&gt;&lt;/record&gt;&lt;/Cite&gt;&lt;/EndNote&gt;</w:instrText>
      </w:r>
      <w:r w:rsidR="006C2756" w:rsidRPr="009D5F68">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9" w:tooltip="Lupton J, 2004 #160" w:history="1">
        <w:r w:rsidR="00AB7E17">
          <w:rPr>
            <w:rFonts w:ascii="Arial" w:hAnsi="Arial" w:cs="Arial"/>
            <w:noProof/>
            <w:color w:val="000000"/>
            <w:sz w:val="24"/>
            <w:szCs w:val="24"/>
            <w:shd w:val="clear" w:color="auto" w:fill="FFFFFF"/>
          </w:rPr>
          <w:t>39</w:t>
        </w:r>
      </w:hyperlink>
      <w:r w:rsidR="000B3EAF">
        <w:rPr>
          <w:rFonts w:ascii="Arial" w:hAnsi="Arial" w:cs="Arial"/>
          <w:noProof/>
          <w:color w:val="000000"/>
          <w:sz w:val="24"/>
          <w:szCs w:val="24"/>
          <w:shd w:val="clear" w:color="auto" w:fill="FFFFFF"/>
        </w:rPr>
        <w:t>)</w:t>
      </w:r>
      <w:r w:rsidR="006C2756" w:rsidRPr="009D5F68">
        <w:rPr>
          <w:rFonts w:ascii="Arial" w:hAnsi="Arial" w:cs="Arial"/>
          <w:color w:val="000000"/>
          <w:sz w:val="24"/>
          <w:szCs w:val="24"/>
          <w:shd w:val="clear" w:color="auto" w:fill="FFFFFF"/>
        </w:rPr>
        <w:fldChar w:fldCharType="end"/>
      </w:r>
      <w:r>
        <w:rPr>
          <w:rFonts w:ascii="Arial" w:eastAsiaTheme="minorHAnsi" w:hAnsi="Arial" w:cs="Arial"/>
          <w:sz w:val="24"/>
          <w:szCs w:val="24"/>
          <w:lang w:eastAsia="en-US"/>
        </w:rPr>
        <w:t xml:space="preserve">. The “butyrate paradox” explains the contradictory effects of butyrate, since </w:t>
      </w:r>
      <w:r>
        <w:rPr>
          <w:rFonts w:ascii="Arial" w:eastAsiaTheme="minorHAnsi" w:hAnsi="Arial" w:cs="Arial"/>
          <w:i/>
          <w:sz w:val="24"/>
          <w:szCs w:val="24"/>
          <w:lang w:eastAsia="en-US"/>
        </w:rPr>
        <w:t xml:space="preserve">in vitro </w:t>
      </w:r>
      <w:r>
        <w:rPr>
          <w:rFonts w:ascii="Arial" w:eastAsiaTheme="minorHAnsi" w:hAnsi="Arial" w:cs="Arial"/>
          <w:sz w:val="24"/>
          <w:szCs w:val="24"/>
          <w:lang w:eastAsia="en-US"/>
        </w:rPr>
        <w:t xml:space="preserve">butyrate increases differentiation and apoptosis in colon cancer cells </w:t>
      </w:r>
      <w:r w:rsidR="006C2756" w:rsidRPr="009D5F68">
        <w:rPr>
          <w:rFonts w:ascii="Arial" w:hAnsi="Arial" w:cs="Arial"/>
          <w:color w:val="000000"/>
          <w:sz w:val="24"/>
          <w:szCs w:val="24"/>
          <w:shd w:val="clear" w:color="auto" w:fill="FFFFFF"/>
        </w:rPr>
        <w:fldChar w:fldCharType="begin">
          <w:fldData xml:space="preserve">PEVuZE5vdGU+PENpdGU+PEF1dGhvcj5IYWd1ZSBBPC9BdXRob3I+PFllYXI+MTk5MzwvWWVhcj48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</w:fldData>
        </w:fldChar>
      </w:r>
      <w:r w:rsidR="000B3EAF">
        <w:rPr>
          <w:rFonts w:ascii="Arial" w:hAnsi="Arial" w:cs="Arial"/>
          <w:color w:val="000000"/>
          <w:sz w:val="24"/>
          <w:szCs w:val="24"/>
          <w:shd w:val="clear" w:color="auto" w:fill="FFFFFF"/>
        </w:rPr>
        <w:instrText xml:space="preserve"> ADDIN EN.CITE </w:instrText>
      </w:r>
      <w:r w:rsidR="006C2756">
        <w:rPr>
          <w:rFonts w:ascii="Arial" w:hAnsi="Arial" w:cs="Arial"/>
          <w:color w:val="000000"/>
          <w:sz w:val="24"/>
          <w:szCs w:val="24"/>
          <w:shd w:val="clear" w:color="auto" w:fill="FFFFFF"/>
        </w:rPr>
        <w:fldChar w:fldCharType="begin">
          <w:fldData xml:space="preserve">PEVuZE5vdGU+PENpdGU+PEF1dGhvcj5IYWd1ZSBBPC9BdXRob3I+PFllYXI+MTk5MzwvWWVhcj48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</w:fldData>
        </w:fldChar>
      </w:r>
      <w:r w:rsidR="000B3EAF">
        <w:rPr>
          <w:rFonts w:ascii="Arial" w:hAnsi="Arial" w:cs="Arial"/>
          <w:color w:val="000000"/>
          <w:sz w:val="24"/>
          <w:szCs w:val="24"/>
          <w:shd w:val="clear" w:color="auto" w:fill="FFFFFF"/>
        </w:rPr>
        <w:instrText xml:space="preserve"> ADDIN EN.CITE.DATA </w:instrText>
      </w:r>
      <w:r w:rsidR="006C2756">
        <w:rPr>
          <w:rFonts w:ascii="Arial" w:hAnsi="Arial" w:cs="Arial"/>
          <w:color w:val="000000"/>
          <w:sz w:val="24"/>
          <w:szCs w:val="24"/>
          <w:shd w:val="clear" w:color="auto" w:fill="FFFFFF"/>
        </w:rPr>
      </w:r>
      <w:r w:rsidR="006C2756">
        <w:rPr>
          <w:rFonts w:ascii="Arial" w:hAnsi="Arial" w:cs="Arial"/>
          <w:color w:val="000000"/>
          <w:sz w:val="24"/>
          <w:szCs w:val="24"/>
          <w:shd w:val="clear" w:color="auto" w:fill="FFFFFF"/>
        </w:rPr>
        <w:fldChar w:fldCharType="end"/>
      </w:r>
      <w:r w:rsidR="006C2756" w:rsidRPr="009D5F68">
        <w:rPr>
          <w:rFonts w:ascii="Arial" w:hAnsi="Arial" w:cs="Arial"/>
          <w:color w:val="000000"/>
          <w:sz w:val="24"/>
          <w:szCs w:val="24"/>
          <w:shd w:val="clear" w:color="auto" w:fill="FFFFFF"/>
        </w:rPr>
      </w:r>
      <w:r w:rsidR="006C2756" w:rsidRPr="009D5F68">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26" w:tooltip="Hague A, 1993 #99" w:history="1">
        <w:r w:rsidR="00AB7E17">
          <w:rPr>
            <w:rFonts w:ascii="Arial" w:hAnsi="Arial" w:cs="Arial"/>
            <w:noProof/>
            <w:color w:val="000000"/>
            <w:sz w:val="24"/>
            <w:szCs w:val="24"/>
            <w:shd w:val="clear" w:color="auto" w:fill="FFFFFF"/>
          </w:rPr>
          <w:t>26-29</w:t>
        </w:r>
      </w:hyperlink>
      <w:r w:rsidR="000B3EAF">
        <w:rPr>
          <w:rFonts w:ascii="Arial" w:hAnsi="Arial" w:cs="Arial"/>
          <w:noProof/>
          <w:color w:val="000000"/>
          <w:sz w:val="24"/>
          <w:szCs w:val="24"/>
          <w:shd w:val="clear" w:color="auto" w:fill="FFFFFF"/>
        </w:rPr>
        <w:t>)</w:t>
      </w:r>
      <w:r w:rsidR="006C2756" w:rsidRPr="009D5F68">
        <w:rPr>
          <w:rFonts w:ascii="Arial" w:hAnsi="Arial" w:cs="Arial"/>
          <w:color w:val="000000"/>
          <w:sz w:val="24"/>
          <w:szCs w:val="24"/>
          <w:shd w:val="clear" w:color="auto" w:fill="FFFFFF"/>
        </w:rPr>
        <w:fldChar w:fldCharType="end"/>
      </w:r>
      <w:r>
        <w:rPr>
          <w:rFonts w:ascii="Arial" w:eastAsiaTheme="minorHAnsi" w:hAnsi="Arial" w:cs="Arial"/>
          <w:sz w:val="24"/>
          <w:szCs w:val="24"/>
          <w:lang w:eastAsia="en-US"/>
        </w:rPr>
        <w:t xml:space="preserve">, whereas increases colon neoplasia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&lt;EndNote&gt;&lt;Cite&gt;&lt;Author&gt;Freeman H&lt;/Author&gt;&lt;Year&gt;1986&lt;/Year&gt;&lt;RecNum&gt;76&lt;/RecNum&gt;&lt;DisplayText&gt;(31)&lt;/DisplayText&gt;&lt;record&gt;&lt;rec-number&gt;76&lt;/rec-number&gt;&lt;foreign-keys&gt;&lt;key app="EN" db-id="zxp9w5sa30aeafes0xox2eem00dz2z2aswad"&gt;76&lt;/key&gt;&lt;key app="ENWeb" db-id="UG1-3grtqigAAEqvEt0"&gt;395&lt;/key&gt;&lt;/foreign-keys&gt;&lt;ref-type name="Journal Article"&gt;17&lt;/ref-type&gt;&lt;contributors&gt;&lt;authors&gt;&lt;author&gt;Freeman H,&lt;/author&gt;&lt;/authors&gt;&lt;/contributors&gt;&lt;titles&gt;&lt;title&gt;Effects of differing concentrations of sodium butyrate on 1, 2-dimethylhydrazine-induced rat intestinal neoplasia&lt;/title&gt;&lt;secondary-title&gt;Gastroenterology&lt;/secondary-title&gt;&lt;/titles&gt;&lt;periodical&gt;&lt;full-title&gt;Gastroenterology&lt;/full-title&gt;&lt;/periodical&gt;&lt;pages&gt;596-602&lt;/pages&gt;&lt;volume&gt;91&lt;/volume&gt;&lt;number&gt;3&lt;/number&gt;&lt;dates&gt;&lt;year&gt;1986&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1" w:tooltip="Freeman H, 1986 #76" w:history="1">
        <w:r w:rsidR="00AB7E17">
          <w:rPr>
            <w:rFonts w:ascii="Arial" w:hAnsi="Arial" w:cs="Arial"/>
            <w:noProof/>
            <w:color w:val="000000"/>
            <w:sz w:val="24"/>
            <w:szCs w:val="24"/>
            <w:shd w:val="clear" w:color="auto" w:fill="FFFFFF"/>
          </w:rPr>
          <w:t>31</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eastAsiaTheme="minorHAnsi" w:hAnsi="Arial" w:cs="Arial"/>
          <w:sz w:val="24"/>
          <w:szCs w:val="24"/>
          <w:lang w:eastAsia="en-US"/>
        </w:rPr>
        <w:t xml:space="preserve">, or reduces the number of colon tumours in rats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&lt;EndNote&gt;&lt;Cite&gt;&lt;Author&gt;Zoran D&lt;/Author&gt;&lt;Year&gt;1997&lt;/Year&gt;&lt;RecNum&gt;305&lt;/RecNum&gt;&lt;DisplayText&gt;(32)&lt;/DisplayText&gt;&lt;record&gt;&lt;rec-number&gt;305&lt;/rec-number&gt;&lt;foreign-keys&gt;&lt;key app="EN" db-id="zxp9w5sa30aeafes0xox2eem00dz2z2aswad"&gt;305&lt;/key&gt;&lt;key app="ENWeb" db-id="UG1-3grtqigAAEqvEt0"&gt;396&lt;/key&gt;&lt;/foreign-keys&gt;&lt;ref-type name="Journal Article"&gt;17&lt;/ref-type&gt;&lt;contributors&gt;&lt;authors&gt;&lt;author&gt;Zoran D,&lt;/author&gt;&lt;author&gt;Turner N,&lt;/author&gt;&lt;author&gt;Taddeo S,&lt;/author&gt;&lt;author&gt;Chapkin R,&lt;/author&gt;&lt;author&gt;Lupton J,&lt;/author&gt;&lt;/authors&gt;&lt;/contributors&gt;&lt;titles&gt;&lt;title&gt;Wheat bran diet reduces tumor incidence in a rat model of colon cancer independent of effects on distal luminal butyrate concentrations&lt;/title&gt;&lt;secondary-title&gt;J. Nutr&lt;/secondary-title&gt;&lt;/titles&gt;&lt;periodical&gt;&lt;full-title&gt;J. Nutr&lt;/full-title&gt;&lt;/periodical&gt;&lt;pages&gt;2217-2225&lt;/pages&gt;&lt;volume&gt;127&lt;/volume&gt;&lt;number&gt;11&lt;/number&gt;&lt;dates&gt;&lt;year&gt;1997&lt;/year&gt;&lt;/dates&gt;&lt;urls&gt;&lt;/urls&gt;&lt;/record&gt;&lt;/Cite&gt;&lt;/EndNote&gt;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2" w:tooltip="Zoran D, 1997 #305" w:history="1">
        <w:r w:rsidR="00AB7E17">
          <w:rPr>
            <w:rFonts w:ascii="Arial" w:hAnsi="Arial" w:cs="Arial"/>
            <w:noProof/>
            <w:color w:val="000000"/>
            <w:sz w:val="24"/>
            <w:szCs w:val="24"/>
            <w:shd w:val="clear" w:color="auto" w:fill="FFFFFF"/>
          </w:rPr>
          <w:t>32</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w:t>
      </w:r>
      <w:r>
        <w:rPr>
          <w:rFonts w:ascii="Arial" w:eastAsiaTheme="minorHAnsi" w:hAnsi="Arial" w:cs="Arial"/>
          <w:i/>
          <w:sz w:val="24"/>
          <w:szCs w:val="24"/>
          <w:lang w:eastAsia="en-US"/>
        </w:rPr>
        <w:t>in vivo</w:t>
      </w:r>
      <w:r w:rsidR="00F77520">
        <w:rPr>
          <w:rFonts w:ascii="Arial" w:eastAsiaTheme="minorHAnsi" w:hAnsi="Arial" w:cs="Arial"/>
          <w:i/>
          <w:sz w:val="24"/>
          <w:szCs w:val="24"/>
          <w:lang w:eastAsia="en-US"/>
        </w:rPr>
        <w:t xml:space="preserve">, </w:t>
      </w:r>
      <w:r w:rsidR="00F77520">
        <w:rPr>
          <w:rFonts w:ascii="Arial" w:eastAsiaTheme="minorHAnsi" w:hAnsi="Arial" w:cs="Arial"/>
          <w:sz w:val="24"/>
          <w:szCs w:val="24"/>
          <w:lang w:eastAsia="en-US"/>
        </w:rPr>
        <w:t>depending on its concentration</w:t>
      </w:r>
      <w:r>
        <w:rPr>
          <w:rFonts w:ascii="Arial" w:eastAsiaTheme="minorHAnsi" w:hAnsi="Arial" w:cs="Arial"/>
          <w:sz w:val="24"/>
          <w:szCs w:val="24"/>
          <w:lang w:eastAsia="en-US"/>
        </w:rPr>
        <w:t>.</w:t>
      </w:r>
    </w:p>
    <w:p w:rsidR="00EF1380" w:rsidRPr="00352DB9" w:rsidRDefault="00EF1380" w:rsidP="00EF1380">
      <w:pPr>
        <w:shd w:val="clear" w:color="auto" w:fill="FFFFFF"/>
        <w:spacing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It is interesting that the findings described above point butyrate to have a “chemopreventive role” in colon cancer cells </w:t>
      </w:r>
      <w:r>
        <w:rPr>
          <w:rFonts w:ascii="Arial" w:hAnsi="Arial" w:cs="Arial"/>
          <w:i/>
          <w:color w:val="000000"/>
          <w:sz w:val="24"/>
          <w:szCs w:val="24"/>
          <w:shd w:val="clear" w:color="auto" w:fill="FFFFFF"/>
        </w:rPr>
        <w:t>in vitro</w:t>
      </w:r>
      <w:r>
        <w:rPr>
          <w:rFonts w:ascii="Arial" w:hAnsi="Arial" w:cs="Arial"/>
          <w:color w:val="000000"/>
          <w:sz w:val="24"/>
          <w:szCs w:val="24"/>
          <w:shd w:val="clear" w:color="auto" w:fill="FFFFFF"/>
        </w:rPr>
        <w:t xml:space="preserve">, whilst </w:t>
      </w:r>
      <w:r>
        <w:rPr>
          <w:rFonts w:ascii="Arial" w:hAnsi="Arial" w:cs="Arial"/>
          <w:i/>
          <w:color w:val="000000"/>
          <w:sz w:val="24"/>
          <w:szCs w:val="24"/>
          <w:shd w:val="clear" w:color="auto" w:fill="FFFFFF"/>
        </w:rPr>
        <w:t>in vivo</w:t>
      </w:r>
      <w:r>
        <w:rPr>
          <w:rFonts w:ascii="Arial" w:hAnsi="Arial" w:cs="Arial"/>
          <w:color w:val="000000"/>
          <w:sz w:val="24"/>
          <w:szCs w:val="24"/>
          <w:shd w:val="clear" w:color="auto" w:fill="FFFFFF"/>
        </w:rPr>
        <w:t xml:space="preserve"> it has the opposite effect. Discrepancies in the effect of butyrate are not only related to </w:t>
      </w:r>
      <w:r>
        <w:rPr>
          <w:rFonts w:ascii="Arial" w:hAnsi="Arial" w:cs="Arial"/>
          <w:i/>
          <w:color w:val="000000"/>
          <w:sz w:val="24"/>
          <w:szCs w:val="24"/>
          <w:shd w:val="clear" w:color="auto" w:fill="FFFFFF"/>
        </w:rPr>
        <w:t>in vitro</w:t>
      </w:r>
      <w:r>
        <w:rPr>
          <w:rFonts w:ascii="Arial" w:hAnsi="Arial" w:cs="Arial"/>
          <w:color w:val="000000"/>
          <w:sz w:val="24"/>
          <w:szCs w:val="24"/>
          <w:shd w:val="clear" w:color="auto" w:fill="FFFFFF"/>
        </w:rPr>
        <w:t xml:space="preserve"> and/or </w:t>
      </w:r>
      <w:r>
        <w:rPr>
          <w:rFonts w:ascii="Arial" w:hAnsi="Arial" w:cs="Arial"/>
          <w:i/>
          <w:color w:val="000000"/>
          <w:sz w:val="24"/>
          <w:szCs w:val="24"/>
          <w:shd w:val="clear" w:color="auto" w:fill="FFFFFF"/>
        </w:rPr>
        <w:t xml:space="preserve">in vivo </w:t>
      </w:r>
      <w:r>
        <w:rPr>
          <w:rFonts w:ascii="Arial" w:hAnsi="Arial" w:cs="Arial"/>
          <w:color w:val="000000"/>
          <w:sz w:val="24"/>
          <w:szCs w:val="24"/>
          <w:shd w:val="clear" w:color="auto" w:fill="FFFFFF"/>
        </w:rPr>
        <w:t xml:space="preserve">conditions but also to its concentration, which varies depending on the type of fibre consumed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&lt;EndNote&gt;&lt;Cite&gt;&lt;Author&gt;Zoran D&lt;/Author&gt;&lt;Year&gt;1997&lt;/Year&gt;&lt;RecNum&gt;305&lt;/RecNum&gt;&lt;DisplayText&gt;(32)&lt;/DisplayText&gt;&lt;record&gt;&lt;rec-number&gt;305&lt;/rec-number&gt;&lt;foreign-keys&gt;&lt;key app="EN" db-id="zxp9w5sa30aeafes0xox2eem00dz2z2aswad"&gt;305&lt;/key&gt;&lt;key app="ENWeb" db-id="UG1-3grtqigAAEqvEt0"&gt;396&lt;/key&gt;&lt;/foreign-keys&gt;&lt;ref-type name="Journal Article"&gt;17&lt;/ref-type&gt;&lt;contributors&gt;&lt;authors&gt;&lt;author&gt;Zoran D,&lt;/author&gt;&lt;author&gt;Turner N,&lt;/author&gt;&lt;author&gt;Taddeo S,&lt;/author&gt;&lt;author&gt;Chapkin R,&lt;/author&gt;&lt;author&gt;Lupton J,&lt;/author&gt;&lt;/authors&gt;&lt;/contributors&gt;&lt;titles&gt;&lt;title&gt;Wheat bran diet reduces tumor incidence in a rat model of colon cancer independent of effects on distal luminal butyrate concentrations&lt;/title&gt;&lt;secondary-title&gt;J. Nutr&lt;/secondary-title&gt;&lt;/titles&gt;&lt;periodical&gt;&lt;full-title&gt;J. Nutr&lt;/full-title&gt;&lt;/periodical&gt;&lt;pages&gt;2217-2225&lt;/pages&gt;&lt;volume&gt;127&lt;/volume&gt;&lt;number&gt;11&lt;/number&gt;&lt;dates&gt;&lt;year&gt;1997&lt;/year&gt;&lt;/dates&gt;&lt;urls&gt;&lt;/urls&gt;&lt;/record&gt;&lt;/Cite&gt;&lt;/EndNote&gt;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2" w:tooltip="Zoran D, 1997 #305" w:history="1">
        <w:r w:rsidR="00AB7E17">
          <w:rPr>
            <w:rFonts w:ascii="Arial" w:hAnsi="Arial" w:cs="Arial"/>
            <w:noProof/>
            <w:color w:val="000000"/>
            <w:sz w:val="24"/>
            <w:szCs w:val="24"/>
            <w:shd w:val="clear" w:color="auto" w:fill="FFFFFF"/>
          </w:rPr>
          <w:t>32</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For example, when the source of fibre is either oat bran or wheat bran, butyrate production is higher in rats consuming oat bran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&lt;EndNote&gt;&lt;Cite&gt;&lt;Author&gt;Zoran D&lt;/Author&gt;&lt;Year&gt;1997&lt;/Year&gt;&lt;RecNum&gt;305&lt;/RecNum&gt;&lt;DisplayText&gt;(32)&lt;/DisplayText&gt;&lt;record&gt;&lt;rec-number&gt;305&lt;/rec-number&gt;&lt;foreign-keys&gt;&lt;key app="EN" db-id="zxp9w5sa30aeafes0xox2eem00dz2z2aswad"&gt;305&lt;/key&gt;&lt;key app="ENWeb" db-id="UG1-3grtqigAAEqvEt0"&gt;396&lt;/key&gt;&lt;/foreign-keys&gt;&lt;ref-type name="Journal Article"&gt;17&lt;/ref-type&gt;&lt;contributors&gt;&lt;authors&gt;&lt;author&gt;Zoran D,&lt;/author&gt;&lt;author&gt;Turner N,&lt;/author&gt;&lt;author&gt;Taddeo S,&lt;/author&gt;&lt;author&gt;Chapkin R,&lt;/author&gt;&lt;author&gt;Lupton J,&lt;/author&gt;&lt;/authors&gt;&lt;/contributors&gt;&lt;titles&gt;&lt;title&gt;Wheat bran diet reduces tumor incidence in a rat model of colon cancer independent of effects on distal luminal butyrate concentrations&lt;/title&gt;&lt;secondary-title&gt;J. Nutr&lt;/secondary-title&gt;&lt;/titles&gt;&lt;periodical&gt;&lt;full-title&gt;J. Nutr&lt;/full-title&gt;&lt;/periodical&gt;&lt;pages&gt;2217-2225&lt;/pages&gt;&lt;volume&gt;127&lt;/volume&gt;&lt;number&gt;11&lt;/number&gt;&lt;dates&gt;&lt;year&gt;1997&lt;/year&gt;&lt;/dates&gt;&lt;urls&gt;&lt;/urls&gt;&lt;/record&gt;&lt;/Cite&gt;&lt;/EndNote&gt;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2" w:tooltip="Zoran D, 1997 #305" w:history="1">
        <w:r w:rsidR="00AB7E17">
          <w:rPr>
            <w:rFonts w:ascii="Arial" w:hAnsi="Arial" w:cs="Arial"/>
            <w:noProof/>
            <w:color w:val="000000"/>
            <w:sz w:val="24"/>
            <w:szCs w:val="24"/>
            <w:shd w:val="clear" w:color="auto" w:fill="FFFFFF"/>
          </w:rPr>
          <w:t>32</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This high production of butyrate (18mM) enhances colon neoplasia as well as </w:t>
      </w:r>
      <w:r>
        <w:rPr>
          <w:rFonts w:ascii="Arial" w:hAnsi="Arial" w:cs="Arial"/>
          <w:color w:val="000000"/>
          <w:sz w:val="24"/>
          <w:szCs w:val="24"/>
          <w:shd w:val="clear" w:color="auto" w:fill="FFFFFF"/>
        </w:rPr>
        <w:lastRenderedPageBreak/>
        <w:t xml:space="preserve">the incidence of colon tumours when azoxymethane (AOM), an intestinal carcinogenesis inducer, is used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&lt;EndNote&gt;&lt;Cite&gt;&lt;Author&gt;Zoran D&lt;/Author&gt;&lt;Year&gt;1997&lt;/Year&gt;&lt;RecNum&gt;305&lt;/RecNum&gt;&lt;DisplayText&gt;(32)&lt;/DisplayText&gt;&lt;record&gt;&lt;rec-number&gt;305&lt;/rec-number&gt;&lt;foreign-keys&gt;&lt;key app="EN" db-id="zxp9w5sa30aeafes0xox2eem00dz2z2aswad"&gt;305&lt;/key&gt;&lt;key app="ENWeb" db-id="UG1-3grtqigAAEqvEt0"&gt;396&lt;/key&gt;&lt;/foreign-keys&gt;&lt;ref-type name="Journal Article"&gt;17&lt;/ref-type&gt;&lt;contributors&gt;&lt;authors&gt;&lt;author&gt;Zoran D,&lt;/author&gt;&lt;author&gt;Turner N,&lt;/author&gt;&lt;author&gt;Taddeo S,&lt;/author&gt;&lt;author&gt;Chapkin R,&lt;/author&gt;&lt;author&gt;Lupton J,&lt;/author&gt;&lt;/authors&gt;&lt;/contributors&gt;&lt;titles&gt;&lt;title&gt;Wheat bran diet reduces tumor incidence in a rat model of colon cancer independent of effects on distal luminal butyrate concentrations&lt;/title&gt;&lt;secondary-title&gt;J. Nutr&lt;/secondary-title&gt;&lt;/titles&gt;&lt;periodical&gt;&lt;full-title&gt;J. Nutr&lt;/full-title&gt;&lt;/periodical&gt;&lt;pages&gt;2217-2225&lt;/pages&gt;&lt;volume&gt;127&lt;/volume&gt;&lt;number&gt;11&lt;/number&gt;&lt;dates&gt;&lt;year&gt;1997&lt;/year&gt;&lt;/dates&gt;&lt;urls&gt;&lt;/urls&gt;&lt;/record&gt;&lt;/Cite&gt;&lt;/EndNote&gt;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2" w:tooltip="Zoran D, 1997 #305" w:history="1">
        <w:r w:rsidR="00AB7E17">
          <w:rPr>
            <w:rFonts w:ascii="Arial" w:hAnsi="Arial" w:cs="Arial"/>
            <w:noProof/>
            <w:color w:val="000000"/>
            <w:sz w:val="24"/>
            <w:szCs w:val="24"/>
            <w:shd w:val="clear" w:color="auto" w:fill="FFFFFF"/>
          </w:rPr>
          <w:t>32</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Alternatively, when the fibre source is wheat bran, there is a low production of butyrate, resembling the physiological ranges (1-20mM), which decreases the incidence of colon tumours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&lt;EndNote&gt;&lt;Cite&gt;&lt;Author&gt;Zoran D&lt;/Author&gt;&lt;Year&gt;1997&lt;/Year&gt;&lt;RecNum&gt;305&lt;/RecNum&gt;&lt;DisplayText&gt;(32)&lt;/DisplayText&gt;&lt;record&gt;&lt;rec-number&gt;305&lt;/rec-number&gt;&lt;foreign-keys&gt;&lt;key app="EN" db-id="zxp9w5sa30aeafes0xox2eem00dz2z2aswad"&gt;305&lt;/key&gt;&lt;key app="ENWeb" db-id="UG1-3grtqigAAEqvEt0"&gt;396&lt;/key&gt;&lt;/foreign-keys&gt;&lt;ref-type name="Journal Article"&gt;17&lt;/ref-type&gt;&lt;contributors&gt;&lt;authors&gt;&lt;author&gt;Zoran D,&lt;/author&gt;&lt;author&gt;Turner N,&lt;/author&gt;&lt;author&gt;Taddeo S,&lt;/author&gt;&lt;author&gt;Chapkin R,&lt;/author&gt;&lt;author&gt;Lupton J,&lt;/author&gt;&lt;/authors&gt;&lt;/contributors&gt;&lt;titles&gt;&lt;title&gt;Wheat bran diet reduces tumor incidence in a rat model of colon cancer independent of effects on distal luminal butyrate concentrations&lt;/title&gt;&lt;secondary-title&gt;J. Nutr&lt;/secondary-title&gt;&lt;/titles&gt;&lt;periodical&gt;&lt;full-title&gt;J. Nutr&lt;/full-title&gt;&lt;/periodical&gt;&lt;pages&gt;2217-2225&lt;/pages&gt;&lt;volume&gt;127&lt;/volume&gt;&lt;number&gt;11&lt;/number&gt;&lt;dates&gt;&lt;year&gt;1997&lt;/year&gt;&lt;/dates&gt;&lt;urls&gt;&lt;/urls&gt;&lt;/record&gt;&lt;/Cite&gt;&lt;/EndNote&gt;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2" w:tooltip="Zoran D, 1997 #305" w:history="1">
        <w:r w:rsidR="00AB7E17">
          <w:rPr>
            <w:rFonts w:ascii="Arial" w:hAnsi="Arial" w:cs="Arial"/>
            <w:noProof/>
            <w:color w:val="000000"/>
            <w:sz w:val="24"/>
            <w:szCs w:val="24"/>
            <w:shd w:val="clear" w:color="auto" w:fill="FFFFFF"/>
          </w:rPr>
          <w:t>32</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The effect of butyrate when AOM is used is also controversial, as it has been suggested that there is no effect on inhibiting intestinal carcinogenesis induced by AOM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&lt;EndNote&gt;&lt;Cite&gt;&lt;Author&gt;Caderni G&lt;/Author&gt;&lt;Year&gt;2001&lt;/Year&gt;&lt;RecNum&gt;31&lt;/RecNum&gt;&lt;DisplayText&gt;(34)&lt;/DisplayText&gt;&lt;record&gt;&lt;rec-number&gt;31&lt;/rec-number&gt;&lt;foreign-keys&gt;&lt;key app="EN" db-id="zxp9w5sa30aeafes0xox2eem00dz2z2aswad"&gt;31&lt;/key&gt;&lt;key app="ENWeb" db-id="UG1-3grtqigAAEqvEt0"&gt;399&lt;/key&gt;&lt;/foreign-keys&gt;&lt;ref-type name="Journal Article"&gt;17&lt;/ref-type&gt;&lt;contributors&gt;&lt;authors&gt;&lt;author&gt;Caderni G,&lt;/author&gt;&lt;author&gt;Luceri C,&lt;/author&gt;&lt;author&gt;De Filippo C,&lt;/author&gt;&lt;author&gt;Salvadori M,&lt;/author&gt;&lt;author&gt;Giannini A,&lt;/author&gt;&lt;author&gt;Tessitore L,&lt;/author&gt;&lt;author&gt;Dolara P,&lt;/author&gt;&lt;/authors&gt;&lt;/contributors&gt;&lt;titles&gt;&lt;title&gt;Slow-release pellets of sodium butyrate do not modify azoxymethane (AOM)-induced intestinal carcinogenesis in F344 rats&lt;/title&gt;&lt;secondary-title&gt;Carcinogenesis&lt;/secondary-title&gt;&lt;/titles&gt;&lt;periodical&gt;&lt;full-title&gt;Carcinogenesis&lt;/full-title&gt;&lt;/periodical&gt;&lt;pages&gt;525-527&lt;/pages&gt;&lt;volume&gt;22&lt;/volume&gt;&lt;number&gt;3&lt;/number&gt;&lt;dates&gt;&lt;year&gt;2001&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4" w:tooltip="Caderni G, 2001 #31" w:history="1">
        <w:r w:rsidR="00AB7E17">
          <w:rPr>
            <w:rFonts w:ascii="Arial" w:hAnsi="Arial" w:cs="Arial"/>
            <w:noProof/>
            <w:color w:val="000000"/>
            <w:sz w:val="24"/>
            <w:szCs w:val="24"/>
            <w:shd w:val="clear" w:color="auto" w:fill="FFFFFF"/>
          </w:rPr>
          <w:t>34</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This observation has also been made based on findings that no changes in p21 expression or the level of apoptosis were observed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&lt;EndNote&gt;&lt;Cite&gt;&lt;Author&gt;Caderni G&lt;/Author&gt;&lt;Year&gt;2001&lt;/Year&gt;&lt;RecNum&gt;31&lt;/RecNum&gt;&lt;DisplayText&gt;(34)&lt;/DisplayText&gt;&lt;record&gt;&lt;rec-number&gt;31&lt;/rec-number&gt;&lt;foreign-keys&gt;&lt;key app="EN" db-id="zxp9w5sa30aeafes0xox2eem00dz2z2aswad"&gt;31&lt;/key&gt;&lt;key app="ENWeb" db-id="UG1-3grtqigAAEqvEt0"&gt;399&lt;/key&gt;&lt;/foreign-keys&gt;&lt;ref-type name="Journal Article"&gt;17&lt;/ref-type&gt;&lt;contributors&gt;&lt;authors&gt;&lt;author&gt;Caderni G,&lt;/author&gt;&lt;author&gt;Luceri C,&lt;/author&gt;&lt;author&gt;De Filippo C,&lt;/author&gt;&lt;author&gt;Salvadori M,&lt;/author&gt;&lt;author&gt;Giannini A,&lt;/author&gt;&lt;author&gt;Tessitore L,&lt;/author&gt;&lt;author&gt;Dolara P,&lt;/author&gt;&lt;/authors&gt;&lt;/contributors&gt;&lt;titles&gt;&lt;title&gt;Slow-release pellets of sodium butyrate do not modify azoxymethane (AOM)-induced intestinal carcinogenesis in F344 rats&lt;/title&gt;&lt;secondary-title&gt;Carcinogenesis&lt;/secondary-title&gt;&lt;/titles&gt;&lt;periodical&gt;&lt;full-title&gt;Carcinogenesis&lt;/full-title&gt;&lt;/periodical&gt;&lt;pages&gt;525-527&lt;/pages&gt;&lt;volume&gt;22&lt;/volume&gt;&lt;number&gt;3&lt;/number&gt;&lt;dates&gt;&lt;year&gt;2001&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4" w:tooltip="Caderni G, 2001 #31" w:history="1">
        <w:r w:rsidR="00AB7E17">
          <w:rPr>
            <w:rFonts w:ascii="Arial" w:hAnsi="Arial" w:cs="Arial"/>
            <w:noProof/>
            <w:color w:val="000000"/>
            <w:sz w:val="24"/>
            <w:szCs w:val="24"/>
            <w:shd w:val="clear" w:color="auto" w:fill="FFFFFF"/>
          </w:rPr>
          <w:t>34</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These findings contrast to what happens </w:t>
      </w:r>
      <w:r>
        <w:rPr>
          <w:rFonts w:ascii="Arial" w:hAnsi="Arial" w:cs="Arial"/>
          <w:i/>
          <w:color w:val="000000"/>
          <w:sz w:val="24"/>
          <w:szCs w:val="24"/>
          <w:shd w:val="clear" w:color="auto" w:fill="FFFFFF"/>
        </w:rPr>
        <w:t>in vitro</w:t>
      </w:r>
      <w:r>
        <w:rPr>
          <w:rFonts w:ascii="Arial" w:hAnsi="Arial" w:cs="Arial"/>
          <w:color w:val="000000"/>
          <w:sz w:val="24"/>
          <w:szCs w:val="24"/>
          <w:shd w:val="clear" w:color="auto" w:fill="FFFFFF"/>
        </w:rPr>
        <w:t xml:space="preserve">, as previously shown by Chirakkal </w:t>
      </w:r>
      <w:r>
        <w:rPr>
          <w:rFonts w:ascii="Arial" w:hAnsi="Arial" w:cs="Arial"/>
          <w:i/>
          <w:color w:val="000000"/>
          <w:sz w:val="24"/>
          <w:szCs w:val="24"/>
          <w:shd w:val="clear" w:color="auto" w:fill="FFFFFF"/>
        </w:rPr>
        <w:t xml:space="preserve">et al., </w:t>
      </w:r>
      <w:r>
        <w:rPr>
          <w:rFonts w:ascii="Arial" w:hAnsi="Arial" w:cs="Arial"/>
          <w:color w:val="000000"/>
          <w:sz w:val="24"/>
          <w:szCs w:val="24"/>
          <w:shd w:val="clear" w:color="auto" w:fill="FFFFFF"/>
        </w:rPr>
        <w:t xml:space="preserve">2006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&lt;EndNote&gt;&lt;Cite&gt;&lt;Author&gt;Chirakkal H&lt;/Author&gt;&lt;Year&gt;2006&lt;/Year&gt;&lt;RecNum&gt;43&lt;/RecNum&gt;&lt;DisplayText&gt;(25)&lt;/DisplayText&gt;&lt;record&gt;&lt;rec-number&gt;43&lt;/rec-number&gt;&lt;foreign-keys&gt;&lt;key app="EN" db-id="zxp9w5sa30aeafes0xox2eem00dz2z2aswad"&gt;43&lt;/key&gt;&lt;key app="ENWeb" db-id="UG1-3grtqigAAEqvEt0"&gt;37&lt;/key&gt;&lt;/foreign-keys&gt;&lt;ref-type name="Journal Article"&gt;17&lt;/ref-type&gt;&lt;contributors&gt;&lt;authors&gt;&lt;author&gt;Chirakkal H,&lt;/author&gt;&lt;author&gt;Leech S,&lt;/author&gt;&lt;author&gt;Brookes K,&lt;/author&gt;&lt;author&gt;Prais A,&lt;/author&gt;&lt;author&gt;Waby J,&lt;/author&gt;&lt;author&gt;Corfe B,&lt;/author&gt;&lt;/authors&gt;&lt;/contributors&gt;&lt;titles&gt;&lt;title&gt;Upregulation of Bak by butyrate in the colon is associated with increased Sp3 binding&lt;/title&gt;&lt;secondary-title&gt;Oncogene&lt;/secondary-title&gt;&lt;/titles&gt;&lt;periodical&gt;&lt;full-title&gt;Oncogene&lt;/full-title&gt;&lt;/periodical&gt;&lt;pages&gt;7192-200&lt;/pages&gt;&lt;volume&gt;25&lt;/volume&gt;&lt;number&gt;54&lt;/number&gt;&lt;dates&gt;&lt;year&gt;2006&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25" w:tooltip="Chirakkal H, 2006 #43" w:history="1">
        <w:r w:rsidR="00AB7E17">
          <w:rPr>
            <w:rFonts w:ascii="Arial" w:hAnsi="Arial" w:cs="Arial"/>
            <w:noProof/>
            <w:color w:val="000000"/>
            <w:sz w:val="24"/>
            <w:szCs w:val="24"/>
            <w:shd w:val="clear" w:color="auto" w:fill="FFFFFF"/>
          </w:rPr>
          <w:t>25</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Another intestinal neoplasia inducer, 1, 2-dimethylhydrazine was used by Freeman H, 1986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&lt;EndNote&gt;&lt;Cite&gt;&lt;Author&gt;Freeman H&lt;/Author&gt;&lt;Year&gt;1986&lt;/Year&gt;&lt;RecNum&gt;76&lt;/RecNum&gt;&lt;DisplayText&gt;(31)&lt;/DisplayText&gt;&lt;record&gt;&lt;rec-number&gt;76&lt;/rec-number&gt;&lt;foreign-keys&gt;&lt;key app="EN" db-id="zxp9w5sa30aeafes0xox2eem00dz2z2aswad"&gt;76&lt;/key&gt;&lt;key app="ENWeb" db-id="UG1-3grtqigAAEqvEt0"&gt;395&lt;/key&gt;&lt;/foreign-keys&gt;&lt;ref-type name="Journal Article"&gt;17&lt;/ref-type&gt;&lt;contributors&gt;&lt;authors&gt;&lt;author&gt;Freeman H,&lt;/author&gt;&lt;/authors&gt;&lt;/contributors&gt;&lt;titles&gt;&lt;title&gt;Effects of differing concentrations of sodium butyrate on 1, 2-dimethylhydrazine-induced rat intestinal neoplasia&lt;/title&gt;&lt;secondary-title&gt;Gastroenterology&lt;/secondary-title&gt;&lt;/titles&gt;&lt;periodical&gt;&lt;full-title&gt;Gastroenterology&lt;/full-title&gt;&lt;/periodical&gt;&lt;pages&gt;596-602&lt;/pages&gt;&lt;volume&gt;91&lt;/volume&gt;&lt;number&gt;3&lt;/number&gt;&lt;dates&gt;&lt;year&gt;1986&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31" w:tooltip="Freeman H, 1986 #76" w:history="1">
        <w:r w:rsidR="00AB7E17">
          <w:rPr>
            <w:rFonts w:ascii="Arial" w:hAnsi="Arial" w:cs="Arial"/>
            <w:noProof/>
            <w:color w:val="000000"/>
            <w:sz w:val="24"/>
            <w:szCs w:val="24"/>
            <w:shd w:val="clear" w:color="auto" w:fill="FFFFFF"/>
          </w:rPr>
          <w:t>31</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to show the induction of colonic neoplastic development by butyrate with no incidence in small bowel tumours in rats</w:t>
      </w:r>
      <w:r>
        <w:rPr>
          <w:rFonts w:ascii="Arial" w:eastAsiaTheme="minorHAnsi" w:hAnsi="Arial" w:cs="Arial"/>
          <w:sz w:val="24"/>
          <w:szCs w:val="24"/>
          <w:lang w:eastAsia="en-US"/>
        </w:rPr>
        <w:t xml:space="preserve">. A lack of effect in terms of tumour incidence and number was also shown by Deschner </w:t>
      </w:r>
      <w:r>
        <w:rPr>
          <w:rFonts w:ascii="Arial" w:eastAsiaTheme="minorHAnsi" w:hAnsi="Arial" w:cs="Arial"/>
          <w:i/>
          <w:sz w:val="24"/>
          <w:szCs w:val="24"/>
          <w:lang w:eastAsia="en-US"/>
        </w:rPr>
        <w:t xml:space="preserve">et al., </w:t>
      </w:r>
      <w:r>
        <w:rPr>
          <w:rFonts w:ascii="Arial" w:eastAsiaTheme="minorHAnsi" w:hAnsi="Arial" w:cs="Arial"/>
          <w:sz w:val="24"/>
          <w:szCs w:val="24"/>
          <w:lang w:eastAsia="en-US"/>
        </w:rPr>
        <w:t xml:space="preserve">1990 </w:t>
      </w:r>
      <w:r w:rsidR="006C2756" w:rsidRPr="00B9728C">
        <w:rPr>
          <w:rFonts w:ascii="Arial" w:eastAsiaTheme="minorHAnsi" w:hAnsi="Arial" w:cs="Arial"/>
          <w:sz w:val="24"/>
          <w:szCs w:val="24"/>
          <w:lang w:eastAsia="en-US"/>
        </w:rPr>
        <w:fldChar w:fldCharType="begin"/>
      </w:r>
      <w:r w:rsidR="000B3EAF">
        <w:rPr>
          <w:rFonts w:ascii="Arial" w:eastAsiaTheme="minorHAnsi" w:hAnsi="Arial" w:cs="Arial"/>
          <w:sz w:val="24"/>
          <w:szCs w:val="24"/>
          <w:lang w:eastAsia="en-US"/>
        </w:rPr>
        <w:instrText xml:space="preserve"> ADDIN EN.CITE &lt;EndNote&gt;&lt;Cite&gt;&lt;Author&gt;Deschner E&lt;/Author&gt;&lt;Year&gt;1990&lt;/Year&gt;&lt;RecNum&gt;67&lt;/RecNum&gt;&lt;DisplayText&gt;(33)&lt;/DisplayText&gt;&lt;record&gt;&lt;rec-number&gt;67&lt;/rec-number&gt;&lt;foreign-keys&gt;&lt;key app="EN" db-id="zxp9w5sa30aeafes0xox2eem00dz2z2aswad"&gt;67&lt;/key&gt;&lt;key app="ENWeb" db-id="UG1-3grtqigAAEqvEt0"&gt;397&lt;/key&gt;&lt;/foreign-keys&gt;&lt;ref-type name="Journal Article"&gt;17&lt;/ref-type&gt;&lt;contributors&gt;&lt;authors&gt;&lt;author&gt;Deschner E,&lt;/author&gt;&lt;author&gt;Ruperto J,&lt;/author&gt;&lt;author&gt;Lupton J,&lt;/author&gt;&lt;/authors&gt;&lt;/contributors&gt;&lt;titles&gt;&lt;title&gt;Dietary butyrate (tributyrin) does not enhance AOM-induced colon tumorigenesis&lt;/title&gt;&lt;secondary-title&gt;Cancer Lett&lt;/secondary-title&gt;&lt;/titles&gt;&lt;periodical&gt;&lt;full-title&gt;Cancer Lett&lt;/full-title&gt;&lt;/periodical&gt;&lt;pages&gt;79-82&lt;/pages&gt;&lt;volume&gt;52&lt;/volume&gt;&lt;number&gt;1&lt;/number&gt;&lt;dates&gt;&lt;year&gt;1990&lt;/year&gt;&lt;/dates&gt;&lt;urls&gt;&lt;/urls&gt;&lt;/record&gt;&lt;/Cite&gt;&lt;/EndNote&gt;</w:instrText>
      </w:r>
      <w:r w:rsidR="006C2756" w:rsidRPr="00B9728C">
        <w:rPr>
          <w:rFonts w:ascii="Arial" w:eastAsiaTheme="minorHAnsi" w:hAnsi="Arial" w:cs="Arial"/>
          <w:sz w:val="24"/>
          <w:szCs w:val="24"/>
          <w:lang w:eastAsia="en-US"/>
        </w:rPr>
        <w:fldChar w:fldCharType="separate"/>
      </w:r>
      <w:r w:rsidR="000B3EAF">
        <w:rPr>
          <w:rFonts w:ascii="Arial" w:eastAsiaTheme="minorHAnsi" w:hAnsi="Arial" w:cs="Arial"/>
          <w:noProof/>
          <w:sz w:val="24"/>
          <w:szCs w:val="24"/>
          <w:lang w:eastAsia="en-US"/>
        </w:rPr>
        <w:t>(</w:t>
      </w:r>
      <w:hyperlink w:anchor="_ENREF_33" w:tooltip="Deschner E, 1990 #67" w:history="1">
        <w:r w:rsidR="00AB7E17">
          <w:rPr>
            <w:rFonts w:ascii="Arial" w:eastAsiaTheme="minorHAnsi" w:hAnsi="Arial" w:cs="Arial"/>
            <w:noProof/>
            <w:sz w:val="24"/>
            <w:szCs w:val="24"/>
            <w:lang w:eastAsia="en-US"/>
          </w:rPr>
          <w:t>33</w:t>
        </w:r>
      </w:hyperlink>
      <w:r w:rsidR="000B3EAF">
        <w:rPr>
          <w:rFonts w:ascii="Arial" w:eastAsiaTheme="minorHAnsi" w:hAnsi="Arial" w:cs="Arial"/>
          <w:noProof/>
          <w:sz w:val="24"/>
          <w:szCs w:val="24"/>
          <w:lang w:eastAsia="en-US"/>
        </w:rPr>
        <w:t>)</w:t>
      </w:r>
      <w:r w:rsidR="006C2756" w:rsidRPr="00B9728C">
        <w:rPr>
          <w:rFonts w:ascii="Arial" w:eastAsiaTheme="minorHAnsi" w:hAnsi="Arial" w:cs="Arial"/>
          <w:sz w:val="24"/>
          <w:szCs w:val="24"/>
          <w:lang w:eastAsia="en-US"/>
        </w:rPr>
        <w:fldChar w:fldCharType="end"/>
      </w:r>
      <w:r>
        <w:rPr>
          <w:rFonts w:ascii="Arial" w:eastAsiaTheme="minorHAnsi" w:hAnsi="Arial" w:cs="Arial"/>
          <w:sz w:val="24"/>
          <w:szCs w:val="24"/>
          <w:lang w:eastAsia="en-US"/>
        </w:rPr>
        <w:t xml:space="preserve"> by using tributyrin.</w:t>
      </w:r>
    </w:p>
    <w:p w:rsidR="00EF1380" w:rsidRDefault="00EF1380" w:rsidP="00EF1380">
      <w:pPr>
        <w:shd w:val="clear" w:color="auto" w:fill="FFFFFF"/>
        <w:spacing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Warburg effect, the change from oxidative metabolism to aerobic glycolysis in cancer cells, might be the reason of the “butyrate paradox” </w:t>
      </w:r>
      <w:r w:rsidR="006C2756" w:rsidRPr="00C40897">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&lt;EndNote&gt;&lt;Cite&gt;&lt;Author&gt;Burgess D&lt;/Author&gt;&lt;Year&gt;2012&lt;/Year&gt;&lt;RecNum&gt;30&lt;/RecNum&gt;&lt;DisplayText&gt;(5)&lt;/DisplayText&gt;&lt;record&gt;&lt;rec-number&gt;30&lt;/rec-number&gt;&lt;foreign-keys&gt;&lt;key app="EN" db-id="zxp9w5sa30aeafes0xox2eem00dz2z2aswad"&gt;30&lt;/key&gt;&lt;key app="ENWeb" db-id="UG1-3grtqigAAEqvEt0"&gt;393&lt;/key&gt;&lt;/foreign-keys&gt;&lt;ref-type name="Journal Article"&gt;17&lt;/ref-type&gt;&lt;contributors&gt;&lt;authors&gt;&lt;author&gt;Burgess D,&lt;/author&gt;&lt;/authors&gt;&lt;/contributors&gt;&lt;titles&gt;&lt;title&gt;Metabolism: Warburg behind the butyrate paradox?&lt;/title&gt;&lt;secondary-title&gt;Nat Rev Cancer&lt;/secondary-title&gt;&lt;/titles&gt;&lt;periodical&gt;&lt;full-title&gt;Nat Rev Cancer&lt;/full-title&gt;&lt;/periodical&gt;&lt;pages&gt;798&lt;/pages&gt;&lt;volume&gt;12&lt;/volume&gt;&lt;number&gt;12&lt;/number&gt;&lt;dates&gt;&lt;year&gt;2012&lt;/year&gt;&lt;/dates&gt;&lt;urls&gt;&lt;/urls&gt;&lt;/record&gt;&lt;/Cite&gt;&lt;/EndNote&gt;</w:instrText>
      </w:r>
      <w:r w:rsidR="006C2756" w:rsidRPr="00C40897">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5" w:tooltip="Burgess D, 2012 #30" w:history="1">
        <w:r w:rsidR="00AB7E17">
          <w:rPr>
            <w:rFonts w:ascii="Arial" w:hAnsi="Arial" w:cs="Arial"/>
            <w:noProof/>
            <w:color w:val="000000"/>
            <w:sz w:val="24"/>
            <w:szCs w:val="24"/>
            <w:shd w:val="clear" w:color="auto" w:fill="FFFFFF"/>
          </w:rPr>
          <w:t>5</w:t>
        </w:r>
      </w:hyperlink>
      <w:r w:rsidR="000B3EAF">
        <w:rPr>
          <w:rFonts w:ascii="Arial" w:hAnsi="Arial" w:cs="Arial"/>
          <w:noProof/>
          <w:color w:val="000000"/>
          <w:sz w:val="24"/>
          <w:szCs w:val="24"/>
          <w:shd w:val="clear" w:color="auto" w:fill="FFFFFF"/>
        </w:rPr>
        <w:t>)</w:t>
      </w:r>
      <w:r w:rsidR="006C2756" w:rsidRPr="00C40897">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Burgess D, 2012 </w:t>
      </w:r>
      <w:r w:rsidR="006C2756" w:rsidRPr="00C40897">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&lt;EndNote&gt;&lt;Cite&gt;&lt;Author&gt;Burgess D&lt;/Author&gt;&lt;Year&gt;2012&lt;/Year&gt;&lt;RecNum&gt;30&lt;/RecNum&gt;&lt;DisplayText&gt;(5)&lt;/DisplayText&gt;&lt;record&gt;&lt;rec-number&gt;30&lt;/rec-number&gt;&lt;foreign-keys&gt;&lt;key app="EN" db-id="zxp9w5sa30aeafes0xox2eem00dz2z2aswad"&gt;30&lt;/key&gt;&lt;key app="ENWeb" db-id="UG1-3grtqigAAEqvEt0"&gt;393&lt;/key&gt;&lt;/foreign-keys&gt;&lt;ref-type name="Journal Article"&gt;17&lt;/ref-type&gt;&lt;contributors&gt;&lt;authors&gt;&lt;author&gt;Burgess D,&lt;/author&gt;&lt;/authors&gt;&lt;/contributors&gt;&lt;titles&gt;&lt;title&gt;Metabolism: Warburg behind the butyrate paradox?&lt;/title&gt;&lt;secondary-title&gt;Nat Rev Cancer&lt;/secondary-title&gt;&lt;/titles&gt;&lt;periodical&gt;&lt;full-title&gt;Nat Rev Cancer&lt;/full-title&gt;&lt;/periodical&gt;&lt;pages&gt;798&lt;/pages&gt;&lt;volume&gt;12&lt;/volume&gt;&lt;number&gt;12&lt;/number&gt;&lt;dates&gt;&lt;year&gt;2012&lt;/year&gt;&lt;/dates&gt;&lt;urls&gt;&lt;/urls&gt;&lt;/record&gt;&lt;/Cite&gt;&lt;/EndNote&gt;</w:instrText>
      </w:r>
      <w:r w:rsidR="006C2756" w:rsidRPr="00C40897">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5" w:tooltip="Burgess D, 2012 #30" w:history="1">
        <w:r w:rsidR="00AB7E17">
          <w:rPr>
            <w:rFonts w:ascii="Arial" w:hAnsi="Arial" w:cs="Arial"/>
            <w:noProof/>
            <w:color w:val="000000"/>
            <w:sz w:val="24"/>
            <w:szCs w:val="24"/>
            <w:shd w:val="clear" w:color="auto" w:fill="FFFFFF"/>
          </w:rPr>
          <w:t>5</w:t>
        </w:r>
      </w:hyperlink>
      <w:r w:rsidR="000B3EAF">
        <w:rPr>
          <w:rFonts w:ascii="Arial" w:hAnsi="Arial" w:cs="Arial"/>
          <w:noProof/>
          <w:color w:val="000000"/>
          <w:sz w:val="24"/>
          <w:szCs w:val="24"/>
          <w:shd w:val="clear" w:color="auto" w:fill="FFFFFF"/>
        </w:rPr>
        <w:t>)</w:t>
      </w:r>
      <w:r w:rsidR="006C2756" w:rsidRPr="00C40897">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propose this based on </w:t>
      </w:r>
      <w:r w:rsidRPr="009D5F68">
        <w:rPr>
          <w:rFonts w:ascii="Arial" w:hAnsi="Arial" w:cs="Arial"/>
          <w:color w:val="000000"/>
          <w:sz w:val="24"/>
          <w:szCs w:val="24"/>
          <w:shd w:val="clear" w:color="auto" w:fill="FFFFFF"/>
        </w:rPr>
        <w:t xml:space="preserve">Donohoe </w:t>
      </w:r>
      <w:r w:rsidRPr="009D5F68">
        <w:rPr>
          <w:rFonts w:ascii="Arial" w:hAnsi="Arial" w:cs="Arial"/>
          <w:i/>
          <w:color w:val="000000"/>
          <w:sz w:val="24"/>
          <w:szCs w:val="24"/>
          <w:shd w:val="clear" w:color="auto" w:fill="FFFFFF"/>
        </w:rPr>
        <w:t>et al</w:t>
      </w:r>
      <w:r w:rsidRPr="009D5F68">
        <w:rPr>
          <w:rFonts w:ascii="Arial" w:hAnsi="Arial" w:cs="Arial"/>
          <w:color w:val="000000"/>
          <w:sz w:val="24"/>
          <w:szCs w:val="24"/>
          <w:shd w:val="clear" w:color="auto" w:fill="FFFFFF"/>
        </w:rPr>
        <w:t>., 2012 study</w:t>
      </w:r>
      <w:r>
        <w:rPr>
          <w:rFonts w:ascii="Arial" w:hAnsi="Arial" w:cs="Arial"/>
          <w:color w:val="000000"/>
          <w:sz w:val="24"/>
          <w:szCs w:val="24"/>
          <w:shd w:val="clear" w:color="auto" w:fill="FFFFFF"/>
        </w:rPr>
        <w:t xml:space="preserve"> </w:t>
      </w:r>
      <w:r w:rsidR="006C2756">
        <w:rPr>
          <w:rFonts w:ascii="Arial" w:hAnsi="Arial" w:cs="Arial"/>
          <w:color w:val="000000"/>
          <w:sz w:val="24"/>
          <w:szCs w:val="24"/>
          <w:shd w:val="clear" w:color="auto" w:fill="FFFFFF"/>
        </w:rPr>
        <w:fldChar w:fldCharType="begin"/>
      </w:r>
      <w:r w:rsidR="000B3EAF">
        <w:rPr>
          <w:rFonts w:ascii="Arial" w:hAnsi="Arial" w:cs="Arial"/>
          <w:color w:val="000000"/>
          <w:sz w:val="24"/>
          <w:szCs w:val="24"/>
          <w:shd w:val="clear" w:color="auto" w:fill="FFFFFF"/>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Fonts w:ascii="Arial" w:hAnsi="Arial" w:cs="Arial"/>
          <w:color w:val="000000"/>
          <w:sz w:val="24"/>
          <w:szCs w:val="24"/>
          <w:shd w:val="clear" w:color="auto" w:fill="FFFFFF"/>
        </w:rPr>
        <w:fldChar w:fldCharType="separate"/>
      </w:r>
      <w:r w:rsidR="000B3EAF">
        <w:rPr>
          <w:rFonts w:ascii="Arial" w:hAnsi="Arial" w:cs="Arial"/>
          <w:noProof/>
          <w:color w:val="000000"/>
          <w:sz w:val="24"/>
          <w:szCs w:val="24"/>
          <w:shd w:val="clear" w:color="auto" w:fill="FFFFFF"/>
        </w:rPr>
        <w:t>(</w:t>
      </w:r>
      <w:hyperlink w:anchor="_ENREF_4" w:tooltip="Donohoe D, 2012 #71" w:history="1">
        <w:r w:rsidR="00AB7E17">
          <w:rPr>
            <w:rFonts w:ascii="Arial" w:hAnsi="Arial" w:cs="Arial"/>
            <w:noProof/>
            <w:color w:val="000000"/>
            <w:sz w:val="24"/>
            <w:szCs w:val="24"/>
            <w:shd w:val="clear" w:color="auto" w:fill="FFFFFF"/>
          </w:rPr>
          <w:t>4</w:t>
        </w:r>
      </w:hyperlink>
      <w:r w:rsidR="000B3EAF">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sidRPr="009D5F6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This study was focused in the role of butyrate on histone acetylation. According to their findings, this role is more complex than what was established before. For example, whilst butyrate is being metabolised to acetyl-CoA in the mitochondria, it stimulates lysine acetyltransferases (KATs) activity, enhancing the acetylation of histones. This role of butyrate stimulating KATs is </w:t>
      </w:r>
      <w:r w:rsidR="00B45094">
        <w:rPr>
          <w:rFonts w:ascii="Arial" w:hAnsi="Arial" w:cs="Arial"/>
          <w:color w:val="000000"/>
          <w:sz w:val="24"/>
          <w:szCs w:val="24"/>
          <w:shd w:val="clear" w:color="auto" w:fill="FFFFFF"/>
        </w:rPr>
        <w:t>combined</w:t>
      </w:r>
      <w:r>
        <w:rPr>
          <w:rFonts w:ascii="Arial" w:hAnsi="Arial" w:cs="Arial"/>
          <w:color w:val="000000"/>
          <w:sz w:val="24"/>
          <w:szCs w:val="24"/>
          <w:shd w:val="clear" w:color="auto" w:fill="FFFFFF"/>
        </w:rPr>
        <w:t xml:space="preserve"> with its traditional role as KDACi. The new role of increasing KATs activity is coupled to another remarkable finding, that butyrate can control cell metabolism state. They suggested that based on the metabolic state of the cell, presence or absence of the Warburg effect, the control of cellular metabolism can be achieved by butyrate and acetyl-CoA, depending on their concentrations in the nucleus. The concentrations of butyrate in the nucleus determine </w:t>
      </w:r>
      <w:r w:rsidR="00525B98">
        <w:rPr>
          <w:rFonts w:ascii="Arial" w:hAnsi="Arial" w:cs="Arial"/>
          <w:color w:val="000000"/>
          <w:sz w:val="24"/>
          <w:szCs w:val="24"/>
          <w:shd w:val="clear" w:color="auto" w:fill="FFFFFF"/>
        </w:rPr>
        <w:t xml:space="preserve">whether </w:t>
      </w:r>
      <w:r>
        <w:rPr>
          <w:rFonts w:ascii="Arial" w:hAnsi="Arial" w:cs="Arial"/>
          <w:color w:val="000000"/>
          <w:sz w:val="24"/>
          <w:szCs w:val="24"/>
          <w:shd w:val="clear" w:color="auto" w:fill="FFFFFF"/>
        </w:rPr>
        <w:t xml:space="preserve">butyrate inhibits KDACs or enhances KATs, controlling the expression of different target genes. Not only the concentration, </w:t>
      </w:r>
      <w:r w:rsidR="00525B98">
        <w:rPr>
          <w:rFonts w:ascii="Arial" w:hAnsi="Arial" w:cs="Arial"/>
          <w:color w:val="000000"/>
          <w:sz w:val="24"/>
          <w:szCs w:val="24"/>
          <w:shd w:val="clear" w:color="auto" w:fill="FFFFFF"/>
        </w:rPr>
        <w:t xml:space="preserve">or </w:t>
      </w:r>
      <w:r>
        <w:rPr>
          <w:rFonts w:ascii="Arial" w:hAnsi="Arial" w:cs="Arial"/>
          <w:color w:val="000000"/>
          <w:sz w:val="24"/>
          <w:szCs w:val="24"/>
          <w:shd w:val="clear" w:color="auto" w:fill="FFFFFF"/>
        </w:rPr>
        <w:t xml:space="preserve">if butyrate is used </w:t>
      </w:r>
      <w:r>
        <w:rPr>
          <w:rFonts w:ascii="Arial" w:hAnsi="Arial" w:cs="Arial"/>
          <w:i/>
          <w:color w:val="000000"/>
          <w:sz w:val="24"/>
          <w:szCs w:val="24"/>
          <w:shd w:val="clear" w:color="auto" w:fill="FFFFFF"/>
        </w:rPr>
        <w:t xml:space="preserve">in vivo </w:t>
      </w:r>
      <w:r>
        <w:rPr>
          <w:rFonts w:ascii="Arial" w:hAnsi="Arial" w:cs="Arial"/>
          <w:color w:val="000000"/>
          <w:sz w:val="24"/>
          <w:szCs w:val="24"/>
          <w:shd w:val="clear" w:color="auto" w:fill="FFFFFF"/>
        </w:rPr>
        <w:t xml:space="preserve">or </w:t>
      </w:r>
      <w:r>
        <w:rPr>
          <w:rFonts w:ascii="Arial" w:hAnsi="Arial" w:cs="Arial"/>
          <w:i/>
          <w:color w:val="000000"/>
          <w:sz w:val="24"/>
          <w:szCs w:val="24"/>
          <w:shd w:val="clear" w:color="auto" w:fill="FFFFFF"/>
        </w:rPr>
        <w:t>in vitro</w:t>
      </w:r>
      <w:r>
        <w:rPr>
          <w:rFonts w:ascii="Arial" w:hAnsi="Arial" w:cs="Arial"/>
          <w:color w:val="000000"/>
          <w:sz w:val="24"/>
          <w:szCs w:val="24"/>
          <w:shd w:val="clear" w:color="auto" w:fill="FFFFFF"/>
        </w:rPr>
        <w:t>,</w:t>
      </w:r>
      <w:r>
        <w:rPr>
          <w:rFonts w:ascii="Arial" w:hAnsi="Arial" w:cs="Arial"/>
          <w:i/>
          <w:color w:val="000000"/>
          <w:sz w:val="24"/>
          <w:szCs w:val="24"/>
          <w:shd w:val="clear" w:color="auto" w:fill="FFFFFF"/>
        </w:rPr>
        <w:t xml:space="preserve"> </w:t>
      </w:r>
      <w:r>
        <w:rPr>
          <w:rFonts w:ascii="Arial" w:hAnsi="Arial" w:cs="Arial"/>
          <w:color w:val="000000"/>
          <w:sz w:val="24"/>
          <w:szCs w:val="24"/>
          <w:shd w:val="clear" w:color="auto" w:fill="FFFFFF"/>
        </w:rPr>
        <w:t xml:space="preserve">or the mitochondrial metabolism are the only features related to the “butyrate paradox”. An alternative feature that might help to </w:t>
      </w:r>
      <w:r>
        <w:rPr>
          <w:rFonts w:ascii="Arial" w:hAnsi="Arial" w:cs="Arial"/>
          <w:color w:val="000000"/>
          <w:sz w:val="24"/>
          <w:szCs w:val="24"/>
          <w:shd w:val="clear" w:color="auto" w:fill="FFFFFF"/>
        </w:rPr>
        <w:lastRenderedPageBreak/>
        <w:t xml:space="preserve">elucidate this </w:t>
      </w:r>
      <w:r w:rsidR="006A2D7E">
        <w:rPr>
          <w:rFonts w:ascii="Arial" w:hAnsi="Arial" w:cs="Arial"/>
          <w:color w:val="000000"/>
          <w:sz w:val="24"/>
          <w:szCs w:val="24"/>
          <w:shd w:val="clear" w:color="auto" w:fill="FFFFFF"/>
        </w:rPr>
        <w:t>paradox</w:t>
      </w:r>
      <w:r>
        <w:rPr>
          <w:rFonts w:ascii="Arial" w:hAnsi="Arial" w:cs="Arial"/>
          <w:color w:val="000000"/>
          <w:sz w:val="24"/>
          <w:szCs w:val="24"/>
          <w:shd w:val="clear" w:color="auto" w:fill="FFFFFF"/>
        </w:rPr>
        <w:t xml:space="preserve"> is the </w:t>
      </w:r>
      <w:r w:rsidR="00096B85">
        <w:rPr>
          <w:rFonts w:ascii="Arial" w:hAnsi="Arial" w:cs="Arial"/>
          <w:color w:val="000000"/>
          <w:sz w:val="24"/>
          <w:szCs w:val="24"/>
          <w:shd w:val="clear" w:color="auto" w:fill="FFFFFF"/>
        </w:rPr>
        <w:t xml:space="preserve">effect of butyrate </w:t>
      </w:r>
      <w:r w:rsidR="00024096">
        <w:rPr>
          <w:rFonts w:ascii="Arial" w:hAnsi="Arial" w:cs="Arial"/>
          <w:color w:val="000000"/>
          <w:sz w:val="24"/>
          <w:szCs w:val="24"/>
          <w:shd w:val="clear" w:color="auto" w:fill="FFFFFF"/>
        </w:rPr>
        <w:t xml:space="preserve">on cancer development </w:t>
      </w:r>
      <w:r w:rsidR="00096B85">
        <w:rPr>
          <w:rFonts w:ascii="Arial" w:hAnsi="Arial" w:cs="Arial"/>
          <w:color w:val="000000"/>
          <w:sz w:val="24"/>
          <w:szCs w:val="24"/>
          <w:shd w:val="clear" w:color="auto" w:fill="FFFFFF"/>
        </w:rPr>
        <w:t>which depends on the time of administration</w:t>
      </w:r>
      <w:r w:rsidR="00024096">
        <w:rPr>
          <w:rFonts w:ascii="Arial" w:hAnsi="Arial" w:cs="Arial"/>
          <w:color w:val="000000"/>
          <w:sz w:val="24"/>
          <w:szCs w:val="24"/>
          <w:shd w:val="clear" w:color="auto" w:fill="FFFFFF"/>
        </w:rPr>
        <w:t xml:space="preserve">, since there are different outcomes in the </w:t>
      </w:r>
      <w:r>
        <w:rPr>
          <w:rFonts w:ascii="Arial" w:hAnsi="Arial" w:cs="Arial"/>
          <w:color w:val="000000"/>
          <w:sz w:val="24"/>
          <w:szCs w:val="24"/>
          <w:shd w:val="clear" w:color="auto" w:fill="FFFFFF"/>
        </w:rPr>
        <w:t xml:space="preserve">development of the polyps </w:t>
      </w:r>
      <w:r w:rsidR="00024096">
        <w:rPr>
          <w:rFonts w:ascii="Arial" w:hAnsi="Arial" w:cs="Arial"/>
          <w:color w:val="000000"/>
          <w:sz w:val="24"/>
          <w:szCs w:val="24"/>
          <w:shd w:val="clear" w:color="auto" w:fill="FFFFFF"/>
        </w:rPr>
        <w:t>depending on</w:t>
      </w:r>
      <w:r>
        <w:rPr>
          <w:rFonts w:ascii="Arial" w:hAnsi="Arial" w:cs="Arial"/>
          <w:color w:val="000000"/>
          <w:sz w:val="24"/>
          <w:szCs w:val="24"/>
          <w:shd w:val="clear" w:color="auto" w:fill="FFFFFF"/>
        </w:rPr>
        <w:t xml:space="preserve"> the time </w:t>
      </w:r>
      <w:r w:rsidR="00024096">
        <w:rPr>
          <w:rFonts w:ascii="Arial" w:hAnsi="Arial" w:cs="Arial"/>
          <w:color w:val="000000"/>
          <w:sz w:val="24"/>
          <w:szCs w:val="24"/>
          <w:shd w:val="clear" w:color="auto" w:fill="FFFFFF"/>
        </w:rPr>
        <w:t xml:space="preserve">point </w:t>
      </w:r>
      <w:r>
        <w:rPr>
          <w:rFonts w:ascii="Arial" w:hAnsi="Arial" w:cs="Arial"/>
          <w:color w:val="000000"/>
          <w:sz w:val="24"/>
          <w:szCs w:val="24"/>
          <w:shd w:val="clear" w:color="auto" w:fill="FFFFFF"/>
        </w:rPr>
        <w:t>they are treated</w:t>
      </w:r>
      <w:r w:rsidR="00024096">
        <w:rPr>
          <w:rFonts w:ascii="Arial" w:hAnsi="Arial" w:cs="Arial"/>
          <w:color w:val="000000"/>
          <w:sz w:val="24"/>
          <w:szCs w:val="24"/>
          <w:shd w:val="clear" w:color="auto" w:fill="FFFFFF"/>
        </w:rPr>
        <w:t xml:space="preserve">. </w:t>
      </w:r>
      <w:r w:rsidR="00627F45" w:rsidRPr="00627F45">
        <w:rPr>
          <w:rFonts w:ascii="Arial" w:hAnsi="Arial" w:cs="Arial"/>
          <w:sz w:val="24"/>
          <w:szCs w:val="24"/>
          <w:shd w:val="clear" w:color="auto" w:fill="FFFFFF"/>
        </w:rPr>
        <w:t>For example, the effect of butyrate on cancer development is an alternative feature that might help to elucidate the “butyrate paradox”. This effect depends on the time of administration, since there are different outcomes in the development of the polyps depending on the time point they are treated.</w:t>
      </w:r>
      <w:r w:rsidR="00627F45">
        <w:rPr>
          <w:rFonts w:ascii="Arial" w:hAnsi="Arial" w:cs="Arial"/>
          <w:sz w:val="24"/>
          <w:szCs w:val="24"/>
          <w:shd w:val="clear" w:color="auto" w:fill="FFFFFF"/>
        </w:rPr>
        <w:t xml:space="preserve"> </w:t>
      </w:r>
      <w:r w:rsidR="00024096">
        <w:rPr>
          <w:rFonts w:ascii="Arial" w:hAnsi="Arial" w:cs="Arial"/>
          <w:color w:val="000000"/>
          <w:sz w:val="24"/>
          <w:szCs w:val="24"/>
          <w:shd w:val="clear" w:color="auto" w:fill="FFFFFF"/>
        </w:rPr>
        <w:t>A</w:t>
      </w:r>
      <w:r>
        <w:rPr>
          <w:rFonts w:ascii="Arial" w:hAnsi="Arial" w:cs="Arial"/>
          <w:color w:val="000000"/>
          <w:sz w:val="24"/>
          <w:szCs w:val="24"/>
          <w:shd w:val="clear" w:color="auto" w:fill="FFFFFF"/>
        </w:rPr>
        <w:t xml:space="preserve">s proposed by Lupton J, 2004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&lt;EndNote&gt;&lt;Cite&gt;&lt;Author&gt;Lupton J&lt;/Author&gt;&lt;Year&gt;2004&lt;/Year&gt;&lt;RecNum&gt;160&lt;/RecNum&gt;&lt;DisplayText&gt;(39)&lt;/DisplayText&gt;&lt;record&gt;&lt;rec-number&gt;160&lt;/rec-number&gt;&lt;foreign-keys&gt;&lt;key app="EN" db-id="zxp9w5sa30aeafes0xox2eem00dz2z2aswad"&gt;160&lt;/key&gt;&lt;key app="ENWeb" db-id="UG1-3grtqigAAEqvEt0"&gt;350&lt;/key&gt;&lt;/foreign-keys&gt;&lt;ref-type name="Journal Article"&gt;17&lt;/ref-type&gt;&lt;contributors&gt;&lt;authors&gt;&lt;author&gt;Lupton J,&lt;/author&gt;&lt;/authors&gt;&lt;/contributors&gt;&lt;titles&gt;&lt;title&gt;Microbial degradation products influence colon cancer risk: the butyrate controversy&lt;/title&gt;&lt;secondary-title&gt;Journal of Nutrition&lt;/secondary-title&gt;&lt;/titles&gt;&lt;periodical&gt;&lt;full-title&gt;Journal of Nutrition&lt;/full-title&gt;&lt;/periodical&gt;&lt;pages&gt;479-482&lt;/pages&gt;&lt;volume&gt;134&lt;/volume&gt;&lt;number&gt;2&lt;/number&gt;&lt;dates&gt;&lt;year&gt;2004&lt;/year&gt;&lt;/dates&gt;&lt;urls&gt;&lt;/urls&gt;&lt;/record&gt;&lt;/Cite&gt;&lt;/EndNote&gt;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39" w:tooltip="Lupton J, 2004 #160" w:history="1">
        <w:r w:rsidR="00AB7E17">
          <w:rPr>
            <w:rFonts w:ascii="Arial" w:hAnsi="Arial" w:cs="Arial"/>
            <w:noProof/>
            <w:sz w:val="24"/>
            <w:szCs w:val="24"/>
          </w:rPr>
          <w:t>39</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t>
      </w:r>
      <w:r>
        <w:rPr>
          <w:rFonts w:ascii="Arial" w:hAnsi="Arial" w:cs="Arial"/>
          <w:color w:val="000000"/>
          <w:sz w:val="24"/>
          <w:szCs w:val="24"/>
          <w:shd w:val="clear" w:color="auto" w:fill="FFFFFF"/>
        </w:rPr>
        <w:t xml:space="preserve">at early stages of polyp formation a protective effect of butyrate is possible, whereas there is no protective effect in polyps turning into carcinoma. </w:t>
      </w:r>
    </w:p>
    <w:p w:rsidR="00EF1380" w:rsidRDefault="00EF1380" w:rsidP="00EF1380">
      <w:pPr>
        <w:spacing w:line="360" w:lineRule="auto"/>
        <w:ind w:firstLine="720"/>
        <w:jc w:val="both"/>
        <w:rPr>
          <w:rFonts w:ascii="Arial" w:hAnsi="Arial" w:cs="Arial"/>
          <w:sz w:val="24"/>
          <w:szCs w:val="24"/>
        </w:rPr>
      </w:pPr>
      <w:r>
        <w:rPr>
          <w:rFonts w:ascii="Arial" w:hAnsi="Arial" w:cs="Arial"/>
          <w:sz w:val="24"/>
          <w:szCs w:val="24"/>
        </w:rPr>
        <w:t xml:space="preserve">Corfe B, 2012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&lt;EndNote&gt;&lt;Cite&gt;&lt;Author&gt;Corfe B&lt;/Author&gt;&lt;Year&gt;2012&lt;/Year&gt;&lt;RecNum&gt;48&lt;/RecNum&gt;&lt;DisplayText&gt;(40)&lt;/DisplayText&gt;&lt;record&gt;&lt;rec-number&gt;48&lt;/rec-number&gt;&lt;foreign-keys&gt;&lt;key app="EN" db-id="zxp9w5sa30aeafes0xox2eem00dz2z2aswad"&gt;48&lt;/key&gt;&lt;key app="ENWeb" db-id="UG1-3grtqigAAEqvEt0"&gt;130&lt;/key&gt;&lt;/foreign-keys&gt;&lt;ref-type name="Journal Article"&gt;17&lt;/ref-type&gt;&lt;contributors&gt;&lt;authors&gt;&lt;author&gt;Corfe B,&lt;/author&gt;&lt;/authors&gt;&lt;/contributors&gt;&lt;titles&gt;&lt;title&gt;Hypothesis: butyrate is not an HDAC inhibitor, but a product inhibitor of deacetylation&lt;/title&gt;&lt;secondary-title&gt;Mol. BioSyst&lt;/secondary-title&gt;&lt;/titles&gt;&lt;periodical&gt;&lt;full-title&gt;Mol. BioSyst&lt;/full-title&gt;&lt;/periodical&gt;&lt;pages&gt;1609-12&lt;/pages&gt;&lt;volume&gt;8&lt;/volume&gt;&lt;number&gt;6&lt;/number&gt;&lt;dates&gt;&lt;year&gt;2012&lt;/year&gt;&lt;/dates&gt;&lt;urls&gt;&lt;/urls&gt;&lt;/record&gt;&lt;/Cite&gt;&lt;/EndNote&gt;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40" w:tooltip="Corfe B, 2012 #48" w:history="1">
        <w:r w:rsidR="00AB7E17">
          <w:rPr>
            <w:rFonts w:ascii="Arial" w:hAnsi="Arial" w:cs="Arial"/>
            <w:noProof/>
            <w:sz w:val="24"/>
            <w:szCs w:val="24"/>
          </w:rPr>
          <w:t>40</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proposed that the inhibitory mechanism of butyrate is related to the inhibition of deacetylation  rather than to the inhibition of deacetylase enzymes, based on Candido </w:t>
      </w:r>
      <w:r>
        <w:rPr>
          <w:rFonts w:ascii="Arial" w:hAnsi="Arial" w:cs="Arial"/>
          <w:i/>
          <w:sz w:val="24"/>
          <w:szCs w:val="24"/>
        </w:rPr>
        <w:t>et al.,</w:t>
      </w:r>
      <w:r w:rsidRPr="00831C69">
        <w:rPr>
          <w:rFonts w:ascii="Arial" w:hAnsi="Arial" w:cs="Arial"/>
          <w:sz w:val="24"/>
          <w:szCs w:val="24"/>
        </w:rPr>
        <w:t xml:space="preserve"> 1978 </w:t>
      </w:r>
      <w:r w:rsidR="006C2756" w:rsidRPr="00831C69">
        <w:rPr>
          <w:rFonts w:ascii="Arial" w:hAnsi="Arial" w:cs="Arial"/>
          <w:sz w:val="24"/>
          <w:szCs w:val="24"/>
        </w:rPr>
        <w:fldChar w:fldCharType="begin"/>
      </w:r>
      <w:r w:rsidR="000B3EAF">
        <w:rPr>
          <w:rFonts w:ascii="Arial" w:hAnsi="Arial" w:cs="Arial"/>
          <w:sz w:val="24"/>
          <w:szCs w:val="24"/>
        </w:rPr>
        <w:instrText xml:space="preserve"> ADDIN EN.CITE &lt;EndNote&gt;&lt;Cite&gt;&lt;Author&gt;Candido E&lt;/Author&gt;&lt;Year&gt;1978&lt;/Year&gt;&lt;RecNum&gt;34&lt;/RecNum&gt;&lt;DisplayText&gt;(41)&lt;/DisplayText&gt;&lt;record&gt;&lt;rec-number&gt;34&lt;/rec-number&gt;&lt;foreign-keys&gt;&lt;key app="EN" db-id="zxp9w5sa30aeafes0xox2eem00dz2z2aswad"&gt;34&lt;/key&gt;&lt;key app="ENWeb" db-id="UG1-3grtqigAAEqvEt0"&gt;360&lt;/key&gt;&lt;/foreign-keys&gt;&lt;ref-type name="Journal Article"&gt;17&lt;/ref-type&gt;&lt;contributors&gt;&lt;authors&gt;&lt;author&gt;Candido E,&lt;/author&gt;&lt;author&gt;Reeves R,&lt;/author&gt;&lt;author&gt;Davies J,&lt;/author&gt;&lt;/authors&gt;&lt;/contributors&gt;&lt;titles&gt;&lt;title&gt;Sodium butyrate inhibits histone deacetylation in culture cells&lt;/title&gt;&lt;secondary-title&gt;Cell&lt;/secondary-title&gt;&lt;/titles&gt;&lt;periodical&gt;&lt;full-title&gt;Cell&lt;/full-title&gt;&lt;/periodical&gt;&lt;pages&gt;105-113&lt;/pages&gt;&lt;volume&gt;14&lt;/volume&gt;&lt;number&gt;1&lt;/number&gt;&lt;dates&gt;&lt;year&gt;1978&lt;/year&gt;&lt;/dates&gt;&lt;urls&gt;&lt;/urls&gt;&lt;/record&gt;&lt;/Cite&gt;&lt;/EndNote&gt;</w:instrText>
      </w:r>
      <w:r w:rsidR="006C2756" w:rsidRPr="00831C69">
        <w:rPr>
          <w:rFonts w:ascii="Arial" w:hAnsi="Arial" w:cs="Arial"/>
          <w:sz w:val="24"/>
          <w:szCs w:val="24"/>
        </w:rPr>
        <w:fldChar w:fldCharType="separate"/>
      </w:r>
      <w:r w:rsidR="000B3EAF">
        <w:rPr>
          <w:rFonts w:ascii="Arial" w:hAnsi="Arial" w:cs="Arial"/>
          <w:noProof/>
          <w:sz w:val="24"/>
          <w:szCs w:val="24"/>
        </w:rPr>
        <w:t>(</w:t>
      </w:r>
      <w:hyperlink w:anchor="_ENREF_41" w:tooltip="Candido E, 1978 #34" w:history="1">
        <w:r w:rsidR="00AB7E17">
          <w:rPr>
            <w:rFonts w:ascii="Arial" w:hAnsi="Arial" w:cs="Arial"/>
            <w:noProof/>
            <w:sz w:val="24"/>
            <w:szCs w:val="24"/>
          </w:rPr>
          <w:t>41</w:t>
        </w:r>
      </w:hyperlink>
      <w:r w:rsidR="000B3EAF">
        <w:rPr>
          <w:rFonts w:ascii="Arial" w:hAnsi="Arial" w:cs="Arial"/>
          <w:noProof/>
          <w:sz w:val="24"/>
          <w:szCs w:val="24"/>
        </w:rPr>
        <w:t>)</w:t>
      </w:r>
      <w:r w:rsidR="006C2756" w:rsidRPr="00831C69">
        <w:rPr>
          <w:rFonts w:ascii="Arial" w:hAnsi="Arial" w:cs="Arial"/>
          <w:sz w:val="24"/>
          <w:szCs w:val="24"/>
        </w:rPr>
        <w:fldChar w:fldCharType="end"/>
      </w:r>
      <w:r>
        <w:rPr>
          <w:rFonts w:ascii="Arial" w:hAnsi="Arial" w:cs="Arial"/>
          <w:sz w:val="24"/>
          <w:szCs w:val="24"/>
        </w:rPr>
        <w:t xml:space="preserve"> original study. The way in which the inhibition of deacetylation takes place is due to a negative feedback, or a product inhibition event. The combination of a fatty acid and its ligated acyl-CoA form are substrates for protein acylation and are the products of deacetylation. The abundance of these acyl-CoA forms will consequently change the acylation and deacetylation equilibrium to the acylated state.</w:t>
      </w:r>
    </w:p>
    <w:p w:rsidR="00EF1380" w:rsidRPr="00394AD6" w:rsidRDefault="00EF1380" w:rsidP="00EF1380">
      <w:pPr>
        <w:pStyle w:val="Heading1"/>
        <w:rPr>
          <w:rFonts w:ascii="Arial" w:hAnsi="Arial" w:cs="Arial"/>
          <w:sz w:val="24"/>
          <w:szCs w:val="24"/>
          <w:lang w:val="en-US"/>
        </w:rPr>
      </w:pPr>
      <w:bookmarkStart w:id="11" w:name="_Toc379983944"/>
      <w:bookmarkStart w:id="12" w:name="_Toc413753742"/>
      <w:r>
        <w:rPr>
          <w:rFonts w:ascii="Arial" w:hAnsi="Arial" w:cs="Arial"/>
          <w:sz w:val="24"/>
          <w:szCs w:val="24"/>
          <w:lang w:val="en-US"/>
        </w:rPr>
        <w:t>I</w:t>
      </w:r>
      <w:r w:rsidRPr="00394AD6">
        <w:rPr>
          <w:rFonts w:ascii="Arial" w:hAnsi="Arial" w:cs="Arial"/>
          <w:sz w:val="24"/>
          <w:szCs w:val="24"/>
          <w:lang w:val="en-US"/>
        </w:rPr>
        <w:t>.2 Propionate</w:t>
      </w:r>
      <w:bookmarkEnd w:id="11"/>
      <w:bookmarkEnd w:id="12"/>
    </w:p>
    <w:p w:rsidR="00EF1380" w:rsidRDefault="00EF1380" w:rsidP="00EF1380">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Propionate is a SCFA that usually has a low cytotoxic effect, but when used at a higher than physiological concentrations (68.3mM) has been shown to have a cytotoxic effect, damaging DNA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&lt;EndNote&gt;&lt;Cite&gt;&lt;Author&gt;Waldecker M&lt;/Author&gt;&lt;Year&gt;2008&lt;/Year&gt;&lt;RecNum&gt;269&lt;/RecNum&gt;&lt;DisplayText&gt;(20)&lt;/DisplayText&gt;&lt;record&gt;&lt;rec-number&gt;269&lt;/rec-number&gt;&lt;foreign-keys&gt;&lt;key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20" w:tooltip="Waldecker M, 2008 #269" w:history="1">
        <w:r w:rsidR="00AB7E17">
          <w:rPr>
            <w:rFonts w:ascii="Arial" w:hAnsi="Arial" w:cs="Arial"/>
            <w:noProof/>
            <w:sz w:val="24"/>
            <w:szCs w:val="24"/>
          </w:rPr>
          <w:t>20</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The effect of propionate in terms of KDACs inhibition </w:t>
      </w:r>
      <w:r>
        <w:rPr>
          <w:rFonts w:ascii="Arial" w:hAnsi="Arial" w:cs="Arial"/>
          <w:i/>
          <w:sz w:val="24"/>
          <w:szCs w:val="24"/>
        </w:rPr>
        <w:t xml:space="preserve">in vitro </w:t>
      </w:r>
      <w:r>
        <w:rPr>
          <w:rFonts w:ascii="Arial" w:hAnsi="Arial" w:cs="Arial"/>
          <w:sz w:val="24"/>
          <w:szCs w:val="24"/>
        </w:rPr>
        <w:t xml:space="preserve">is not as potent as butyrate </w:t>
      </w:r>
      <w:r w:rsidR="006C2756" w:rsidRPr="00F60D7E">
        <w:rPr>
          <w:rFonts w:ascii="Arial" w:hAnsi="Arial" w:cs="Arial"/>
          <w:sz w:val="24"/>
          <w:szCs w:val="24"/>
        </w:rPr>
        <w:fldChar w:fldCharType="begin"/>
      </w:r>
      <w:r w:rsidR="000B3EAF">
        <w:rPr>
          <w:rFonts w:ascii="Arial" w:hAnsi="Arial" w:cs="Arial"/>
          <w:sz w:val="24"/>
          <w:szCs w:val="24"/>
        </w:rPr>
        <w:instrText xml:space="preserve"> ADDIN EN.CITE &lt;EndNote&gt;&lt;Cite&gt;&lt;Author&gt;Vinoloa M&lt;/Author&gt;&lt;Year&gt;2011&lt;/Year&gt;&lt;RecNum&gt;265&lt;/RecNum&gt;&lt;DisplayText&gt;(20, 21)&lt;/DisplayText&gt;&lt;record&gt;&lt;rec-number&gt;265&lt;/rec-number&gt;&lt;foreign-keys&gt;&lt;key app="EN" db-id="zxp9w5sa30aeafes0xox2eem00dz2z2aswad"&gt;265&lt;/key&gt;&lt;key app="ENWeb" db-id="UG1-3grtqigAAEqvEt0"&gt;169&lt;/key&gt;&lt;/foreign-keys&gt;&lt;ref-type name="Journal Article"&gt;17&lt;/ref-type&gt;&lt;contributors&gt;&lt;authors&gt;&lt;author&gt;Vinoloa M,&lt;/author&gt;&lt;author&gt;Rodrigues A,&lt;/author&gt;&lt;author&gt;Hatanaka E&lt;/author&gt;&lt;author&gt;Satoa F,&lt;/author&gt;&lt;author&gt;Sampaio S,&lt;/author&gt;&lt;author&gt;Curia R,&lt;/author&gt;&lt;/authors&gt;&lt;/contributors&gt;&lt;titles&gt;&lt;title&gt;Suppressive effect of short-chain fatty acids on production of proinflammatory mediators by neutrophils&lt;/title&gt;&lt;secondary-title&gt;Journal of Nutritional Biochemistry&lt;/secondary-title&gt;&lt;/titles&gt;&lt;periodical&gt;&lt;full-title&gt;Journal of Nutritional Biochemistry&lt;/full-title&gt;&lt;/periodical&gt;&lt;pages&gt;849-55&lt;/pages&gt;&lt;volume&gt;22&lt;/volume&gt;&lt;dates&gt;&lt;year&gt;2011&lt;/year&gt;&lt;/dates&gt;&lt;urls&gt;&lt;/urls&gt;&lt;/record&gt;&lt;/Cite&gt;&lt;Cite&gt;&lt;Author&gt;Waldecker M&lt;/Author&gt;&lt;Year&gt;2008&lt;/Year&gt;&lt;RecNum&gt;269&lt;/RecNum&gt;&lt;record&gt;&lt;rec-number&gt;269&lt;/rec-number&gt;&lt;foreign-keys&gt;&lt;key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Biochemistry&lt;/full-title&gt;&lt;/periodical&gt;&lt;pages&gt;587-593&lt;/pages&gt;&lt;volume&gt;19&lt;/volume&gt;&lt;dates&gt;&lt;year&gt;2008&lt;/year&gt;&lt;/dates&gt;&lt;urls&gt;&lt;/urls&gt;&lt;/record&gt;&lt;/Cite&gt;&lt;/EndNote&gt;</w:instrText>
      </w:r>
      <w:r w:rsidR="006C2756" w:rsidRPr="00F60D7E">
        <w:rPr>
          <w:rFonts w:ascii="Arial" w:hAnsi="Arial" w:cs="Arial"/>
          <w:sz w:val="24"/>
          <w:szCs w:val="24"/>
        </w:rPr>
        <w:fldChar w:fldCharType="separate"/>
      </w:r>
      <w:r w:rsidR="000B3EAF">
        <w:rPr>
          <w:rFonts w:ascii="Arial" w:hAnsi="Arial" w:cs="Arial"/>
          <w:noProof/>
          <w:sz w:val="24"/>
          <w:szCs w:val="24"/>
        </w:rPr>
        <w:t>(</w:t>
      </w:r>
      <w:hyperlink w:anchor="_ENREF_20" w:tooltip="Waldecker M, 2008 #269" w:history="1">
        <w:r w:rsidR="00AB7E17">
          <w:rPr>
            <w:rFonts w:ascii="Arial" w:hAnsi="Arial" w:cs="Arial"/>
            <w:noProof/>
            <w:sz w:val="24"/>
            <w:szCs w:val="24"/>
          </w:rPr>
          <w:t>20</w:t>
        </w:r>
      </w:hyperlink>
      <w:r w:rsidR="000B3EAF">
        <w:rPr>
          <w:rFonts w:ascii="Arial" w:hAnsi="Arial" w:cs="Arial"/>
          <w:noProof/>
          <w:sz w:val="24"/>
          <w:szCs w:val="24"/>
        </w:rPr>
        <w:t xml:space="preserve">, </w:t>
      </w:r>
      <w:hyperlink w:anchor="_ENREF_21" w:tooltip="Vinoloa M, 2011 #265" w:history="1">
        <w:r w:rsidR="00AB7E17">
          <w:rPr>
            <w:rFonts w:ascii="Arial" w:hAnsi="Arial" w:cs="Arial"/>
            <w:noProof/>
            <w:sz w:val="24"/>
            <w:szCs w:val="24"/>
          </w:rPr>
          <w:t>21</w:t>
        </w:r>
      </w:hyperlink>
      <w:r w:rsidR="000B3EAF">
        <w:rPr>
          <w:rFonts w:ascii="Arial" w:hAnsi="Arial" w:cs="Arial"/>
          <w:noProof/>
          <w:sz w:val="24"/>
          <w:szCs w:val="24"/>
        </w:rPr>
        <w:t>)</w:t>
      </w:r>
      <w:r w:rsidR="006C2756" w:rsidRPr="00F60D7E">
        <w:rPr>
          <w:rFonts w:ascii="Arial" w:hAnsi="Arial" w:cs="Arial"/>
          <w:sz w:val="24"/>
          <w:szCs w:val="24"/>
        </w:rPr>
        <w:fldChar w:fldCharType="end"/>
      </w:r>
      <w:r>
        <w:rPr>
          <w:rFonts w:ascii="Arial" w:hAnsi="Arial" w:cs="Arial"/>
          <w:sz w:val="24"/>
          <w:szCs w:val="24"/>
        </w:rPr>
        <w:t xml:space="preserve">. Because of this low effect in terms if KDACs inhibition propionate is often used at high concentrations, producing its cytotoxic effects in the nucleus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&lt;EndNote&gt;&lt;Cite&gt;&lt;Author&gt;Waldecker M&lt;/Author&gt;&lt;Year&gt;2008&lt;/Year&gt;&lt;RecNum&gt;269&lt;/RecNum&gt;&lt;DisplayText&gt;(20)&lt;/DisplayText&gt;&lt;record&gt;&lt;rec-number&gt;269&lt;/rec-number&gt;&lt;foreign-keys&gt;&lt;key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20" w:tooltip="Waldecker M, 2008 #269" w:history="1">
        <w:r w:rsidR="00AB7E17">
          <w:rPr>
            <w:rFonts w:ascii="Arial" w:hAnsi="Arial" w:cs="Arial"/>
            <w:noProof/>
            <w:sz w:val="24"/>
            <w:szCs w:val="24"/>
          </w:rPr>
          <w:t>20</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Even its </w:t>
      </w:r>
      <w:r w:rsidR="00B45094">
        <w:rPr>
          <w:rFonts w:ascii="Arial" w:hAnsi="Arial" w:cs="Arial"/>
          <w:sz w:val="24"/>
          <w:szCs w:val="24"/>
        </w:rPr>
        <w:t xml:space="preserve">KDACs inhibitory </w:t>
      </w:r>
      <w:r>
        <w:rPr>
          <w:rFonts w:ascii="Arial" w:hAnsi="Arial" w:cs="Arial"/>
          <w:sz w:val="24"/>
          <w:szCs w:val="24"/>
        </w:rPr>
        <w:t xml:space="preserve">effect is not as potent as butyrate, it is possible for propionate to reach levels high enough as to inhibit KDACs in the colon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&lt;EndNote&gt;&lt;Cite&gt;&lt;Author&gt;Waldecker M&lt;/Author&gt;&lt;Year&gt;2008&lt;/Year&gt;&lt;RecNum&gt;269&lt;/RecNum&gt;&lt;DisplayText&gt;(20)&lt;/DisplayText&gt;&lt;record&gt;&lt;rec-number&gt;269&lt;/rec-number&gt;&lt;foreign-keys&gt;&lt;key app="EN" db-id="zxp9w5sa30aeafes0xox2eem00dz2z2aswad"&gt;269&lt;/key&gt;&lt;key app="ENWeb" db-id="UG1-3grtqigAAEqvEt0"&gt;170&lt;/key&gt;&lt;/foreign-keys&gt;&lt;ref-type name="Journal Article"&gt;17&lt;/ref-type&gt;&lt;contributors&gt;&lt;authors&gt;&lt;author&gt;Waldecker M,&lt;/author&gt;&lt;author&gt;Kautenburger T,&lt;/author&gt;&lt;author&gt;Daumann H,&lt;/author&gt;&lt;author&gt;Busch C,&lt;/author&gt;&lt;author&gt;Schrenk D,&lt;/author&gt;&lt;/authors&gt;&lt;/contributors&gt;&lt;titles&gt;&lt;title&gt;Inhibition of histone-deacetylase activity by short-chain fatty acids and some polyphenol metabolites formed in the colon&lt;/title&gt;&lt;secondary-title&gt;Journal of Nutritional Biochemistry&lt;/secondary-title&gt;&lt;/titles&gt;&lt;periodical&gt;&lt;full-title&gt;Journal of Nutritional Biochemistry&lt;/full-title&gt;&lt;/periodical&gt;&lt;pages&gt;587-593&lt;/pages&gt;&lt;volume&gt;19&lt;/volume&gt;&lt;dates&gt;&lt;year&gt;2008&lt;/year&gt;&lt;/dates&gt;&lt;urls&gt;&lt;/urls&gt;&lt;/record&gt;&lt;/Cite&gt;&lt;/EndNote&gt;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20" w:tooltip="Waldecker M, 2008 #269" w:history="1">
        <w:r w:rsidR="00AB7E17">
          <w:rPr>
            <w:rFonts w:ascii="Arial" w:hAnsi="Arial" w:cs="Arial"/>
            <w:noProof/>
            <w:sz w:val="24"/>
            <w:szCs w:val="24"/>
          </w:rPr>
          <w:t>20</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Moreover, if acyl moieties and lysine residues are modified to alter the interactions among proteins, the inhibitory role of propionate is achieved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35" w:tooltip="Riester D, 2004 #209" w:history="1">
        <w:r w:rsidR="00AB7E17">
          <w:rPr>
            <w:rFonts w:ascii="Arial" w:hAnsi="Arial" w:cs="Arial"/>
            <w:noProof/>
            <w:sz w:val="24"/>
            <w:szCs w:val="24"/>
          </w:rPr>
          <w:t>35</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In order to identify the active sites of histone deacetylases (HDACs) and HDACs-like enzymes, Riester</w:t>
      </w:r>
      <w:r>
        <w:rPr>
          <w:rFonts w:ascii="Arial" w:hAnsi="Arial" w:cs="Arial"/>
          <w:i/>
          <w:sz w:val="24"/>
          <w:szCs w:val="24"/>
        </w:rPr>
        <w:t xml:space="preserve"> et al., </w:t>
      </w:r>
      <w:r>
        <w:rPr>
          <w:rFonts w:ascii="Arial" w:hAnsi="Arial" w:cs="Arial"/>
          <w:sz w:val="24"/>
          <w:szCs w:val="24"/>
        </w:rPr>
        <w:t xml:space="preserve">2004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35" w:tooltip="Riester D, 2004 #209" w:history="1">
        <w:r w:rsidR="00AB7E17">
          <w:rPr>
            <w:rFonts w:ascii="Arial" w:hAnsi="Arial" w:cs="Arial"/>
            <w:noProof/>
            <w:sz w:val="24"/>
            <w:szCs w:val="24"/>
          </w:rPr>
          <w:t>35</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did these modifications in four different preparations derived from rat, human and </w:t>
      </w:r>
      <w:r>
        <w:rPr>
          <w:rFonts w:ascii="Arial" w:hAnsi="Arial" w:cs="Arial"/>
          <w:sz w:val="24"/>
          <w:szCs w:val="24"/>
        </w:rPr>
        <w:lastRenderedPageBreak/>
        <w:t xml:space="preserve">bacterial sources. Their findings showed that HDACs, specifically HDAC8, HDAC6, and FB188 HDAH (KDAC6-like enzyme from </w:t>
      </w:r>
      <w:r w:rsidRPr="00843574">
        <w:rPr>
          <w:rFonts w:ascii="Arial" w:hAnsi="Arial" w:cs="Arial"/>
          <w:i/>
          <w:sz w:val="24"/>
          <w:szCs w:val="24"/>
        </w:rPr>
        <w:t>Bordetella/Alcaligenes</w:t>
      </w:r>
      <w:r>
        <w:rPr>
          <w:rFonts w:ascii="Arial" w:hAnsi="Arial" w:cs="Arial"/>
          <w:sz w:val="24"/>
          <w:szCs w:val="24"/>
        </w:rPr>
        <w:t xml:space="preserve"> strain FB188) were inhibited by sodium propionate and sodium acetate at higher than physiological concentration (50mM). Propionate also induces apoptosis in a synergic fashion with butyrate and pyruvate in the </w:t>
      </w:r>
      <w:r>
        <w:rPr>
          <w:rFonts w:ascii="Arial" w:hAnsi="Arial" w:cs="Arial"/>
          <w:sz w:val="24"/>
          <w:szCs w:val="24"/>
          <w:lang w:val="en-US"/>
        </w:rPr>
        <w:t xml:space="preserve">Michigan Cancer Foundation-7 (MCF-7) breast cancer cell line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&lt;EndNote&gt;&lt;Cite&gt;&lt;Author&gt;Thangaraju M&lt;/Author&gt;&lt;Year&gt;2006&lt;/Year&gt;&lt;RecNum&gt;246&lt;/RecNum&gt;&lt;DisplayText&gt;(6)&lt;/DisplayText&gt;&lt;record&gt;&lt;rec-number&gt;246&lt;/rec-number&gt;&lt;foreign-keys&gt;&lt;key app="EN" db-id="zxp9w5sa30aeafes0xox2eem00dz2z2aswad"&gt;246&lt;/key&gt;&lt;key app="ENWeb" db-id="UG1-3grtqigAAEqvEt0"&gt;167&lt;/key&gt;&lt;/foreign-keys&gt;&lt;ref-type name="Journal Article"&gt;17&lt;/ref-type&gt;&lt;contributors&gt;&lt;authors&gt;&lt;author&gt;Thangaraju M,&lt;/author&gt;&lt;author&gt;Gopal E,&lt;/author&gt;&lt;author&gt;Martin P,&lt;/author&gt;&lt;author&gt;Ananth S,&lt;/author&gt;&lt;author&gt;Smith S,&lt;/author&gt;&lt;author&gt;Prasad P,&lt;/author&gt;&lt;author&gt;Sterneck E,&lt;/author&gt;&lt;author&gt;Ganapathy V,&lt;/author&gt;&lt;/authors&gt;&lt;/contributors&gt;&lt;titles&gt;&lt;title&gt;SLC5A8 Triggers Tumor Cell Apoptosis through Pyruvate-Dependent Inhibition of Histone Deacetylases&lt;/title&gt;&lt;secondary-title&gt;Cancer Res&lt;/secondary-title&gt;&lt;/titles&gt;&lt;periodical&gt;&lt;full-title&gt;Cancer Res&lt;/full-title&gt;&lt;/periodical&gt;&lt;pages&gt;11560-4&lt;/pages&gt;&lt;volume&gt;66&lt;/volume&gt;&lt;number&gt;24&lt;/number&gt;&lt;dates&gt;&lt;year&gt;2006&lt;/year&gt;&lt;/dates&gt;&lt;urls&gt;&lt;/urls&gt;&lt;/record&gt;&lt;/Cite&gt;&lt;/EndNote&gt;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6" w:tooltip="Thangaraju M, 2006 #246" w:history="1">
        <w:r w:rsidR="00AB7E17">
          <w:rPr>
            <w:rFonts w:ascii="Arial" w:hAnsi="Arial" w:cs="Arial"/>
            <w:noProof/>
            <w:sz w:val="24"/>
            <w:szCs w:val="24"/>
          </w:rPr>
          <w:t>6</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The synergistic effects of propionate and butyrate are also able to induce apoptosis in Caco-2 cells, producing G2-M arrest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&lt;EndNote&gt;&lt;Cite&gt;&lt;Author&gt;Matthews G&lt;/Author&gt;&lt;Year&gt;2012&lt;/Year&gt;&lt;RecNum&gt;7&lt;/RecNum&gt;&lt;DisplayText&gt;(42)&lt;/DisplayText&gt;&lt;record&gt;&lt;rec-number&gt;7&lt;/rec-number&gt;&lt;foreign-keys&gt;&lt;key app="EN" db-id="srff5es9gxzt5mevxrh5wrwzae5taaexepwz"&gt;7&lt;/key&gt;&lt;/foreign-keys&gt;&lt;ref-type name="Journal Article"&gt;17&lt;/ref-type&gt;&lt;contributors&gt;&lt;authors&gt;&lt;author&gt;Matthews G,&lt;/author&gt;&lt;author&gt;Howarth G,&lt;/author&gt;&lt;author&gt;Butler R,&lt;/author&gt;&lt;/authors&gt;&lt;/contributors&gt;&lt;titles&gt;&lt;title&gt;Short-chain fatty acids induce apoptosis in colon cancer cells associated with changes to intracellular redox state and glucose metabolism.&lt;/title&gt;&lt;secondary-title&gt;Chemotherapy&lt;/secondary-title&gt;&lt;/titles&gt;&lt;pages&gt;102-109&lt;/pages&gt;&lt;volume&gt;58&lt;/volume&gt;&lt;number&gt;2&lt;/number&gt;&lt;dates&gt;&lt;year&gt;2012&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42" w:tooltip="Matthews G, 2012 #7" w:history="1">
        <w:r w:rsidR="00AB7E17">
          <w:rPr>
            <w:rFonts w:ascii="Arial" w:hAnsi="Arial" w:cs="Arial"/>
            <w:noProof/>
            <w:sz w:val="24"/>
            <w:szCs w:val="24"/>
          </w:rPr>
          <w:t>42</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by shifting D-glucose metabolism and redox state.</w:t>
      </w:r>
    </w:p>
    <w:p w:rsidR="00EF1380" w:rsidRPr="00394AD6" w:rsidRDefault="00EF1380" w:rsidP="00EF1380">
      <w:pPr>
        <w:pStyle w:val="Heading1"/>
        <w:rPr>
          <w:rFonts w:ascii="Arial" w:hAnsi="Arial" w:cs="Arial"/>
          <w:sz w:val="24"/>
          <w:szCs w:val="24"/>
          <w:lang w:val="en-US"/>
        </w:rPr>
      </w:pPr>
      <w:bookmarkStart w:id="13" w:name="_Toc379983945"/>
      <w:bookmarkStart w:id="14" w:name="_Toc413753743"/>
      <w:r>
        <w:rPr>
          <w:rFonts w:ascii="Arial" w:hAnsi="Arial" w:cs="Arial"/>
          <w:sz w:val="24"/>
          <w:szCs w:val="24"/>
          <w:lang w:val="en-US"/>
        </w:rPr>
        <w:t>I</w:t>
      </w:r>
      <w:r w:rsidRPr="00394AD6">
        <w:rPr>
          <w:rFonts w:ascii="Arial" w:hAnsi="Arial" w:cs="Arial"/>
          <w:sz w:val="24"/>
          <w:szCs w:val="24"/>
          <w:lang w:val="en-US"/>
        </w:rPr>
        <w:t>.3 Acetate</w:t>
      </w:r>
      <w:bookmarkEnd w:id="13"/>
      <w:bookmarkEnd w:id="14"/>
    </w:p>
    <w:p w:rsidR="00EF1380" w:rsidRDefault="00EF1380" w:rsidP="00EF1380">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Even acetate has been broadly described as a not very potent KDACi </w:t>
      </w:r>
      <w:r w:rsidR="006C2756">
        <w:rPr>
          <w:rFonts w:ascii="Arial" w:hAnsi="Arial" w:cs="Arial"/>
          <w:sz w:val="24"/>
          <w:szCs w:val="24"/>
        </w:rPr>
        <w:fldChar w:fldCharType="begin">
          <w:fldData xml:space="preserve">PEVuZE5vdGU+PENpdGU+PEF1dGhvcj5WaW5vbG9hIE08L0F1dGhvcj48WWVhcj4yMDExPC9ZZWFy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</w:fldData>
        </w:fldChar>
      </w:r>
      <w:r w:rsidR="000B3EAF">
        <w:rPr>
          <w:rFonts w:ascii="Arial" w:hAnsi="Arial" w:cs="Arial"/>
          <w:sz w:val="24"/>
          <w:szCs w:val="24"/>
        </w:rPr>
        <w:instrText xml:space="preserve"> ADDIN EN.CITE </w:instrText>
      </w:r>
      <w:r w:rsidR="006C2756">
        <w:rPr>
          <w:rFonts w:ascii="Arial" w:hAnsi="Arial" w:cs="Arial"/>
          <w:sz w:val="24"/>
          <w:szCs w:val="24"/>
        </w:rPr>
        <w:fldChar w:fldCharType="begin">
          <w:fldData xml:space="preserve">PEVuZE5vdGU+PENpdGU+PEF1dGhvcj5WaW5vbG9hIE08L0F1dGhvcj48WWVhcj4yMDExPC9ZZWFy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</w:fldData>
        </w:fldChar>
      </w:r>
      <w:r w:rsidR="000B3EAF">
        <w:rPr>
          <w:rFonts w:ascii="Arial" w:hAnsi="Arial" w:cs="Arial"/>
          <w:sz w:val="24"/>
          <w:szCs w:val="24"/>
        </w:rPr>
        <w:instrText xml:space="preserve"> ADDIN EN.CITE.DATA </w:instrText>
      </w:r>
      <w:r w:rsidR="006C2756">
        <w:rPr>
          <w:rFonts w:ascii="Arial" w:hAnsi="Arial" w:cs="Arial"/>
          <w:sz w:val="24"/>
          <w:szCs w:val="24"/>
        </w:rPr>
      </w:r>
      <w:r w:rsidR="006C2756">
        <w:rPr>
          <w:rFonts w:ascii="Arial" w:hAnsi="Arial" w:cs="Arial"/>
          <w:sz w:val="24"/>
          <w:szCs w:val="24"/>
        </w:rPr>
        <w:fldChar w:fldCharType="end"/>
      </w:r>
      <w:r w:rsidR="006C2756">
        <w:rPr>
          <w:rFonts w:ascii="Arial" w:hAnsi="Arial" w:cs="Arial"/>
          <w:sz w:val="24"/>
          <w:szCs w:val="24"/>
        </w:rPr>
      </w:r>
      <w:r w:rsidR="006C2756">
        <w:rPr>
          <w:rFonts w:ascii="Arial" w:hAnsi="Arial" w:cs="Arial"/>
          <w:sz w:val="24"/>
          <w:szCs w:val="24"/>
        </w:rPr>
        <w:fldChar w:fldCharType="separate"/>
      </w:r>
      <w:r w:rsidR="000B3EAF">
        <w:rPr>
          <w:rFonts w:ascii="Arial" w:hAnsi="Arial" w:cs="Arial"/>
          <w:noProof/>
          <w:sz w:val="24"/>
          <w:szCs w:val="24"/>
        </w:rPr>
        <w:t>(</w:t>
      </w:r>
      <w:hyperlink w:anchor="_ENREF_19" w:tooltip="Hinnebusch B, 2002 #109" w:history="1">
        <w:r w:rsidR="00AB7E17">
          <w:rPr>
            <w:rFonts w:ascii="Arial" w:hAnsi="Arial" w:cs="Arial"/>
            <w:noProof/>
            <w:sz w:val="24"/>
            <w:szCs w:val="24"/>
          </w:rPr>
          <w:t>19-21</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when peptidic substrates, lysine residues and acyl moieties are modified, an inhibitory effect of acetate on HDACs is achieved in four different preparations derived from rat, human and bacterial sources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35" w:tooltip="Riester D, 2004 #209" w:history="1">
        <w:r w:rsidR="00AB7E17">
          <w:rPr>
            <w:rFonts w:ascii="Arial" w:hAnsi="Arial" w:cs="Arial"/>
            <w:noProof/>
            <w:sz w:val="24"/>
            <w:szCs w:val="24"/>
          </w:rPr>
          <w:t>35</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Riester </w:t>
      </w:r>
      <w:r>
        <w:rPr>
          <w:rFonts w:ascii="Arial" w:hAnsi="Arial" w:cs="Arial"/>
          <w:i/>
          <w:sz w:val="24"/>
          <w:szCs w:val="24"/>
        </w:rPr>
        <w:t xml:space="preserve">et al., </w:t>
      </w:r>
      <w:r>
        <w:rPr>
          <w:rFonts w:ascii="Arial" w:hAnsi="Arial" w:cs="Arial"/>
          <w:sz w:val="24"/>
          <w:szCs w:val="24"/>
        </w:rPr>
        <w:t xml:space="preserve">2004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&lt;EndNote&gt;&lt;Cite&gt;&lt;Author&gt;Riester D&lt;/Author&gt;&lt;Year&gt;2004&lt;/Year&gt;&lt;RecNum&gt;209&lt;/RecNum&gt;&lt;DisplayText&gt;(35)&lt;/DisplayText&gt;&lt;record&gt;&lt;rec-number&gt;209&lt;/rec-number&gt;&lt;foreign-keys&gt;&lt;key app="EN" db-id="zxp9w5sa30aeafes0xox2eem00dz2z2aswad"&gt;209&lt;/key&gt;&lt;key app="ENWeb" db-id="UG1-3grtqigAAEqvEt0"&gt;168&lt;/key&gt;&lt;/foreign-keys&gt;&lt;ref-type name="Journal Article"&gt;17&lt;/ref-type&gt;&lt;contributors&gt;&lt;authors&gt;&lt;author&gt;Riester D,&lt;/author&gt;&lt;author&gt;Wegener D,&lt;/author&gt;&lt;author&gt;Hildmann C,&lt;/author&gt;&lt;author&gt;Schwienhorst A,&lt;/author&gt;&lt;/authors&gt;&lt;/contributors&gt;&lt;titles&gt;&lt;title&gt;Members of the histone deacetylase superfamily differ in substrate specificity towards small synthetic substrates&lt;/title&gt;&lt;secondary-title&gt;Biochemical and Biophysical Research Communications&lt;/secondary-title&gt;&lt;/titles&gt;&lt;periodical&gt;&lt;full-title&gt;Biochemical and Biophysical Research Communications&lt;/full-title&gt;&lt;/periodical&gt;&lt;pages&gt;1116-23&lt;/pages&gt;&lt;volume&gt;324&lt;/volume&gt;&lt;dates&gt;&lt;year&gt;2004&lt;/year&gt;&lt;/dates&gt;&lt;urls&gt;&lt;/urls&gt;&lt;/record&gt;&lt;/Cite&gt;&lt;/EndNote&gt;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35" w:tooltip="Riester D, 2004 #209" w:history="1">
        <w:r w:rsidR="00AB7E17">
          <w:rPr>
            <w:rFonts w:ascii="Arial" w:hAnsi="Arial" w:cs="Arial"/>
            <w:noProof/>
            <w:sz w:val="24"/>
            <w:szCs w:val="24"/>
          </w:rPr>
          <w:t>35</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showed that there is a synergistic effect of acetate and propionate at 50mM in terms of HDAC8, HDAC6, and FB188 HDAH inhibition. </w:t>
      </w:r>
    </w:p>
    <w:p w:rsidR="00EF1380" w:rsidRPr="004D4F19" w:rsidRDefault="00EF1380" w:rsidP="00EF1380">
      <w:pPr>
        <w:autoSpaceDE w:val="0"/>
        <w:autoSpaceDN w:val="0"/>
        <w:adjustRightInd w:val="0"/>
        <w:spacing w:after="0" w:line="360" w:lineRule="auto"/>
        <w:ind w:firstLine="720"/>
        <w:jc w:val="both"/>
      </w:pPr>
      <w:r>
        <w:rPr>
          <w:rFonts w:ascii="Arial" w:hAnsi="Arial" w:cs="Arial"/>
          <w:sz w:val="24"/>
          <w:szCs w:val="24"/>
        </w:rPr>
        <w:t xml:space="preserve">The inhibitory effect of acetate on HDACs has also been shown to be </w:t>
      </w:r>
      <w:r>
        <w:rPr>
          <w:rFonts w:ascii="Arial" w:hAnsi="Arial" w:cs="Arial"/>
          <w:i/>
          <w:sz w:val="24"/>
          <w:szCs w:val="24"/>
        </w:rPr>
        <w:t xml:space="preserve">in </w:t>
      </w:r>
      <w:r w:rsidRPr="00561409">
        <w:rPr>
          <w:rFonts w:ascii="Arial" w:hAnsi="Arial" w:cs="Arial"/>
          <w:i/>
          <w:sz w:val="24"/>
          <w:szCs w:val="24"/>
        </w:rPr>
        <w:t>vivo</w:t>
      </w:r>
      <w:r>
        <w:rPr>
          <w:rFonts w:ascii="Arial" w:hAnsi="Arial" w:cs="Arial"/>
          <w:sz w:val="24"/>
          <w:szCs w:val="24"/>
        </w:rPr>
        <w:t xml:space="preserve">, as </w:t>
      </w:r>
      <w:r w:rsidRPr="00561409">
        <w:rPr>
          <w:rFonts w:ascii="Arial" w:hAnsi="Arial" w:cs="Arial"/>
          <w:sz w:val="24"/>
          <w:szCs w:val="24"/>
        </w:rPr>
        <w:t>Soliman</w:t>
      </w:r>
      <w:r>
        <w:rPr>
          <w:rFonts w:ascii="Arial" w:hAnsi="Arial" w:cs="Arial"/>
          <w:sz w:val="24"/>
          <w:szCs w:val="24"/>
        </w:rPr>
        <w:t xml:space="preserve"> and Rosenberger (2011)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&lt;EndNote&gt;&lt;Cite&gt;&lt;Author&gt;Soliman M&lt;/Author&gt;&lt;Year&gt;2011&lt;/Year&gt;&lt;RecNum&gt;237&lt;/RecNum&gt;&lt;DisplayText&gt;(36)&lt;/DisplayText&gt;&lt;record&gt;&lt;rec-number&gt;237&lt;/rec-number&gt;&lt;foreign-keys&gt;&lt;key app="EN" db-id="zxp9w5sa30aeafes0xox2eem00dz2z2aswad"&gt;237&lt;/key&gt;&lt;key app="ENWeb" db-id="UG1-3grtqigAAEqvEt0"&gt;175&lt;/key&gt;&lt;/foreign-keys&gt;&lt;ref-type name="Journal Article"&gt;17&lt;/ref-type&gt;&lt;contributors&gt;&lt;authors&gt;&lt;author&gt;Soliman M,&lt;/author&gt;&lt;author&gt;Rosenberger T,&lt;/author&gt;&lt;/authors&gt;&lt;/contributors&gt;&lt;titles&gt;&lt;title&gt;Acetate supplementation increases brain histone acetylation and inhibits histone deacetylase activity and expression&lt;/title&gt;&lt;secondary-title&gt;Mol Cell Biochem&lt;/secondary-title&gt;&lt;/titles&gt;&lt;periodical&gt;&lt;full-title&gt;Mol Cell Biochem&lt;/full-title&gt;&lt;/periodical&gt;&lt;pages&gt;173-180&lt;/pages&gt;&lt;volume&gt;352&lt;/volume&gt;&lt;dates&gt;&lt;year&gt;2011&lt;/year&gt;&lt;/dates&gt;&lt;urls&gt;&lt;/urls&gt;&lt;/record&gt;&lt;/Cite&gt;&lt;/EndNote&gt;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36" w:tooltip="Soliman M, 2011 #237" w:history="1">
        <w:r w:rsidR="00AB7E17">
          <w:rPr>
            <w:rFonts w:ascii="Arial" w:hAnsi="Arial" w:cs="Arial"/>
            <w:noProof/>
            <w:sz w:val="24"/>
            <w:szCs w:val="24"/>
          </w:rPr>
          <w:t>36</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showed an increase in the acetylation state of rat brain histones at lysine residue 8 and 16 of histone-4 (H4), and at lysine residue 9 of histone-3 (H3). The effect of acetate is exclusively related to HDACs inhibition, since it does not have any effect on KATs, enhancing histone acetylation by a reduction in HDACs activity and expression due to acetyl-CoA production derived from this SCFA.</w:t>
      </w:r>
    </w:p>
    <w:p w:rsidR="00EF1380" w:rsidRPr="00394AD6" w:rsidRDefault="00EF1380" w:rsidP="00EF1380">
      <w:pPr>
        <w:pStyle w:val="Heading1"/>
        <w:rPr>
          <w:rFonts w:ascii="Arial" w:hAnsi="Arial" w:cs="Arial"/>
          <w:sz w:val="24"/>
          <w:szCs w:val="24"/>
        </w:rPr>
      </w:pPr>
      <w:bookmarkStart w:id="15" w:name="_Toc379983946"/>
      <w:bookmarkStart w:id="16" w:name="_Toc413753744"/>
      <w:r>
        <w:rPr>
          <w:rFonts w:ascii="Arial" w:hAnsi="Arial" w:cs="Arial"/>
          <w:sz w:val="24"/>
          <w:szCs w:val="24"/>
        </w:rPr>
        <w:t>I</w:t>
      </w:r>
      <w:r w:rsidRPr="00394AD6">
        <w:rPr>
          <w:rFonts w:ascii="Arial" w:hAnsi="Arial" w:cs="Arial"/>
          <w:sz w:val="24"/>
          <w:szCs w:val="24"/>
        </w:rPr>
        <w:t>.4 Other SCFAs</w:t>
      </w:r>
      <w:bookmarkEnd w:id="15"/>
      <w:bookmarkEnd w:id="16"/>
    </w:p>
    <w:p w:rsidR="00EF1380" w:rsidRDefault="00EF1380" w:rsidP="00EF13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Valerate, isobutyrate and isovalerate are other SCFAs to consider. The position of the last carbon is how isobutyrate and isovalerate differ structurally from butyrate and valerate. This carbon is branched and attached to either the second carbon in isobutyrate, or to the third carbon in isovalerate, and not in a straight line as in butyrate and valerate (Figure 1). </w:t>
      </w:r>
    </w:p>
    <w:p w:rsidR="00EF1380" w:rsidRPr="006A0B27" w:rsidRDefault="00E273D1" w:rsidP="00EF1380">
      <w:pPr>
        <w:autoSpaceDE w:val="0"/>
        <w:autoSpaceDN w:val="0"/>
        <w:adjustRightInd w:val="0"/>
        <w:spacing w:after="0" w:line="360" w:lineRule="auto"/>
        <w:jc w:val="center"/>
        <w:rPr>
          <w:rStyle w:val="SC118877"/>
          <w:rFonts w:ascii="Arial" w:hAnsi="Arial" w:cs="Arial"/>
          <w:color w:val="auto"/>
          <w:sz w:val="24"/>
          <w:szCs w:val="24"/>
        </w:rPr>
      </w:pPr>
      <w:r>
        <w:rPr>
          <w:rFonts w:ascii="Arial" w:hAnsi="Arial" w:cs="Arial"/>
          <w:noProof/>
          <w:sz w:val="24"/>
          <w:szCs w:val="24"/>
        </w:rPr>
        <w:lastRenderedPageBreak/>
        <w:drawing>
          <wp:inline distT="0" distB="0" distL="0" distR="0" wp14:anchorId="5953912A" wp14:editId="75F4CB33">
            <wp:extent cx="5612130" cy="297053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differenc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970530"/>
                    </a:xfrm>
                    <a:prstGeom prst="rect">
                      <a:avLst/>
                    </a:prstGeom>
                  </pic:spPr>
                </pic:pic>
              </a:graphicData>
            </a:graphic>
          </wp:inline>
        </w:drawing>
      </w:r>
    </w:p>
    <w:p w:rsidR="00EF1380" w:rsidRPr="00AA5B99" w:rsidRDefault="00EF1380" w:rsidP="00EF1380">
      <w:pPr>
        <w:pStyle w:val="Caption"/>
        <w:jc w:val="both"/>
        <w:rPr>
          <w:rFonts w:ascii="Arial" w:hAnsi="Arial" w:cs="Arial"/>
          <w:color w:val="auto"/>
          <w:sz w:val="16"/>
          <w:szCs w:val="16"/>
        </w:rPr>
      </w:pPr>
      <w:bookmarkStart w:id="17" w:name="_Toc413419261"/>
      <w:bookmarkStart w:id="18" w:name="_Toc345427145"/>
      <w:proofErr w:type="gramStart"/>
      <w:r w:rsidRPr="00796F4A">
        <w:rPr>
          <w:rFonts w:ascii="Arial" w:hAnsi="Arial" w:cs="Arial"/>
          <w:color w:val="auto"/>
          <w:sz w:val="16"/>
        </w:rPr>
        <w:t xml:space="preserve">Figure </w:t>
      </w:r>
      <w:r w:rsidR="006C2756" w:rsidRPr="00796F4A">
        <w:rPr>
          <w:rFonts w:ascii="Arial" w:hAnsi="Arial" w:cs="Arial"/>
          <w:color w:val="auto"/>
          <w:sz w:val="16"/>
        </w:rPr>
        <w:fldChar w:fldCharType="begin"/>
      </w:r>
      <w:r w:rsidRPr="00796F4A">
        <w:rPr>
          <w:rFonts w:ascii="Arial" w:hAnsi="Arial" w:cs="Arial"/>
          <w:color w:val="auto"/>
          <w:sz w:val="16"/>
        </w:rPr>
        <w:instrText xml:space="preserve"> SEQ Figure \* ARABIC </w:instrText>
      </w:r>
      <w:r w:rsidR="006C2756" w:rsidRPr="00796F4A">
        <w:rPr>
          <w:rFonts w:ascii="Arial" w:hAnsi="Arial" w:cs="Arial"/>
          <w:color w:val="auto"/>
          <w:sz w:val="16"/>
        </w:rPr>
        <w:fldChar w:fldCharType="separate"/>
      </w:r>
      <w:r w:rsidR="00DC0376">
        <w:rPr>
          <w:rFonts w:ascii="Arial" w:hAnsi="Arial" w:cs="Arial"/>
          <w:noProof/>
          <w:color w:val="auto"/>
          <w:sz w:val="16"/>
        </w:rPr>
        <w:t>1</w:t>
      </w:r>
      <w:r w:rsidR="006C2756" w:rsidRPr="00796F4A">
        <w:rPr>
          <w:rFonts w:ascii="Arial" w:hAnsi="Arial" w:cs="Arial"/>
          <w:color w:val="auto"/>
          <w:sz w:val="16"/>
        </w:rPr>
        <w:fldChar w:fldCharType="end"/>
      </w:r>
      <w:r w:rsidRPr="0073403A">
        <w:rPr>
          <w:rFonts w:ascii="Arial" w:hAnsi="Arial" w:cs="Arial"/>
          <w:color w:val="auto"/>
          <w:sz w:val="16"/>
          <w:szCs w:val="16"/>
        </w:rPr>
        <w:t>.</w:t>
      </w:r>
      <w:proofErr w:type="gramEnd"/>
      <w:r w:rsidRPr="0073403A">
        <w:rPr>
          <w:rFonts w:ascii="Arial" w:hAnsi="Arial" w:cs="Arial"/>
          <w:color w:val="auto"/>
          <w:sz w:val="16"/>
          <w:szCs w:val="16"/>
        </w:rPr>
        <w:t xml:space="preserve"> </w:t>
      </w:r>
      <w:proofErr w:type="gramStart"/>
      <w:r w:rsidRPr="0073403A">
        <w:rPr>
          <w:rFonts w:ascii="Arial" w:hAnsi="Arial" w:cs="Arial"/>
          <w:color w:val="auto"/>
          <w:sz w:val="16"/>
          <w:szCs w:val="16"/>
        </w:rPr>
        <w:t>Structural differences in butyrate</w:t>
      </w:r>
      <w:r>
        <w:rPr>
          <w:rFonts w:ascii="Arial" w:hAnsi="Arial" w:cs="Arial"/>
          <w:color w:val="auto"/>
          <w:sz w:val="16"/>
          <w:szCs w:val="16"/>
        </w:rPr>
        <w:t xml:space="preserve">, </w:t>
      </w:r>
      <w:r w:rsidRPr="0073403A">
        <w:rPr>
          <w:rFonts w:ascii="Arial" w:hAnsi="Arial" w:cs="Arial"/>
          <w:color w:val="auto"/>
          <w:sz w:val="16"/>
          <w:szCs w:val="16"/>
        </w:rPr>
        <w:t xml:space="preserve">isobutyrate, </w:t>
      </w:r>
      <w:r>
        <w:rPr>
          <w:rFonts w:ascii="Arial" w:hAnsi="Arial" w:cs="Arial"/>
          <w:color w:val="auto"/>
          <w:sz w:val="16"/>
          <w:szCs w:val="16"/>
        </w:rPr>
        <w:t>v</w:t>
      </w:r>
      <w:r w:rsidRPr="0073403A">
        <w:rPr>
          <w:rFonts w:ascii="Arial" w:hAnsi="Arial" w:cs="Arial"/>
          <w:color w:val="auto"/>
          <w:sz w:val="16"/>
          <w:szCs w:val="16"/>
        </w:rPr>
        <w:t>alerate</w:t>
      </w:r>
      <w:r>
        <w:rPr>
          <w:rFonts w:ascii="Arial" w:hAnsi="Arial" w:cs="Arial"/>
          <w:color w:val="auto"/>
          <w:sz w:val="16"/>
          <w:szCs w:val="16"/>
        </w:rPr>
        <w:t xml:space="preserve"> and </w:t>
      </w:r>
      <w:r w:rsidRPr="0073403A">
        <w:rPr>
          <w:rFonts w:ascii="Arial" w:hAnsi="Arial" w:cs="Arial"/>
          <w:color w:val="auto"/>
          <w:sz w:val="16"/>
          <w:szCs w:val="16"/>
        </w:rPr>
        <w:t>isovalerate.</w:t>
      </w:r>
      <w:proofErr w:type="gramEnd"/>
      <w:r w:rsidRPr="0073403A">
        <w:rPr>
          <w:rFonts w:ascii="Arial" w:hAnsi="Arial" w:cs="Arial"/>
          <w:color w:val="auto"/>
          <w:sz w:val="16"/>
          <w:szCs w:val="16"/>
        </w:rPr>
        <w:t xml:space="preserve"> </w:t>
      </w:r>
      <w:r w:rsidRPr="0073403A">
        <w:rPr>
          <w:rFonts w:ascii="Arial" w:hAnsi="Arial" w:cs="Arial"/>
          <w:i/>
          <w:color w:val="auto"/>
          <w:sz w:val="16"/>
          <w:szCs w:val="16"/>
        </w:rPr>
        <w:t>Butyrate (top left), isobutyrate (top right), valerate (bott</w:t>
      </w:r>
      <w:r>
        <w:rPr>
          <w:rFonts w:ascii="Arial" w:hAnsi="Arial" w:cs="Arial"/>
          <w:i/>
          <w:color w:val="auto"/>
          <w:sz w:val="16"/>
          <w:szCs w:val="16"/>
        </w:rPr>
        <w:t>om left) and isobutyrate (bottom</w:t>
      </w:r>
      <w:r w:rsidRPr="0073403A">
        <w:rPr>
          <w:rFonts w:ascii="Arial" w:hAnsi="Arial" w:cs="Arial"/>
          <w:i/>
          <w:color w:val="auto"/>
          <w:sz w:val="16"/>
          <w:szCs w:val="16"/>
        </w:rPr>
        <w:t xml:space="preserve"> right). Note that butyrate and isobutyrate have the same formula C</w:t>
      </w:r>
      <w:r w:rsidRPr="0073403A">
        <w:rPr>
          <w:rFonts w:ascii="Arial" w:hAnsi="Arial" w:cs="Arial"/>
          <w:i/>
          <w:color w:val="auto"/>
          <w:sz w:val="16"/>
          <w:szCs w:val="16"/>
          <w:vertAlign w:val="subscript"/>
        </w:rPr>
        <w:t>4</w:t>
      </w:r>
      <w:r w:rsidRPr="0073403A">
        <w:rPr>
          <w:rFonts w:ascii="Arial" w:hAnsi="Arial" w:cs="Arial"/>
          <w:i/>
          <w:color w:val="auto"/>
          <w:sz w:val="16"/>
          <w:szCs w:val="16"/>
        </w:rPr>
        <w:t>H</w:t>
      </w:r>
      <w:r w:rsidRPr="0073403A">
        <w:rPr>
          <w:rFonts w:ascii="Arial" w:hAnsi="Arial" w:cs="Arial"/>
          <w:i/>
          <w:color w:val="auto"/>
          <w:sz w:val="16"/>
          <w:szCs w:val="16"/>
          <w:vertAlign w:val="subscript"/>
        </w:rPr>
        <w:t>7</w:t>
      </w:r>
      <w:r w:rsidRPr="0073403A">
        <w:rPr>
          <w:rFonts w:ascii="Arial" w:hAnsi="Arial" w:cs="Arial"/>
          <w:i/>
          <w:color w:val="auto"/>
          <w:sz w:val="16"/>
          <w:szCs w:val="16"/>
        </w:rPr>
        <w:t>O</w:t>
      </w:r>
      <w:r w:rsidRPr="0073403A">
        <w:rPr>
          <w:rFonts w:ascii="Arial" w:hAnsi="Arial" w:cs="Arial"/>
          <w:i/>
          <w:color w:val="auto"/>
          <w:sz w:val="16"/>
          <w:szCs w:val="16"/>
          <w:vertAlign w:val="subscript"/>
        </w:rPr>
        <w:t>2</w:t>
      </w:r>
      <w:r w:rsidRPr="0073403A">
        <w:rPr>
          <w:rFonts w:ascii="Arial" w:hAnsi="Arial" w:cs="Arial"/>
          <w:i/>
          <w:color w:val="auto"/>
          <w:sz w:val="16"/>
          <w:szCs w:val="16"/>
        </w:rPr>
        <w:t>, as wells as valerate and isovalerate C</w:t>
      </w:r>
      <w:r w:rsidRPr="0073403A">
        <w:rPr>
          <w:rFonts w:ascii="Arial" w:hAnsi="Arial" w:cs="Arial"/>
          <w:i/>
          <w:color w:val="auto"/>
          <w:sz w:val="16"/>
          <w:szCs w:val="16"/>
          <w:vertAlign w:val="subscript"/>
        </w:rPr>
        <w:t>5</w:t>
      </w:r>
      <w:r w:rsidRPr="0073403A">
        <w:rPr>
          <w:rFonts w:ascii="Arial" w:hAnsi="Arial" w:cs="Arial"/>
          <w:i/>
          <w:color w:val="auto"/>
          <w:sz w:val="16"/>
          <w:szCs w:val="16"/>
        </w:rPr>
        <w:t>H</w:t>
      </w:r>
      <w:r w:rsidRPr="0073403A">
        <w:rPr>
          <w:rFonts w:ascii="Arial" w:hAnsi="Arial" w:cs="Arial"/>
          <w:i/>
          <w:color w:val="auto"/>
          <w:sz w:val="16"/>
          <w:szCs w:val="16"/>
          <w:vertAlign w:val="subscript"/>
        </w:rPr>
        <w:t>9</w:t>
      </w:r>
      <w:r w:rsidRPr="0073403A">
        <w:rPr>
          <w:rFonts w:ascii="Arial" w:hAnsi="Arial" w:cs="Arial"/>
          <w:i/>
          <w:color w:val="auto"/>
          <w:sz w:val="16"/>
          <w:szCs w:val="16"/>
        </w:rPr>
        <w:t>O</w:t>
      </w:r>
      <w:r w:rsidRPr="0073403A">
        <w:rPr>
          <w:rFonts w:ascii="Arial" w:hAnsi="Arial" w:cs="Arial"/>
          <w:i/>
          <w:color w:val="auto"/>
          <w:sz w:val="16"/>
          <w:szCs w:val="16"/>
          <w:vertAlign w:val="subscript"/>
        </w:rPr>
        <w:t>2</w:t>
      </w:r>
      <w:r w:rsidRPr="0073403A">
        <w:rPr>
          <w:rFonts w:ascii="Arial" w:hAnsi="Arial" w:cs="Arial"/>
          <w:i/>
          <w:color w:val="auto"/>
          <w:sz w:val="16"/>
          <w:szCs w:val="16"/>
        </w:rPr>
        <w:t>.</w:t>
      </w:r>
      <w:bookmarkEnd w:id="17"/>
    </w:p>
    <w:p w:rsidR="00B44F1C" w:rsidRDefault="00EF1380" w:rsidP="00B44F1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The effects of valerate on HCT116 human c</w:t>
      </w:r>
      <w:r>
        <w:rPr>
          <w:rFonts w:ascii="Arial" w:hAnsi="Arial" w:cs="Arial"/>
          <w:sz w:val="24"/>
          <w:szCs w:val="24"/>
          <w:lang w:val="en-US"/>
        </w:rPr>
        <w:t>olorectal carcinoma cells</w:t>
      </w:r>
      <w:r>
        <w:rPr>
          <w:rFonts w:ascii="Arial" w:hAnsi="Arial" w:cs="Arial"/>
          <w:sz w:val="24"/>
          <w:szCs w:val="24"/>
        </w:rPr>
        <w:t xml:space="preserve"> are different from the effects of butyrate. Kilner </w:t>
      </w:r>
      <w:r>
        <w:rPr>
          <w:rFonts w:ascii="Arial" w:hAnsi="Arial" w:cs="Arial"/>
          <w:i/>
          <w:sz w:val="24"/>
          <w:szCs w:val="24"/>
        </w:rPr>
        <w:t xml:space="preserve">et al., </w:t>
      </w:r>
      <w:r>
        <w:rPr>
          <w:rFonts w:ascii="Arial" w:hAnsi="Arial" w:cs="Arial"/>
          <w:sz w:val="24"/>
          <w:szCs w:val="24"/>
        </w:rPr>
        <w:t xml:space="preserve">2012 </w:t>
      </w:r>
      <w:r w:rsidR="006C2756" w:rsidRPr="00BA5F59">
        <w:rPr>
          <w:rFonts w:ascii="Arial" w:hAnsi="Arial" w:cs="Arial"/>
          <w:sz w:val="24"/>
          <w:szCs w:val="24"/>
        </w:rPr>
        <w:fldChar w:fldCharType="begin"/>
      </w:r>
      <w:r w:rsidR="000B3EAF">
        <w:rPr>
          <w:rFonts w:ascii="Arial" w:hAnsi="Arial" w:cs="Arial"/>
          <w:sz w:val="24"/>
          <w:szCs w:val="24"/>
        </w:rPr>
        <w:instrText xml:space="preserve"> ADDIN EN.CITE &lt;EndNote&gt;&lt;Cite&gt;&lt;Author&gt;Kilner J&lt;/Author&gt;&lt;Year&gt;2012&lt;/Year&gt;&lt;RecNum&gt;132&lt;/RecNum&gt;&lt;DisplayText&gt;(43)&lt;/DisplayText&gt;&lt;record&gt;&lt;rec-number&gt;132&lt;/rec-number&gt;&lt;foreign-keys&gt;&lt;key app="EN" db-id="zxp9w5sa30aeafes0xox2eem00dz2z2aswad"&gt;132&lt;/key&gt;&lt;key app="ENWeb" db-id="UG1-3grtqigAAEqvEt0"&gt;184&lt;/key&gt;&lt;/foreign-keys&gt;&lt;ref-type name="Journal Article"&gt;17&lt;/ref-type&gt;&lt;contributors&gt;&lt;authors&gt;&lt;author&gt;Kilner J,&lt;/author&gt;&lt;author&gt;Waby J,&lt;/author&gt;&lt;author&gt;Chowdry J,&lt;/author&gt;&lt;author&gt;Khan A,&lt;/author&gt;&lt;author&gt;Noirel J,&lt;/author&gt;&lt;author&gt;Wright P,&lt;/author&gt;&lt;author&gt;Corfe B,&lt;/author&gt;&lt;author&gt;Evans C,&lt;/author&gt;&lt;/authors&gt;&lt;/contributors&gt;&lt;titles&gt;&lt;title&gt;A proteomic analysis of differential cellular responses to the short-chain fatty acids butyrate, valerate and propionate in colon epithelial cancer cells&lt;/title&gt;&lt;secondary-title&gt;Mol. BioSyst&lt;/secondary-title&gt;&lt;/titles&gt;&lt;periodical&gt;&lt;full-title&gt;Mol. BioSyst&lt;/full-title&gt;&lt;/periodical&gt;&lt;pages&gt;1146-56&lt;/pages&gt;&lt;volume&gt;8&lt;/volume&gt;&lt;dates&gt;&lt;year&gt;2012&lt;/year&gt;&lt;/dates&gt;&lt;urls&gt;&lt;/urls&gt;&lt;/record&gt;&lt;/Cite&gt;&lt;/EndNote&gt;</w:instrText>
      </w:r>
      <w:r w:rsidR="006C2756" w:rsidRPr="00BA5F59">
        <w:rPr>
          <w:rFonts w:ascii="Arial" w:hAnsi="Arial" w:cs="Arial"/>
          <w:sz w:val="24"/>
          <w:szCs w:val="24"/>
        </w:rPr>
        <w:fldChar w:fldCharType="separate"/>
      </w:r>
      <w:r w:rsidR="000B3EAF">
        <w:rPr>
          <w:rFonts w:ascii="Arial" w:hAnsi="Arial" w:cs="Arial"/>
          <w:noProof/>
          <w:sz w:val="24"/>
          <w:szCs w:val="24"/>
        </w:rPr>
        <w:t>(</w:t>
      </w:r>
      <w:hyperlink w:anchor="_ENREF_43" w:tooltip="Kilner J, 2012 #132" w:history="1">
        <w:r w:rsidR="00AB7E17">
          <w:rPr>
            <w:rFonts w:ascii="Arial" w:hAnsi="Arial" w:cs="Arial"/>
            <w:noProof/>
            <w:sz w:val="24"/>
            <w:szCs w:val="24"/>
          </w:rPr>
          <w:t>43</w:t>
        </w:r>
      </w:hyperlink>
      <w:r w:rsidR="000B3EAF">
        <w:rPr>
          <w:rFonts w:ascii="Arial" w:hAnsi="Arial" w:cs="Arial"/>
          <w:noProof/>
          <w:sz w:val="24"/>
          <w:szCs w:val="24"/>
        </w:rPr>
        <w:t>)</w:t>
      </w:r>
      <w:r w:rsidR="006C2756" w:rsidRPr="00BA5F59">
        <w:rPr>
          <w:rFonts w:ascii="Arial" w:hAnsi="Arial" w:cs="Arial"/>
          <w:sz w:val="24"/>
          <w:szCs w:val="24"/>
        </w:rPr>
        <w:fldChar w:fldCharType="end"/>
      </w:r>
      <w:r>
        <w:rPr>
          <w:rFonts w:ascii="Arial" w:hAnsi="Arial" w:cs="Arial"/>
          <w:sz w:val="24"/>
          <w:szCs w:val="24"/>
        </w:rPr>
        <w:t xml:space="preserve"> showed that valerate is related to the control of protein expression and cell cycle arrest (cell cycle control), enhancing a shift in the β-tubulin isotypes expression, </w:t>
      </w:r>
      <w:r w:rsidR="00FC3C1A">
        <w:rPr>
          <w:rFonts w:ascii="Arial" w:hAnsi="Arial" w:cs="Arial"/>
          <w:sz w:val="24"/>
          <w:szCs w:val="24"/>
        </w:rPr>
        <w:t xml:space="preserve">which </w:t>
      </w:r>
      <w:r w:rsidR="00024096">
        <w:rPr>
          <w:rFonts w:ascii="Arial" w:hAnsi="Arial" w:cs="Arial"/>
          <w:sz w:val="24"/>
          <w:szCs w:val="24"/>
        </w:rPr>
        <w:t>modifi</w:t>
      </w:r>
      <w:r w:rsidR="00FC3C1A">
        <w:rPr>
          <w:rFonts w:ascii="Arial" w:hAnsi="Arial" w:cs="Arial"/>
          <w:sz w:val="24"/>
          <w:szCs w:val="24"/>
        </w:rPr>
        <w:t>es</w:t>
      </w:r>
      <w:r>
        <w:rPr>
          <w:rFonts w:ascii="Arial" w:hAnsi="Arial" w:cs="Arial"/>
          <w:sz w:val="24"/>
          <w:szCs w:val="24"/>
        </w:rPr>
        <w:t xml:space="preserve"> the microtubules </w:t>
      </w:r>
      <w:r w:rsidR="006C2756" w:rsidRPr="00BA5F59">
        <w:rPr>
          <w:rFonts w:ascii="Arial" w:hAnsi="Arial" w:cs="Arial"/>
          <w:sz w:val="24"/>
          <w:szCs w:val="24"/>
        </w:rPr>
        <w:fldChar w:fldCharType="begin"/>
      </w:r>
      <w:r w:rsidR="000B3EAF">
        <w:rPr>
          <w:rFonts w:ascii="Arial" w:hAnsi="Arial" w:cs="Arial"/>
          <w:sz w:val="24"/>
          <w:szCs w:val="24"/>
        </w:rPr>
        <w:instrText xml:space="preserve"> ADDIN EN.CITE &lt;EndNote&gt;&lt;Cite&gt;&lt;Author&gt;Kilner J&lt;/Author&gt;&lt;Year&gt;2012&lt;/Year&gt;&lt;RecNum&gt;132&lt;/RecNum&gt;&lt;DisplayText&gt;(43)&lt;/DisplayText&gt;&lt;record&gt;&lt;rec-number&gt;132&lt;/rec-number&gt;&lt;foreign-keys&gt;&lt;key app="EN" db-id="zxp9w5sa30aeafes0xox2eem00dz2z2aswad"&gt;132&lt;/key&gt;&lt;key app="ENWeb" db-id="UG1-3grtqigAAEqvEt0"&gt;184&lt;/key&gt;&lt;/foreign-keys&gt;&lt;ref-type name="Journal Article"&gt;17&lt;/ref-type&gt;&lt;contributors&gt;&lt;authors&gt;&lt;author&gt;Kilner J,&lt;/author&gt;&lt;author&gt;Waby J,&lt;/author&gt;&lt;author&gt;Chowdry J,&lt;/author&gt;&lt;author&gt;Khan A,&lt;/author&gt;&lt;author&gt;Noirel J,&lt;/author&gt;&lt;author&gt;Wright P,&lt;/author&gt;&lt;author&gt;Corfe B,&lt;/author&gt;&lt;author&gt;Evans C,&lt;/author&gt;&lt;/authors&gt;&lt;/contributors&gt;&lt;titles&gt;&lt;title&gt;A proteomic analysis of differential cellular responses to the short-chain fatty acids butyrate, valerate and propionate in colon epithelial cancer cells&lt;/title&gt;&lt;secondary-title&gt;Mol. BioSyst&lt;/secondary-title&gt;&lt;/titles&gt;&lt;periodical&gt;&lt;full-title&gt;Mol. BioSyst&lt;/full-title&gt;&lt;/periodical&gt;&lt;pages&gt;1146-56&lt;/pages&gt;&lt;volume&gt;8&lt;/volume&gt;&lt;dates&gt;&lt;year&gt;2012&lt;/year&gt;&lt;/dates&gt;&lt;urls&gt;&lt;/urls&gt;&lt;/record&gt;&lt;/Cite&gt;&lt;/EndNote&gt;</w:instrText>
      </w:r>
      <w:r w:rsidR="006C2756" w:rsidRPr="00BA5F59">
        <w:rPr>
          <w:rFonts w:ascii="Arial" w:hAnsi="Arial" w:cs="Arial"/>
          <w:sz w:val="24"/>
          <w:szCs w:val="24"/>
        </w:rPr>
        <w:fldChar w:fldCharType="separate"/>
      </w:r>
      <w:r w:rsidR="000B3EAF">
        <w:rPr>
          <w:rFonts w:ascii="Arial" w:hAnsi="Arial" w:cs="Arial"/>
          <w:noProof/>
          <w:sz w:val="24"/>
          <w:szCs w:val="24"/>
        </w:rPr>
        <w:t>(</w:t>
      </w:r>
      <w:hyperlink w:anchor="_ENREF_43" w:tooltip="Kilner J, 2012 #132" w:history="1">
        <w:r w:rsidR="00AB7E17">
          <w:rPr>
            <w:rFonts w:ascii="Arial" w:hAnsi="Arial" w:cs="Arial"/>
            <w:noProof/>
            <w:sz w:val="24"/>
            <w:szCs w:val="24"/>
          </w:rPr>
          <w:t>43</w:t>
        </w:r>
      </w:hyperlink>
      <w:r w:rsidR="000B3EAF">
        <w:rPr>
          <w:rFonts w:ascii="Arial" w:hAnsi="Arial" w:cs="Arial"/>
          <w:noProof/>
          <w:sz w:val="24"/>
          <w:szCs w:val="24"/>
        </w:rPr>
        <w:t>)</w:t>
      </w:r>
      <w:r w:rsidR="006C2756" w:rsidRPr="00BA5F59">
        <w:rPr>
          <w:rFonts w:ascii="Arial" w:hAnsi="Arial" w:cs="Arial"/>
          <w:sz w:val="24"/>
          <w:szCs w:val="24"/>
        </w:rPr>
        <w:fldChar w:fldCharType="end"/>
      </w:r>
      <w:r w:rsidR="00024096">
        <w:rPr>
          <w:rFonts w:ascii="Arial" w:hAnsi="Arial" w:cs="Arial"/>
          <w:sz w:val="24"/>
          <w:szCs w:val="24"/>
        </w:rPr>
        <w:t xml:space="preserve">, </w:t>
      </w:r>
      <w:r w:rsidR="00FC3C1A">
        <w:rPr>
          <w:rFonts w:ascii="Arial" w:hAnsi="Arial" w:cs="Arial"/>
          <w:sz w:val="24"/>
          <w:szCs w:val="24"/>
        </w:rPr>
        <w:t xml:space="preserve">because </w:t>
      </w:r>
      <w:r w:rsidR="00B44F1C">
        <w:rPr>
          <w:rFonts w:ascii="Arial" w:hAnsi="Arial" w:cs="Arial"/>
          <w:sz w:val="24"/>
          <w:szCs w:val="24"/>
        </w:rPr>
        <w:t>the correct assembly of these microtubules depends on the composition and expression of their α and β</w:t>
      </w:r>
      <w:r w:rsidR="00FC3C1A">
        <w:rPr>
          <w:rFonts w:ascii="Arial" w:hAnsi="Arial" w:cs="Arial"/>
          <w:sz w:val="24"/>
          <w:szCs w:val="24"/>
        </w:rPr>
        <w:t xml:space="preserve">-tubulin </w:t>
      </w:r>
      <w:r w:rsidR="00B44F1C">
        <w:rPr>
          <w:rFonts w:ascii="Arial" w:hAnsi="Arial" w:cs="Arial"/>
          <w:sz w:val="24"/>
          <w:szCs w:val="24"/>
        </w:rPr>
        <w:t>subunits and is essential for their function</w:t>
      </w:r>
      <w:r w:rsidR="00FC3C1A">
        <w:rPr>
          <w:rFonts w:ascii="Arial" w:hAnsi="Arial" w:cs="Arial"/>
          <w:sz w:val="24"/>
          <w:szCs w:val="24"/>
        </w:rPr>
        <w:t xml:space="preserve"> </w:t>
      </w:r>
      <w:r w:rsidR="00FC3C1A">
        <w:rPr>
          <w:rFonts w:ascii="Arial" w:hAnsi="Arial" w:cs="Arial"/>
          <w:sz w:val="24"/>
          <w:szCs w:val="24"/>
        </w:rPr>
        <w:fldChar w:fldCharType="begin"/>
      </w:r>
      <w:r w:rsidR="00FC3C1A">
        <w:rPr>
          <w:rFonts w:ascii="Arial" w:hAnsi="Arial" w:cs="Arial"/>
          <w:sz w:val="24"/>
          <w:szCs w:val="24"/>
        </w:rPr>
        <w:instrText xml:space="preserve"> ADDIN EN.CITE &lt;EndNote&gt;&lt;Cite&gt;&lt;Author&gt;Kilner J&lt;/Author&gt;&lt;Year&gt;2011&lt;/Year&gt;&lt;RecNum&gt;399&lt;/RecNum&gt;&lt;DisplayText&gt;(44)&lt;/DisplayText&gt;&lt;record&gt;&lt;rec-number&gt;399&lt;/rec-number&gt;&lt;foreign-keys&gt;&lt;key app="EN" db-id="zxp9w5sa30aeafes0xox2eem00dz2z2aswad"&gt;399&lt;/key&gt;&lt;/foreign-keys&gt;&lt;ref-type name="Journal Article"&gt;17&lt;/ref-type&gt;&lt;contributors&gt;&lt;authors&gt;&lt;author&gt;Kilner J,&lt;/author&gt;&lt;author&gt;Corfe B,&lt;/author&gt;&lt;author&gt;Wilkinson S,&lt;/author&gt;&lt;/authors&gt;&lt;/contributors&gt;&lt;titles&gt;&lt;title&gt;Modelling modifications affecting the tubulin code as a route to study the chemopreventive and chemotherapeutic actions of SCFAs as HDAC&amp;#xD;inhibitors&lt;/title&gt;&lt;secondary-title&gt;Mol. BioSyst.&lt;/secondary-title&gt;&lt;/titles&gt;&lt;periodical&gt;&lt;full-title&gt;Mol. BioSyst.&lt;/full-title&gt;&lt;/periodical&gt;&lt;pages&gt;975-983&lt;/pages&gt;&lt;volume&gt;7&lt;/volume&gt;&lt;dates&gt;&lt;year&gt;2011&lt;/year&gt;&lt;/dates&gt;&lt;urls&gt;&lt;/urls&gt;&lt;/record&gt;&lt;/Cite&gt;&lt;/EndNote&gt;</w:instrText>
      </w:r>
      <w:r w:rsidR="00FC3C1A">
        <w:rPr>
          <w:rFonts w:ascii="Arial" w:hAnsi="Arial" w:cs="Arial"/>
          <w:sz w:val="24"/>
          <w:szCs w:val="24"/>
        </w:rPr>
        <w:fldChar w:fldCharType="separate"/>
      </w:r>
      <w:r w:rsidR="00FC3C1A">
        <w:rPr>
          <w:rFonts w:ascii="Arial" w:hAnsi="Arial" w:cs="Arial"/>
          <w:noProof/>
          <w:sz w:val="24"/>
          <w:szCs w:val="24"/>
        </w:rPr>
        <w:t>(</w:t>
      </w:r>
      <w:hyperlink w:anchor="_ENREF_44" w:tooltip="Kilner J, 2011 #399" w:history="1">
        <w:r w:rsidR="00AB7E17">
          <w:rPr>
            <w:rFonts w:ascii="Arial" w:hAnsi="Arial" w:cs="Arial"/>
            <w:noProof/>
            <w:sz w:val="24"/>
            <w:szCs w:val="24"/>
          </w:rPr>
          <w:t>44</w:t>
        </w:r>
      </w:hyperlink>
      <w:r w:rsidR="00FC3C1A">
        <w:rPr>
          <w:rFonts w:ascii="Arial" w:hAnsi="Arial" w:cs="Arial"/>
          <w:noProof/>
          <w:sz w:val="24"/>
          <w:szCs w:val="24"/>
        </w:rPr>
        <w:t>)</w:t>
      </w:r>
      <w:r w:rsidR="00FC3C1A">
        <w:rPr>
          <w:rFonts w:ascii="Arial" w:hAnsi="Arial" w:cs="Arial"/>
          <w:sz w:val="24"/>
          <w:szCs w:val="24"/>
        </w:rPr>
        <w:fldChar w:fldCharType="end"/>
      </w:r>
      <w:r w:rsidR="00B44F1C">
        <w:rPr>
          <w:rFonts w:ascii="Arial" w:hAnsi="Arial" w:cs="Arial"/>
          <w:sz w:val="24"/>
          <w:szCs w:val="24"/>
        </w:rPr>
        <w:t xml:space="preserve">. This </w:t>
      </w:r>
      <w:r w:rsidR="00FC3C1A">
        <w:rPr>
          <w:rFonts w:ascii="Arial" w:hAnsi="Arial" w:cs="Arial"/>
          <w:sz w:val="24"/>
          <w:szCs w:val="24"/>
        </w:rPr>
        <w:t>is important since</w:t>
      </w:r>
      <w:r w:rsidR="00B44F1C">
        <w:rPr>
          <w:rFonts w:ascii="Arial" w:hAnsi="Arial" w:cs="Arial"/>
          <w:sz w:val="24"/>
          <w:szCs w:val="24"/>
        </w:rPr>
        <w:t xml:space="preserve"> microtubules are a component of the cytoskeleton </w:t>
      </w:r>
      <w:r w:rsidR="00FC3C1A">
        <w:rPr>
          <w:rFonts w:ascii="Arial" w:hAnsi="Arial" w:cs="Arial"/>
          <w:sz w:val="24"/>
          <w:szCs w:val="24"/>
        </w:rPr>
        <w:t xml:space="preserve">related to </w:t>
      </w:r>
      <w:r w:rsidR="00B44F1C">
        <w:rPr>
          <w:rFonts w:ascii="Arial" w:hAnsi="Arial" w:cs="Arial"/>
          <w:sz w:val="24"/>
          <w:szCs w:val="24"/>
        </w:rPr>
        <w:t>different cellular processes</w:t>
      </w:r>
      <w:r w:rsidR="00FC3C1A">
        <w:rPr>
          <w:rFonts w:ascii="Arial" w:hAnsi="Arial" w:cs="Arial"/>
          <w:sz w:val="24"/>
          <w:szCs w:val="24"/>
        </w:rPr>
        <w:t>.</w:t>
      </w:r>
    </w:p>
    <w:p w:rsidR="00EF1380" w:rsidRDefault="00EF1380" w:rsidP="00EF1380">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Unlike those SCFAs previously mentioned, isobutyrate seems to have no effect, or not to play an important role as a KDAC</w:t>
      </w:r>
      <w:r w:rsidRPr="006950B5">
        <w:rPr>
          <w:rFonts w:ascii="Arial" w:hAnsi="Arial" w:cs="Arial"/>
          <w:sz w:val="24"/>
          <w:szCs w:val="24"/>
        </w:rPr>
        <w:t>i</w:t>
      </w:r>
      <w:r>
        <w:rPr>
          <w:rFonts w:ascii="Arial" w:hAnsi="Arial" w:cs="Arial"/>
          <w:sz w:val="24"/>
          <w:szCs w:val="24"/>
        </w:rPr>
        <w:t xml:space="preserve">. Nevertheless, at 8mM concentrations it is possible for isobutyrate to inhibit the induction of egg white messenger ribonucleic acid (mRNA) </w:t>
      </w:r>
      <w:r w:rsidR="006C2756" w:rsidRPr="006950B5">
        <w:rPr>
          <w:rFonts w:ascii="Arial" w:hAnsi="Arial" w:cs="Arial"/>
          <w:sz w:val="24"/>
          <w:szCs w:val="24"/>
        </w:rPr>
        <w:fldChar w:fldCharType="begin"/>
      </w:r>
      <w:r w:rsidR="00FC3C1A">
        <w:rPr>
          <w:rFonts w:ascii="Arial" w:hAnsi="Arial" w:cs="Arial"/>
          <w:sz w:val="24"/>
          <w:szCs w:val="24"/>
        </w:rPr>
        <w:instrText xml:space="preserve"> ADDIN EN.CITE &lt;EndNote&gt;&lt;Cite&gt;&lt;Author&gt;Knight G&lt;/Author&gt;&lt;Year&gt;1980&lt;/Year&gt;&lt;RecNum&gt;141&lt;/RecNum&gt;&lt;DisplayText&gt;(45)&lt;/DisplayText&gt;&lt;record&gt;&lt;rec-number&gt;141&lt;/rec-number&gt;&lt;foreign-keys&gt;&lt;key app="EN" db-id="zxp9w5sa30aeafes0xox2eem00dz2z2aswad"&gt;141&lt;/key&gt;&lt;key app="ENWeb" db-id="UG1-3grtqigAAEqvEt0"&gt;176&lt;/key&gt;&lt;/foreign-keys&gt;&lt;ref-type name="Journal Article"&gt;17&lt;/ref-type&gt;&lt;contributors&gt;&lt;authors&gt;&lt;author&gt;Knight G,&lt;/author&gt;&lt;author&gt;Hager L,&lt;/author&gt;&lt;author&gt;Palmiter R,&lt;/author&gt;&lt;/authors&gt;&lt;/contributors&gt;&lt;titles&gt;&lt;title&gt;Butyrate and Related Inhibitors of Histone Deacetylation Block the Induction of Egg White Genes by Steroid Hormones&lt;/title&gt;&lt;secondary-title&gt;Cell&lt;/secondary-title&gt;&lt;/titles&gt;&lt;periodical&gt;&lt;full-title&gt;Cell&lt;/full-title&gt;&lt;/periodical&gt;&lt;pages&gt;469-77&lt;/pages&gt;&lt;volume&gt;22&lt;/volume&gt;&lt;dates&gt;&lt;year&gt;1980&lt;/year&gt;&lt;/dates&gt;&lt;urls&gt;&lt;/urls&gt;&lt;/record&gt;&lt;/Cite&gt;&lt;/EndNote&gt;</w:instrText>
      </w:r>
      <w:r w:rsidR="006C2756" w:rsidRPr="006950B5">
        <w:rPr>
          <w:rFonts w:ascii="Arial" w:hAnsi="Arial" w:cs="Arial"/>
          <w:sz w:val="24"/>
          <w:szCs w:val="24"/>
        </w:rPr>
        <w:fldChar w:fldCharType="separate"/>
      </w:r>
      <w:r w:rsidR="00FC3C1A">
        <w:rPr>
          <w:rFonts w:ascii="Arial" w:hAnsi="Arial" w:cs="Arial"/>
          <w:noProof/>
          <w:sz w:val="24"/>
          <w:szCs w:val="24"/>
        </w:rPr>
        <w:t>(</w:t>
      </w:r>
      <w:hyperlink w:anchor="_ENREF_45" w:tooltip="Knight G, 1980 #141" w:history="1">
        <w:r w:rsidR="00AB7E17">
          <w:rPr>
            <w:rFonts w:ascii="Arial" w:hAnsi="Arial" w:cs="Arial"/>
            <w:noProof/>
            <w:sz w:val="24"/>
            <w:szCs w:val="24"/>
          </w:rPr>
          <w:t>45</w:t>
        </w:r>
      </w:hyperlink>
      <w:r w:rsidR="00FC3C1A">
        <w:rPr>
          <w:rFonts w:ascii="Arial" w:hAnsi="Arial" w:cs="Arial"/>
          <w:noProof/>
          <w:sz w:val="24"/>
          <w:szCs w:val="24"/>
        </w:rPr>
        <w:t>)</w:t>
      </w:r>
      <w:r w:rsidR="006C2756" w:rsidRPr="006950B5">
        <w:rPr>
          <w:rFonts w:ascii="Arial" w:hAnsi="Arial" w:cs="Arial"/>
          <w:sz w:val="24"/>
          <w:szCs w:val="24"/>
        </w:rPr>
        <w:fldChar w:fldCharType="end"/>
      </w:r>
      <w:r>
        <w:rPr>
          <w:rFonts w:ascii="Arial" w:hAnsi="Arial" w:cs="Arial"/>
          <w:sz w:val="24"/>
          <w:szCs w:val="24"/>
        </w:rPr>
        <w:t xml:space="preserve">. This concentration is considerably higher, more than ten times, than that needed to cause a 50% inhibition by butyrate or propionate </w:t>
      </w:r>
      <w:r w:rsidR="006C2756" w:rsidRPr="006950B5">
        <w:rPr>
          <w:rFonts w:ascii="Arial" w:hAnsi="Arial" w:cs="Arial"/>
          <w:sz w:val="24"/>
          <w:szCs w:val="24"/>
        </w:rPr>
        <w:fldChar w:fldCharType="begin"/>
      </w:r>
      <w:r w:rsidR="00FC3C1A">
        <w:rPr>
          <w:rFonts w:ascii="Arial" w:hAnsi="Arial" w:cs="Arial"/>
          <w:sz w:val="24"/>
          <w:szCs w:val="24"/>
        </w:rPr>
        <w:instrText xml:space="preserve"> ADDIN EN.CITE &lt;EndNote&gt;&lt;Cite&gt;&lt;Author&gt;Knight G&lt;/Author&gt;&lt;Year&gt;1980&lt;/Year&gt;&lt;RecNum&gt;141&lt;/RecNum&gt;&lt;DisplayText&gt;(45)&lt;/DisplayText&gt;&lt;record&gt;&lt;rec-number&gt;141&lt;/rec-number&gt;&lt;foreign-keys&gt;&lt;key app="EN" db-id="zxp9w5sa30aeafes0xox2eem00dz2z2aswad"&gt;141&lt;/key&gt;&lt;key app="ENWeb" db-id="UG1-3grtqigAAEqvEt0"&gt;176&lt;/key&gt;&lt;/foreign-keys&gt;&lt;ref-type name="Journal Article"&gt;17&lt;/ref-type&gt;&lt;contributors&gt;&lt;authors&gt;&lt;author&gt;Knight G,&lt;/author&gt;&lt;author&gt;Hager L,&lt;/author&gt;&lt;author&gt;Palmiter R,&lt;/author&gt;&lt;/authors&gt;&lt;/contributors&gt;&lt;titles&gt;&lt;title&gt;Butyrate and Related Inhibitors of Histone Deacetylation Block the Induction of Egg White Genes by Steroid Hormones&lt;/title&gt;&lt;secondary-title&gt;Cell&lt;/secondary-title&gt;&lt;/titles&gt;&lt;periodical&gt;&lt;full-title&gt;Cell&lt;/full-title&gt;&lt;/periodical&gt;&lt;pages&gt;469-77&lt;/pages&gt;&lt;volume&gt;22&lt;/volume&gt;&lt;dates&gt;&lt;year&gt;1980&lt;/year&gt;&lt;/dates&gt;&lt;urls&gt;&lt;/urls&gt;&lt;/record&gt;&lt;/Cite&gt;&lt;/EndNote&gt;</w:instrText>
      </w:r>
      <w:r w:rsidR="006C2756" w:rsidRPr="006950B5">
        <w:rPr>
          <w:rFonts w:ascii="Arial" w:hAnsi="Arial" w:cs="Arial"/>
          <w:sz w:val="24"/>
          <w:szCs w:val="24"/>
        </w:rPr>
        <w:fldChar w:fldCharType="separate"/>
      </w:r>
      <w:r w:rsidR="00FC3C1A">
        <w:rPr>
          <w:rFonts w:ascii="Arial" w:hAnsi="Arial" w:cs="Arial"/>
          <w:noProof/>
          <w:sz w:val="24"/>
          <w:szCs w:val="24"/>
        </w:rPr>
        <w:t>(</w:t>
      </w:r>
      <w:hyperlink w:anchor="_ENREF_45" w:tooltip="Knight G, 1980 #141" w:history="1">
        <w:r w:rsidR="00AB7E17">
          <w:rPr>
            <w:rFonts w:ascii="Arial" w:hAnsi="Arial" w:cs="Arial"/>
            <w:noProof/>
            <w:sz w:val="24"/>
            <w:szCs w:val="24"/>
          </w:rPr>
          <w:t>45</w:t>
        </w:r>
      </w:hyperlink>
      <w:r w:rsidR="00FC3C1A">
        <w:rPr>
          <w:rFonts w:ascii="Arial" w:hAnsi="Arial" w:cs="Arial"/>
          <w:noProof/>
          <w:sz w:val="24"/>
          <w:szCs w:val="24"/>
        </w:rPr>
        <w:t>)</w:t>
      </w:r>
      <w:r w:rsidR="006C2756" w:rsidRPr="006950B5">
        <w:rPr>
          <w:rFonts w:ascii="Arial" w:hAnsi="Arial" w:cs="Arial"/>
          <w:sz w:val="24"/>
          <w:szCs w:val="24"/>
        </w:rPr>
        <w:fldChar w:fldCharType="end"/>
      </w:r>
      <w:r>
        <w:rPr>
          <w:rFonts w:ascii="Arial" w:hAnsi="Arial" w:cs="Arial"/>
          <w:sz w:val="24"/>
          <w:szCs w:val="24"/>
        </w:rPr>
        <w:t xml:space="preserve">. On the other hand, the availability of volatile fatty acids increases the concentrations of isovalerate and acetate, suggesting a dose-dependent manner to control and up-regulate bacteria and enzymes in the steer gut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&lt;EndNote&gt;&lt;Cite&gt;&lt;Author&gt;Liu Q&lt;/Author&gt;&lt;Year&gt;2009&lt;/Year&gt;&lt;RecNum&gt;155&lt;/RecNum&gt;&lt;DisplayText&gt;(46)&lt;/DisplayText&gt;&lt;record&gt;&lt;rec-number&gt;155&lt;/rec-number&gt;&lt;foreign-keys&gt;&lt;key app="EN" db-id="zxp9w5sa30aeafes0xox2eem00dz2z2aswad"&gt;155&lt;/key&gt;&lt;key app="ENWeb" db-id="UG1-3grtqigAAEqvEt0"&gt;179&lt;/key&gt;&lt;/foreign-keys&gt;&lt;ref-type name="Journal Article"&gt;17&lt;/ref-type&gt;&lt;contributors&gt;&lt;authors&gt;&lt;author&gt;Liu Q,&lt;/author&gt;&lt;author&gt;Wang C,&lt;/author&gt;&lt;author&gt;Huang Y,&lt;/author&gt;&lt;author&gt;Dong K,&lt;/author&gt;&lt;author&gt;Yang W,&lt;/author&gt;&lt;author&gt;Zhang S,&lt;/author&gt;&lt;author&gt;Wang H,&lt;/author&gt;&lt;/authors&gt;&lt;/contributors&gt;&lt;titles&gt;&lt;title&gt;Effects of isovalerate on ruminal fermentation, urinary excretion of purine derivatives and digestibility in steers&lt;/title&gt;&lt;secondary-title&gt;Journal of Animal Physiology and Animal Nutrition&lt;/secondary-title&gt;&lt;/titles&gt;&lt;periodical&gt;&lt;full-title&gt;Journal of Animal Physiology and Animal Nutrition&lt;/full-title&gt;&lt;/periodical&gt;&lt;pages&gt;716-25&lt;/pages&gt;&lt;volume&gt;93&lt;/volume&gt;&lt;dates&gt;&lt;year&gt;2009&lt;/year&gt;&lt;/dates&gt;&lt;urls&gt;&lt;/urls&gt;&lt;/record&gt;&lt;/Cite&gt;&lt;/EndNote&gt;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46" w:tooltip="Liu Q, 2009 #155" w:history="1">
        <w:r w:rsidR="00AB7E17">
          <w:rPr>
            <w:rFonts w:ascii="Arial" w:hAnsi="Arial" w:cs="Arial"/>
            <w:noProof/>
            <w:sz w:val="24"/>
            <w:szCs w:val="24"/>
          </w:rPr>
          <w:t>46</w:t>
        </w:r>
      </w:hyperlink>
      <w:r w:rsidR="00FC3C1A">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t>
      </w:r>
    </w:p>
    <w:p w:rsidR="008E5723" w:rsidRDefault="008E5723">
      <w:pPr>
        <w:rPr>
          <w:rStyle w:val="SC118877"/>
          <w:rFonts w:ascii="Arial" w:hAnsi="Arial" w:cs="Arial"/>
          <w:b/>
          <w:bCs/>
          <w:color w:val="auto"/>
          <w:kern w:val="36"/>
          <w:sz w:val="24"/>
          <w:szCs w:val="24"/>
        </w:rPr>
      </w:pPr>
      <w:bookmarkStart w:id="19" w:name="_Toc379983948"/>
      <w:r>
        <w:rPr>
          <w:rStyle w:val="SC118877"/>
          <w:rFonts w:ascii="Arial" w:hAnsi="Arial" w:cs="Arial"/>
          <w:color w:val="auto"/>
          <w:sz w:val="24"/>
          <w:szCs w:val="24"/>
        </w:rPr>
        <w:br w:type="page"/>
      </w:r>
    </w:p>
    <w:p w:rsidR="00EF1380" w:rsidRPr="00DD6198" w:rsidRDefault="00EF1380" w:rsidP="003512B8">
      <w:pPr>
        <w:pStyle w:val="Heading1"/>
        <w:jc w:val="both"/>
        <w:rPr>
          <w:rStyle w:val="SC118877"/>
          <w:rFonts w:ascii="Arial" w:eastAsiaTheme="minorEastAsia" w:hAnsi="Arial" w:cs="Arial"/>
          <w:color w:val="auto"/>
          <w:sz w:val="28"/>
          <w:szCs w:val="24"/>
        </w:rPr>
      </w:pPr>
      <w:bookmarkStart w:id="20" w:name="_Toc413753745"/>
      <w:r w:rsidRPr="00DD6198">
        <w:rPr>
          <w:rStyle w:val="SC118877"/>
          <w:rFonts w:ascii="Arial" w:eastAsiaTheme="minorEastAsia" w:hAnsi="Arial" w:cs="Arial"/>
          <w:color w:val="auto"/>
          <w:sz w:val="28"/>
          <w:szCs w:val="24"/>
        </w:rPr>
        <w:lastRenderedPageBreak/>
        <w:t xml:space="preserve">II. </w:t>
      </w:r>
      <w:r w:rsidR="0021126A" w:rsidRPr="00DD6198">
        <w:rPr>
          <w:rStyle w:val="SC118877"/>
          <w:rFonts w:ascii="Arial" w:eastAsiaTheme="minorEastAsia" w:hAnsi="Arial" w:cs="Arial"/>
          <w:color w:val="auto"/>
          <w:sz w:val="28"/>
          <w:szCs w:val="24"/>
        </w:rPr>
        <w:t xml:space="preserve">Metabolic outcomes of the alteration in the acetylation patterns of </w:t>
      </w:r>
      <w:r w:rsidRPr="00DD6198">
        <w:rPr>
          <w:rStyle w:val="SC118877"/>
          <w:rFonts w:ascii="Arial" w:eastAsiaTheme="minorEastAsia" w:hAnsi="Arial" w:cs="Arial"/>
          <w:color w:val="auto"/>
          <w:sz w:val="28"/>
          <w:szCs w:val="24"/>
        </w:rPr>
        <w:t>metabolic enzymes</w:t>
      </w:r>
      <w:bookmarkEnd w:id="19"/>
      <w:bookmarkEnd w:id="20"/>
    </w:p>
    <w:p w:rsidR="00EF1380" w:rsidRDefault="00EF1380" w:rsidP="00EF1380">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There is a delicate balance amongst metabolic pathways that could be altered by a shift in their acetylation patterns </w:t>
      </w:r>
      <w:r w:rsidR="006C2756">
        <w:rPr>
          <w:rStyle w:val="SC118877"/>
          <w:rFonts w:ascii="Arial" w:hAnsi="Arial" w:cs="Arial"/>
          <w:iCs/>
          <w:sz w:val="24"/>
          <w:szCs w:val="24"/>
          <w:lang w:val="en-US"/>
        </w:rPr>
        <w:fldChar w:fldCharType="begin"/>
      </w:r>
      <w:r w:rsidR="000B3EAF">
        <w:rPr>
          <w:rStyle w:val="SC118877"/>
          <w:rFonts w:ascii="Arial" w:hAnsi="Arial" w:cs="Arial"/>
          <w:iCs/>
          <w:sz w:val="24"/>
          <w:szCs w:val="24"/>
          <w:lang w:val="en-US"/>
        </w:rPr>
        <w:instrText xml:space="preserve"> ADDIN EN.CITE &lt;EndNote&gt;&lt;Cite&gt;&lt;Author&gt;Zhao S&lt;/Author&gt;&lt;Year&gt;2010&lt;/Year&gt;&lt;RecNum&gt;301&lt;/RecNum&gt;&lt;DisplayText&gt;(9, 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Cite&gt;&lt;Author&gt;Grillon J&lt;/Author&gt;&lt;Year&gt;2012&lt;/Year&gt;&lt;RecNum&gt;89&lt;/RecNum&gt;&lt;record&gt;&lt;rec-number&gt;89&lt;/rec-number&gt;&lt;foreign-keys&gt;&lt;key app="EN" db-id="zxp9w5sa30aeafes0xox2eem00dz2z2aswad"&gt;89&lt;/key&gt;&lt;key app="ENWeb" db-id="UG1-3grtqigAAEqvEt0"&gt;139&lt;/key&gt;&lt;/foreign-keys&gt;&lt;ref-type name="Journal Article"&gt;17&lt;/ref-type&gt;&lt;contributors&gt;&lt;authors&gt;&lt;author&gt;Grillon J,&lt;/author&gt;&lt;author&gt;Johnson K,&lt;/author&gt;&lt;author&gt;Kotlo K,&lt;/author&gt;&lt;author&gt;Danziger R,&lt;/author&gt;&lt;/authors&gt;&lt;/contributors&gt;&lt;titles&gt;&lt;title&gt;Non-histone lysine acetylated proteins in heart failure&lt;/title&gt;&lt;secondary-title&gt;Biochimica et Biophysica Acta&lt;/secondary-title&gt;&lt;/titles&gt;&lt;periodical&gt;&lt;full-title&gt;Biochimica et Biophysica Acta&lt;/full-title&gt;&lt;/periodical&gt;&lt;pages&gt;607–614&lt;/pages&gt;&lt;volume&gt;1822&lt;/volume&gt;&lt;number&gt;4&lt;/number&gt;&lt;dates&gt;&lt;year&gt;2012&lt;/year&gt;&lt;/dates&gt;&lt;urls&gt;&lt;/urls&gt;&lt;/record&gt;&lt;/Cite&gt;&lt;/EndNote&gt;</w:instrText>
      </w:r>
      <w:r w:rsidR="006C2756">
        <w:rPr>
          <w:rStyle w:val="SC118877"/>
          <w:rFonts w:ascii="Arial" w:hAnsi="Arial" w:cs="Arial"/>
          <w:iCs/>
          <w:sz w:val="24"/>
          <w:szCs w:val="24"/>
          <w:lang w:val="en-US"/>
        </w:rPr>
        <w:fldChar w:fldCharType="separate"/>
      </w:r>
      <w:r w:rsidR="000B3EAF">
        <w:rPr>
          <w:rStyle w:val="SC118877"/>
          <w:rFonts w:ascii="Arial" w:hAnsi="Arial" w:cs="Arial"/>
          <w:iCs/>
          <w:noProof/>
          <w:sz w:val="24"/>
          <w:szCs w:val="24"/>
          <w:lang w:val="en-US"/>
        </w:rPr>
        <w:t>(</w:t>
      </w:r>
      <w:hyperlink w:anchor="_ENREF_9" w:tooltip="Grillon J, 2012 #89" w:history="1">
        <w:r w:rsidR="00AB7E17">
          <w:rPr>
            <w:rStyle w:val="SC118877"/>
            <w:rFonts w:ascii="Arial" w:hAnsi="Arial" w:cs="Arial"/>
            <w:iCs/>
            <w:noProof/>
            <w:sz w:val="24"/>
            <w:szCs w:val="24"/>
            <w:lang w:val="en-US"/>
          </w:rPr>
          <w:t>9</w:t>
        </w:r>
      </w:hyperlink>
      <w:r w:rsidR="000B3EAF">
        <w:rPr>
          <w:rStyle w:val="SC118877"/>
          <w:rFonts w:ascii="Arial" w:hAnsi="Arial" w:cs="Arial"/>
          <w:iCs/>
          <w:noProof/>
          <w:sz w:val="24"/>
          <w:szCs w:val="24"/>
          <w:lang w:val="en-US"/>
        </w:rPr>
        <w:t xml:space="preserve">, </w:t>
      </w:r>
      <w:hyperlink w:anchor="_ENREF_11" w:tooltip="Zhao S, 2010 #301" w:history="1">
        <w:r w:rsidR="00AB7E17">
          <w:rPr>
            <w:rStyle w:val="SC118877"/>
            <w:rFonts w:ascii="Arial" w:hAnsi="Arial" w:cs="Arial"/>
            <w:iCs/>
            <w:noProof/>
            <w:sz w:val="24"/>
            <w:szCs w:val="24"/>
            <w:lang w:val="en-US"/>
          </w:rPr>
          <w:t>11</w:t>
        </w:r>
      </w:hyperlink>
      <w:r w:rsidR="000B3EAF">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since the enzymes in these pathways are substrates of acetylation </w:t>
      </w:r>
      <w:r w:rsidR="006C2756">
        <w:rPr>
          <w:rStyle w:val="SC118877"/>
          <w:rFonts w:ascii="Arial" w:hAnsi="Arial" w:cs="Arial"/>
          <w:iCs/>
          <w:sz w:val="24"/>
          <w:szCs w:val="24"/>
          <w:lang w:val="en-US"/>
        </w:rPr>
        <w:fldChar w:fldCharType="begin"/>
      </w:r>
      <w:r w:rsidR="000B3EAF">
        <w:rPr>
          <w:rStyle w:val="SC118877"/>
          <w:rFonts w:ascii="Arial" w:hAnsi="Arial" w:cs="Arial"/>
          <w:iCs/>
          <w:sz w:val="24"/>
          <w:szCs w:val="24"/>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Pr>
          <w:rStyle w:val="SC118877"/>
          <w:rFonts w:ascii="Arial" w:hAnsi="Arial" w:cs="Arial"/>
          <w:iCs/>
          <w:sz w:val="24"/>
          <w:szCs w:val="24"/>
          <w:lang w:val="en-US"/>
        </w:rPr>
        <w:fldChar w:fldCharType="separate"/>
      </w:r>
      <w:r w:rsidR="000B3EAF">
        <w:rPr>
          <w:rStyle w:val="SC118877"/>
          <w:rFonts w:ascii="Arial" w:hAnsi="Arial" w:cs="Arial"/>
          <w:iCs/>
          <w:noProof/>
          <w:sz w:val="24"/>
          <w:szCs w:val="24"/>
          <w:lang w:val="en-US"/>
        </w:rPr>
        <w:t>(</w:t>
      </w:r>
      <w:hyperlink w:anchor="_ENREF_11" w:tooltip="Zhao S, 2010 #301" w:history="1">
        <w:r w:rsidR="00AB7E17">
          <w:rPr>
            <w:rStyle w:val="SC118877"/>
            <w:rFonts w:ascii="Arial" w:hAnsi="Arial" w:cs="Arial"/>
            <w:iCs/>
            <w:noProof/>
            <w:sz w:val="24"/>
            <w:szCs w:val="24"/>
            <w:lang w:val="en-US"/>
          </w:rPr>
          <w:t>11</w:t>
        </w:r>
      </w:hyperlink>
      <w:r w:rsidR="000B3EAF">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A decrease in histone acetylation, the inhibition of the enzymatic activity and metabolic outcomes, are the effects </w:t>
      </w:r>
      <w:r w:rsidR="00A82B55">
        <w:rPr>
          <w:rStyle w:val="SC118877"/>
          <w:rFonts w:ascii="Arial" w:hAnsi="Arial" w:cs="Arial"/>
          <w:iCs/>
          <w:sz w:val="24"/>
          <w:szCs w:val="24"/>
          <w:lang w:val="en-US"/>
        </w:rPr>
        <w:t>of an alteration</w:t>
      </w:r>
      <w:r>
        <w:rPr>
          <w:rStyle w:val="SC118877"/>
          <w:rFonts w:ascii="Arial" w:hAnsi="Arial" w:cs="Arial"/>
          <w:iCs/>
          <w:sz w:val="24"/>
          <w:szCs w:val="24"/>
          <w:lang w:val="en-US"/>
        </w:rPr>
        <w:t xml:space="preserve"> in </w:t>
      </w:r>
      <w:r w:rsidR="00A82B55">
        <w:rPr>
          <w:rStyle w:val="SC118877"/>
          <w:rFonts w:ascii="Arial" w:hAnsi="Arial" w:cs="Arial"/>
          <w:iCs/>
          <w:sz w:val="24"/>
          <w:szCs w:val="24"/>
          <w:lang w:val="en-US"/>
        </w:rPr>
        <w:t xml:space="preserve">the </w:t>
      </w:r>
      <w:r>
        <w:rPr>
          <w:rStyle w:val="SC118877"/>
          <w:rFonts w:ascii="Arial" w:hAnsi="Arial" w:cs="Arial"/>
          <w:iCs/>
          <w:sz w:val="24"/>
          <w:szCs w:val="24"/>
          <w:lang w:val="en-US"/>
        </w:rPr>
        <w:t xml:space="preserve">acetylation patterns of metabolic enzymes </w:t>
      </w:r>
      <w:r w:rsidR="006C2756">
        <w:rPr>
          <w:rStyle w:val="SC118877"/>
          <w:rFonts w:ascii="Arial" w:hAnsi="Arial" w:cs="Arial"/>
          <w:iCs/>
          <w:sz w:val="24"/>
          <w:szCs w:val="24"/>
          <w:lang w:val="en-US"/>
        </w:rPr>
        <w:fldChar w:fldCharType="begin"/>
      </w:r>
      <w:r w:rsidR="000B3EAF">
        <w:rPr>
          <w:rStyle w:val="SC118877"/>
          <w:rFonts w:ascii="Arial" w:hAnsi="Arial" w:cs="Arial"/>
          <w:iCs/>
          <w:sz w:val="24"/>
          <w:szCs w:val="24"/>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Pr>
          <w:rStyle w:val="SC118877"/>
          <w:rFonts w:ascii="Arial" w:hAnsi="Arial" w:cs="Arial"/>
          <w:iCs/>
          <w:sz w:val="24"/>
          <w:szCs w:val="24"/>
          <w:lang w:val="en-US"/>
        </w:rPr>
        <w:fldChar w:fldCharType="separate"/>
      </w:r>
      <w:r w:rsidR="000B3EAF">
        <w:rPr>
          <w:rStyle w:val="SC118877"/>
          <w:rFonts w:ascii="Arial" w:hAnsi="Arial" w:cs="Arial"/>
          <w:iCs/>
          <w:noProof/>
          <w:sz w:val="24"/>
          <w:szCs w:val="24"/>
          <w:lang w:val="en-US"/>
        </w:rPr>
        <w:t>(</w:t>
      </w:r>
      <w:hyperlink w:anchor="_ENREF_11" w:tooltip="Zhao S, 2010 #301" w:history="1">
        <w:r w:rsidR="00AB7E17">
          <w:rPr>
            <w:rStyle w:val="SC118877"/>
            <w:rFonts w:ascii="Arial" w:hAnsi="Arial" w:cs="Arial"/>
            <w:iCs/>
            <w:noProof/>
            <w:sz w:val="24"/>
            <w:szCs w:val="24"/>
            <w:lang w:val="en-US"/>
          </w:rPr>
          <w:t>11</w:t>
        </w:r>
      </w:hyperlink>
      <w:r w:rsidR="000B3EAF">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SCFAs could potentially produce a change in metabolic pathways by altering their expression and/or function </w:t>
      </w:r>
      <w:r w:rsidR="006C2756">
        <w:rPr>
          <w:rStyle w:val="SC118877"/>
          <w:rFonts w:ascii="Arial" w:hAnsi="Arial" w:cs="Arial"/>
          <w:iCs/>
          <w:sz w:val="24"/>
          <w:szCs w:val="24"/>
          <w:lang w:val="en-US"/>
        </w:rPr>
        <w:fldChar w:fldCharType="begin"/>
      </w:r>
      <w:r w:rsidR="000B3EAF">
        <w:rPr>
          <w:rStyle w:val="SC118877"/>
          <w:rFonts w:ascii="Arial" w:hAnsi="Arial" w:cs="Arial"/>
          <w:iCs/>
          <w:sz w:val="24"/>
          <w:szCs w:val="24"/>
          <w:lang w:val="en-US"/>
        </w:rPr>
        <w:instrText xml:space="preserve"> ADDIN EN.CITE &lt;EndNote&gt;&lt;Cite&gt;&lt;Author&gt;Kim G&lt;/Author&gt;&lt;Year&gt;2010&lt;/Year&gt;&lt;RecNum&gt;306&lt;/RecNum&gt;&lt;DisplayText&gt;(8)&lt;/DisplayText&gt;&lt;record&gt;&lt;rec-number&gt;306&lt;/rec-number&gt;&lt;foreign-keys&gt;&lt;key app="EN" db-id="zxp9w5sa30aeafes0xox2eem00dz2z2aswad"&gt;306&lt;/key&gt;&lt;/foreign-keys&gt;&lt;ref-type name="Journal Article"&gt;17&lt;/ref-type&gt;&lt;contributors&gt;&lt;authors&gt;&lt;author&gt;Kim G,&lt;/author&gt;&lt;author&gt;Gocevski G,&lt;/author&gt;&lt;author&gt;Wu C,&lt;/author&gt;&lt;author&gt;Yang X,&lt;/author&gt;&lt;/authors&gt;&lt;/contributors&gt;&lt;titles&gt;&lt;title&gt;Dietary, metabolic, and potentially  environmental modulation of the lysine acetylation machinery&lt;/title&gt;&lt;secondary-title&gt;Int. J. Cell Biol.&lt;/secondary-title&gt;&lt;/titles&gt;&lt;periodical&gt;&lt;full-title&gt;Int. J. Cell Biol.&lt;/full-title&gt;&lt;/periodical&gt;&lt;pages&gt;doi: 10.1155/2010/632739&lt;/pages&gt;&lt;volume&gt;2010:632739 &lt;/volume&gt;&lt;dates&gt;&lt;year&gt;2010&lt;/year&gt;&lt;/dates&gt;&lt;urls&gt;&lt;/urls&gt;&lt;/record&gt;&lt;/Cite&gt;&lt;/EndNote&gt;</w:instrText>
      </w:r>
      <w:r w:rsidR="006C2756">
        <w:rPr>
          <w:rStyle w:val="SC118877"/>
          <w:rFonts w:ascii="Arial" w:hAnsi="Arial" w:cs="Arial"/>
          <w:iCs/>
          <w:sz w:val="24"/>
          <w:szCs w:val="24"/>
          <w:lang w:val="en-US"/>
        </w:rPr>
        <w:fldChar w:fldCharType="separate"/>
      </w:r>
      <w:r w:rsidR="000B3EAF">
        <w:rPr>
          <w:rStyle w:val="SC118877"/>
          <w:rFonts w:ascii="Arial" w:hAnsi="Arial" w:cs="Arial"/>
          <w:iCs/>
          <w:noProof/>
          <w:sz w:val="24"/>
          <w:szCs w:val="24"/>
          <w:lang w:val="en-US"/>
        </w:rPr>
        <w:t>(</w:t>
      </w:r>
      <w:hyperlink w:anchor="_ENREF_8" w:tooltip="Kim G, 2010 #306" w:history="1">
        <w:r w:rsidR="00AB7E17">
          <w:rPr>
            <w:rStyle w:val="SC118877"/>
            <w:rFonts w:ascii="Arial" w:hAnsi="Arial" w:cs="Arial"/>
            <w:iCs/>
            <w:noProof/>
            <w:sz w:val="24"/>
            <w:szCs w:val="24"/>
            <w:lang w:val="en-US"/>
          </w:rPr>
          <w:t>8</w:t>
        </w:r>
      </w:hyperlink>
      <w:r w:rsidR="000B3EAF">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as well as their transcription levels </w:t>
      </w:r>
      <w:r w:rsidR="006C2756">
        <w:rPr>
          <w:rStyle w:val="SC118877"/>
          <w:rFonts w:ascii="Arial" w:hAnsi="Arial" w:cs="Arial"/>
          <w:iCs/>
          <w:sz w:val="24"/>
          <w:szCs w:val="24"/>
          <w:lang w:val="en-US"/>
        </w:rPr>
        <w:fldChar w:fldCharType="begin"/>
      </w:r>
      <w:r w:rsidR="000B3EAF">
        <w:rPr>
          <w:rStyle w:val="SC118877"/>
          <w:rFonts w:ascii="Arial" w:hAnsi="Arial" w:cs="Arial"/>
          <w:iCs/>
          <w:sz w:val="24"/>
          <w:szCs w:val="24"/>
          <w:lang w:val="en-US"/>
        </w:rPr>
        <w:instrText xml:space="preserve"> ADDIN EN.CITE &lt;EndNote&gt;&lt;Cite&gt;&lt;Author&gt;Grillon J&lt;/Author&gt;&lt;Year&gt;2012&lt;/Year&gt;&lt;RecNum&gt;89&lt;/RecNum&gt;&lt;DisplayText&gt;(9)&lt;/DisplayText&gt;&lt;record&gt;&lt;rec-number&gt;89&lt;/rec-number&gt;&lt;foreign-keys&gt;&lt;key app="EN" db-id="zxp9w5sa30aeafes0xox2eem00dz2z2aswad"&gt;89&lt;/key&gt;&lt;key app="ENWeb" db-id="UG1-3grtqigAAEqvEt0"&gt;139&lt;/key&gt;&lt;/foreign-keys&gt;&lt;ref-type name="Journal Article"&gt;17&lt;/ref-type&gt;&lt;contributors&gt;&lt;authors&gt;&lt;author&gt;Grillon J,&lt;/author&gt;&lt;author&gt;Johnson K,&lt;/author&gt;&lt;author&gt;Kotlo K,&lt;/author&gt;&lt;author&gt;Danziger R,&lt;/author&gt;&lt;/authors&gt;&lt;/contributors&gt;&lt;titles&gt;&lt;title&gt;Non-histone lysine acetylated proteins in heart failure&lt;/title&gt;&lt;secondary-title&gt;Biochimica et Biophysica Acta&lt;/secondary-title&gt;&lt;/titles&gt;&lt;periodical&gt;&lt;full-title&gt;Biochimica et Biophysica Acta&lt;/full-title&gt;&lt;/periodical&gt;&lt;pages&gt;607–614&lt;/pages&gt;&lt;volume&gt;1822&lt;/volume&gt;&lt;number&gt;4&lt;/number&gt;&lt;dates&gt;&lt;year&gt;2012&lt;/year&gt;&lt;/dates&gt;&lt;urls&gt;&lt;/urls&gt;&lt;/record&gt;&lt;/Cite&gt;&lt;/EndNote&gt;</w:instrText>
      </w:r>
      <w:r w:rsidR="006C2756">
        <w:rPr>
          <w:rStyle w:val="SC118877"/>
          <w:rFonts w:ascii="Arial" w:hAnsi="Arial" w:cs="Arial"/>
          <w:iCs/>
          <w:sz w:val="24"/>
          <w:szCs w:val="24"/>
          <w:lang w:val="en-US"/>
        </w:rPr>
        <w:fldChar w:fldCharType="separate"/>
      </w:r>
      <w:r w:rsidR="000B3EAF">
        <w:rPr>
          <w:rStyle w:val="SC118877"/>
          <w:rFonts w:ascii="Arial" w:hAnsi="Arial" w:cs="Arial"/>
          <w:iCs/>
          <w:noProof/>
          <w:sz w:val="24"/>
          <w:szCs w:val="24"/>
          <w:lang w:val="en-US"/>
        </w:rPr>
        <w:t>(</w:t>
      </w:r>
      <w:hyperlink w:anchor="_ENREF_9" w:tooltip="Grillon J, 2012 #89" w:history="1">
        <w:r w:rsidR="00AB7E17">
          <w:rPr>
            <w:rStyle w:val="SC118877"/>
            <w:rFonts w:ascii="Arial" w:hAnsi="Arial" w:cs="Arial"/>
            <w:iCs/>
            <w:noProof/>
            <w:sz w:val="24"/>
            <w:szCs w:val="24"/>
            <w:lang w:val="en-US"/>
          </w:rPr>
          <w:t>9</w:t>
        </w:r>
      </w:hyperlink>
      <w:r w:rsidR="000B3EAF">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altering cellular metabolism, and hence controlling cell fate </w:t>
      </w:r>
      <w:r w:rsidR="006C2756" w:rsidRPr="00967AB8">
        <w:rPr>
          <w:rFonts w:ascii="Arial" w:hAnsi="Arial" w:cs="Arial"/>
          <w:sz w:val="24"/>
          <w:szCs w:val="24"/>
          <w:lang w:val="en-US"/>
        </w:rPr>
        <w:fldChar w:fldCharType="begin">
          <w:fldData xml:space="preserve">PEVuZE5vdGU+PENpdGU+PEF1dGhvcj5aaGFvIFM8L0F1dGhvcj48WWVhcj4yMDEwPC9ZZWFyPjxS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</w:fldData>
        </w:fldChar>
      </w:r>
      <w:r w:rsidR="000B3EAF">
        <w:rPr>
          <w:rFonts w:ascii="Arial" w:hAnsi="Arial" w:cs="Arial"/>
          <w:sz w:val="24"/>
          <w:szCs w:val="24"/>
          <w:lang w:val="en-US"/>
        </w:rPr>
        <w:instrText xml:space="preserve"> ADDIN EN.CITE </w:instrText>
      </w:r>
      <w:r w:rsidR="006C2756">
        <w:rPr>
          <w:rFonts w:ascii="Arial" w:hAnsi="Arial" w:cs="Arial"/>
          <w:sz w:val="24"/>
          <w:szCs w:val="24"/>
          <w:lang w:val="en-US"/>
        </w:rPr>
        <w:fldChar w:fldCharType="begin">
          <w:fldData xml:space="preserve">PEVuZE5vdGU+PENpdGU+PEF1dGhvcj5aaGFvIFM8L0F1dGhvcj48WWVhcj4yMDEwPC9ZZWFyPjxS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</w:fldData>
        </w:fldChar>
      </w:r>
      <w:r w:rsidR="000B3EAF">
        <w:rPr>
          <w:rFonts w:ascii="Arial" w:hAnsi="Arial" w:cs="Arial"/>
          <w:sz w:val="24"/>
          <w:szCs w:val="24"/>
          <w:lang w:val="en-US"/>
        </w:rPr>
        <w:instrText xml:space="preserve"> ADDIN EN.CITE.DATA </w:instrText>
      </w:r>
      <w:r w:rsidR="006C2756">
        <w:rPr>
          <w:rFonts w:ascii="Arial" w:hAnsi="Arial" w:cs="Arial"/>
          <w:sz w:val="24"/>
          <w:szCs w:val="24"/>
          <w:lang w:val="en-US"/>
        </w:rPr>
      </w:r>
      <w:r w:rsidR="006C2756">
        <w:rPr>
          <w:rFonts w:ascii="Arial" w:hAnsi="Arial" w:cs="Arial"/>
          <w:sz w:val="24"/>
          <w:szCs w:val="24"/>
          <w:lang w:val="en-US"/>
        </w:rPr>
        <w:fldChar w:fldCharType="end"/>
      </w:r>
      <w:r w:rsidR="006C2756" w:rsidRPr="00967AB8">
        <w:rPr>
          <w:rFonts w:ascii="Arial" w:hAnsi="Arial" w:cs="Arial"/>
          <w:sz w:val="24"/>
          <w:szCs w:val="24"/>
          <w:lang w:val="en-US"/>
        </w:rPr>
      </w:r>
      <w:r w:rsidR="006C2756" w:rsidRPr="00967AB8">
        <w:rPr>
          <w:rFonts w:ascii="Arial" w:hAnsi="Arial" w:cs="Arial"/>
          <w:sz w:val="24"/>
          <w:szCs w:val="24"/>
          <w:lang w:val="en-US"/>
        </w:rPr>
        <w:fldChar w:fldCharType="separate"/>
      </w:r>
      <w:r w:rsidR="000B3EAF">
        <w:rPr>
          <w:rFonts w:ascii="Arial" w:hAnsi="Arial" w:cs="Arial"/>
          <w:noProof/>
          <w:sz w:val="24"/>
          <w:szCs w:val="24"/>
          <w:lang w:val="en-US"/>
        </w:rPr>
        <w:t>(</w:t>
      </w:r>
      <w:hyperlink w:anchor="_ENREF_11" w:tooltip="Zhao S, 2010 #301" w:history="1">
        <w:r w:rsidR="00AB7E17">
          <w:rPr>
            <w:rFonts w:ascii="Arial" w:hAnsi="Arial" w:cs="Arial"/>
            <w:noProof/>
            <w:sz w:val="24"/>
            <w:szCs w:val="24"/>
            <w:lang w:val="en-US"/>
          </w:rPr>
          <w:t>11</w:t>
        </w:r>
      </w:hyperlink>
      <w:r w:rsidR="000B3EAF">
        <w:rPr>
          <w:rFonts w:ascii="Arial" w:hAnsi="Arial" w:cs="Arial"/>
          <w:noProof/>
          <w:sz w:val="24"/>
          <w:szCs w:val="24"/>
          <w:lang w:val="en-US"/>
        </w:rPr>
        <w:t>)</w:t>
      </w:r>
      <w:r w:rsidR="006C2756" w:rsidRPr="00967AB8">
        <w:rPr>
          <w:rFonts w:ascii="Arial" w:hAnsi="Arial" w:cs="Arial"/>
          <w:sz w:val="24"/>
          <w:szCs w:val="24"/>
          <w:lang w:val="en-US"/>
        </w:rPr>
        <w:fldChar w:fldCharType="end"/>
      </w:r>
      <w:r>
        <w:rPr>
          <w:rStyle w:val="SC118877"/>
          <w:rFonts w:ascii="Arial" w:hAnsi="Arial" w:cs="Arial"/>
          <w:iCs/>
          <w:sz w:val="24"/>
          <w:szCs w:val="24"/>
          <w:lang w:val="en-US"/>
        </w:rPr>
        <w:t>. Not just the aforementioned features can shift the acetylation patterns of metabolic enzymes, since the concentration of metabolites needed to start metabolic pathways, like SCFAs,</w:t>
      </w:r>
      <w:r w:rsidRPr="007E3FDB">
        <w:rPr>
          <w:rStyle w:val="SC118877"/>
          <w:rFonts w:ascii="Arial" w:hAnsi="Arial" w:cs="Arial"/>
          <w:iCs/>
          <w:sz w:val="24"/>
          <w:szCs w:val="24"/>
          <w:lang w:val="en-US"/>
        </w:rPr>
        <w:t xml:space="preserve"> </w:t>
      </w:r>
      <w:r>
        <w:rPr>
          <w:rStyle w:val="SC118877"/>
          <w:rFonts w:ascii="Arial" w:hAnsi="Arial" w:cs="Arial"/>
          <w:iCs/>
          <w:sz w:val="24"/>
          <w:szCs w:val="24"/>
          <w:lang w:val="en-US"/>
        </w:rPr>
        <w:t xml:space="preserve">can also lead to a change in the acetylation patterns of metabolic enzymes, pointing to an essential role of acetylation in regulating metabolism in response to the extracellular environment </w:t>
      </w:r>
      <w:r w:rsidR="006C2756">
        <w:rPr>
          <w:rStyle w:val="SC118877"/>
          <w:rFonts w:ascii="Arial" w:hAnsi="Arial" w:cs="Arial"/>
          <w:iCs/>
          <w:sz w:val="24"/>
          <w:szCs w:val="24"/>
          <w:lang w:val="en-US"/>
        </w:rPr>
        <w:fldChar w:fldCharType="begin"/>
      </w:r>
      <w:r w:rsidR="000B3EAF">
        <w:rPr>
          <w:rStyle w:val="SC118877"/>
          <w:rFonts w:ascii="Arial" w:hAnsi="Arial" w:cs="Arial"/>
          <w:iCs/>
          <w:sz w:val="24"/>
          <w:szCs w:val="24"/>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Pr>
          <w:rStyle w:val="SC118877"/>
          <w:rFonts w:ascii="Arial" w:hAnsi="Arial" w:cs="Arial"/>
          <w:iCs/>
          <w:sz w:val="24"/>
          <w:szCs w:val="24"/>
          <w:lang w:val="en-US"/>
        </w:rPr>
        <w:fldChar w:fldCharType="separate"/>
      </w:r>
      <w:r w:rsidR="000B3EAF">
        <w:rPr>
          <w:rStyle w:val="SC118877"/>
          <w:rFonts w:ascii="Arial" w:hAnsi="Arial" w:cs="Arial"/>
          <w:iCs/>
          <w:noProof/>
          <w:sz w:val="24"/>
          <w:szCs w:val="24"/>
          <w:lang w:val="en-US"/>
        </w:rPr>
        <w:t>(</w:t>
      </w:r>
      <w:hyperlink w:anchor="_ENREF_11" w:tooltip="Zhao S, 2010 #301" w:history="1">
        <w:r w:rsidR="00AB7E17">
          <w:rPr>
            <w:rStyle w:val="SC118877"/>
            <w:rFonts w:ascii="Arial" w:hAnsi="Arial" w:cs="Arial"/>
            <w:iCs/>
            <w:noProof/>
            <w:sz w:val="24"/>
            <w:szCs w:val="24"/>
            <w:lang w:val="en-US"/>
          </w:rPr>
          <w:t>11</w:t>
        </w:r>
      </w:hyperlink>
      <w:r w:rsidR="000B3EAF">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For example, it has been shown that acetate and butyrate are the most important substrates for de novo lipid synthesis in colonic epithelial cells in rats </w:t>
      </w:r>
      <w:r w:rsidR="006C2756">
        <w:rPr>
          <w:rStyle w:val="SC118877"/>
          <w:rFonts w:ascii="Arial" w:hAnsi="Arial" w:cs="Arial"/>
          <w:iCs/>
          <w:sz w:val="24"/>
          <w:szCs w:val="24"/>
          <w:lang w:val="en-US"/>
        </w:rPr>
        <w:fldChar w:fldCharType="begin"/>
      </w:r>
      <w:r w:rsidR="00FC3C1A">
        <w:rPr>
          <w:rStyle w:val="SC118877"/>
          <w:rFonts w:ascii="Arial" w:hAnsi="Arial" w:cs="Arial"/>
          <w:iCs/>
          <w:sz w:val="24"/>
          <w:szCs w:val="24"/>
          <w:lang w:val="en-US"/>
        </w:rPr>
        <w:instrText xml:space="preserve"> ADDIN EN.CITE &lt;EndNote&gt;&lt;Cite&gt;&lt;Author&gt;Zambell K&lt;/Author&gt;&lt;Year&gt;2003&lt;/Year&gt;&lt;RecNum&gt;393&lt;/RecNum&gt;&lt;DisplayText&gt;(47)&lt;/DisplayText&gt;&lt;record&gt;&lt;rec-number&gt;393&lt;/rec-number&gt;&lt;foreign-keys&gt;&lt;key app="EN" db-id="zxp9w5sa30aeafes0xox2eem00dz2z2aswad"&gt;393&lt;/key&gt;&lt;/foreign-keys&gt;&lt;ref-type name="Journal Article"&gt;17&lt;/ref-type&gt;&lt;contributors&gt;&lt;authors&gt;&lt;author&gt;Zambell K,&lt;/author&gt;&lt;author&gt;Fitch M,&lt;/author&gt;&lt;author&gt;Fleming S,&lt;/author&gt;&lt;/authors&gt;&lt;/contributors&gt;&lt;titles&gt;&lt;title&gt;Acetate and butyrate are the major substrates for de novo lipogenesis in rat colonic epithelial cells&lt;/title&gt;&lt;secondary-title&gt;J Nutr&lt;/secondary-title&gt;&lt;/titles&gt;&lt;periodical&gt;&lt;full-title&gt;J Nutr&lt;/full-title&gt;&lt;/periodical&gt;&lt;pages&gt;3509-3515&lt;/pages&gt;&lt;volume&gt;133&lt;/volume&gt;&lt;number&gt;11&lt;/number&gt;&lt;dates&gt;&lt;year&gt;2003&lt;/year&gt;&lt;/dates&gt;&lt;urls&gt;&lt;/urls&gt;&lt;/record&gt;&lt;/Cite&gt;&lt;/EndNote&gt;</w:instrText>
      </w:r>
      <w:r w:rsidR="006C2756">
        <w:rPr>
          <w:rStyle w:val="SC118877"/>
          <w:rFonts w:ascii="Arial" w:hAnsi="Arial" w:cs="Arial"/>
          <w:iCs/>
          <w:sz w:val="24"/>
          <w:szCs w:val="24"/>
          <w:lang w:val="en-US"/>
        </w:rPr>
        <w:fldChar w:fldCharType="separate"/>
      </w:r>
      <w:r w:rsidR="00FC3C1A">
        <w:rPr>
          <w:rStyle w:val="SC118877"/>
          <w:rFonts w:ascii="Arial" w:hAnsi="Arial" w:cs="Arial"/>
          <w:iCs/>
          <w:noProof/>
          <w:sz w:val="24"/>
          <w:szCs w:val="24"/>
          <w:lang w:val="en-US"/>
        </w:rPr>
        <w:t>(</w:t>
      </w:r>
      <w:hyperlink w:anchor="_ENREF_47" w:tooltip="Zambell K, 2003 #393" w:history="1">
        <w:r w:rsidR="00AB7E17">
          <w:rPr>
            <w:rStyle w:val="SC118877"/>
            <w:rFonts w:ascii="Arial" w:hAnsi="Arial" w:cs="Arial"/>
            <w:iCs/>
            <w:noProof/>
            <w:sz w:val="24"/>
            <w:szCs w:val="24"/>
            <w:lang w:val="en-US"/>
          </w:rPr>
          <w:t>47</w:t>
        </w:r>
      </w:hyperlink>
      <w:r w:rsidR="00FC3C1A">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SCFAs are also oxidized to </w:t>
      </w:r>
      <w:r w:rsidRPr="007C706A">
        <w:rPr>
          <w:rStyle w:val="SC118877"/>
          <w:rFonts w:ascii="Arial" w:hAnsi="Arial" w:cs="Arial"/>
          <w:iCs/>
          <w:sz w:val="24"/>
          <w:szCs w:val="24"/>
          <w:lang w:val="en-US"/>
        </w:rPr>
        <w:t>CO</w:t>
      </w:r>
      <w:r>
        <w:rPr>
          <w:rStyle w:val="SC118877"/>
          <w:rFonts w:ascii="Arial" w:hAnsi="Arial" w:cs="Arial"/>
          <w:iCs/>
          <w:sz w:val="24"/>
          <w:szCs w:val="24"/>
          <w:vertAlign w:val="subscript"/>
          <w:lang w:val="en-US"/>
        </w:rPr>
        <w:t>2</w:t>
      </w:r>
      <w:r>
        <w:rPr>
          <w:rStyle w:val="SC118877"/>
          <w:rFonts w:ascii="Arial" w:hAnsi="Arial" w:cs="Arial"/>
          <w:iCs/>
          <w:sz w:val="24"/>
          <w:szCs w:val="24"/>
          <w:lang w:val="en-US"/>
        </w:rPr>
        <w:t xml:space="preserve"> and ketone bodies through </w:t>
      </w:r>
      <w:r w:rsidRPr="007C706A">
        <w:rPr>
          <w:rStyle w:val="SC118877"/>
          <w:rFonts w:ascii="Arial" w:hAnsi="Arial" w:cs="Arial"/>
          <w:iCs/>
          <w:sz w:val="24"/>
          <w:szCs w:val="24"/>
          <w:lang w:val="en-US"/>
        </w:rPr>
        <w:t xml:space="preserve">β-oxidation </w:t>
      </w:r>
      <w:r w:rsidR="006C2756">
        <w:rPr>
          <w:rStyle w:val="SC118877"/>
          <w:rFonts w:ascii="Arial" w:hAnsi="Arial" w:cs="Arial"/>
          <w:iCs/>
          <w:sz w:val="24"/>
          <w:szCs w:val="24"/>
          <w:lang w:val="en-US"/>
        </w:rPr>
        <w:fldChar w:fldCharType="begin"/>
      </w:r>
      <w:r w:rsidR="00FC3C1A">
        <w:rPr>
          <w:rStyle w:val="SC118877"/>
          <w:rFonts w:ascii="Arial" w:hAnsi="Arial" w:cs="Arial"/>
          <w:iCs/>
          <w:sz w:val="24"/>
          <w:szCs w:val="24"/>
          <w:lang w:val="en-US"/>
        </w:rPr>
        <w:instrText xml:space="preserve"> ADDIN EN.CITE &lt;EndNote&gt;&lt;Cite&gt;&lt;Author&gt;Ardawi M&lt;/Author&gt;&lt;Year&gt;1985&lt;/Year&gt;&lt;RecNum&gt;394&lt;/RecNum&gt;&lt;DisplayText&gt;(48)&lt;/DisplayText&gt;&lt;record&gt;&lt;rec-number&gt;394&lt;/rec-number&gt;&lt;foreign-keys&gt;&lt;key app="EN" db-id="zxp9w5sa30aeafes0xox2eem00dz2z2aswad"&gt;394&lt;/key&gt;&lt;/foreign-keys&gt;&lt;ref-type name="Journal Article"&gt;17&lt;/ref-type&gt;&lt;contributors&gt;&lt;authors&gt;&lt;author&gt;Ardawi M,&lt;/author&gt;&lt;author&gt;Newsholme E,&lt;/author&gt;&lt;/authors&gt;&lt;/contributors&gt;&lt;titles&gt;&lt;title&gt;Fuel utilization in colonocytes of the rat&lt;/title&gt;&lt;secondary-title&gt;Biochem J&lt;/secondary-title&gt;&lt;/titles&gt;&lt;periodical&gt;&lt;full-title&gt;Biochem J&lt;/full-title&gt;&lt;/periodical&gt;&lt;pages&gt;713-719&lt;/pages&gt;&lt;volume&gt;231&lt;/volume&gt;&lt;number&gt;3&lt;/number&gt;&lt;dates&gt;&lt;year&gt;1985&lt;/year&gt;&lt;/dates&gt;&lt;urls&gt;&lt;/urls&gt;&lt;/record&gt;&lt;/Cite&gt;&lt;/EndNote&gt;</w:instrText>
      </w:r>
      <w:r w:rsidR="006C2756">
        <w:rPr>
          <w:rStyle w:val="SC118877"/>
          <w:rFonts w:ascii="Arial" w:hAnsi="Arial" w:cs="Arial"/>
          <w:iCs/>
          <w:sz w:val="24"/>
          <w:szCs w:val="24"/>
          <w:lang w:val="en-US"/>
        </w:rPr>
        <w:fldChar w:fldCharType="separate"/>
      </w:r>
      <w:r w:rsidR="00FC3C1A">
        <w:rPr>
          <w:rStyle w:val="SC118877"/>
          <w:rFonts w:ascii="Arial" w:hAnsi="Arial" w:cs="Arial"/>
          <w:iCs/>
          <w:noProof/>
          <w:sz w:val="24"/>
          <w:szCs w:val="24"/>
          <w:lang w:val="en-US"/>
        </w:rPr>
        <w:t>(</w:t>
      </w:r>
      <w:hyperlink w:anchor="_ENREF_48" w:tooltip="Ardawi M, 1985 #394" w:history="1">
        <w:r w:rsidR="00AB7E17">
          <w:rPr>
            <w:rStyle w:val="SC118877"/>
            <w:rFonts w:ascii="Arial" w:hAnsi="Arial" w:cs="Arial"/>
            <w:iCs/>
            <w:noProof/>
            <w:sz w:val="24"/>
            <w:szCs w:val="24"/>
            <w:lang w:val="en-US"/>
          </w:rPr>
          <w:t>48</w:t>
        </w:r>
      </w:hyperlink>
      <w:r w:rsidR="00FC3C1A">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 xml:space="preserve"> and affect glucose metabolism (gluconeogenesis) in rat hepatocytes </w:t>
      </w:r>
      <w:r w:rsidR="006C2756">
        <w:rPr>
          <w:rStyle w:val="SC118877"/>
          <w:rFonts w:ascii="Arial" w:hAnsi="Arial" w:cs="Arial"/>
          <w:iCs/>
          <w:sz w:val="24"/>
          <w:szCs w:val="24"/>
          <w:lang w:val="en-US"/>
        </w:rPr>
        <w:fldChar w:fldCharType="begin"/>
      </w:r>
      <w:r w:rsidR="00FC3C1A">
        <w:rPr>
          <w:rStyle w:val="SC118877"/>
          <w:rFonts w:ascii="Arial" w:hAnsi="Arial" w:cs="Arial"/>
          <w:iCs/>
          <w:sz w:val="24"/>
          <w:szCs w:val="24"/>
          <w:lang w:val="en-US"/>
        </w:rPr>
        <w:instrText xml:space="preserve"> ADDIN EN.CITE &lt;EndNote&gt;&lt;Cite&gt;&lt;Author&gt;Anderson J&lt;/Author&gt;&lt;Year&gt;1984&lt;/Year&gt;&lt;RecNum&gt;395&lt;/RecNum&gt;&lt;DisplayText&gt;(49)&lt;/DisplayText&gt;&lt;record&gt;&lt;rec-number&gt;395&lt;/rec-number&gt;&lt;foreign-keys&gt;&lt;key app="EN" db-id="zxp9w5sa30aeafes0xox2eem00dz2z2aswad"&gt;395&lt;/key&gt;&lt;/foreign-keys&gt;&lt;ref-type name="Journal Article"&gt;17&lt;/ref-type&gt;&lt;contributors&gt;&lt;authors&gt;&lt;author&gt;Anderson J,&lt;/author&gt;&lt;author&gt;Bridges S,&lt;/author&gt;&lt;/authors&gt;&lt;/contributors&gt;&lt;titles&gt;&lt;title&gt;Short-chain fatty acid fermentation products of plant fiber affect glucose metabolism of isolated rat hepatocytes&lt;/title&gt;&lt;secondary-title&gt;Proc. Soc. Exp. Biol. Med.&lt;/secondary-title&gt;&lt;/titles&gt;&lt;periodical&gt;&lt;full-title&gt;Proc. Soc. Exp. Biol. Med.&lt;/full-title&gt;&lt;/periodical&gt;&lt;pages&gt;372-376&lt;/pages&gt;&lt;volume&gt;177 &lt;/volume&gt;&lt;number&gt;2&lt;/number&gt;&lt;dates&gt;&lt;year&gt;1984&lt;/year&gt;&lt;/dates&gt;&lt;urls&gt;&lt;/urls&gt;&lt;/record&gt;&lt;/Cite&gt;&lt;/EndNote&gt;</w:instrText>
      </w:r>
      <w:r w:rsidR="006C2756">
        <w:rPr>
          <w:rStyle w:val="SC118877"/>
          <w:rFonts w:ascii="Arial" w:hAnsi="Arial" w:cs="Arial"/>
          <w:iCs/>
          <w:sz w:val="24"/>
          <w:szCs w:val="24"/>
          <w:lang w:val="en-US"/>
        </w:rPr>
        <w:fldChar w:fldCharType="separate"/>
      </w:r>
      <w:r w:rsidR="00FC3C1A">
        <w:rPr>
          <w:rStyle w:val="SC118877"/>
          <w:rFonts w:ascii="Arial" w:hAnsi="Arial" w:cs="Arial"/>
          <w:iCs/>
          <w:noProof/>
          <w:sz w:val="24"/>
          <w:szCs w:val="24"/>
          <w:lang w:val="en-US"/>
        </w:rPr>
        <w:t>(</w:t>
      </w:r>
      <w:hyperlink w:anchor="_ENREF_49" w:tooltip="Anderson J, 1984 #395" w:history="1">
        <w:r w:rsidR="00AB7E17">
          <w:rPr>
            <w:rStyle w:val="SC118877"/>
            <w:rFonts w:ascii="Arial" w:hAnsi="Arial" w:cs="Arial"/>
            <w:iCs/>
            <w:noProof/>
            <w:sz w:val="24"/>
            <w:szCs w:val="24"/>
            <w:lang w:val="en-US"/>
          </w:rPr>
          <w:t>49</w:t>
        </w:r>
      </w:hyperlink>
      <w:r w:rsidR="00FC3C1A">
        <w:rPr>
          <w:rStyle w:val="SC118877"/>
          <w:rFonts w:ascii="Arial" w:hAnsi="Arial" w:cs="Arial"/>
          <w:iCs/>
          <w:noProof/>
          <w:sz w:val="24"/>
          <w:szCs w:val="24"/>
          <w:lang w:val="en-US"/>
        </w:rPr>
        <w:t>)</w:t>
      </w:r>
      <w:r w:rsidR="006C2756">
        <w:rPr>
          <w:rStyle w:val="SC118877"/>
          <w:rFonts w:ascii="Arial" w:hAnsi="Arial" w:cs="Arial"/>
          <w:iCs/>
          <w:sz w:val="24"/>
          <w:szCs w:val="24"/>
          <w:lang w:val="en-US"/>
        </w:rPr>
        <w:fldChar w:fldCharType="end"/>
      </w:r>
      <w:r>
        <w:rPr>
          <w:rStyle w:val="SC118877"/>
          <w:rFonts w:ascii="Arial" w:hAnsi="Arial" w:cs="Arial"/>
          <w:iCs/>
          <w:sz w:val="24"/>
          <w:szCs w:val="24"/>
          <w:lang w:val="en-US"/>
        </w:rPr>
        <w:t>.</w:t>
      </w:r>
      <w:bookmarkStart w:id="21" w:name="_Toc379983949"/>
      <w:r>
        <w:rPr>
          <w:rStyle w:val="SC118877"/>
          <w:rFonts w:ascii="Arial" w:hAnsi="Arial" w:cs="Arial"/>
          <w:iCs/>
          <w:sz w:val="24"/>
          <w:szCs w:val="24"/>
          <w:lang w:val="en-US"/>
        </w:rPr>
        <w:t xml:space="preserve"> </w:t>
      </w:r>
      <w:r>
        <w:rPr>
          <w:rFonts w:ascii="Arial" w:hAnsi="Arial" w:cs="Arial"/>
          <w:sz w:val="24"/>
          <w:szCs w:val="24"/>
        </w:rPr>
        <w:t xml:space="preserve">Moreover, the acetylation of substrate binding sites could be a cellular mechanism to control the activity of metabolic enzymes, since acetylation might work as a cellular resource to deactivate metabolic enzymes to regulate dynamic cellular processes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12" w:tooltip="Lundby A, 2012 #156" w:history="1">
        <w:r w:rsidR="00AB7E17">
          <w:rPr>
            <w:rFonts w:ascii="Arial" w:hAnsi="Arial" w:cs="Arial"/>
            <w:noProof/>
            <w:sz w:val="24"/>
            <w:szCs w:val="24"/>
          </w:rPr>
          <w:t>12</w:t>
        </w:r>
      </w:hyperlink>
      <w:r w:rsidR="000B3EAF">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similar to the regulation by phosphorylation.</w:t>
      </w:r>
    </w:p>
    <w:p w:rsidR="00EF1380" w:rsidRDefault="00EF1380" w:rsidP="00EF1380">
      <w:pPr>
        <w:pStyle w:val="Heading1"/>
        <w:rPr>
          <w:rFonts w:ascii="Arial" w:hAnsi="Arial" w:cs="Arial"/>
          <w:sz w:val="24"/>
          <w:szCs w:val="24"/>
          <w:lang w:val="en-US"/>
        </w:rPr>
      </w:pPr>
      <w:bookmarkStart w:id="22" w:name="_Toc413753746"/>
      <w:r>
        <w:rPr>
          <w:rFonts w:ascii="Arial" w:hAnsi="Arial" w:cs="Arial"/>
          <w:sz w:val="24"/>
          <w:szCs w:val="24"/>
          <w:lang w:val="en-US"/>
        </w:rPr>
        <w:t>II</w:t>
      </w:r>
      <w:r w:rsidRPr="00394AD6">
        <w:rPr>
          <w:rFonts w:ascii="Arial" w:hAnsi="Arial" w:cs="Arial"/>
          <w:sz w:val="24"/>
          <w:szCs w:val="24"/>
          <w:lang w:val="en-US"/>
        </w:rPr>
        <w:t xml:space="preserve">.1 </w:t>
      </w:r>
      <w:r>
        <w:rPr>
          <w:rFonts w:ascii="Arial" w:hAnsi="Arial" w:cs="Arial"/>
          <w:sz w:val="24"/>
          <w:szCs w:val="24"/>
          <w:lang w:val="en-US"/>
        </w:rPr>
        <w:t>Implications of lysine residue acetylation</w:t>
      </w:r>
      <w:bookmarkEnd w:id="21"/>
      <w:r>
        <w:rPr>
          <w:rFonts w:ascii="Arial" w:hAnsi="Arial" w:cs="Arial"/>
          <w:sz w:val="24"/>
          <w:szCs w:val="24"/>
          <w:lang w:val="en-US"/>
        </w:rPr>
        <w:t xml:space="preserve"> in metabolic enzyme function</w:t>
      </w:r>
      <w:bookmarkEnd w:id="22"/>
    </w:p>
    <w:p w:rsidR="00EF1380" w:rsidRDefault="00EF1380" w:rsidP="00EF1380">
      <w:pPr>
        <w:pStyle w:val="Heading1"/>
        <w:rPr>
          <w:rFonts w:ascii="Arial" w:hAnsi="Arial" w:cs="Arial"/>
          <w:sz w:val="24"/>
          <w:szCs w:val="24"/>
          <w:lang w:val="en-US"/>
        </w:rPr>
      </w:pPr>
      <w:bookmarkStart w:id="23" w:name="_Toc413753747"/>
      <w:r>
        <w:rPr>
          <w:rFonts w:ascii="Arial" w:hAnsi="Arial" w:cs="Arial"/>
          <w:sz w:val="24"/>
          <w:szCs w:val="24"/>
          <w:lang w:val="en-US"/>
        </w:rPr>
        <w:t>II.1.i Glycolysis</w:t>
      </w:r>
      <w:bookmarkEnd w:id="23"/>
    </w:p>
    <w:p w:rsidR="00EF1380" w:rsidRDefault="00EF1380" w:rsidP="00EF1380">
      <w:pPr>
        <w:spacing w:line="360" w:lineRule="auto"/>
        <w:ind w:firstLine="720"/>
        <w:jc w:val="both"/>
        <w:rPr>
          <w:rFonts w:ascii="Arial" w:hAnsi="Arial" w:cs="Arial"/>
          <w:sz w:val="24"/>
          <w:szCs w:val="24"/>
          <w:lang w:val="en-US"/>
        </w:rPr>
      </w:pPr>
      <w:r>
        <w:rPr>
          <w:rFonts w:ascii="Arial" w:hAnsi="Arial" w:cs="Arial"/>
          <w:sz w:val="24"/>
          <w:szCs w:val="24"/>
          <w:lang w:val="en-US"/>
        </w:rPr>
        <w:t>The metabolic pathway that converts glucose to pyruvate is called glycolysis. In healthy cells, its main function is the production of energy in the form of adenosine triphosphate (ATP) and the reduced form of nicotinamide adenine dinucleotide (NADH). The ten steps in glycolysis involve ten major enzymes, with many isoforms of each enzyme having being identified. The most common isoforms, their substrate</w:t>
      </w:r>
      <w:r w:rsidR="00A82B55">
        <w:rPr>
          <w:rFonts w:ascii="Arial" w:hAnsi="Arial" w:cs="Arial"/>
          <w:sz w:val="24"/>
          <w:szCs w:val="24"/>
          <w:lang w:val="en-US"/>
        </w:rPr>
        <w:t>s</w:t>
      </w:r>
      <w:r>
        <w:rPr>
          <w:rFonts w:ascii="Arial" w:hAnsi="Arial" w:cs="Arial"/>
          <w:sz w:val="24"/>
          <w:szCs w:val="24"/>
          <w:lang w:val="en-US"/>
        </w:rPr>
        <w:t xml:space="preserve"> and product</w:t>
      </w:r>
      <w:r w:rsidR="00A82B55">
        <w:rPr>
          <w:rFonts w:ascii="Arial" w:hAnsi="Arial" w:cs="Arial"/>
          <w:sz w:val="24"/>
          <w:szCs w:val="24"/>
          <w:lang w:val="en-US"/>
        </w:rPr>
        <w:t>s</w:t>
      </w:r>
      <w:r>
        <w:rPr>
          <w:rFonts w:ascii="Arial" w:hAnsi="Arial" w:cs="Arial"/>
          <w:sz w:val="24"/>
          <w:szCs w:val="24"/>
          <w:lang w:val="en-US"/>
        </w:rPr>
        <w:t xml:space="preserve"> are summarised in Figure 2. </w:t>
      </w:r>
    </w:p>
    <w:p w:rsidR="00EF1380" w:rsidRPr="00394AD6" w:rsidRDefault="00093711" w:rsidP="00EF1380">
      <w:pPr>
        <w:rPr>
          <w:lang w:val="en-US"/>
        </w:rPr>
      </w:pPr>
      <w:r>
        <w:rPr>
          <w:noProof/>
        </w:rPr>
        <w:lastRenderedPageBreak/>
        <w:drawing>
          <wp:inline distT="0" distB="0" distL="0" distR="0" wp14:anchorId="4B2466A7" wp14:editId="4E82E990">
            <wp:extent cx="5612130" cy="2583180"/>
            <wp:effectExtent l="38100" t="38100" r="45720" b="457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lycolys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2583180"/>
                    </a:xfrm>
                    <a:prstGeom prst="rect">
                      <a:avLst/>
                    </a:prstGeom>
                    <a:ln w="28575">
                      <a:solidFill>
                        <a:schemeClr val="tx1"/>
                      </a:solidFill>
                    </a:ln>
                  </pic:spPr>
                </pic:pic>
              </a:graphicData>
            </a:graphic>
          </wp:inline>
        </w:drawing>
      </w:r>
    </w:p>
    <w:p w:rsidR="00EF1380" w:rsidRPr="00B72E4C" w:rsidRDefault="00EF1380" w:rsidP="00EF1380">
      <w:pPr>
        <w:pStyle w:val="Caption"/>
        <w:jc w:val="both"/>
        <w:rPr>
          <w:rFonts w:ascii="Arial" w:hAnsi="Arial" w:cs="Arial"/>
          <w:i/>
          <w:color w:val="auto"/>
          <w:sz w:val="16"/>
          <w:szCs w:val="16"/>
        </w:rPr>
      </w:pPr>
      <w:bookmarkStart w:id="24" w:name="_Toc364682966"/>
      <w:bookmarkStart w:id="25" w:name="_Toc389224023"/>
      <w:bookmarkStart w:id="26" w:name="_Toc413419262"/>
      <w:proofErr w:type="gramStart"/>
      <w:r w:rsidRPr="00FC41EC">
        <w:rPr>
          <w:rFonts w:ascii="Arial" w:hAnsi="Arial" w:cs="Arial"/>
          <w:color w:val="auto"/>
          <w:sz w:val="16"/>
          <w:szCs w:val="16"/>
        </w:rPr>
        <w:t xml:space="preserve">Figure </w:t>
      </w:r>
      <w:r w:rsidR="006C2756" w:rsidRPr="00FC41EC">
        <w:rPr>
          <w:rFonts w:ascii="Arial" w:hAnsi="Arial" w:cs="Arial"/>
          <w:color w:val="auto"/>
          <w:sz w:val="16"/>
          <w:szCs w:val="16"/>
        </w:rPr>
        <w:fldChar w:fldCharType="begin"/>
      </w:r>
      <w:r w:rsidRPr="00FC41EC">
        <w:rPr>
          <w:rFonts w:ascii="Arial" w:hAnsi="Arial" w:cs="Arial"/>
          <w:color w:val="auto"/>
          <w:sz w:val="16"/>
          <w:szCs w:val="16"/>
        </w:rPr>
        <w:instrText xml:space="preserve"> SEQ Figure \* ARABIC </w:instrText>
      </w:r>
      <w:r w:rsidR="006C2756" w:rsidRPr="00FC41EC">
        <w:rPr>
          <w:rFonts w:ascii="Arial" w:hAnsi="Arial" w:cs="Arial"/>
          <w:color w:val="auto"/>
          <w:sz w:val="16"/>
          <w:szCs w:val="16"/>
        </w:rPr>
        <w:fldChar w:fldCharType="separate"/>
      </w:r>
      <w:r w:rsidR="00DC0376">
        <w:rPr>
          <w:rFonts w:ascii="Arial" w:hAnsi="Arial" w:cs="Arial"/>
          <w:noProof/>
          <w:color w:val="auto"/>
          <w:sz w:val="16"/>
          <w:szCs w:val="16"/>
        </w:rPr>
        <w:t>2</w:t>
      </w:r>
      <w:r w:rsidR="006C2756" w:rsidRPr="00FC41EC">
        <w:rPr>
          <w:rFonts w:ascii="Arial" w:hAnsi="Arial" w:cs="Arial"/>
          <w:color w:val="auto"/>
          <w:sz w:val="16"/>
          <w:szCs w:val="16"/>
        </w:rPr>
        <w:fldChar w:fldCharType="end"/>
      </w:r>
      <w:r w:rsidRPr="00FC41EC">
        <w:rPr>
          <w:rFonts w:ascii="Arial" w:hAnsi="Arial" w:cs="Arial"/>
          <w:iCs/>
          <w:color w:val="auto"/>
          <w:sz w:val="16"/>
          <w:szCs w:val="16"/>
          <w:lang w:val="en-US"/>
        </w:rPr>
        <w:t>.</w:t>
      </w:r>
      <w:proofErr w:type="gramEnd"/>
      <w:r w:rsidRPr="0073529B">
        <w:rPr>
          <w:rFonts w:ascii="Arial" w:hAnsi="Arial" w:cs="Arial"/>
          <w:iCs/>
          <w:color w:val="auto"/>
          <w:sz w:val="16"/>
          <w:szCs w:val="16"/>
          <w:lang w:val="en-US"/>
        </w:rPr>
        <w:t xml:space="preserve"> </w:t>
      </w:r>
      <w:proofErr w:type="gramStart"/>
      <w:r w:rsidRPr="00B72E4C">
        <w:rPr>
          <w:rFonts w:ascii="Arial" w:hAnsi="Arial" w:cs="Arial"/>
          <w:iCs/>
          <w:color w:val="auto"/>
          <w:sz w:val="16"/>
          <w:szCs w:val="16"/>
          <w:lang w:val="en-US"/>
        </w:rPr>
        <w:t>Enzymes and reactions in glycolysis.</w:t>
      </w:r>
      <w:proofErr w:type="gramEnd"/>
      <w:r w:rsidRPr="00B72E4C">
        <w:rPr>
          <w:rFonts w:ascii="Arial" w:hAnsi="Arial" w:cs="Arial"/>
          <w:iCs/>
          <w:color w:val="auto"/>
          <w:sz w:val="16"/>
          <w:szCs w:val="16"/>
          <w:lang w:val="en-US"/>
        </w:rPr>
        <w:t xml:space="preserve"> </w:t>
      </w:r>
      <w:r w:rsidRPr="00B72E4C">
        <w:rPr>
          <w:rFonts w:ascii="Arial" w:hAnsi="Arial" w:cs="Arial"/>
          <w:i/>
          <w:color w:val="auto"/>
          <w:sz w:val="16"/>
          <w:szCs w:val="16"/>
        </w:rPr>
        <w:t>Metabolic enzymes in this pathway are shown in red bold font; metabolic products in this pathway are shown in black bold font.</w:t>
      </w:r>
      <w:bookmarkEnd w:id="24"/>
      <w:bookmarkEnd w:id="25"/>
      <w:bookmarkEnd w:id="26"/>
    </w:p>
    <w:p w:rsidR="00EF1380" w:rsidRDefault="00EF1380" w:rsidP="00EF1380">
      <w:pPr>
        <w:autoSpaceDE w:val="0"/>
        <w:autoSpaceDN w:val="0"/>
        <w:adjustRightInd w:val="0"/>
        <w:spacing w:after="0" w:line="360" w:lineRule="auto"/>
        <w:ind w:firstLine="720"/>
        <w:jc w:val="both"/>
        <w:rPr>
          <w:rFonts w:ascii="Arial" w:hAnsi="Arial" w:cs="Arial"/>
          <w:sz w:val="24"/>
          <w:szCs w:val="24"/>
          <w:lang w:val="en-US"/>
        </w:rPr>
      </w:pPr>
      <w:r>
        <w:rPr>
          <w:rFonts w:ascii="Arial" w:hAnsi="Arial" w:cs="Arial"/>
          <w:sz w:val="24"/>
          <w:szCs w:val="24"/>
          <w:lang w:val="en-US"/>
        </w:rPr>
        <w:t xml:space="preserve">The function of the glycolytic enzymes can be regulated by post-translational modifications (PTMs), which include acetylation, phosphorylation, glycosylation and ubiquitination, among many others. </w:t>
      </w:r>
      <w:r w:rsidR="00A82B55">
        <w:rPr>
          <w:rFonts w:ascii="Arial" w:hAnsi="Arial" w:cs="Arial"/>
          <w:sz w:val="24"/>
          <w:szCs w:val="24"/>
          <w:lang w:val="en-US"/>
        </w:rPr>
        <w:t xml:space="preserve">A change in the acetylation patterns of 4 glycolytic enzymes, </w:t>
      </w:r>
      <w:r>
        <w:rPr>
          <w:rFonts w:ascii="Arial" w:hAnsi="Arial" w:cs="Arial"/>
          <w:sz w:val="24"/>
          <w:szCs w:val="24"/>
          <w:lang w:val="en-US"/>
        </w:rPr>
        <w:t>phosphofructokinase, fructose-bisphosphate aldolase, glyceraldehyde 3-phosphate dehydrogenase and phosphoglycerate mutase have been shown to have an effect</w:t>
      </w:r>
      <w:r w:rsidR="00A82B55">
        <w:rPr>
          <w:rFonts w:ascii="Arial" w:hAnsi="Arial" w:cs="Arial"/>
          <w:sz w:val="24"/>
          <w:szCs w:val="24"/>
          <w:lang w:val="en-US"/>
        </w:rPr>
        <w:t xml:space="preserve"> on their activity and/or expression</w:t>
      </w:r>
      <w:r w:rsidR="002A302A">
        <w:rPr>
          <w:rFonts w:ascii="Arial" w:hAnsi="Arial" w:cs="Arial"/>
          <w:sz w:val="24"/>
          <w:szCs w:val="24"/>
          <w:lang w:val="en-US"/>
        </w:rPr>
        <w:t xml:space="preserve"> (see Table 2 for a summary of the effects of acetylation on these enzymes). </w:t>
      </w:r>
      <w:r>
        <w:rPr>
          <w:rFonts w:ascii="Arial" w:hAnsi="Arial" w:cs="Arial"/>
          <w:sz w:val="24"/>
          <w:szCs w:val="24"/>
          <w:lang w:val="en-US"/>
        </w:rPr>
        <w:t xml:space="preserve">All these enzymes are annotated by the PhosphoSitePlus database, </w:t>
      </w:r>
      <w:hyperlink r:id="rId16" w:history="1">
        <w:r w:rsidRPr="00A50DC6">
          <w:rPr>
            <w:rStyle w:val="Hyperlink"/>
            <w:rFonts w:ascii="Arial" w:hAnsi="Arial" w:cs="Arial"/>
            <w:color w:val="auto"/>
            <w:sz w:val="24"/>
            <w:szCs w:val="24"/>
            <w:lang w:val="en-US"/>
          </w:rPr>
          <w:t>www.phosphosite.org</w:t>
        </w:r>
      </w:hyperlink>
      <w:r>
        <w:rPr>
          <w:rFonts w:ascii="Arial" w:hAnsi="Arial" w:cs="Arial"/>
          <w:sz w:val="24"/>
          <w:szCs w:val="24"/>
          <w:lang w:val="en-US"/>
        </w:rPr>
        <w:t>, accessed on 22-05-2014 to be acetylated</w:t>
      </w:r>
      <w:r w:rsidR="00974F33">
        <w:rPr>
          <w:rFonts w:ascii="Arial" w:hAnsi="Arial" w:cs="Arial"/>
          <w:sz w:val="24"/>
          <w:szCs w:val="24"/>
          <w:lang w:val="en-US"/>
        </w:rPr>
        <w:t>.</w:t>
      </w:r>
      <w:r>
        <w:rPr>
          <w:rFonts w:ascii="Arial" w:hAnsi="Arial" w:cs="Arial"/>
          <w:sz w:val="24"/>
          <w:szCs w:val="24"/>
          <w:lang w:val="en-US"/>
        </w:rPr>
        <w:t xml:space="preserve"> </w:t>
      </w:r>
      <w:r w:rsidR="00974F33">
        <w:rPr>
          <w:rFonts w:ascii="Arial" w:hAnsi="Arial" w:cs="Arial"/>
          <w:sz w:val="24"/>
          <w:szCs w:val="24"/>
          <w:lang w:val="en-US"/>
        </w:rPr>
        <w:t>S</w:t>
      </w:r>
      <w:r>
        <w:rPr>
          <w:rFonts w:ascii="Arial" w:hAnsi="Arial" w:cs="Arial"/>
          <w:sz w:val="24"/>
          <w:szCs w:val="24"/>
          <w:lang w:val="en-US"/>
        </w:rPr>
        <w:t xml:space="preserve">ee Appendix 2 for </w:t>
      </w:r>
      <w:r w:rsidR="00293EBA">
        <w:rPr>
          <w:rFonts w:ascii="Arial" w:hAnsi="Arial" w:cs="Arial"/>
          <w:sz w:val="24"/>
          <w:szCs w:val="24"/>
          <w:lang w:val="en-US"/>
        </w:rPr>
        <w:t xml:space="preserve">all </w:t>
      </w:r>
      <w:r>
        <w:rPr>
          <w:rFonts w:ascii="Arial" w:hAnsi="Arial" w:cs="Arial"/>
          <w:sz w:val="24"/>
          <w:szCs w:val="24"/>
          <w:lang w:val="en-US"/>
        </w:rPr>
        <w:t>the acetylated lysine residues.</w:t>
      </w:r>
    </w:p>
    <w:p w:rsidR="00AC4500" w:rsidRDefault="00AC4500" w:rsidP="00AC4500">
      <w:pPr>
        <w:autoSpaceDE w:val="0"/>
        <w:autoSpaceDN w:val="0"/>
        <w:adjustRightInd w:val="0"/>
        <w:spacing w:after="0" w:line="360" w:lineRule="auto"/>
        <w:jc w:val="both"/>
        <w:rPr>
          <w:rFonts w:ascii="Arial" w:hAnsi="Arial" w:cs="Arial"/>
          <w:sz w:val="24"/>
          <w:szCs w:val="24"/>
          <w:lang w:val="en-US"/>
        </w:rPr>
      </w:pPr>
    </w:p>
    <w:tbl>
      <w:tblPr>
        <w:tblStyle w:val="LightList1"/>
        <w:tblW w:w="0" w:type="auto"/>
        <w:tblLook w:val="04A0" w:firstRow="1" w:lastRow="0" w:firstColumn="1" w:lastColumn="0" w:noHBand="0" w:noVBand="1"/>
      </w:tblPr>
      <w:tblGrid>
        <w:gridCol w:w="3018"/>
        <w:gridCol w:w="3018"/>
        <w:gridCol w:w="3018"/>
      </w:tblGrid>
      <w:tr w:rsidR="002A302A" w:rsidTr="008C3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A302A" w:rsidRPr="008C3F1A" w:rsidRDefault="002A302A" w:rsidP="008C3F1A">
            <w:pPr>
              <w:autoSpaceDE w:val="0"/>
              <w:autoSpaceDN w:val="0"/>
              <w:adjustRightInd w:val="0"/>
              <w:spacing w:line="360" w:lineRule="auto"/>
              <w:jc w:val="center"/>
              <w:rPr>
                <w:rFonts w:cs="Arial"/>
                <w:sz w:val="20"/>
                <w:szCs w:val="20"/>
              </w:rPr>
            </w:pPr>
            <w:r w:rsidRPr="008C3F1A">
              <w:rPr>
                <w:rFonts w:cs="Arial"/>
                <w:sz w:val="20"/>
                <w:szCs w:val="20"/>
              </w:rPr>
              <w:t>Enzyme</w:t>
            </w:r>
          </w:p>
        </w:tc>
        <w:tc>
          <w:tcPr>
            <w:tcW w:w="3018" w:type="dxa"/>
          </w:tcPr>
          <w:p w:rsidR="002A302A" w:rsidRPr="008C3F1A" w:rsidRDefault="002A302A" w:rsidP="008C3F1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C3F1A">
              <w:rPr>
                <w:rFonts w:cs="Arial"/>
                <w:sz w:val="20"/>
                <w:szCs w:val="20"/>
              </w:rPr>
              <w:t>Acetylated Lys residues</w:t>
            </w:r>
          </w:p>
        </w:tc>
        <w:tc>
          <w:tcPr>
            <w:tcW w:w="3018" w:type="dxa"/>
          </w:tcPr>
          <w:p w:rsidR="002A302A" w:rsidRPr="008C3F1A" w:rsidRDefault="002A302A" w:rsidP="008C3F1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C3F1A">
              <w:rPr>
                <w:rFonts w:cs="Arial"/>
                <w:sz w:val="20"/>
                <w:szCs w:val="20"/>
              </w:rPr>
              <w:t>Effect</w:t>
            </w:r>
          </w:p>
        </w:tc>
      </w:tr>
      <w:tr w:rsidR="002A302A" w:rsidTr="008C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A302A" w:rsidRPr="008C3F1A" w:rsidRDefault="002A302A" w:rsidP="008C3F1A">
            <w:pPr>
              <w:autoSpaceDE w:val="0"/>
              <w:autoSpaceDN w:val="0"/>
              <w:adjustRightInd w:val="0"/>
              <w:spacing w:line="360" w:lineRule="auto"/>
              <w:jc w:val="center"/>
              <w:rPr>
                <w:rFonts w:cs="Arial"/>
                <w:b w:val="0"/>
                <w:sz w:val="16"/>
                <w:szCs w:val="16"/>
              </w:rPr>
            </w:pPr>
            <w:r w:rsidRPr="008C3F1A">
              <w:rPr>
                <w:rFonts w:cs="Arial"/>
                <w:b w:val="0"/>
                <w:sz w:val="16"/>
                <w:szCs w:val="16"/>
              </w:rPr>
              <w:t>Phosphofructokinase</w:t>
            </w:r>
          </w:p>
        </w:tc>
        <w:tc>
          <w:tcPr>
            <w:tcW w:w="3018" w:type="dxa"/>
          </w:tcPr>
          <w:p w:rsidR="002A302A" w:rsidRPr="008C3F1A" w:rsidRDefault="002A302A"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 xml:space="preserve">3 </w:t>
            </w:r>
            <w:r w:rsidR="006C2756" w:rsidRPr="008C3F1A">
              <w:rPr>
                <w:rFonts w:cs="Arial"/>
                <w:sz w:val="16"/>
                <w:szCs w:val="16"/>
              </w:rPr>
              <w:fldChar w:fldCharType="begin"/>
            </w:r>
            <w:r w:rsidR="00FC3C1A">
              <w:rPr>
                <w:rFonts w:cs="Arial"/>
                <w:sz w:val="16"/>
                <w:szCs w:val="16"/>
              </w:rPr>
              <w:instrText xml:space="preserve"> ADDIN EN.CITE &lt;EndNote&gt;&lt;Cite&gt;&lt;Author&gt;Dihazi H&lt;/Author&gt;&lt;Year&gt;2005&lt;/Year&gt;&lt;RecNum&gt;320&lt;/RecNum&gt;&lt;DisplayText&gt;(50)&lt;/DisplayText&gt;&lt;record&gt;&lt;rec-number&gt;320&lt;/rec-number&gt;&lt;foreign-keys&gt;&lt;key app="EN" db-id="zxp9w5sa30aeafes0xox2eem00dz2z2aswad"&gt;320&lt;/key&gt;&lt;/foreign-keys&gt;&lt;ref-type name="Journal Article"&gt;17&lt;/ref-type&gt;&lt;contributors&gt;&lt;authors&gt;&lt;author&gt;Dihazi H,&lt;/author&gt;&lt;author&gt;Kessler R,&lt;/author&gt;&lt;author&gt;Müller G,&lt;/author&gt;&lt;author&gt;Eschrich K,&lt;/author&gt;&lt;/authors&gt;&lt;/contributors&gt;&lt;titles&gt;&lt;title&gt;Lysine 3 acetylation regulates the phosphorylation of yeast 6-phosphofructo-2-kinase under hypo-osmotic stress&lt;/title&gt;&lt;secondary-title&gt;Biol. Chem.&lt;/secondary-title&gt;&lt;/titles&gt;&lt;periodical&gt;&lt;full-title&gt;Biol. Chem.&lt;/full-title&gt;&lt;/periodical&gt;&lt;pages&gt;895-900&lt;/pages&gt;&lt;volume&gt;386&lt;/volume&gt;&lt;number&gt;9&lt;/number&gt;&lt;dates&gt;&lt;year&gt;2005&lt;/year&gt;&lt;/dates&gt;&lt;urls&gt;&lt;/urls&gt;&lt;/record&gt;&lt;/Cite&gt;&lt;/EndNote&gt;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0" w:tooltip="Dihazi H, 2005 #320" w:history="1">
              <w:r w:rsidR="00AB7E17">
                <w:rPr>
                  <w:rFonts w:cs="Arial"/>
                  <w:noProof/>
                  <w:sz w:val="16"/>
                  <w:szCs w:val="16"/>
                </w:rPr>
                <w:t>50</w:t>
              </w:r>
            </w:hyperlink>
            <w:r w:rsidR="00FC3C1A">
              <w:rPr>
                <w:rFonts w:cs="Arial"/>
                <w:noProof/>
                <w:sz w:val="16"/>
                <w:szCs w:val="16"/>
              </w:rPr>
              <w:t>)</w:t>
            </w:r>
            <w:r w:rsidR="006C2756" w:rsidRPr="008C3F1A">
              <w:rPr>
                <w:rFonts w:cs="Arial"/>
                <w:sz w:val="16"/>
                <w:szCs w:val="16"/>
              </w:rPr>
              <w:fldChar w:fldCharType="end"/>
            </w:r>
          </w:p>
        </w:tc>
        <w:tc>
          <w:tcPr>
            <w:tcW w:w="3018" w:type="dxa"/>
          </w:tcPr>
          <w:p w:rsidR="002A302A" w:rsidRPr="008C3F1A" w:rsidRDefault="002A302A"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Enhance</w:t>
            </w:r>
            <w:r w:rsidR="006632BD" w:rsidRPr="008C3F1A">
              <w:rPr>
                <w:rFonts w:cs="Arial"/>
                <w:sz w:val="16"/>
                <w:szCs w:val="16"/>
              </w:rPr>
              <w:t>s</w:t>
            </w:r>
            <w:r w:rsidRPr="008C3F1A">
              <w:rPr>
                <w:rFonts w:cs="Arial"/>
                <w:sz w:val="16"/>
                <w:szCs w:val="16"/>
              </w:rPr>
              <w:t xml:space="preserve"> activity </w:t>
            </w:r>
            <w:r w:rsidR="006C2756" w:rsidRPr="008C3F1A">
              <w:rPr>
                <w:rFonts w:cs="Arial"/>
                <w:sz w:val="16"/>
                <w:szCs w:val="16"/>
              </w:rPr>
              <w:fldChar w:fldCharType="begin"/>
            </w:r>
            <w:r w:rsidR="00FC3C1A">
              <w:rPr>
                <w:rFonts w:cs="Arial"/>
                <w:sz w:val="16"/>
                <w:szCs w:val="16"/>
              </w:rPr>
              <w:instrText xml:space="preserve"> ADDIN EN.CITE &lt;EndNote&gt;&lt;Cite&gt;&lt;Author&gt;Dihazi H&lt;/Author&gt;&lt;Year&gt;2005&lt;/Year&gt;&lt;RecNum&gt;320&lt;/RecNum&gt;&lt;DisplayText&gt;(50)&lt;/DisplayText&gt;&lt;record&gt;&lt;rec-number&gt;320&lt;/rec-number&gt;&lt;foreign-keys&gt;&lt;key app="EN" db-id="zxp9w5sa30aeafes0xox2eem00dz2z2aswad"&gt;320&lt;/key&gt;&lt;/foreign-keys&gt;&lt;ref-type name="Journal Article"&gt;17&lt;/ref-type&gt;&lt;contributors&gt;&lt;authors&gt;&lt;author&gt;Dihazi H,&lt;/author&gt;&lt;author&gt;Kessler R,&lt;/author&gt;&lt;author&gt;Müller G,&lt;/author&gt;&lt;author&gt;Eschrich K,&lt;/author&gt;&lt;/authors&gt;&lt;/contributors&gt;&lt;titles&gt;&lt;title&gt;Lysine 3 acetylation regulates the phosphorylation of yeast 6-phosphofructo-2-kinase under hypo-osmotic stress&lt;/title&gt;&lt;secondary-title&gt;Biol. Chem.&lt;/secondary-title&gt;&lt;/titles&gt;&lt;periodical&gt;&lt;full-title&gt;Biol. Chem.&lt;/full-title&gt;&lt;/periodical&gt;&lt;pages&gt;895-900&lt;/pages&gt;&lt;volume&gt;386&lt;/volume&gt;&lt;number&gt;9&lt;/number&gt;&lt;dates&gt;&lt;year&gt;2005&lt;/year&gt;&lt;/dates&gt;&lt;urls&gt;&lt;/urls&gt;&lt;/record&gt;&lt;/Cite&gt;&lt;/EndNote&gt;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0" w:tooltip="Dihazi H, 2005 #320" w:history="1">
              <w:r w:rsidR="00AB7E17">
                <w:rPr>
                  <w:rFonts w:cs="Arial"/>
                  <w:noProof/>
                  <w:sz w:val="16"/>
                  <w:szCs w:val="16"/>
                </w:rPr>
                <w:t>50</w:t>
              </w:r>
            </w:hyperlink>
            <w:r w:rsidR="00FC3C1A">
              <w:rPr>
                <w:rFonts w:cs="Arial"/>
                <w:noProof/>
                <w:sz w:val="16"/>
                <w:szCs w:val="16"/>
              </w:rPr>
              <w:t>)</w:t>
            </w:r>
            <w:r w:rsidR="006C2756" w:rsidRPr="008C3F1A">
              <w:rPr>
                <w:rFonts w:cs="Arial"/>
                <w:sz w:val="16"/>
                <w:szCs w:val="16"/>
              </w:rPr>
              <w:fldChar w:fldCharType="end"/>
            </w:r>
          </w:p>
        </w:tc>
      </w:tr>
      <w:tr w:rsidR="002A302A" w:rsidTr="008C3F1A">
        <w:tc>
          <w:tcPr>
            <w:cnfStyle w:val="001000000000" w:firstRow="0" w:lastRow="0" w:firstColumn="1" w:lastColumn="0" w:oddVBand="0" w:evenVBand="0" w:oddHBand="0" w:evenHBand="0" w:firstRowFirstColumn="0" w:firstRowLastColumn="0" w:lastRowFirstColumn="0" w:lastRowLastColumn="0"/>
            <w:tcW w:w="3018" w:type="dxa"/>
          </w:tcPr>
          <w:p w:rsidR="002A302A" w:rsidRPr="008C3F1A" w:rsidRDefault="002A302A" w:rsidP="008C3F1A">
            <w:pPr>
              <w:autoSpaceDE w:val="0"/>
              <w:autoSpaceDN w:val="0"/>
              <w:adjustRightInd w:val="0"/>
              <w:spacing w:line="360" w:lineRule="auto"/>
              <w:jc w:val="center"/>
              <w:rPr>
                <w:rFonts w:cs="Arial"/>
                <w:b w:val="0"/>
                <w:sz w:val="16"/>
                <w:szCs w:val="16"/>
              </w:rPr>
            </w:pPr>
            <w:r w:rsidRPr="008C3F1A">
              <w:rPr>
                <w:rFonts w:cs="Arial"/>
                <w:b w:val="0"/>
                <w:sz w:val="16"/>
                <w:szCs w:val="16"/>
              </w:rPr>
              <w:t>Fructose-bisphosphate aldolase</w:t>
            </w:r>
          </w:p>
        </w:tc>
        <w:tc>
          <w:tcPr>
            <w:tcW w:w="3018" w:type="dxa"/>
          </w:tcPr>
          <w:p w:rsidR="002A302A" w:rsidRPr="008C3F1A" w:rsidRDefault="006632BD"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C3F1A">
              <w:rPr>
                <w:rFonts w:cs="Arial"/>
                <w:sz w:val="16"/>
                <w:szCs w:val="16"/>
              </w:rPr>
              <w:t xml:space="preserve">147 </w:t>
            </w:r>
            <w:r w:rsidR="006C2756" w:rsidRPr="008C3F1A">
              <w:rPr>
                <w:rFonts w:cs="Arial"/>
                <w:sz w:val="16"/>
                <w:szCs w:val="16"/>
              </w:rPr>
              <w:fldChar w:fldCharType="begin"/>
            </w:r>
            <w:r w:rsidRPr="008C3F1A">
              <w:rPr>
                <w:rFonts w:cs="Arial"/>
                <w:sz w:val="16"/>
                <w:szCs w:val="16"/>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sidRPr="008C3F1A">
              <w:rPr>
                <w:rFonts w:cs="Arial"/>
                <w:sz w:val="16"/>
                <w:szCs w:val="16"/>
              </w:rPr>
              <w:fldChar w:fldCharType="separate"/>
            </w:r>
            <w:r w:rsidRPr="008C3F1A">
              <w:rPr>
                <w:rFonts w:cs="Arial"/>
                <w:noProof/>
                <w:sz w:val="16"/>
                <w:szCs w:val="16"/>
              </w:rPr>
              <w:t>(</w:t>
            </w:r>
            <w:hyperlink w:anchor="_ENREF_12" w:tooltip="Lundby A, 2012 #156" w:history="1">
              <w:r w:rsidR="00AB7E17" w:rsidRPr="008C3F1A">
                <w:rPr>
                  <w:rFonts w:cs="Arial"/>
                  <w:noProof/>
                  <w:sz w:val="16"/>
                  <w:szCs w:val="16"/>
                </w:rPr>
                <w:t>12</w:t>
              </w:r>
            </w:hyperlink>
            <w:r w:rsidRPr="008C3F1A">
              <w:rPr>
                <w:rFonts w:cs="Arial"/>
                <w:noProof/>
                <w:sz w:val="16"/>
                <w:szCs w:val="16"/>
              </w:rPr>
              <w:t>)</w:t>
            </w:r>
            <w:r w:rsidR="006C2756" w:rsidRPr="008C3F1A">
              <w:rPr>
                <w:rFonts w:cs="Arial"/>
                <w:sz w:val="16"/>
                <w:szCs w:val="16"/>
              </w:rPr>
              <w:fldChar w:fldCharType="end"/>
            </w:r>
          </w:p>
        </w:tc>
        <w:tc>
          <w:tcPr>
            <w:tcW w:w="3018" w:type="dxa"/>
          </w:tcPr>
          <w:p w:rsidR="002A302A" w:rsidRPr="008C3F1A" w:rsidRDefault="006632BD"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C3F1A">
              <w:rPr>
                <w:rFonts w:cs="Arial"/>
                <w:sz w:val="16"/>
                <w:szCs w:val="16"/>
              </w:rPr>
              <w:t xml:space="preserve">Abolishes activity </w:t>
            </w:r>
            <w:r w:rsidR="006C2756" w:rsidRPr="008C3F1A">
              <w:rPr>
                <w:rFonts w:cs="Arial"/>
                <w:sz w:val="16"/>
                <w:szCs w:val="16"/>
              </w:rPr>
              <w:fldChar w:fldCharType="begin"/>
            </w:r>
            <w:r w:rsidRPr="008C3F1A">
              <w:rPr>
                <w:rFonts w:cs="Arial"/>
                <w:sz w:val="16"/>
                <w:szCs w:val="16"/>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sidRPr="008C3F1A">
              <w:rPr>
                <w:rFonts w:cs="Arial"/>
                <w:sz w:val="16"/>
                <w:szCs w:val="16"/>
              </w:rPr>
              <w:fldChar w:fldCharType="separate"/>
            </w:r>
            <w:r w:rsidRPr="008C3F1A">
              <w:rPr>
                <w:rFonts w:cs="Arial"/>
                <w:noProof/>
                <w:sz w:val="16"/>
                <w:szCs w:val="16"/>
              </w:rPr>
              <w:t>(</w:t>
            </w:r>
            <w:hyperlink w:anchor="_ENREF_12" w:tooltip="Lundby A, 2012 #156" w:history="1">
              <w:r w:rsidR="00AB7E17" w:rsidRPr="008C3F1A">
                <w:rPr>
                  <w:rFonts w:cs="Arial"/>
                  <w:noProof/>
                  <w:sz w:val="16"/>
                  <w:szCs w:val="16"/>
                </w:rPr>
                <w:t>12</w:t>
              </w:r>
            </w:hyperlink>
            <w:r w:rsidRPr="008C3F1A">
              <w:rPr>
                <w:rFonts w:cs="Arial"/>
                <w:noProof/>
                <w:sz w:val="16"/>
                <w:szCs w:val="16"/>
              </w:rPr>
              <w:t>)</w:t>
            </w:r>
            <w:r w:rsidR="006C2756" w:rsidRPr="008C3F1A">
              <w:rPr>
                <w:rFonts w:cs="Arial"/>
                <w:sz w:val="16"/>
                <w:szCs w:val="16"/>
              </w:rPr>
              <w:fldChar w:fldCharType="end"/>
            </w:r>
          </w:p>
        </w:tc>
      </w:tr>
      <w:tr w:rsidR="002A302A" w:rsidTr="008C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A302A" w:rsidRPr="008C3F1A" w:rsidRDefault="006632BD" w:rsidP="008C3F1A">
            <w:pPr>
              <w:autoSpaceDE w:val="0"/>
              <w:autoSpaceDN w:val="0"/>
              <w:adjustRightInd w:val="0"/>
              <w:spacing w:line="360" w:lineRule="auto"/>
              <w:jc w:val="center"/>
              <w:rPr>
                <w:rFonts w:cs="Arial"/>
                <w:b w:val="0"/>
                <w:sz w:val="16"/>
                <w:szCs w:val="16"/>
              </w:rPr>
            </w:pPr>
            <w:r w:rsidRPr="008C3F1A">
              <w:rPr>
                <w:rFonts w:cs="Arial"/>
                <w:b w:val="0"/>
                <w:sz w:val="16"/>
                <w:szCs w:val="16"/>
              </w:rPr>
              <w:t>Glyceraldhyde 3-phosphate dehydrogenase</w:t>
            </w:r>
          </w:p>
        </w:tc>
        <w:tc>
          <w:tcPr>
            <w:tcW w:w="3018" w:type="dxa"/>
          </w:tcPr>
          <w:p w:rsidR="002A302A" w:rsidRPr="008C3F1A" w:rsidRDefault="006632BD"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 xml:space="preserve">120 </w:t>
            </w:r>
            <w:r w:rsidR="006C2756" w:rsidRPr="008C3F1A">
              <w:rPr>
                <w:rFonts w:cs="Arial"/>
                <w:sz w:val="16"/>
                <w:szCs w:val="16"/>
              </w:rPr>
              <w:fldChar w:fldCharType="begin"/>
            </w:r>
            <w:r w:rsidRPr="008C3F1A">
              <w:rPr>
                <w:rFonts w:cs="Arial"/>
                <w:sz w:val="16"/>
                <w:szCs w:val="16"/>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sidRPr="008C3F1A">
              <w:rPr>
                <w:rFonts w:cs="Arial"/>
                <w:sz w:val="16"/>
                <w:szCs w:val="16"/>
              </w:rPr>
              <w:fldChar w:fldCharType="separate"/>
            </w:r>
            <w:r w:rsidRPr="008C3F1A">
              <w:rPr>
                <w:rFonts w:cs="Arial"/>
                <w:noProof/>
                <w:sz w:val="16"/>
                <w:szCs w:val="16"/>
              </w:rPr>
              <w:t>(</w:t>
            </w:r>
            <w:hyperlink w:anchor="_ENREF_12" w:tooltip="Lundby A, 2012 #156" w:history="1">
              <w:r w:rsidR="00AB7E17" w:rsidRPr="008C3F1A">
                <w:rPr>
                  <w:rFonts w:cs="Arial"/>
                  <w:noProof/>
                  <w:sz w:val="16"/>
                  <w:szCs w:val="16"/>
                </w:rPr>
                <w:t>12</w:t>
              </w:r>
            </w:hyperlink>
            <w:r w:rsidRPr="008C3F1A">
              <w:rPr>
                <w:rFonts w:cs="Arial"/>
                <w:noProof/>
                <w:sz w:val="16"/>
                <w:szCs w:val="16"/>
              </w:rPr>
              <w:t>)</w:t>
            </w:r>
            <w:r w:rsidR="006C2756" w:rsidRPr="008C3F1A">
              <w:rPr>
                <w:rFonts w:cs="Arial"/>
                <w:sz w:val="16"/>
                <w:szCs w:val="16"/>
              </w:rPr>
              <w:fldChar w:fldCharType="end"/>
            </w:r>
            <w:r w:rsidRPr="008C3F1A">
              <w:rPr>
                <w:rFonts w:cs="Arial"/>
                <w:sz w:val="16"/>
                <w:szCs w:val="16"/>
              </w:rPr>
              <w:t xml:space="preserve">, 117 </w:t>
            </w:r>
            <w:r w:rsidR="006C2756" w:rsidRPr="008C3F1A">
              <w:rPr>
                <w:rFonts w:cs="Arial"/>
                <w:sz w:val="16"/>
                <w:szCs w:val="16"/>
              </w:rPr>
              <w:fldChar w:fldCharType="begin"/>
            </w:r>
            <w:r w:rsidR="00FC3C1A">
              <w:rPr>
                <w:rFonts w:cs="Arial"/>
                <w:sz w:val="16"/>
                <w:szCs w:val="16"/>
              </w:rPr>
              <w:instrText xml:space="preserve"> ADDIN EN.CITE &lt;EndNote&gt;&lt;Cite&gt;&lt;Author&gt;Ventura M&lt;/Author&gt;&lt;Year&gt;2010&lt;/Year&gt;&lt;RecNum&gt;264&lt;/RecNum&gt;&lt;DisplayText&gt;(51)&lt;/DisplayText&gt;&lt;record&gt;&lt;rec-number&gt;264&lt;/rec-number&gt;&lt;foreign-keys&gt;&lt;key app="EN" db-id="zxp9w5sa30aeafes0xox2eem00dz2z2aswad"&gt;264&lt;/key&gt;&lt;key app="ENWeb" db-id="UG1-3grtqigAAEqvEt0"&gt;207&lt;/key&gt;&lt;/foreign-keys&gt;&lt;ref-type name="Journal Article"&gt;17&lt;/ref-type&gt;&lt;contributors&gt;&lt;authors&gt;&lt;author&gt;Ventura M,&lt;/author&gt;&lt;author&gt;Mateo F,&lt;/author&gt;&lt;author&gt;Serratosa J,&lt;/author&gt;&lt;author&gt;Salaet I,&lt;/author&gt;&lt;author&gt;Carujo S,&lt;/author&gt;&lt;author&gt;Bachs O,&lt;/author&gt;&lt;author&gt;Pujol M,&lt;/author&gt;&lt;/authors&gt;&lt;/contributors&gt;&lt;titles&gt;&lt;title&gt;Nuclear translocation of glyceraldehyde-3-phosphate dehydrogenase is regulated by acetylation &lt;/title&gt;&lt;secondary-title&gt;The International Journal of Biochemistry &amp;amp; Cell Biology&lt;/secondary-title&gt;&lt;/titles&gt;&lt;periodical&gt;&lt;full-title&gt;The International Journal of Biochemistry &amp;amp; Cell Biology&lt;/full-title&gt;&lt;/periodical&gt;&lt;pages&gt;1672–1680&lt;/pages&gt;&lt;volume&gt;42&lt;/volume&gt;&lt;dates&gt;&lt;year&gt;2010&lt;/year&gt;&lt;/dates&gt;&lt;urls&gt;&lt;/urls&gt;&lt;/record&gt;&lt;/Cite&gt;&lt;/EndNote&gt;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160 </w:t>
            </w:r>
            <w:r w:rsidR="006C2756" w:rsidRPr="008C3F1A">
              <w:rPr>
                <w:rFonts w:cs="Arial"/>
                <w:sz w:val="16"/>
                <w:szCs w:val="16"/>
              </w:rPr>
              <w:fldChar w:fldCharType="begin"/>
            </w:r>
            <w:r w:rsidR="00FC3C1A">
              <w:rPr>
                <w:rFonts w:cs="Arial"/>
                <w:sz w:val="16"/>
                <w:szCs w:val="16"/>
              </w:rPr>
              <w:instrText xml:space="preserve"> ADDIN EN.CITE &lt;EndNote&gt;&lt;Cite&gt;&lt;Author&gt;Sen N&lt;/Author&gt;&lt;Year&gt;2008&lt;/Year&gt;&lt;RecNum&gt;382&lt;/RecNum&gt;&lt;DisplayText&gt;(52)&lt;/DisplayText&gt;&lt;record&gt;&lt;rec-number&gt;382&lt;/rec-number&gt;&lt;foreign-keys&gt;&lt;key app="EN" db-id="zxp9w5sa30aeafes0xox2eem00dz2z2aswad"&gt;382&lt;/key&gt;&lt;/foreign-keys&gt;&lt;ref-type name="Journal Article"&gt;17&lt;/ref-type&gt;&lt;contributors&gt;&lt;authors&gt;&lt;author&gt;Sen N,&lt;/author&gt;&lt;author&gt;Hara M,&lt;/author&gt;&lt;author&gt;Kornberg M,&lt;/author&gt;&lt;author&gt;Cascio M,&lt;/author&gt;&lt;author&gt;Bae B,&lt;/author&gt;&lt;author&gt;Shahani N,&lt;/author&gt;&lt;author&gt;Thomas B,&lt;/author&gt;&lt;author&gt;Dawson T,&lt;/author&gt;&lt;author&gt;Dawson V,&lt;/author&gt;&lt;author&gt;Snyder S,&lt;/author&gt;&lt;author&gt;Sawa A,&lt;/author&gt;&lt;/authors&gt;&lt;/contributors&gt;&lt;titles&gt;&lt;title&gt;Nitric oxide-induced nuclear GAPDH activates p300/CBP and mediates apoptosis&lt;/title&gt;&lt;secondary-title&gt;Nat Cell Biol&lt;/secondary-title&gt;&lt;/titles&gt;&lt;periodical&gt;&lt;full-title&gt;Nat Cell Biol&lt;/full-title&gt;&lt;/periodical&gt;&lt;pages&gt;866-873&lt;/pages&gt;&lt;volume&gt;10&lt;/volume&gt;&lt;number&gt;7&lt;/number&gt;&lt;dates&gt;&lt;year&gt;2008&lt;/year&gt;&lt;/dates&gt;&lt;urls&gt;&lt;/urls&gt;&lt;/record&gt;&lt;/Cite&gt;&lt;/EndNote&gt;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2" w:tooltip="Sen N, 2008 #382" w:history="1">
              <w:r w:rsidR="00AB7E17">
                <w:rPr>
                  <w:rFonts w:cs="Arial"/>
                  <w:noProof/>
                  <w:sz w:val="16"/>
                  <w:szCs w:val="16"/>
                </w:rPr>
                <w:t>52</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227 </w:t>
            </w:r>
            <w:r w:rsidR="006C2756" w:rsidRPr="008C3F1A">
              <w:rPr>
                <w:rFonts w:cs="Arial"/>
                <w:sz w:val="16"/>
                <w:szCs w:val="16"/>
              </w:rPr>
              <w:fldChar w:fldCharType="begin"/>
            </w:r>
            <w:r w:rsidR="00FC3C1A">
              <w:rPr>
                <w:rFonts w:cs="Arial"/>
                <w:sz w:val="16"/>
                <w:szCs w:val="16"/>
              </w:rPr>
              <w:instrText xml:space="preserve"> ADDIN EN.CITE &lt;EndNote&gt;&lt;Cite&gt;&lt;Author&gt;Ventura M&lt;/Author&gt;&lt;Year&gt;2010&lt;/Year&gt;&lt;RecNum&gt;264&lt;/RecNum&gt;&lt;DisplayText&gt;(51)&lt;/DisplayText&gt;&lt;record&gt;&lt;rec-number&gt;264&lt;/rec-number&gt;&lt;foreign-keys&gt;&lt;key app="EN" db-id="zxp9w5sa30aeafes0xox2eem00dz2z2aswad"&gt;264&lt;/key&gt;&lt;key app="ENWeb" db-id="UG1-3grtqigAAEqvEt0"&gt;207&lt;/key&gt;&lt;/foreign-keys&gt;&lt;ref-type name="Journal Article"&gt;17&lt;/ref-type&gt;&lt;contributors&gt;&lt;authors&gt;&lt;author&gt;Ventura M,&lt;/author&gt;&lt;author&gt;Mateo F,&lt;/author&gt;&lt;author&gt;Serratosa J,&lt;/author&gt;&lt;author&gt;Salaet I,&lt;/author&gt;&lt;author&gt;Carujo S,&lt;/author&gt;&lt;author&gt;Bachs O,&lt;/author&gt;&lt;author&gt;Pujol M,&lt;/author&gt;&lt;/authors&gt;&lt;/contributors&gt;&lt;titles&gt;&lt;title&gt;Nuclear translocation of glyceraldehyde-3-phosphate dehydrogenase is regulated by acetylation &lt;/title&gt;&lt;secondary-title&gt;The International Journal of Biochemistry &amp;amp; Cell Biology&lt;/secondary-title&gt;&lt;/titles&gt;&lt;periodical&gt;&lt;full-title&gt;The International Journal of Biochemistry &amp;amp; Cell Biology&lt;/full-title&gt;&lt;/periodical&gt;&lt;pages&gt;1672–1680&lt;/pages&gt;&lt;volume&gt;42&lt;/volume&gt;&lt;dates&gt;&lt;year&gt;2010&lt;/year&gt;&lt;/dates&gt;&lt;urls&gt;&lt;/urls&gt;&lt;/record&gt;&lt;/Cite&gt;&lt;/EndNote&gt;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251 </w:t>
            </w:r>
            <w:r w:rsidR="006C2756" w:rsidRPr="008C3F1A">
              <w:rPr>
                <w:rFonts w:cs="Arial"/>
                <w:sz w:val="16"/>
                <w:szCs w:val="16"/>
              </w:rPr>
              <w:fldChar w:fldCharType="begin"/>
            </w:r>
            <w:r w:rsidR="00FC3C1A">
              <w:rPr>
                <w:rFonts w:cs="Arial"/>
                <w:sz w:val="16"/>
                <w:szCs w:val="16"/>
              </w:rPr>
              <w:instrText xml:space="preserve"> ADDIN EN.CITE &lt;EndNote&gt;&lt;Cite&gt;&lt;Author&gt;Ventura M&lt;/Author&gt;&lt;Year&gt;2010&lt;/Year&gt;&lt;RecNum&gt;264&lt;/RecNum&gt;&lt;DisplayText&gt;(51)&lt;/DisplayText&gt;&lt;record&gt;&lt;rec-number&gt;264&lt;/rec-number&gt;&lt;foreign-keys&gt;&lt;key app="EN" db-id="zxp9w5sa30aeafes0xox2eem00dz2z2aswad"&gt;264&lt;/key&gt;&lt;key app="ENWeb" db-id="UG1-3grtqigAAEqvEt0"&gt;207&lt;/key&gt;&lt;/foreign-keys&gt;&lt;ref-type name="Journal Article"&gt;17&lt;/ref-type&gt;&lt;contributors&gt;&lt;authors&gt;&lt;author&gt;Ventura M,&lt;/author&gt;&lt;author&gt;Mateo F,&lt;/author&gt;&lt;author&gt;Serratosa J,&lt;/author&gt;&lt;author&gt;Salaet I,&lt;/author&gt;&lt;author&gt;Carujo S,&lt;/author&gt;&lt;author&gt;Bachs O,&lt;/author&gt;&lt;author&gt;Pujol M,&lt;/author&gt;&lt;/authors&gt;&lt;/contributors&gt;&lt;titles&gt;&lt;title&gt;Nuclear translocation of glyceraldehyde-3-phosphate dehydrogenase is regulated by acetylation &lt;/title&gt;&lt;secondary-title&gt;The International Journal of Biochemistry &amp;amp; Cell Biology&lt;/secondary-title&gt;&lt;/titles&gt;&lt;periodical&gt;&lt;full-title&gt;The International Journal of Biochemistry &amp;amp; Cell Biology&lt;/full-title&gt;&lt;/periodical&gt;&lt;pages&gt;1672–1680&lt;/pages&gt;&lt;volume&gt;42&lt;/volume&gt;&lt;dates&gt;&lt;year&gt;2010&lt;/year&gt;&lt;/dates&gt;&lt;urls&gt;&lt;/urls&gt;&lt;/record&gt;&lt;/Cite&gt;&lt;/EndNote&gt;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254 </w:t>
            </w:r>
            <w:r w:rsidR="006C2756" w:rsidRPr="008C3F1A">
              <w:rPr>
                <w:rFonts w:cs="Arial"/>
                <w:sz w:val="16"/>
                <w:szCs w:val="16"/>
              </w:rPr>
              <w:fldChar w:fldCharType="begin"/>
            </w:r>
            <w:r w:rsidR="00FC3C1A">
              <w:rPr>
                <w:rFonts w:cs="Arial"/>
                <w:sz w:val="16"/>
                <w:szCs w:val="16"/>
              </w:rPr>
              <w:instrText xml:space="preserve"> ADDIN EN.CITE &lt;EndNote&gt;&lt;Cite&gt;&lt;Author&gt;Li T&lt;/Author&gt;&lt;Year&gt;2014&lt;/Year&gt;&lt;RecNum&gt;316&lt;/RecNum&gt;&lt;DisplayText&gt;(53)&lt;/DisplayText&gt;&lt;record&gt;&lt;rec-number&gt;316&lt;/rec-number&gt;&lt;foreign-keys&gt;&lt;key app="EN" db-id="zxp9w5sa30aeafes0xox2eem00dz2z2aswad"&gt;316&lt;/key&gt;&lt;/foreign-keys&gt;&lt;ref-type name="Journal Article"&gt;17&lt;/ref-type&gt;&lt;contributors&gt;&lt;authors&gt;&lt;author&gt;Li T,&lt;/author&gt;&lt;author&gt;Liu M,&lt;/author&gt;&lt;author&gt;Feng X,&lt;/author&gt;&lt;author&gt;Wang Z,&lt;/author&gt;&lt;author&gt;Das I,&lt;/author&gt;&lt;author&gt;Xu Y,&lt;/author&gt;&lt;author&gt;Zhou X,&lt;/author&gt;&lt;author&gt;Sun Y,&lt;/author&gt;&lt;author&gt;Guan K,&lt;/author&gt;&lt;author&gt;Xiong Y,&lt;/author&gt;&lt;author&gt;Lei Q,&lt;/author&gt;&lt;/authors&gt;&lt;/contributors&gt;&lt;titles&gt;&lt;title&gt;Glyceraldehyde-3-phosphate Dehydrogenase Is Activated by Lysine 254 Acetylation in Response to Glucose Signal&lt;/title&gt;&lt;secondary-title&gt;J Biol Chem&lt;/secondary-title&gt;&lt;/titles&gt;&lt;periodical&gt;&lt;full-title&gt;J Biol Chem&lt;/full-title&gt;&lt;/periodical&gt;&lt;pages&gt;3775-3785&lt;/pages&gt;&lt;volume&gt;289&lt;/volume&gt;&lt;number&gt;6&lt;/number&gt;&lt;dates&gt;&lt;year&gt;2014&lt;/year&gt;&lt;/dates&gt;&lt;urls&gt;&lt;/urls&gt;&lt;/record&gt;&lt;/Cite&gt;&lt;/EndNote&gt;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3" w:tooltip="Li T, 2014 #316" w:history="1">
              <w:r w:rsidR="00AB7E17">
                <w:rPr>
                  <w:rFonts w:cs="Arial"/>
                  <w:noProof/>
                  <w:sz w:val="16"/>
                  <w:szCs w:val="16"/>
                </w:rPr>
                <w:t>53</w:t>
              </w:r>
            </w:hyperlink>
            <w:r w:rsidR="00FC3C1A">
              <w:rPr>
                <w:rFonts w:cs="Arial"/>
                <w:noProof/>
                <w:sz w:val="16"/>
                <w:szCs w:val="16"/>
              </w:rPr>
              <w:t>)</w:t>
            </w:r>
            <w:r w:rsidR="006C2756" w:rsidRPr="008C3F1A">
              <w:rPr>
                <w:rFonts w:cs="Arial"/>
                <w:sz w:val="16"/>
                <w:szCs w:val="16"/>
              </w:rPr>
              <w:fldChar w:fldCharType="end"/>
            </w:r>
          </w:p>
        </w:tc>
        <w:tc>
          <w:tcPr>
            <w:tcW w:w="3018" w:type="dxa"/>
          </w:tcPr>
          <w:p w:rsidR="002A302A" w:rsidRPr="008C3F1A" w:rsidRDefault="006632BD" w:rsidP="008C3F1A">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 xml:space="preserve">Stimulates catalytic activity </w:t>
            </w:r>
            <w:r w:rsidR="006C2756" w:rsidRPr="008C3F1A">
              <w:rPr>
                <w:rFonts w:cs="Arial"/>
                <w:sz w:val="16"/>
                <w:szCs w:val="16"/>
              </w:rPr>
              <w:fldChar w:fldCharType="begin"/>
            </w:r>
            <w:r w:rsidR="00FC3C1A">
              <w:rPr>
                <w:rFonts w:cs="Arial"/>
                <w:sz w:val="16"/>
                <w:szCs w:val="16"/>
              </w:rPr>
              <w:instrText xml:space="preserve"> ADDIN EN.CITE &lt;EndNote&gt;&lt;Cite&gt;&lt;Author&gt;Sen N&lt;/Author&gt;&lt;Year&gt;2008&lt;/Year&gt;&lt;RecNum&gt;382&lt;/RecNum&gt;&lt;DisplayText&gt;(52)&lt;/DisplayText&gt;&lt;record&gt;&lt;rec-number&gt;382&lt;/rec-number&gt;&lt;foreign-keys&gt;&lt;key app="EN" db-id="zxp9w5sa30aeafes0xox2eem00dz2z2aswad"&gt;382&lt;/key&gt;&lt;/foreign-keys&gt;&lt;ref-type name="Journal Article"&gt;17&lt;/ref-type&gt;&lt;contributors&gt;&lt;authors&gt;&lt;author&gt;Sen N,&lt;/author&gt;&lt;author&gt;Hara M,&lt;/author&gt;&lt;author&gt;Kornberg M,&lt;/author&gt;&lt;author&gt;Cascio M,&lt;/author&gt;&lt;author&gt;Bae B,&lt;/author&gt;&lt;author&gt;Shahani N,&lt;/author&gt;&lt;author&gt;Thomas B,&lt;/author&gt;&lt;author&gt;Dawson T,&lt;/author&gt;&lt;author&gt;Dawson V,&lt;/author&gt;&lt;author&gt;Snyder S,&lt;/author&gt;&lt;author&gt;Sawa A,&lt;/author&gt;&lt;/authors&gt;&lt;/contributors&gt;&lt;titles&gt;&lt;title&gt;Nitric oxide-induced nuclear GAPDH activates p300/CBP and mediates apoptosis&lt;/title&gt;&lt;secondary-title&gt;Nat Cell Biol&lt;/secondary-title&gt;&lt;/titles&gt;&lt;periodical&gt;&lt;full-title&gt;Nat Cell Biol&lt;/full-title&gt;&lt;/periodical&gt;&lt;pages&gt;866-873&lt;/pages&gt;&lt;volume&gt;10&lt;/volume&gt;&lt;number&gt;7&lt;/number&gt;&lt;dates&gt;&lt;year&gt;2008&lt;/year&gt;&lt;/dates&gt;&lt;urls&gt;&lt;/urls&gt;&lt;/record&gt;&lt;/Cite&gt;&lt;/EndNote&gt;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2" w:tooltip="Sen N, 2008 #382" w:history="1">
              <w:r w:rsidR="00AB7E17">
                <w:rPr>
                  <w:rFonts w:cs="Arial"/>
                  <w:noProof/>
                  <w:sz w:val="16"/>
                  <w:szCs w:val="16"/>
                </w:rPr>
                <w:t>52</w:t>
              </w:r>
            </w:hyperlink>
            <w:r w:rsidR="00FC3C1A">
              <w:rPr>
                <w:rFonts w:cs="Arial"/>
                <w:noProof/>
                <w:sz w:val="16"/>
                <w:szCs w:val="16"/>
              </w:rPr>
              <w:t>)</w:t>
            </w:r>
            <w:r w:rsidR="006C2756" w:rsidRPr="008C3F1A">
              <w:rPr>
                <w:rFonts w:cs="Arial"/>
                <w:sz w:val="16"/>
                <w:szCs w:val="16"/>
              </w:rPr>
              <w:fldChar w:fldCharType="end"/>
            </w:r>
          </w:p>
          <w:p w:rsidR="006632BD" w:rsidRPr="008C3F1A" w:rsidRDefault="006632BD"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 xml:space="preserve">Regulates activity and function </w:t>
            </w:r>
            <w:r w:rsidR="006C2756" w:rsidRPr="008C3F1A">
              <w:rPr>
                <w:rFonts w:cs="Arial"/>
                <w:sz w:val="16"/>
                <w:szCs w:val="16"/>
              </w:rPr>
              <w:fldChar w:fldCharType="begin"/>
            </w:r>
            <w:r w:rsidR="00FC3C1A">
              <w:rPr>
                <w:rFonts w:cs="Arial"/>
                <w:sz w:val="16"/>
                <w:szCs w:val="16"/>
              </w:rPr>
              <w:instrText xml:space="preserve"> ADDIN EN.CITE &lt;EndNote&gt;&lt;Cite&gt;&lt;Author&gt;Li T&lt;/Author&gt;&lt;Year&gt;2014&lt;/Year&gt;&lt;RecNum&gt;316&lt;/RecNum&gt;&lt;DisplayText&gt;(53)&lt;/DisplayText&gt;&lt;record&gt;&lt;rec-number&gt;316&lt;/rec-number&gt;&lt;foreign-keys&gt;&lt;key app="EN" db-id="zxp9w5sa30aeafes0xox2eem00dz2z2aswad"&gt;316&lt;/key&gt;&lt;/foreign-keys&gt;&lt;ref-type name="Journal Article"&gt;17&lt;/ref-type&gt;&lt;contributors&gt;&lt;authors&gt;&lt;author&gt;Li T,&lt;/author&gt;&lt;author&gt;Liu M,&lt;/author&gt;&lt;author&gt;Feng X,&lt;/author&gt;&lt;author&gt;Wang Z,&lt;/author&gt;&lt;author&gt;Das I,&lt;/author&gt;&lt;author&gt;Xu Y,&lt;/author&gt;&lt;author&gt;Zhou X,&lt;/author&gt;&lt;author&gt;Sun Y,&lt;/author&gt;&lt;author&gt;Guan K,&lt;/author&gt;&lt;author&gt;Xiong Y,&lt;/author&gt;&lt;author&gt;Lei Q,&lt;/author&gt;&lt;/authors&gt;&lt;/contributors&gt;&lt;titles&gt;&lt;title&gt;Glyceraldehyde-3-phosphate Dehydrogenase Is Activated by Lysine 254 Acetylation in Response to Glucose Signal&lt;/title&gt;&lt;secondary-title&gt;J Biol Chem&lt;/secondary-title&gt;&lt;/titles&gt;&lt;periodical&gt;&lt;full-title&gt;J Biol Chem&lt;/full-title&gt;&lt;/periodical&gt;&lt;pages&gt;3775-3785&lt;/pages&gt;&lt;volume&gt;289&lt;/volume&gt;&lt;number&gt;6&lt;/number&gt;&lt;dates&gt;&lt;year&gt;2014&lt;/year&gt;&lt;/dates&gt;&lt;urls&gt;&lt;/urls&gt;&lt;/record&gt;&lt;/Cite&gt;&lt;/EndNote&gt;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3" w:tooltip="Li T, 2014 #316" w:history="1">
              <w:r w:rsidR="00AB7E17">
                <w:rPr>
                  <w:rFonts w:cs="Arial"/>
                  <w:noProof/>
                  <w:sz w:val="16"/>
                  <w:szCs w:val="16"/>
                </w:rPr>
                <w:t>53</w:t>
              </w:r>
            </w:hyperlink>
            <w:r w:rsidR="00FC3C1A">
              <w:rPr>
                <w:rFonts w:cs="Arial"/>
                <w:noProof/>
                <w:sz w:val="16"/>
                <w:szCs w:val="16"/>
              </w:rPr>
              <w:t>)</w:t>
            </w:r>
            <w:r w:rsidR="006C2756" w:rsidRPr="008C3F1A">
              <w:rPr>
                <w:rFonts w:cs="Arial"/>
                <w:sz w:val="16"/>
                <w:szCs w:val="16"/>
              </w:rPr>
              <w:fldChar w:fldCharType="end"/>
            </w:r>
          </w:p>
        </w:tc>
      </w:tr>
      <w:tr w:rsidR="002A302A" w:rsidTr="008C3F1A">
        <w:tc>
          <w:tcPr>
            <w:cnfStyle w:val="001000000000" w:firstRow="0" w:lastRow="0" w:firstColumn="1" w:lastColumn="0" w:oddVBand="0" w:evenVBand="0" w:oddHBand="0" w:evenHBand="0" w:firstRowFirstColumn="0" w:firstRowLastColumn="0" w:lastRowFirstColumn="0" w:lastRowLastColumn="0"/>
            <w:tcW w:w="3018" w:type="dxa"/>
          </w:tcPr>
          <w:p w:rsidR="002A302A" w:rsidRPr="008C3F1A" w:rsidRDefault="006632BD" w:rsidP="008C3F1A">
            <w:pPr>
              <w:autoSpaceDE w:val="0"/>
              <w:autoSpaceDN w:val="0"/>
              <w:adjustRightInd w:val="0"/>
              <w:spacing w:line="360" w:lineRule="auto"/>
              <w:jc w:val="center"/>
              <w:rPr>
                <w:rFonts w:cs="Arial"/>
                <w:b w:val="0"/>
                <w:sz w:val="16"/>
                <w:szCs w:val="16"/>
              </w:rPr>
            </w:pPr>
            <w:r w:rsidRPr="008C3F1A">
              <w:rPr>
                <w:rFonts w:cs="Arial"/>
                <w:b w:val="0"/>
                <w:sz w:val="16"/>
                <w:szCs w:val="16"/>
              </w:rPr>
              <w:t>Phosphoglycerate mutase</w:t>
            </w:r>
          </w:p>
        </w:tc>
        <w:tc>
          <w:tcPr>
            <w:tcW w:w="3018" w:type="dxa"/>
          </w:tcPr>
          <w:p w:rsidR="002A302A" w:rsidRPr="008C3F1A" w:rsidRDefault="006632BD"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C3F1A">
              <w:rPr>
                <w:rFonts w:cs="Arial"/>
                <w:sz w:val="16"/>
                <w:szCs w:val="16"/>
              </w:rPr>
              <w:t xml:space="preserve">251 </w:t>
            </w:r>
            <w:r w:rsidR="006C2756" w:rsidRPr="008C3F1A">
              <w:rPr>
                <w:rFonts w:cs="Arial"/>
                <w:sz w:val="16"/>
                <w:szCs w:val="16"/>
              </w:rPr>
              <w:fldChar w:fldCharType="begin"/>
            </w:r>
            <w:r w:rsidR="00FC3C1A">
              <w:rPr>
                <w:rFonts w:cs="Arial"/>
                <w:sz w:val="16"/>
                <w:szCs w:val="16"/>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4" w:tooltip="Hallows W, 2012 #101" w:history="1">
              <w:r w:rsidR="00AB7E17">
                <w:rPr>
                  <w:rFonts w:cs="Arial"/>
                  <w:noProof/>
                  <w:sz w:val="16"/>
                  <w:szCs w:val="16"/>
                </w:rPr>
                <w:t>54</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253 </w:t>
            </w:r>
            <w:r w:rsidR="006C2756" w:rsidRPr="008C3F1A">
              <w:rPr>
                <w:rFonts w:cs="Arial"/>
                <w:sz w:val="16"/>
                <w:szCs w:val="16"/>
              </w:rPr>
              <w:fldChar w:fldCharType="begin"/>
            </w:r>
            <w:r w:rsidR="00FC3C1A">
              <w:rPr>
                <w:rFonts w:cs="Arial"/>
                <w:sz w:val="16"/>
                <w:szCs w:val="16"/>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4" w:tooltip="Hallows W, 2012 #101" w:history="1">
              <w:r w:rsidR="00AB7E17">
                <w:rPr>
                  <w:rFonts w:cs="Arial"/>
                  <w:noProof/>
                  <w:sz w:val="16"/>
                  <w:szCs w:val="16"/>
                </w:rPr>
                <w:t>54</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254 </w:t>
            </w:r>
            <w:r w:rsidR="006C2756" w:rsidRPr="008C3F1A">
              <w:rPr>
                <w:rFonts w:cs="Arial"/>
                <w:sz w:val="16"/>
                <w:szCs w:val="16"/>
              </w:rPr>
              <w:fldChar w:fldCharType="begin"/>
            </w:r>
            <w:r w:rsidR="00FC3C1A">
              <w:rPr>
                <w:rFonts w:cs="Arial"/>
                <w:sz w:val="16"/>
                <w:szCs w:val="16"/>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4" w:tooltip="Hallows W, 2012 #101" w:history="1">
              <w:r w:rsidR="00AB7E17">
                <w:rPr>
                  <w:rFonts w:cs="Arial"/>
                  <w:noProof/>
                  <w:sz w:val="16"/>
                  <w:szCs w:val="16"/>
                </w:rPr>
                <w:t>54</w:t>
              </w:r>
            </w:hyperlink>
            <w:r w:rsidR="00FC3C1A">
              <w:rPr>
                <w:rFonts w:cs="Arial"/>
                <w:noProof/>
                <w:sz w:val="16"/>
                <w:szCs w:val="16"/>
              </w:rPr>
              <w:t>)</w:t>
            </w:r>
            <w:r w:rsidR="006C2756" w:rsidRPr="008C3F1A">
              <w:rPr>
                <w:rFonts w:cs="Arial"/>
                <w:sz w:val="16"/>
                <w:szCs w:val="16"/>
              </w:rPr>
              <w:fldChar w:fldCharType="end"/>
            </w:r>
          </w:p>
        </w:tc>
        <w:tc>
          <w:tcPr>
            <w:tcW w:w="3018" w:type="dxa"/>
          </w:tcPr>
          <w:p w:rsidR="002A302A" w:rsidRPr="008C3F1A" w:rsidRDefault="008C3F1A"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C3F1A">
              <w:rPr>
                <w:rFonts w:cs="Arial"/>
                <w:sz w:val="16"/>
                <w:szCs w:val="16"/>
              </w:rPr>
              <w:t xml:space="preserve">Regulatory sites </w:t>
            </w:r>
            <w:r w:rsidR="006C2756" w:rsidRPr="008C3F1A">
              <w:rPr>
                <w:rFonts w:cs="Arial"/>
                <w:sz w:val="16"/>
                <w:szCs w:val="16"/>
              </w:rPr>
              <w:fldChar w:fldCharType="begin"/>
            </w:r>
            <w:r w:rsidR="00FC3C1A">
              <w:rPr>
                <w:rFonts w:cs="Arial"/>
                <w:sz w:val="16"/>
                <w:szCs w:val="16"/>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4" w:tooltip="Hallows W, 2012 #101" w:history="1">
              <w:r w:rsidR="00AB7E17">
                <w:rPr>
                  <w:rFonts w:cs="Arial"/>
                  <w:noProof/>
                  <w:sz w:val="16"/>
                  <w:szCs w:val="16"/>
                </w:rPr>
                <w:t>54</w:t>
              </w:r>
            </w:hyperlink>
            <w:r w:rsidR="00FC3C1A">
              <w:rPr>
                <w:rFonts w:cs="Arial"/>
                <w:noProof/>
                <w:sz w:val="16"/>
                <w:szCs w:val="16"/>
              </w:rPr>
              <w:t>)</w:t>
            </w:r>
            <w:r w:rsidR="006C2756" w:rsidRPr="008C3F1A">
              <w:rPr>
                <w:rFonts w:cs="Arial"/>
                <w:sz w:val="16"/>
                <w:szCs w:val="16"/>
              </w:rPr>
              <w:fldChar w:fldCharType="end"/>
            </w:r>
          </w:p>
        </w:tc>
      </w:tr>
      <w:tr w:rsidR="002A302A" w:rsidTr="008C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A302A" w:rsidRPr="008C3F1A" w:rsidRDefault="008C3F1A" w:rsidP="008C3F1A">
            <w:pPr>
              <w:autoSpaceDE w:val="0"/>
              <w:autoSpaceDN w:val="0"/>
              <w:adjustRightInd w:val="0"/>
              <w:spacing w:line="360" w:lineRule="auto"/>
              <w:jc w:val="center"/>
              <w:rPr>
                <w:rFonts w:cs="Arial"/>
                <w:b w:val="0"/>
                <w:sz w:val="16"/>
                <w:szCs w:val="16"/>
              </w:rPr>
            </w:pPr>
            <w:r w:rsidRPr="008C3F1A">
              <w:rPr>
                <w:rFonts w:cs="Arial"/>
                <w:b w:val="0"/>
                <w:sz w:val="16"/>
                <w:szCs w:val="16"/>
              </w:rPr>
              <w:t>Phosphoglycerate kinase</w:t>
            </w:r>
          </w:p>
        </w:tc>
        <w:tc>
          <w:tcPr>
            <w:tcW w:w="3018" w:type="dxa"/>
          </w:tcPr>
          <w:p w:rsidR="002A302A" w:rsidRPr="008C3F1A" w:rsidRDefault="008C3F1A"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 xml:space="preserve">149 </w:t>
            </w:r>
            <w:r w:rsidR="006C2756" w:rsidRPr="008C3F1A">
              <w:rPr>
                <w:rFonts w:cs="Arial"/>
                <w:sz w:val="16"/>
                <w:szCs w:val="16"/>
              </w:rPr>
              <w:fldChar w:fldCharType="begin"/>
            </w:r>
            <w:r w:rsidR="00FC3C1A">
              <w:rPr>
                <w:rFonts w:cs="Arial"/>
                <w:sz w:val="16"/>
                <w:szCs w:val="16"/>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5" w:tooltip="Finkemeier I, 2011 #315" w:history="1">
              <w:r w:rsidR="00AB7E17">
                <w:rPr>
                  <w:rFonts w:cs="Arial"/>
                  <w:noProof/>
                  <w:sz w:val="16"/>
                  <w:szCs w:val="16"/>
                </w:rPr>
                <w:t>55</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169 </w:t>
            </w:r>
            <w:r w:rsidR="006C2756" w:rsidRPr="008C3F1A">
              <w:rPr>
                <w:rFonts w:cs="Arial"/>
                <w:sz w:val="16"/>
                <w:szCs w:val="16"/>
              </w:rPr>
              <w:fldChar w:fldCharType="begin"/>
            </w:r>
            <w:r w:rsidR="00FC3C1A">
              <w:rPr>
                <w:rFonts w:cs="Arial"/>
                <w:sz w:val="16"/>
                <w:szCs w:val="16"/>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5" w:tooltip="Finkemeier I, 2011 #315" w:history="1">
              <w:r w:rsidR="00AB7E17">
                <w:rPr>
                  <w:rFonts w:cs="Arial"/>
                  <w:noProof/>
                  <w:sz w:val="16"/>
                  <w:szCs w:val="16"/>
                </w:rPr>
                <w:t>55</w:t>
              </w:r>
            </w:hyperlink>
            <w:r w:rsidR="00FC3C1A">
              <w:rPr>
                <w:rFonts w:cs="Arial"/>
                <w:noProof/>
                <w:sz w:val="16"/>
                <w:szCs w:val="16"/>
              </w:rPr>
              <w:t>)</w:t>
            </w:r>
            <w:r w:rsidR="006C2756" w:rsidRPr="008C3F1A">
              <w:rPr>
                <w:rFonts w:cs="Arial"/>
                <w:sz w:val="16"/>
                <w:szCs w:val="16"/>
              </w:rPr>
              <w:fldChar w:fldCharType="end"/>
            </w:r>
            <w:r w:rsidRPr="008C3F1A">
              <w:rPr>
                <w:rFonts w:cs="Arial"/>
                <w:sz w:val="16"/>
                <w:szCs w:val="16"/>
              </w:rPr>
              <w:t xml:space="preserve">, 291 </w:t>
            </w:r>
            <w:r w:rsidR="006C2756" w:rsidRPr="008C3F1A">
              <w:rPr>
                <w:rFonts w:cs="Arial"/>
                <w:sz w:val="16"/>
                <w:szCs w:val="16"/>
              </w:rPr>
              <w:fldChar w:fldCharType="begin"/>
            </w:r>
            <w:r w:rsidR="00FC3C1A">
              <w:rPr>
                <w:rFonts w:cs="Arial"/>
                <w:sz w:val="16"/>
                <w:szCs w:val="16"/>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5" w:tooltip="Finkemeier I, 2011 #315" w:history="1">
              <w:r w:rsidR="00AB7E17">
                <w:rPr>
                  <w:rFonts w:cs="Arial"/>
                  <w:noProof/>
                  <w:sz w:val="16"/>
                  <w:szCs w:val="16"/>
                </w:rPr>
                <w:t>55</w:t>
              </w:r>
            </w:hyperlink>
            <w:r w:rsidR="00FC3C1A">
              <w:rPr>
                <w:rFonts w:cs="Arial"/>
                <w:noProof/>
                <w:sz w:val="16"/>
                <w:szCs w:val="16"/>
              </w:rPr>
              <w:t>)</w:t>
            </w:r>
            <w:r w:rsidR="006C2756" w:rsidRPr="008C3F1A">
              <w:rPr>
                <w:rFonts w:cs="Arial"/>
                <w:sz w:val="16"/>
                <w:szCs w:val="16"/>
              </w:rPr>
              <w:fldChar w:fldCharType="end"/>
            </w:r>
          </w:p>
        </w:tc>
        <w:tc>
          <w:tcPr>
            <w:tcW w:w="3018" w:type="dxa"/>
          </w:tcPr>
          <w:p w:rsidR="002A302A" w:rsidRPr="008C3F1A" w:rsidRDefault="008C3F1A"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C3F1A">
              <w:rPr>
                <w:rFonts w:cs="Arial"/>
                <w:sz w:val="16"/>
                <w:szCs w:val="16"/>
              </w:rPr>
              <w:t xml:space="preserve">Affects its activity </w:t>
            </w:r>
            <w:r w:rsidR="006C2756" w:rsidRPr="008C3F1A">
              <w:rPr>
                <w:rFonts w:cs="Arial"/>
                <w:sz w:val="16"/>
                <w:szCs w:val="16"/>
              </w:rPr>
              <w:fldChar w:fldCharType="begin"/>
            </w:r>
            <w:r w:rsidR="00FC3C1A">
              <w:rPr>
                <w:rFonts w:cs="Arial"/>
                <w:sz w:val="16"/>
                <w:szCs w:val="16"/>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8C3F1A">
              <w:rPr>
                <w:rFonts w:cs="Arial"/>
                <w:sz w:val="16"/>
                <w:szCs w:val="16"/>
              </w:rPr>
              <w:fldChar w:fldCharType="separate"/>
            </w:r>
            <w:r w:rsidR="00FC3C1A">
              <w:rPr>
                <w:rFonts w:cs="Arial"/>
                <w:noProof/>
                <w:sz w:val="16"/>
                <w:szCs w:val="16"/>
              </w:rPr>
              <w:t>(</w:t>
            </w:r>
            <w:hyperlink w:anchor="_ENREF_55" w:tooltip="Finkemeier I, 2011 #315" w:history="1">
              <w:r w:rsidR="00AB7E17">
                <w:rPr>
                  <w:rFonts w:cs="Arial"/>
                  <w:noProof/>
                  <w:sz w:val="16"/>
                  <w:szCs w:val="16"/>
                </w:rPr>
                <w:t>55</w:t>
              </w:r>
            </w:hyperlink>
            <w:r w:rsidR="00FC3C1A">
              <w:rPr>
                <w:rFonts w:cs="Arial"/>
                <w:noProof/>
                <w:sz w:val="16"/>
                <w:szCs w:val="16"/>
              </w:rPr>
              <w:t>)</w:t>
            </w:r>
            <w:r w:rsidR="006C2756" w:rsidRPr="008C3F1A">
              <w:rPr>
                <w:rFonts w:cs="Arial"/>
                <w:sz w:val="16"/>
                <w:szCs w:val="16"/>
              </w:rPr>
              <w:fldChar w:fldCharType="end"/>
            </w:r>
          </w:p>
        </w:tc>
      </w:tr>
    </w:tbl>
    <w:p w:rsidR="002A302A" w:rsidRPr="008C3F1A" w:rsidRDefault="008C3F1A" w:rsidP="008C3F1A">
      <w:pPr>
        <w:pStyle w:val="Caption"/>
        <w:rPr>
          <w:rFonts w:ascii="Arial" w:hAnsi="Arial" w:cs="Arial"/>
          <w:color w:val="auto"/>
          <w:sz w:val="16"/>
          <w:szCs w:val="16"/>
        </w:rPr>
      </w:pPr>
      <w:bookmarkStart w:id="27" w:name="_Toc413666989"/>
      <w:proofErr w:type="gramStart"/>
      <w:r w:rsidRPr="008C3F1A">
        <w:rPr>
          <w:rFonts w:ascii="Arial" w:hAnsi="Arial" w:cs="Arial"/>
          <w:color w:val="auto"/>
          <w:sz w:val="16"/>
          <w:szCs w:val="16"/>
        </w:rPr>
        <w:t xml:space="preserve">Table </w:t>
      </w:r>
      <w:r w:rsidR="006C2756" w:rsidRPr="008C3F1A">
        <w:rPr>
          <w:rFonts w:ascii="Arial" w:hAnsi="Arial" w:cs="Arial"/>
          <w:color w:val="auto"/>
          <w:sz w:val="16"/>
          <w:szCs w:val="16"/>
        </w:rPr>
        <w:fldChar w:fldCharType="begin"/>
      </w:r>
      <w:r w:rsidRPr="008C3F1A">
        <w:rPr>
          <w:rFonts w:ascii="Arial" w:hAnsi="Arial" w:cs="Arial"/>
          <w:color w:val="auto"/>
          <w:sz w:val="16"/>
          <w:szCs w:val="16"/>
        </w:rPr>
        <w:instrText xml:space="preserve"> SEQ Table \* ARABIC </w:instrText>
      </w:r>
      <w:r w:rsidR="006C2756" w:rsidRPr="008C3F1A">
        <w:rPr>
          <w:rFonts w:ascii="Arial" w:hAnsi="Arial" w:cs="Arial"/>
          <w:color w:val="auto"/>
          <w:sz w:val="16"/>
          <w:szCs w:val="16"/>
        </w:rPr>
        <w:fldChar w:fldCharType="separate"/>
      </w:r>
      <w:r w:rsidR="00DC0376">
        <w:rPr>
          <w:rFonts w:ascii="Arial" w:hAnsi="Arial" w:cs="Arial"/>
          <w:noProof/>
          <w:color w:val="auto"/>
          <w:sz w:val="16"/>
          <w:szCs w:val="16"/>
        </w:rPr>
        <w:t>2</w:t>
      </w:r>
      <w:r w:rsidR="006C2756" w:rsidRPr="008C3F1A">
        <w:rPr>
          <w:rFonts w:ascii="Arial" w:hAnsi="Arial" w:cs="Arial"/>
          <w:color w:val="auto"/>
          <w:sz w:val="16"/>
          <w:szCs w:val="16"/>
        </w:rPr>
        <w:fldChar w:fldCharType="end"/>
      </w:r>
      <w:r w:rsidRPr="008C3F1A">
        <w:rPr>
          <w:rFonts w:ascii="Arial" w:hAnsi="Arial" w:cs="Arial"/>
          <w:color w:val="auto"/>
          <w:sz w:val="16"/>
          <w:szCs w:val="16"/>
        </w:rPr>
        <w:t>.</w:t>
      </w:r>
      <w:proofErr w:type="gramEnd"/>
      <w:r w:rsidRPr="008C3F1A">
        <w:rPr>
          <w:rFonts w:ascii="Arial" w:hAnsi="Arial" w:cs="Arial"/>
          <w:color w:val="auto"/>
          <w:sz w:val="16"/>
          <w:szCs w:val="16"/>
        </w:rPr>
        <w:t xml:space="preserve"> </w:t>
      </w:r>
      <w:proofErr w:type="gramStart"/>
      <w:r w:rsidRPr="008C3F1A">
        <w:rPr>
          <w:rFonts w:ascii="Arial" w:hAnsi="Arial" w:cs="Arial"/>
          <w:color w:val="auto"/>
          <w:sz w:val="16"/>
          <w:szCs w:val="16"/>
        </w:rPr>
        <w:t xml:space="preserve">Effect of acetylation on </w:t>
      </w:r>
      <w:r w:rsidRPr="008C3F1A">
        <w:rPr>
          <w:rFonts w:ascii="Arial" w:hAnsi="Arial" w:cs="Arial"/>
          <w:color w:val="auto"/>
          <w:sz w:val="16"/>
          <w:szCs w:val="16"/>
          <w:lang w:val="en-US"/>
        </w:rPr>
        <w:t>phosphofructokinase, fructose-bisphosphate aldolase, glyceraldehyde 3-phosphate dehydrogenase and phosphoglycerate mutase.</w:t>
      </w:r>
      <w:bookmarkEnd w:id="27"/>
      <w:proofErr w:type="gramEnd"/>
    </w:p>
    <w:p w:rsidR="00EF1380" w:rsidRDefault="001F77BC" w:rsidP="00EF1380">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lastRenderedPageBreak/>
        <w:t>Some glycolytic enzymes are suitable of being regulated by glucose levels and deacetylation, for example p</w:t>
      </w:r>
      <w:r w:rsidR="00EF1380">
        <w:rPr>
          <w:rFonts w:ascii="Arial" w:hAnsi="Arial" w:cs="Arial"/>
          <w:sz w:val="24"/>
          <w:szCs w:val="24"/>
        </w:rPr>
        <w:t>hosphoglycerate mutase</w:t>
      </w:r>
      <w:r>
        <w:rPr>
          <w:rFonts w:ascii="Arial" w:hAnsi="Arial" w:cs="Arial"/>
          <w:sz w:val="24"/>
          <w:szCs w:val="24"/>
        </w:rPr>
        <w:t>. This enzyme</w:t>
      </w:r>
      <w:r w:rsidR="00EF1380">
        <w:rPr>
          <w:rFonts w:ascii="Arial" w:hAnsi="Arial" w:cs="Arial"/>
          <w:sz w:val="24"/>
          <w:szCs w:val="24"/>
        </w:rPr>
        <w:t xml:space="preserve"> is acetylated at lysine residues 251, 253 and 254, but any of these seem to be the active site of this enzyme, since when the aforementioned residues were mutated to arginine </w:t>
      </w:r>
      <w:r>
        <w:rPr>
          <w:rFonts w:ascii="Arial" w:hAnsi="Arial" w:cs="Arial"/>
          <w:sz w:val="24"/>
          <w:szCs w:val="24"/>
        </w:rPr>
        <w:t xml:space="preserve">(amino acid with a positive charge, mimicking a non-acetylated lysine residue) </w:t>
      </w:r>
      <w:r w:rsidR="00EF1380">
        <w:rPr>
          <w:rFonts w:ascii="Arial" w:hAnsi="Arial" w:cs="Arial"/>
          <w:sz w:val="24"/>
          <w:szCs w:val="24"/>
        </w:rPr>
        <w:t xml:space="preserve">or glutamine </w:t>
      </w:r>
      <w:r>
        <w:rPr>
          <w:rFonts w:ascii="Arial" w:hAnsi="Arial" w:cs="Arial"/>
          <w:sz w:val="24"/>
          <w:szCs w:val="24"/>
        </w:rPr>
        <w:t xml:space="preserve">(amino acid with a neutral charge, mimicking an acetylated lysine residue) </w:t>
      </w:r>
      <w:r w:rsidR="00EF1380">
        <w:rPr>
          <w:rFonts w:ascii="Arial" w:hAnsi="Arial" w:cs="Arial"/>
          <w:sz w:val="24"/>
          <w:szCs w:val="24"/>
        </w:rPr>
        <w:t xml:space="preserve">there were no changes observed in the acetylation profile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4" w:tooltip="Hallows W, 2012 #101" w:history="1">
        <w:r w:rsidR="00AB7E17">
          <w:rPr>
            <w:rFonts w:ascii="Arial" w:hAnsi="Arial" w:cs="Arial"/>
            <w:noProof/>
            <w:sz w:val="24"/>
            <w:szCs w:val="24"/>
          </w:rPr>
          <w:t>54</w:t>
        </w:r>
      </w:hyperlink>
      <w:r w:rsidR="00FC3C1A">
        <w:rPr>
          <w:rFonts w:ascii="Arial" w:hAnsi="Arial" w:cs="Arial"/>
          <w:noProof/>
          <w:sz w:val="24"/>
          <w:szCs w:val="24"/>
        </w:rPr>
        <w:t>)</w:t>
      </w:r>
      <w:r w:rsidR="006C2756">
        <w:rPr>
          <w:rFonts w:ascii="Arial" w:hAnsi="Arial" w:cs="Arial"/>
          <w:sz w:val="24"/>
          <w:szCs w:val="24"/>
        </w:rPr>
        <w:fldChar w:fldCharType="end"/>
      </w:r>
      <w:r w:rsidR="00EF1380">
        <w:rPr>
          <w:rFonts w:ascii="Arial" w:hAnsi="Arial" w:cs="Arial"/>
          <w:sz w:val="24"/>
          <w:szCs w:val="24"/>
        </w:rPr>
        <w:t xml:space="preserve">. In this enzyme, the acetylations at lysine 251, 253, and 254 residues in </w:t>
      </w:r>
      <w:r w:rsidR="00FF2D1B">
        <w:rPr>
          <w:rFonts w:ascii="Arial" w:hAnsi="Arial" w:cs="Arial"/>
          <w:sz w:val="24"/>
          <w:szCs w:val="24"/>
        </w:rPr>
        <w:t>human embryonic kidney (</w:t>
      </w:r>
      <w:r w:rsidR="00EF1380">
        <w:rPr>
          <w:rFonts w:ascii="Arial" w:hAnsi="Arial" w:cs="Arial"/>
          <w:sz w:val="24"/>
          <w:szCs w:val="24"/>
        </w:rPr>
        <w:t>HEK</w:t>
      </w:r>
      <w:r w:rsidR="00FF2D1B">
        <w:rPr>
          <w:rFonts w:ascii="Arial" w:hAnsi="Arial" w:cs="Arial"/>
          <w:sz w:val="24"/>
          <w:szCs w:val="24"/>
        </w:rPr>
        <w:t xml:space="preserve">) </w:t>
      </w:r>
      <w:r w:rsidR="00EF1380">
        <w:rPr>
          <w:rFonts w:ascii="Arial" w:hAnsi="Arial" w:cs="Arial"/>
          <w:sz w:val="24"/>
          <w:szCs w:val="24"/>
        </w:rPr>
        <w:t>293 cells are enhanced by the NA</w:t>
      </w:r>
      <w:r w:rsidR="00FF2D1B">
        <w:rPr>
          <w:rFonts w:ascii="Arial" w:hAnsi="Arial" w:cs="Arial"/>
          <w:sz w:val="24"/>
          <w:szCs w:val="24"/>
        </w:rPr>
        <w:t xml:space="preserve">D dependant deacetylase sirtuin-1 </w:t>
      </w:r>
      <w:r w:rsidR="00EF1380">
        <w:rPr>
          <w:rFonts w:ascii="Arial" w:hAnsi="Arial" w:cs="Arial"/>
          <w:sz w:val="24"/>
          <w:szCs w:val="24"/>
        </w:rPr>
        <w:t>(Sirt</w:t>
      </w:r>
      <w:r w:rsidR="00FF2D1B">
        <w:rPr>
          <w:rFonts w:ascii="Arial" w:hAnsi="Arial" w:cs="Arial"/>
          <w:sz w:val="24"/>
          <w:szCs w:val="24"/>
        </w:rPr>
        <w:t>1</w:t>
      </w:r>
      <w:r w:rsidR="00EF1380">
        <w:rPr>
          <w:rFonts w:ascii="Arial" w:hAnsi="Arial" w:cs="Arial"/>
          <w:sz w:val="24"/>
          <w:szCs w:val="24"/>
        </w:rPr>
        <w:t xml:space="preserve">), pointing these acetylated residues as the regulatory acetylation sites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4" w:tooltip="Hallows W, 2012 #101" w:history="1">
        <w:r w:rsidR="00AB7E17">
          <w:rPr>
            <w:rFonts w:ascii="Arial" w:hAnsi="Arial" w:cs="Arial"/>
            <w:noProof/>
            <w:sz w:val="24"/>
            <w:szCs w:val="24"/>
          </w:rPr>
          <w:t>54</w:t>
        </w:r>
      </w:hyperlink>
      <w:r w:rsidR="00FC3C1A">
        <w:rPr>
          <w:rFonts w:ascii="Arial" w:hAnsi="Arial" w:cs="Arial"/>
          <w:noProof/>
          <w:sz w:val="24"/>
          <w:szCs w:val="24"/>
        </w:rPr>
        <w:t>)</w:t>
      </w:r>
      <w:r w:rsidR="006C2756">
        <w:rPr>
          <w:rFonts w:ascii="Arial" w:hAnsi="Arial" w:cs="Arial"/>
          <w:sz w:val="24"/>
          <w:szCs w:val="24"/>
        </w:rPr>
        <w:fldChar w:fldCharType="end"/>
      </w:r>
      <w:r w:rsidR="00EF1380">
        <w:rPr>
          <w:rFonts w:ascii="Arial" w:hAnsi="Arial" w:cs="Arial"/>
          <w:sz w:val="24"/>
          <w:szCs w:val="24"/>
        </w:rPr>
        <w:t xml:space="preserve">. The role of Sirt1 in deacetylating phosphpoglycerate mutase was elucidated by knocking-down this and other NAD dependant deacetylase sirtuins, Sirt2 and Sirt3; the activity of this enzyme was 45% higher when Sirt1 was blocked, but not when Sirt2 and Sirt3 were knocked-down. The deacetylation via sirt1 of phosphoglycerate mutase in the aforementioned lysine residues, also down-regulates its catalytic activity. Hallows </w:t>
      </w:r>
      <w:r w:rsidR="00EF1380">
        <w:rPr>
          <w:rFonts w:ascii="Arial" w:hAnsi="Arial" w:cs="Arial"/>
          <w:i/>
          <w:sz w:val="24"/>
          <w:szCs w:val="24"/>
        </w:rPr>
        <w:t xml:space="preserve">et al., </w:t>
      </w:r>
      <w:r w:rsidR="00EF1380">
        <w:rPr>
          <w:rFonts w:ascii="Arial" w:hAnsi="Arial" w:cs="Arial"/>
          <w:sz w:val="24"/>
          <w:szCs w:val="24"/>
        </w:rPr>
        <w:t xml:space="preserve">2012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4" w:tooltip="Hallows W, 2012 #101" w:history="1">
        <w:r w:rsidR="00AB7E17">
          <w:rPr>
            <w:rFonts w:ascii="Arial" w:hAnsi="Arial" w:cs="Arial"/>
            <w:noProof/>
            <w:sz w:val="24"/>
            <w:szCs w:val="24"/>
          </w:rPr>
          <w:t>54</w:t>
        </w:r>
      </w:hyperlink>
      <w:r w:rsidR="00FC3C1A">
        <w:rPr>
          <w:rFonts w:ascii="Arial" w:hAnsi="Arial" w:cs="Arial"/>
          <w:noProof/>
          <w:sz w:val="24"/>
          <w:szCs w:val="24"/>
        </w:rPr>
        <w:t>)</w:t>
      </w:r>
      <w:r w:rsidR="006C2756">
        <w:rPr>
          <w:rFonts w:ascii="Arial" w:hAnsi="Arial" w:cs="Arial"/>
          <w:sz w:val="24"/>
          <w:szCs w:val="24"/>
        </w:rPr>
        <w:fldChar w:fldCharType="end"/>
      </w:r>
      <w:r w:rsidR="00EF1380">
        <w:rPr>
          <w:rFonts w:ascii="Arial" w:hAnsi="Arial" w:cs="Arial"/>
          <w:sz w:val="24"/>
          <w:szCs w:val="24"/>
        </w:rPr>
        <w:t xml:space="preserve"> propose that the mechanism of this regulation is due to an </w:t>
      </w:r>
      <w:r w:rsidR="00EF1380" w:rsidRPr="00562377">
        <w:rPr>
          <w:rFonts w:ascii="Arial" w:hAnsi="Arial" w:cs="Arial"/>
          <w:sz w:val="24"/>
          <w:szCs w:val="24"/>
        </w:rPr>
        <w:t xml:space="preserve">enhancement of the flux through glycolysis via the over-expression of an active variant of phospholgycerate mutase. </w:t>
      </w:r>
      <w:r w:rsidR="00EF1380">
        <w:rPr>
          <w:rFonts w:ascii="Arial" w:hAnsi="Arial" w:cs="Arial"/>
          <w:sz w:val="24"/>
          <w:szCs w:val="24"/>
        </w:rPr>
        <w:t xml:space="preserve">An accessible 3-phosphoglycerate pool is preserved by attenuating phosphoglycerate mutase activity and restricting flux through glycolysis, enhancing Sirt1 levels (11 fold), leading to a Sirt1-mediated deacetylation and reduction of the activity of this enzyme under glucose restriction. Glucose levels actually control the acetylation of phosphoglycerate mutase since at a high concentration of glucose (5 g/litre for 6 hours) the activity of this enzyme was nearly two fold higher than with none glucose (0 g/litre for 6 hours). This mechanism provides more evidence of the role of acetylation in the activation of metabolic enzymes, offers biochemical evidence of the modulation of glycolysis by the opposed acetylation/deacetylation processes, and reveals Sirt1 deacetylation to be directly controlling phospholgycerate mutase activity. Furthermore, it also contributes to elucidate dynamics of acetylation in terms of regulating acetylation of glycolytic enzymes, energy metabolism, metabolic syndromes and cancer (Warburg effect) via </w:t>
      </w:r>
      <w:r w:rsidR="00EF1380">
        <w:rPr>
          <w:rFonts w:ascii="Arial" w:hAnsi="Arial" w:cs="Arial"/>
          <w:sz w:val="24"/>
          <w:szCs w:val="24"/>
        </w:rPr>
        <w:lastRenderedPageBreak/>
        <w:t xml:space="preserve">deacetylation by Sirt1. Figure 3 summarises the regulation of phosphoglycerate mutase by glucose concentrations. </w:t>
      </w:r>
    </w:p>
    <w:p w:rsidR="00EF1380" w:rsidRDefault="006174E0" w:rsidP="00EF1380">
      <w:pPr>
        <w:autoSpaceDE w:val="0"/>
        <w:autoSpaceDN w:val="0"/>
        <w:adjustRightInd w:val="0"/>
        <w:spacing w:after="0" w:line="360" w:lineRule="auto"/>
        <w:jc w:val="center"/>
        <w:rPr>
          <w:rFonts w:ascii="Arial" w:hAnsi="Arial" w:cs="Arial"/>
          <w:sz w:val="24"/>
          <w:szCs w:val="24"/>
        </w:rPr>
      </w:pPr>
      <w:bookmarkStart w:id="28" w:name="_Toc379983950"/>
      <w:r>
        <w:rPr>
          <w:rFonts w:ascii="Arial" w:hAnsi="Arial" w:cs="Arial"/>
          <w:noProof/>
          <w:sz w:val="24"/>
          <w:szCs w:val="24"/>
        </w:rPr>
        <w:drawing>
          <wp:inline distT="0" distB="0" distL="0" distR="0" wp14:anchorId="0F470B70" wp14:editId="338E7E29">
            <wp:extent cx="5612130" cy="3263265"/>
            <wp:effectExtent l="38100" t="38100" r="45720"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263265"/>
                    </a:xfrm>
                    <a:prstGeom prst="rect">
                      <a:avLst/>
                    </a:prstGeom>
                    <a:ln w="28575">
                      <a:solidFill>
                        <a:schemeClr val="tx1"/>
                      </a:solidFill>
                    </a:ln>
                  </pic:spPr>
                </pic:pic>
              </a:graphicData>
            </a:graphic>
          </wp:inline>
        </w:drawing>
      </w:r>
    </w:p>
    <w:p w:rsidR="00EF1380" w:rsidRPr="006174E0" w:rsidRDefault="00EF1380" w:rsidP="00EF1380">
      <w:pPr>
        <w:pStyle w:val="Caption"/>
        <w:jc w:val="both"/>
        <w:rPr>
          <w:rFonts w:ascii="Arial" w:hAnsi="Arial" w:cs="Arial"/>
          <w:i/>
          <w:color w:val="auto"/>
          <w:sz w:val="16"/>
          <w:lang w:val="es-MX"/>
        </w:rPr>
      </w:pPr>
      <w:bookmarkStart w:id="29" w:name="_Toc413419263"/>
      <w:proofErr w:type="gramStart"/>
      <w:r w:rsidRPr="006174E0">
        <w:rPr>
          <w:rFonts w:ascii="Arial" w:hAnsi="Arial" w:cs="Arial"/>
          <w:color w:val="auto"/>
          <w:sz w:val="16"/>
        </w:rPr>
        <w:t xml:space="preserve">Figure </w:t>
      </w:r>
      <w:r w:rsidR="006C2756" w:rsidRPr="006174E0">
        <w:rPr>
          <w:rFonts w:ascii="Arial" w:hAnsi="Arial" w:cs="Arial"/>
          <w:color w:val="auto"/>
          <w:sz w:val="16"/>
        </w:rPr>
        <w:fldChar w:fldCharType="begin"/>
      </w:r>
      <w:r w:rsidRPr="006174E0">
        <w:rPr>
          <w:rFonts w:ascii="Arial" w:hAnsi="Arial" w:cs="Arial"/>
          <w:color w:val="auto"/>
          <w:sz w:val="16"/>
        </w:rPr>
        <w:instrText xml:space="preserve"> SEQ Figure \* ARABIC </w:instrText>
      </w:r>
      <w:r w:rsidR="006C2756" w:rsidRPr="006174E0">
        <w:rPr>
          <w:rFonts w:ascii="Arial" w:hAnsi="Arial" w:cs="Arial"/>
          <w:color w:val="auto"/>
          <w:sz w:val="16"/>
        </w:rPr>
        <w:fldChar w:fldCharType="separate"/>
      </w:r>
      <w:r w:rsidR="00DC0376">
        <w:rPr>
          <w:rFonts w:ascii="Arial" w:hAnsi="Arial" w:cs="Arial"/>
          <w:noProof/>
          <w:color w:val="auto"/>
          <w:sz w:val="16"/>
        </w:rPr>
        <w:t>3</w:t>
      </w:r>
      <w:r w:rsidR="006C2756" w:rsidRPr="006174E0">
        <w:rPr>
          <w:rFonts w:ascii="Arial" w:hAnsi="Arial" w:cs="Arial"/>
          <w:color w:val="auto"/>
          <w:sz w:val="16"/>
        </w:rPr>
        <w:fldChar w:fldCharType="end"/>
      </w:r>
      <w:r w:rsidRPr="006174E0">
        <w:rPr>
          <w:rFonts w:ascii="Arial" w:hAnsi="Arial" w:cs="Arial"/>
          <w:color w:val="auto"/>
          <w:sz w:val="16"/>
        </w:rPr>
        <w:t>.</w:t>
      </w:r>
      <w:proofErr w:type="gramEnd"/>
      <w:r w:rsidRPr="006174E0">
        <w:rPr>
          <w:rFonts w:ascii="Arial" w:hAnsi="Arial" w:cs="Arial"/>
          <w:color w:val="auto"/>
          <w:sz w:val="16"/>
        </w:rPr>
        <w:t xml:space="preserve"> </w:t>
      </w:r>
      <w:proofErr w:type="gramStart"/>
      <w:r w:rsidR="00AC4500" w:rsidRPr="006174E0">
        <w:rPr>
          <w:rFonts w:ascii="Arial" w:hAnsi="Arial" w:cs="Arial"/>
          <w:color w:val="auto"/>
          <w:sz w:val="16"/>
        </w:rPr>
        <w:t>P</w:t>
      </w:r>
      <w:r w:rsidRPr="006174E0">
        <w:rPr>
          <w:rFonts w:ascii="Arial" w:hAnsi="Arial" w:cs="Arial"/>
          <w:color w:val="auto"/>
          <w:sz w:val="16"/>
        </w:rPr>
        <w:t>hosphoglycerate mutase regulation by glucose levels.</w:t>
      </w:r>
      <w:proofErr w:type="gramEnd"/>
      <w:r w:rsidRPr="006174E0">
        <w:rPr>
          <w:rFonts w:ascii="Arial" w:hAnsi="Arial" w:cs="Arial"/>
          <w:color w:val="auto"/>
          <w:sz w:val="16"/>
        </w:rPr>
        <w:t xml:space="preserve"> </w:t>
      </w:r>
      <w:r w:rsidRPr="006174E0">
        <w:rPr>
          <w:rFonts w:ascii="Arial" w:hAnsi="Arial" w:cs="Arial"/>
          <w:i/>
          <w:color w:val="auto"/>
          <w:sz w:val="16"/>
        </w:rPr>
        <w:t>Under high glucose conditions, phosphoglycerate mutase is acetylated via KATs enhancing its activity and the production of lactate and the tricarboxylic acid (TCA) cycle substrate</w:t>
      </w:r>
      <w:r w:rsidR="00494DBB" w:rsidRPr="006174E0">
        <w:rPr>
          <w:rFonts w:ascii="Arial" w:hAnsi="Arial" w:cs="Arial"/>
          <w:i/>
          <w:color w:val="auto"/>
          <w:sz w:val="16"/>
        </w:rPr>
        <w:t xml:space="preserve"> </w:t>
      </w:r>
      <w:r w:rsidRPr="006174E0">
        <w:rPr>
          <w:rFonts w:ascii="Arial" w:hAnsi="Arial" w:cs="Arial"/>
          <w:i/>
          <w:color w:val="auto"/>
          <w:sz w:val="16"/>
        </w:rPr>
        <w:t>oxaloacetate</w:t>
      </w:r>
      <w:r w:rsidR="001F77BC" w:rsidRPr="006174E0">
        <w:rPr>
          <w:rFonts w:ascii="Arial" w:hAnsi="Arial" w:cs="Arial"/>
          <w:i/>
          <w:color w:val="auto"/>
          <w:sz w:val="16"/>
        </w:rPr>
        <w:t>.</w:t>
      </w:r>
      <w:r w:rsidRPr="006174E0">
        <w:rPr>
          <w:rFonts w:ascii="Arial" w:hAnsi="Arial" w:cs="Arial"/>
          <w:i/>
          <w:color w:val="auto"/>
          <w:sz w:val="16"/>
        </w:rPr>
        <w:t xml:space="preserve"> </w:t>
      </w:r>
      <w:r w:rsidR="001F77BC" w:rsidRPr="006174E0">
        <w:rPr>
          <w:rFonts w:ascii="Arial" w:hAnsi="Arial" w:cs="Arial"/>
          <w:i/>
          <w:color w:val="auto"/>
          <w:sz w:val="16"/>
        </w:rPr>
        <w:t>U</w:t>
      </w:r>
      <w:r w:rsidRPr="006174E0">
        <w:rPr>
          <w:rFonts w:ascii="Arial" w:hAnsi="Arial" w:cs="Arial"/>
          <w:i/>
          <w:color w:val="auto"/>
          <w:sz w:val="16"/>
        </w:rPr>
        <w:t xml:space="preserve">nder low glucose conditions phosphoglycerate mutase is deacetylated via Sirt1 decreasing its activity and the production of lactate and </w:t>
      </w:r>
      <w:r w:rsidR="00494DBB" w:rsidRPr="006174E0">
        <w:rPr>
          <w:rFonts w:ascii="Arial" w:hAnsi="Arial" w:cs="Arial"/>
          <w:i/>
          <w:color w:val="auto"/>
          <w:sz w:val="16"/>
        </w:rPr>
        <w:t xml:space="preserve">the </w:t>
      </w:r>
      <w:r w:rsidRPr="006174E0">
        <w:rPr>
          <w:rFonts w:ascii="Arial" w:hAnsi="Arial" w:cs="Arial"/>
          <w:i/>
          <w:color w:val="auto"/>
          <w:sz w:val="16"/>
        </w:rPr>
        <w:t>TCA cycle substrate oxaloacetate. Metabolic enzymes are shown in red bold font; metabolic products are shown in black bold font.</w:t>
      </w:r>
      <w:r w:rsidR="00AC4500" w:rsidRPr="006174E0">
        <w:rPr>
          <w:rFonts w:ascii="Arial" w:hAnsi="Arial" w:cs="Arial"/>
          <w:i/>
          <w:color w:val="auto"/>
          <w:sz w:val="16"/>
        </w:rPr>
        <w:t xml:space="preserve"> </w:t>
      </w:r>
      <w:r w:rsidR="00AC4500" w:rsidRPr="006174E0">
        <w:rPr>
          <w:rFonts w:ascii="Arial" w:hAnsi="Arial" w:cs="Arial"/>
          <w:i/>
          <w:color w:val="auto"/>
          <w:sz w:val="16"/>
          <w:lang w:val="es-MX"/>
        </w:rPr>
        <w:t>Corregir esta figura, poner acetylated en KATs y deacetylated en Sirt1.</w:t>
      </w:r>
      <w:bookmarkEnd w:id="29"/>
    </w:p>
    <w:p w:rsidR="00EF1380" w:rsidRDefault="00EF1380" w:rsidP="00EF1380">
      <w:pPr>
        <w:pStyle w:val="Heading1"/>
        <w:rPr>
          <w:rFonts w:ascii="Arial" w:hAnsi="Arial" w:cs="Arial"/>
          <w:sz w:val="24"/>
          <w:szCs w:val="24"/>
        </w:rPr>
      </w:pPr>
      <w:bookmarkStart w:id="30" w:name="_Toc413753748"/>
      <w:r>
        <w:rPr>
          <w:rFonts w:ascii="Arial" w:hAnsi="Arial" w:cs="Arial"/>
          <w:sz w:val="24"/>
          <w:szCs w:val="24"/>
        </w:rPr>
        <w:t xml:space="preserve">III.1.ii </w:t>
      </w:r>
      <w:proofErr w:type="gramStart"/>
      <w:r>
        <w:rPr>
          <w:rFonts w:ascii="Arial" w:hAnsi="Arial" w:cs="Arial"/>
          <w:sz w:val="24"/>
          <w:szCs w:val="24"/>
        </w:rPr>
        <w:t>The</w:t>
      </w:r>
      <w:proofErr w:type="gramEnd"/>
      <w:r>
        <w:rPr>
          <w:rFonts w:ascii="Arial" w:hAnsi="Arial" w:cs="Arial"/>
          <w:sz w:val="24"/>
          <w:szCs w:val="24"/>
        </w:rPr>
        <w:t xml:space="preserve"> </w:t>
      </w:r>
      <w:r w:rsidRPr="0042586F">
        <w:rPr>
          <w:rFonts w:ascii="Arial" w:hAnsi="Arial" w:cs="Arial"/>
          <w:sz w:val="24"/>
          <w:szCs w:val="24"/>
        </w:rPr>
        <w:t>TCA</w:t>
      </w:r>
      <w:bookmarkEnd w:id="28"/>
      <w:r>
        <w:rPr>
          <w:rFonts w:ascii="Arial" w:hAnsi="Arial" w:cs="Arial"/>
          <w:sz w:val="24"/>
          <w:szCs w:val="24"/>
        </w:rPr>
        <w:t xml:space="preserve"> cycle</w:t>
      </w:r>
      <w:bookmarkEnd w:id="30"/>
    </w:p>
    <w:p w:rsidR="00EF1380" w:rsidRDefault="00EF1380" w:rsidP="00EF1380">
      <w:pPr>
        <w:spacing w:line="360" w:lineRule="auto"/>
        <w:ind w:firstLine="720"/>
        <w:jc w:val="both"/>
        <w:rPr>
          <w:rFonts w:ascii="Arial" w:hAnsi="Arial" w:cs="Arial"/>
          <w:sz w:val="24"/>
          <w:szCs w:val="24"/>
          <w:lang w:val="en-US"/>
        </w:rPr>
      </w:pPr>
      <w:r>
        <w:rPr>
          <w:rStyle w:val="SC118877"/>
          <w:rFonts w:ascii="Arial" w:hAnsi="Arial" w:cs="Arial"/>
          <w:iCs/>
          <w:sz w:val="24"/>
          <w:szCs w:val="24"/>
        </w:rPr>
        <w:t xml:space="preserve">The TCA cycle is a series of chemical reactions to obtain energy from acetyl-CoA by means of the aerobic catabolism of carbohydrates, amino acids, and fatty acids. In this cycle, energy is produced in the mitochondria by oxidisation of acetate </w:t>
      </w:r>
      <w:r w:rsidR="00974F33">
        <w:rPr>
          <w:rStyle w:val="SC118877"/>
          <w:rFonts w:ascii="Arial" w:hAnsi="Arial" w:cs="Arial"/>
          <w:iCs/>
          <w:sz w:val="24"/>
          <w:szCs w:val="24"/>
        </w:rPr>
        <w:t>into CO</w:t>
      </w:r>
      <w:r w:rsidR="00974F33">
        <w:rPr>
          <w:rStyle w:val="SC118877"/>
          <w:rFonts w:ascii="Arial" w:hAnsi="Arial" w:cs="Arial"/>
          <w:iCs/>
          <w:sz w:val="24"/>
          <w:szCs w:val="24"/>
          <w:vertAlign w:val="subscript"/>
        </w:rPr>
        <w:t>2</w:t>
      </w:r>
      <w:r w:rsidR="00974F33">
        <w:rPr>
          <w:rStyle w:val="SC118877"/>
          <w:rFonts w:ascii="Arial" w:hAnsi="Arial" w:cs="Arial"/>
          <w:iCs/>
          <w:sz w:val="24"/>
          <w:szCs w:val="24"/>
        </w:rPr>
        <w:t>. The sources of acetate in the TCA cycle are</w:t>
      </w:r>
      <w:r>
        <w:rPr>
          <w:rStyle w:val="SC118877"/>
          <w:rFonts w:ascii="Arial" w:hAnsi="Arial" w:cs="Arial"/>
          <w:iCs/>
          <w:sz w:val="24"/>
          <w:szCs w:val="24"/>
        </w:rPr>
        <w:t xml:space="preserve"> carbohydrates, amino acids and fatty acids. </w:t>
      </w:r>
      <w:r>
        <w:rPr>
          <w:rFonts w:ascii="Arial" w:hAnsi="Arial" w:cs="Arial"/>
          <w:sz w:val="24"/>
          <w:szCs w:val="24"/>
          <w:lang w:val="en-US"/>
        </w:rPr>
        <w:t xml:space="preserve">There are ten steps in the TCA cycle, each of them </w:t>
      </w:r>
      <w:r w:rsidRPr="003B1A82">
        <w:rPr>
          <w:rFonts w:ascii="Arial" w:hAnsi="Arial" w:cs="Arial"/>
          <w:sz w:val="24"/>
          <w:szCs w:val="24"/>
        </w:rPr>
        <w:t>catalysed</w:t>
      </w:r>
      <w:r>
        <w:rPr>
          <w:rFonts w:ascii="Arial" w:hAnsi="Arial" w:cs="Arial"/>
          <w:sz w:val="24"/>
          <w:szCs w:val="24"/>
          <w:lang w:val="en-US"/>
        </w:rPr>
        <w:t xml:space="preserve"> by different enzymes. Although there are ten major enzymes, many isoforms of each enzyme have been identified. The ten main enzymes that take part in the TCA cycle, and the reaction</w:t>
      </w:r>
      <w:r w:rsidR="00974F33">
        <w:rPr>
          <w:rFonts w:ascii="Arial" w:hAnsi="Arial" w:cs="Arial"/>
          <w:sz w:val="24"/>
          <w:szCs w:val="24"/>
          <w:lang w:val="en-US"/>
        </w:rPr>
        <w:t>s</w:t>
      </w:r>
      <w:r>
        <w:rPr>
          <w:rFonts w:ascii="Arial" w:hAnsi="Arial" w:cs="Arial"/>
          <w:sz w:val="24"/>
          <w:szCs w:val="24"/>
          <w:lang w:val="en-US"/>
        </w:rPr>
        <w:t xml:space="preserve"> catalyzed by them are </w:t>
      </w:r>
      <w:r w:rsidR="00974F33">
        <w:rPr>
          <w:rFonts w:ascii="Arial" w:hAnsi="Arial" w:cs="Arial"/>
          <w:sz w:val="24"/>
          <w:szCs w:val="24"/>
          <w:lang w:val="en-US"/>
        </w:rPr>
        <w:t>summari</w:t>
      </w:r>
      <w:r w:rsidR="00117570">
        <w:rPr>
          <w:rFonts w:ascii="Arial" w:hAnsi="Arial" w:cs="Arial"/>
          <w:sz w:val="24"/>
          <w:szCs w:val="24"/>
          <w:lang w:val="en-US"/>
        </w:rPr>
        <w:t>s</w:t>
      </w:r>
      <w:r w:rsidR="00974F33">
        <w:rPr>
          <w:rFonts w:ascii="Arial" w:hAnsi="Arial" w:cs="Arial"/>
          <w:sz w:val="24"/>
          <w:szCs w:val="24"/>
          <w:lang w:val="en-US"/>
        </w:rPr>
        <w:t>ed</w:t>
      </w:r>
      <w:r>
        <w:rPr>
          <w:rFonts w:ascii="Arial" w:hAnsi="Arial" w:cs="Arial"/>
          <w:sz w:val="24"/>
          <w:szCs w:val="24"/>
          <w:lang w:val="en-US"/>
        </w:rPr>
        <w:t xml:space="preserve"> in Figure 4.</w:t>
      </w:r>
    </w:p>
    <w:p w:rsidR="00EF1380" w:rsidRDefault="00AA4622" w:rsidP="00EF1380">
      <w:pPr>
        <w:rPr>
          <w:lang w:val="en-US"/>
        </w:rPr>
      </w:pPr>
      <w:r>
        <w:rPr>
          <w:noProof/>
        </w:rPr>
        <w:lastRenderedPageBreak/>
        <w:drawing>
          <wp:inline distT="0" distB="0" distL="0" distR="0" wp14:anchorId="7C8AC6C1" wp14:editId="72F7CE79">
            <wp:extent cx="5612130" cy="1691640"/>
            <wp:effectExtent l="38100" t="38100" r="45720" b="419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1691640"/>
                    </a:xfrm>
                    <a:prstGeom prst="rect">
                      <a:avLst/>
                    </a:prstGeom>
                    <a:ln w="28575">
                      <a:solidFill>
                        <a:schemeClr val="tx1"/>
                      </a:solidFill>
                    </a:ln>
                  </pic:spPr>
                </pic:pic>
              </a:graphicData>
            </a:graphic>
          </wp:inline>
        </w:drawing>
      </w:r>
    </w:p>
    <w:p w:rsidR="00EF1380" w:rsidRPr="0079690C" w:rsidRDefault="00EF1380" w:rsidP="00EF1380">
      <w:pPr>
        <w:pStyle w:val="Caption"/>
        <w:rPr>
          <w:rFonts w:ascii="Arial" w:hAnsi="Arial" w:cs="Arial"/>
          <w:iCs/>
          <w:color w:val="auto"/>
          <w:sz w:val="16"/>
          <w:szCs w:val="16"/>
          <w:lang w:val="en-US"/>
        </w:rPr>
      </w:pPr>
      <w:bookmarkStart w:id="31" w:name="_Toc364682967"/>
      <w:bookmarkStart w:id="32" w:name="_Toc389224024"/>
      <w:bookmarkStart w:id="33" w:name="_Toc413419264"/>
      <w:proofErr w:type="gramStart"/>
      <w:r w:rsidRPr="0066178F">
        <w:rPr>
          <w:rFonts w:ascii="Arial" w:hAnsi="Arial" w:cs="Arial"/>
          <w:color w:val="auto"/>
          <w:sz w:val="16"/>
          <w:szCs w:val="16"/>
        </w:rPr>
        <w:t xml:space="preserve">Figure </w:t>
      </w:r>
      <w:r w:rsidR="006C2756" w:rsidRPr="0066178F">
        <w:rPr>
          <w:rFonts w:ascii="Arial" w:hAnsi="Arial" w:cs="Arial"/>
          <w:color w:val="auto"/>
          <w:sz w:val="16"/>
          <w:szCs w:val="16"/>
        </w:rPr>
        <w:fldChar w:fldCharType="begin"/>
      </w:r>
      <w:r w:rsidRPr="0066178F">
        <w:rPr>
          <w:rFonts w:ascii="Arial" w:hAnsi="Arial" w:cs="Arial"/>
          <w:color w:val="auto"/>
          <w:sz w:val="16"/>
          <w:szCs w:val="16"/>
        </w:rPr>
        <w:instrText xml:space="preserve"> SEQ Figure \* ARABIC </w:instrText>
      </w:r>
      <w:r w:rsidR="006C2756" w:rsidRPr="0066178F">
        <w:rPr>
          <w:rFonts w:ascii="Arial" w:hAnsi="Arial" w:cs="Arial"/>
          <w:color w:val="auto"/>
          <w:sz w:val="16"/>
          <w:szCs w:val="16"/>
        </w:rPr>
        <w:fldChar w:fldCharType="separate"/>
      </w:r>
      <w:r w:rsidR="00DC0376">
        <w:rPr>
          <w:rFonts w:ascii="Arial" w:hAnsi="Arial" w:cs="Arial"/>
          <w:noProof/>
          <w:color w:val="auto"/>
          <w:sz w:val="16"/>
          <w:szCs w:val="16"/>
        </w:rPr>
        <w:t>4</w:t>
      </w:r>
      <w:r w:rsidR="006C2756" w:rsidRPr="0066178F">
        <w:rPr>
          <w:rFonts w:ascii="Arial" w:hAnsi="Arial" w:cs="Arial"/>
          <w:color w:val="auto"/>
          <w:sz w:val="16"/>
          <w:szCs w:val="16"/>
        </w:rPr>
        <w:fldChar w:fldCharType="end"/>
      </w:r>
      <w:r w:rsidRPr="00123673">
        <w:rPr>
          <w:rFonts w:ascii="Arial" w:hAnsi="Arial" w:cs="Arial"/>
          <w:iCs/>
          <w:color w:val="auto"/>
          <w:sz w:val="16"/>
          <w:szCs w:val="16"/>
          <w:lang w:val="en-US"/>
        </w:rPr>
        <w:t>.</w:t>
      </w:r>
      <w:proofErr w:type="gramEnd"/>
      <w:r w:rsidRPr="0079690C">
        <w:rPr>
          <w:rFonts w:ascii="Arial" w:hAnsi="Arial" w:cs="Arial"/>
          <w:iCs/>
          <w:color w:val="auto"/>
          <w:sz w:val="16"/>
          <w:szCs w:val="16"/>
          <w:lang w:val="en-US"/>
        </w:rPr>
        <w:t xml:space="preserve"> </w:t>
      </w:r>
      <w:proofErr w:type="gramStart"/>
      <w:r w:rsidRPr="0079690C">
        <w:rPr>
          <w:rFonts w:ascii="Arial" w:hAnsi="Arial" w:cs="Arial"/>
          <w:iCs/>
          <w:color w:val="auto"/>
          <w:sz w:val="16"/>
          <w:szCs w:val="16"/>
          <w:lang w:val="en-US"/>
        </w:rPr>
        <w:t xml:space="preserve">Enzymes and reactions in </w:t>
      </w:r>
      <w:r>
        <w:rPr>
          <w:rFonts w:ascii="Arial" w:hAnsi="Arial" w:cs="Arial"/>
          <w:iCs/>
          <w:color w:val="auto"/>
          <w:sz w:val="16"/>
          <w:szCs w:val="16"/>
          <w:lang w:val="en-US"/>
        </w:rPr>
        <w:t xml:space="preserve">the </w:t>
      </w:r>
      <w:r w:rsidRPr="0079690C">
        <w:rPr>
          <w:rFonts w:ascii="Arial" w:hAnsi="Arial" w:cs="Arial"/>
          <w:iCs/>
          <w:color w:val="auto"/>
          <w:sz w:val="16"/>
          <w:szCs w:val="16"/>
          <w:lang w:val="en-US"/>
        </w:rPr>
        <w:t>TCA</w:t>
      </w:r>
      <w:r>
        <w:rPr>
          <w:rFonts w:ascii="Arial" w:hAnsi="Arial" w:cs="Arial"/>
          <w:iCs/>
          <w:color w:val="auto"/>
          <w:sz w:val="16"/>
          <w:szCs w:val="16"/>
          <w:lang w:val="en-US"/>
        </w:rPr>
        <w:t xml:space="preserve"> cycle</w:t>
      </w:r>
      <w:r w:rsidRPr="0079690C">
        <w:rPr>
          <w:rFonts w:ascii="Arial" w:hAnsi="Arial" w:cs="Arial"/>
          <w:iCs/>
          <w:color w:val="auto"/>
          <w:sz w:val="16"/>
          <w:szCs w:val="16"/>
          <w:lang w:val="en-US"/>
        </w:rPr>
        <w:t>.</w:t>
      </w:r>
      <w:proofErr w:type="gramEnd"/>
      <w:r w:rsidRPr="0079690C">
        <w:rPr>
          <w:rFonts w:ascii="Arial" w:hAnsi="Arial" w:cs="Arial"/>
          <w:iCs/>
          <w:color w:val="auto"/>
          <w:sz w:val="16"/>
          <w:szCs w:val="16"/>
          <w:lang w:val="en-US"/>
        </w:rPr>
        <w:t xml:space="preserve"> </w:t>
      </w:r>
      <w:r w:rsidRPr="0079690C">
        <w:rPr>
          <w:rFonts w:ascii="Arial" w:hAnsi="Arial" w:cs="Arial"/>
          <w:i/>
          <w:color w:val="auto"/>
          <w:sz w:val="16"/>
          <w:szCs w:val="16"/>
        </w:rPr>
        <w:t>Metabolic enzymes in this pathway are shown in red bold font; metabolic products in this pathway are shown in black bold font.</w:t>
      </w:r>
      <w:bookmarkEnd w:id="31"/>
      <w:bookmarkEnd w:id="32"/>
      <w:bookmarkEnd w:id="33"/>
    </w:p>
    <w:p w:rsidR="00EF1380" w:rsidRDefault="00EF1380" w:rsidP="00EF1380">
      <w:pPr>
        <w:autoSpaceDE w:val="0"/>
        <w:autoSpaceDN w:val="0"/>
        <w:adjustRightInd w:val="0"/>
        <w:spacing w:after="0" w:line="360" w:lineRule="auto"/>
        <w:ind w:firstLine="720"/>
        <w:jc w:val="both"/>
        <w:rPr>
          <w:rFonts w:ascii="Arial" w:hAnsi="Arial" w:cs="Arial"/>
          <w:sz w:val="24"/>
          <w:szCs w:val="24"/>
          <w:lang w:val="en-US"/>
        </w:rPr>
      </w:pPr>
      <w:r>
        <w:rPr>
          <w:rFonts w:ascii="Arial" w:hAnsi="Arial" w:cs="Arial"/>
          <w:sz w:val="24"/>
          <w:szCs w:val="24"/>
        </w:rPr>
        <w:t xml:space="preserve">Although the activity of the enzymes in the TCA cycle is controlled by acetylation, just the acetylation patterns of </w:t>
      </w:r>
      <w:r w:rsidR="00974F33">
        <w:rPr>
          <w:rFonts w:ascii="Arial" w:hAnsi="Arial" w:cs="Arial"/>
          <w:sz w:val="24"/>
          <w:szCs w:val="24"/>
        </w:rPr>
        <w:t>3 enzymes in this pathway have been shown to have an effect on their activity and/or expression</w:t>
      </w:r>
      <w:r w:rsidR="008C3F1A">
        <w:rPr>
          <w:rFonts w:ascii="Arial" w:hAnsi="Arial" w:cs="Arial"/>
          <w:sz w:val="24"/>
          <w:szCs w:val="24"/>
        </w:rPr>
        <w:t xml:space="preserve"> </w:t>
      </w:r>
      <w:r w:rsidR="008C3F1A">
        <w:rPr>
          <w:rFonts w:ascii="Arial" w:hAnsi="Arial" w:cs="Arial"/>
          <w:sz w:val="24"/>
          <w:szCs w:val="24"/>
          <w:lang w:val="en-US"/>
        </w:rPr>
        <w:t xml:space="preserve">(see Table </w:t>
      </w:r>
      <w:r w:rsidR="005221BB">
        <w:rPr>
          <w:rFonts w:ascii="Arial" w:hAnsi="Arial" w:cs="Arial"/>
          <w:sz w:val="24"/>
          <w:szCs w:val="24"/>
          <w:lang w:val="en-US"/>
        </w:rPr>
        <w:t>3</w:t>
      </w:r>
      <w:r w:rsidR="008C3F1A">
        <w:rPr>
          <w:rFonts w:ascii="Arial" w:hAnsi="Arial" w:cs="Arial"/>
          <w:sz w:val="24"/>
          <w:szCs w:val="24"/>
          <w:lang w:val="en-US"/>
        </w:rPr>
        <w:t xml:space="preserve"> for a summary of the effects of acetylation on these enzymes)</w:t>
      </w:r>
      <w:r w:rsidR="00974F33">
        <w:rPr>
          <w:rFonts w:ascii="Arial" w:hAnsi="Arial" w:cs="Arial"/>
          <w:sz w:val="24"/>
          <w:szCs w:val="24"/>
        </w:rPr>
        <w:t xml:space="preserve">. These enzymes are </w:t>
      </w:r>
      <w:r>
        <w:rPr>
          <w:rFonts w:ascii="Arial" w:hAnsi="Arial" w:cs="Arial"/>
          <w:sz w:val="24"/>
          <w:szCs w:val="24"/>
        </w:rPr>
        <w:t>isocitrate dehydrogenase, succinate dehydrogenase, and malate dehydrogenase</w:t>
      </w:r>
      <w:r w:rsidR="00974F33">
        <w:rPr>
          <w:rFonts w:ascii="Arial" w:hAnsi="Arial" w:cs="Arial"/>
          <w:sz w:val="24"/>
          <w:szCs w:val="24"/>
        </w:rPr>
        <w:t xml:space="preserve">, </w:t>
      </w:r>
      <w:r>
        <w:rPr>
          <w:rFonts w:ascii="Arial" w:hAnsi="Arial" w:cs="Arial"/>
          <w:sz w:val="24"/>
          <w:szCs w:val="24"/>
          <w:lang w:val="en-US"/>
        </w:rPr>
        <w:t xml:space="preserve">annotated by the PhosphoSitePlus database, </w:t>
      </w:r>
      <w:hyperlink r:id="rId19" w:history="1">
        <w:r w:rsidRPr="008152FF">
          <w:rPr>
            <w:rStyle w:val="Hyperlink"/>
            <w:rFonts w:ascii="Arial" w:hAnsi="Arial" w:cs="Arial"/>
            <w:color w:val="auto"/>
            <w:sz w:val="24"/>
            <w:szCs w:val="24"/>
            <w:lang w:val="en-US"/>
          </w:rPr>
          <w:t>www.phosphosite.org</w:t>
        </w:r>
      </w:hyperlink>
      <w:r>
        <w:rPr>
          <w:rFonts w:ascii="Arial" w:hAnsi="Arial" w:cs="Arial"/>
          <w:sz w:val="24"/>
          <w:szCs w:val="24"/>
          <w:lang w:val="en-US"/>
        </w:rPr>
        <w:t>, accessed on 22-05-2014 to be acetylated</w:t>
      </w:r>
      <w:r w:rsidR="00974F33">
        <w:rPr>
          <w:rFonts w:ascii="Arial" w:hAnsi="Arial" w:cs="Arial"/>
          <w:sz w:val="24"/>
          <w:szCs w:val="24"/>
          <w:lang w:val="en-US"/>
        </w:rPr>
        <w:t>.</w:t>
      </w:r>
      <w:r>
        <w:rPr>
          <w:rFonts w:ascii="Arial" w:hAnsi="Arial" w:cs="Arial"/>
          <w:sz w:val="24"/>
          <w:szCs w:val="24"/>
          <w:lang w:val="en-US"/>
        </w:rPr>
        <w:t xml:space="preserve"> </w:t>
      </w:r>
      <w:r w:rsidR="00974F33">
        <w:rPr>
          <w:rFonts w:ascii="Arial" w:hAnsi="Arial" w:cs="Arial"/>
          <w:sz w:val="24"/>
          <w:szCs w:val="24"/>
          <w:lang w:val="en-US"/>
        </w:rPr>
        <w:t>S</w:t>
      </w:r>
      <w:r>
        <w:rPr>
          <w:rFonts w:ascii="Arial" w:hAnsi="Arial" w:cs="Arial"/>
          <w:sz w:val="24"/>
          <w:szCs w:val="24"/>
          <w:lang w:val="en-US"/>
        </w:rPr>
        <w:t xml:space="preserve">ee Appendix 2 for </w:t>
      </w:r>
      <w:r w:rsidR="00293EBA">
        <w:rPr>
          <w:rFonts w:ascii="Arial" w:hAnsi="Arial" w:cs="Arial"/>
          <w:sz w:val="24"/>
          <w:szCs w:val="24"/>
          <w:lang w:val="en-US"/>
        </w:rPr>
        <w:t xml:space="preserve">all </w:t>
      </w:r>
      <w:r>
        <w:rPr>
          <w:rFonts w:ascii="Arial" w:hAnsi="Arial" w:cs="Arial"/>
          <w:sz w:val="24"/>
          <w:szCs w:val="24"/>
          <w:lang w:val="en-US"/>
        </w:rPr>
        <w:t>the acetylated lysine residues.</w:t>
      </w:r>
    </w:p>
    <w:p w:rsidR="00DC0376" w:rsidRDefault="00DC0376" w:rsidP="00EF1380">
      <w:pPr>
        <w:autoSpaceDE w:val="0"/>
        <w:autoSpaceDN w:val="0"/>
        <w:adjustRightInd w:val="0"/>
        <w:spacing w:after="0" w:line="360" w:lineRule="auto"/>
        <w:ind w:firstLine="720"/>
        <w:jc w:val="both"/>
        <w:rPr>
          <w:rFonts w:ascii="Arial" w:hAnsi="Arial" w:cs="Arial"/>
          <w:sz w:val="24"/>
          <w:szCs w:val="24"/>
          <w:lang w:val="en-US"/>
        </w:rPr>
      </w:pPr>
    </w:p>
    <w:tbl>
      <w:tblPr>
        <w:tblStyle w:val="LightList1"/>
        <w:tblW w:w="0" w:type="auto"/>
        <w:tblLook w:val="04A0" w:firstRow="1" w:lastRow="0" w:firstColumn="1" w:lastColumn="0" w:noHBand="0" w:noVBand="1"/>
      </w:tblPr>
      <w:tblGrid>
        <w:gridCol w:w="3018"/>
        <w:gridCol w:w="3018"/>
        <w:gridCol w:w="3018"/>
      </w:tblGrid>
      <w:tr w:rsidR="005221BB" w:rsidTr="00004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5221BB" w:rsidRPr="005221BB" w:rsidRDefault="005221BB" w:rsidP="0000481E">
            <w:pPr>
              <w:jc w:val="center"/>
              <w:rPr>
                <w:rStyle w:val="SC118877"/>
                <w:rFonts w:eastAsia="Times New Roman" w:cs="Arial"/>
                <w:bCs w:val="0"/>
                <w:color w:val="auto"/>
                <w:kern w:val="36"/>
              </w:rPr>
            </w:pPr>
            <w:r w:rsidRPr="005221BB">
              <w:rPr>
                <w:rStyle w:val="SC118877"/>
                <w:rFonts w:eastAsia="Times New Roman" w:cs="Arial"/>
                <w:bCs w:val="0"/>
                <w:color w:val="auto"/>
                <w:kern w:val="36"/>
              </w:rPr>
              <w:t>Enzyme</w:t>
            </w:r>
          </w:p>
        </w:tc>
        <w:tc>
          <w:tcPr>
            <w:tcW w:w="3018" w:type="dxa"/>
          </w:tcPr>
          <w:p w:rsidR="005221BB" w:rsidRPr="005221BB" w:rsidRDefault="005221BB" w:rsidP="0000481E">
            <w:pPr>
              <w:jc w:val="center"/>
              <w:cnfStyle w:val="100000000000" w:firstRow="1" w:lastRow="0" w:firstColumn="0" w:lastColumn="0" w:oddVBand="0" w:evenVBand="0" w:oddHBand="0" w:evenHBand="0" w:firstRowFirstColumn="0" w:firstRowLastColumn="0" w:lastRowFirstColumn="0" w:lastRowLastColumn="0"/>
              <w:rPr>
                <w:rStyle w:val="SC118877"/>
                <w:rFonts w:eastAsia="Times New Roman" w:cs="Arial"/>
                <w:bCs w:val="0"/>
                <w:color w:val="auto"/>
                <w:kern w:val="36"/>
              </w:rPr>
            </w:pPr>
            <w:r w:rsidRPr="005221BB">
              <w:rPr>
                <w:rStyle w:val="SC118877"/>
                <w:rFonts w:eastAsia="Times New Roman" w:cs="Arial"/>
                <w:bCs w:val="0"/>
                <w:color w:val="auto"/>
                <w:kern w:val="36"/>
              </w:rPr>
              <w:t>Acetylated Lys residues</w:t>
            </w:r>
          </w:p>
        </w:tc>
        <w:tc>
          <w:tcPr>
            <w:tcW w:w="3018" w:type="dxa"/>
          </w:tcPr>
          <w:p w:rsidR="005221BB" w:rsidRPr="005221BB" w:rsidRDefault="005221BB" w:rsidP="0000481E">
            <w:pPr>
              <w:jc w:val="center"/>
              <w:cnfStyle w:val="100000000000" w:firstRow="1" w:lastRow="0" w:firstColumn="0" w:lastColumn="0" w:oddVBand="0" w:evenVBand="0" w:oddHBand="0" w:evenHBand="0" w:firstRowFirstColumn="0" w:firstRowLastColumn="0" w:lastRowFirstColumn="0" w:lastRowLastColumn="0"/>
              <w:rPr>
                <w:rStyle w:val="SC118877"/>
                <w:rFonts w:eastAsia="Times New Roman" w:cs="Arial"/>
                <w:bCs w:val="0"/>
                <w:color w:val="auto"/>
                <w:kern w:val="36"/>
              </w:rPr>
            </w:pPr>
            <w:r w:rsidRPr="005221BB">
              <w:rPr>
                <w:rStyle w:val="SC118877"/>
                <w:rFonts w:eastAsia="Times New Roman" w:cs="Arial"/>
                <w:bCs w:val="0"/>
                <w:color w:val="auto"/>
                <w:kern w:val="36"/>
              </w:rPr>
              <w:t>Effect</w:t>
            </w:r>
          </w:p>
        </w:tc>
      </w:tr>
      <w:tr w:rsidR="005221BB" w:rsidTr="00004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5221BB" w:rsidRPr="005221BB" w:rsidRDefault="005221BB" w:rsidP="0000481E">
            <w:pPr>
              <w:jc w:val="center"/>
              <w:rPr>
                <w:rStyle w:val="SC118877"/>
                <w:rFonts w:eastAsia="Times New Roman" w:cs="Arial"/>
                <w:b w:val="0"/>
                <w:bCs w:val="0"/>
                <w:color w:val="auto"/>
                <w:kern w:val="36"/>
                <w:sz w:val="16"/>
                <w:szCs w:val="16"/>
              </w:rPr>
            </w:pPr>
            <w:r w:rsidRPr="005221BB">
              <w:rPr>
                <w:rStyle w:val="SC118877"/>
                <w:rFonts w:eastAsia="Times New Roman" w:cs="Arial"/>
                <w:b w:val="0"/>
                <w:bCs w:val="0"/>
                <w:color w:val="auto"/>
                <w:kern w:val="36"/>
                <w:sz w:val="16"/>
                <w:szCs w:val="16"/>
              </w:rPr>
              <w:t>Isocitrate dehydrogenase</w:t>
            </w:r>
          </w:p>
        </w:tc>
        <w:tc>
          <w:tcPr>
            <w:tcW w:w="3018" w:type="dxa"/>
          </w:tcPr>
          <w:p w:rsidR="005221BB" w:rsidRPr="005221BB" w:rsidRDefault="005221BB" w:rsidP="00AB7E17">
            <w:pPr>
              <w:jc w:val="center"/>
              <w:cnfStyle w:val="000000100000" w:firstRow="0" w:lastRow="0" w:firstColumn="0" w:lastColumn="0" w:oddVBand="0" w:evenVBand="0" w:oddHBand="1"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413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6" w:tooltip="Yu W, 2012 #298" w:history="1">
              <w:r w:rsidR="00AB7E17">
                <w:rPr>
                  <w:rStyle w:val="SC118877"/>
                  <w:rFonts w:eastAsia="Times New Roman" w:cs="Arial"/>
                  <w:bCs/>
                  <w:noProof/>
                  <w:color w:val="auto"/>
                  <w:kern w:val="36"/>
                  <w:sz w:val="16"/>
                  <w:szCs w:val="16"/>
                </w:rPr>
                <w:t>56</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tc>
        <w:tc>
          <w:tcPr>
            <w:tcW w:w="3018" w:type="dxa"/>
          </w:tcPr>
          <w:p w:rsidR="005221BB" w:rsidRPr="005221BB" w:rsidRDefault="005221BB" w:rsidP="00AB7E17">
            <w:pPr>
              <w:jc w:val="center"/>
              <w:cnfStyle w:val="000000100000" w:firstRow="0" w:lastRow="0" w:firstColumn="0" w:lastColumn="0" w:oddVBand="0" w:evenVBand="0" w:oddHBand="1"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Inhibits activity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&lt;EndNote&gt;&lt;Cite&gt;&lt;Author&gt;Yu W&lt;/Author&gt;&lt;Year&gt;2012&lt;/Year&gt;&lt;RecNum&gt;298&lt;/RecNum&gt;&lt;DisplayText&gt;(56, 57)&lt;/DisplayText&gt;&lt;record&gt;&lt;rec-number&gt;298&lt;/rec-number&gt;&lt;foreign-keys&gt;&lt;key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Cite&gt;&lt;Author&gt;Schlicker C&lt;/Author&gt;&lt;Year&gt;2008&lt;/Year&gt;&lt;RecNum&gt;224&lt;/RecNum&gt;&lt;record&gt;&lt;rec-number&gt;224&lt;/rec-number&gt;&lt;foreign-keys&gt;&lt;key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6" w:tooltip="Yu W, 2012 #298" w:history="1">
              <w:r w:rsidR="00AB7E17">
                <w:rPr>
                  <w:rStyle w:val="SC118877"/>
                  <w:rFonts w:eastAsia="Times New Roman" w:cs="Arial"/>
                  <w:bCs/>
                  <w:noProof/>
                  <w:color w:val="auto"/>
                  <w:kern w:val="36"/>
                  <w:sz w:val="16"/>
                  <w:szCs w:val="16"/>
                </w:rPr>
                <w:t>56</w:t>
              </w:r>
            </w:hyperlink>
            <w:r w:rsidR="00FC3C1A">
              <w:rPr>
                <w:rStyle w:val="SC118877"/>
                <w:rFonts w:eastAsia="Times New Roman" w:cs="Arial"/>
                <w:bCs/>
                <w:noProof/>
                <w:color w:val="auto"/>
                <w:kern w:val="36"/>
                <w:sz w:val="16"/>
                <w:szCs w:val="16"/>
              </w:rPr>
              <w:t xml:space="preserve">, </w:t>
            </w:r>
            <w:hyperlink w:anchor="_ENREF_57" w:tooltip="Schlicker C, 2008 #224" w:history="1">
              <w:r w:rsidR="00AB7E17">
                <w:rPr>
                  <w:rStyle w:val="SC118877"/>
                  <w:rFonts w:eastAsia="Times New Roman" w:cs="Arial"/>
                  <w:bCs/>
                  <w:noProof/>
                  <w:color w:val="auto"/>
                  <w:kern w:val="36"/>
                  <w:sz w:val="16"/>
                  <w:szCs w:val="16"/>
                </w:rPr>
                <w:t>57</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tc>
      </w:tr>
      <w:tr w:rsidR="005221BB" w:rsidTr="0000481E">
        <w:tc>
          <w:tcPr>
            <w:cnfStyle w:val="001000000000" w:firstRow="0" w:lastRow="0" w:firstColumn="1" w:lastColumn="0" w:oddVBand="0" w:evenVBand="0" w:oddHBand="0" w:evenHBand="0" w:firstRowFirstColumn="0" w:firstRowLastColumn="0" w:lastRowFirstColumn="0" w:lastRowLastColumn="0"/>
            <w:tcW w:w="3018" w:type="dxa"/>
          </w:tcPr>
          <w:p w:rsidR="005221BB" w:rsidRPr="005221BB" w:rsidRDefault="005221BB" w:rsidP="0000481E">
            <w:pPr>
              <w:jc w:val="center"/>
              <w:rPr>
                <w:rStyle w:val="SC118877"/>
                <w:rFonts w:eastAsia="Times New Roman" w:cs="Arial"/>
                <w:b w:val="0"/>
                <w:bCs w:val="0"/>
                <w:color w:val="auto"/>
                <w:kern w:val="36"/>
                <w:sz w:val="16"/>
                <w:szCs w:val="16"/>
              </w:rPr>
            </w:pPr>
            <w:r w:rsidRPr="005221BB">
              <w:rPr>
                <w:rStyle w:val="SC118877"/>
                <w:rFonts w:eastAsia="Times New Roman" w:cs="Arial"/>
                <w:b w:val="0"/>
                <w:bCs w:val="0"/>
                <w:color w:val="auto"/>
                <w:kern w:val="36"/>
                <w:sz w:val="16"/>
                <w:szCs w:val="16"/>
              </w:rPr>
              <w:t>Succinate dehydrogenase</w:t>
            </w:r>
          </w:p>
        </w:tc>
        <w:tc>
          <w:tcPr>
            <w:tcW w:w="3018" w:type="dxa"/>
          </w:tcPr>
          <w:p w:rsidR="005221BB" w:rsidRPr="005221BB" w:rsidRDefault="005221BB" w:rsidP="00AB7E17">
            <w:pPr>
              <w:jc w:val="center"/>
              <w:cnfStyle w:val="000000000000" w:firstRow="0" w:lastRow="0" w:firstColumn="0" w:lastColumn="0" w:oddVBand="0" w:evenVBand="0" w:oddHBand="0"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179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182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250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335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480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485</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498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547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550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598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608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624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633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tc>
        <w:tc>
          <w:tcPr>
            <w:tcW w:w="3018" w:type="dxa"/>
          </w:tcPr>
          <w:p w:rsidR="005221BB" w:rsidRPr="005221BB" w:rsidRDefault="005221BB" w:rsidP="0000481E">
            <w:pPr>
              <w:jc w:val="center"/>
              <w:cnfStyle w:val="000000000000" w:firstRow="0" w:lastRow="0" w:firstColumn="0" w:lastColumn="0" w:oddVBand="0" w:evenVBand="0" w:oddHBand="0"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Slows down the TCA cycle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&lt;EndNote&gt;&lt;Cite&gt;&lt;Author&gt;Cimen H&lt;/Author&gt;&lt;Year&gt;2010&lt;/Year&gt;&lt;RecNum&gt;331&lt;/RecNum&gt;&lt;DisplayText&gt;(59)&lt;/DisplayText&gt;&lt;record&gt;&lt;rec-number&gt;331&lt;/rec-number&gt;&lt;foreign-keys&gt;&lt;key app="EN" db-id="zxp9w5sa30aeafes0xox2eem00dz2z2aswad"&gt;331&lt;/key&gt;&lt;/foreign-keys&gt;&lt;ref-type name="Journal Article"&gt;17&lt;/ref-type&gt;&lt;contributors&gt;&lt;authors&gt;&lt;author&gt;Cimen H,&lt;/author&gt;&lt;author&gt;Han M,&lt;/author&gt;&lt;author&gt;Yang Y,&lt;/author&gt;&lt;author&gt;Tong Q,&lt;/author&gt;&lt;author&gt;Koc H,&lt;/author&gt;&lt;author&gt;Koc E,&lt;/author&gt;&lt;/authors&gt;&lt;/contributors&gt;&lt;titles&gt;&lt;title&gt;Regulation of succinate dehydrogenase activity by SIRT3 in mammalian mitochondria&lt;/title&gt;&lt;secondary-title&gt;Biochemistry&lt;/secondary-title&gt;&lt;/titles&gt;&lt;periodical&gt;&lt;full-title&gt;Biochemistry&lt;/full-title&gt;&lt;/periodical&gt;&lt;pages&gt;304-311&lt;/pages&gt;&lt;volume&gt;49&lt;/volume&gt;&lt;number&gt;2&lt;/number&gt;&lt;dates&gt;&lt;year&gt;2010&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9" w:tooltip="Cimen H, 2010 #331" w:history="1">
              <w:r w:rsidR="00AB7E17">
                <w:rPr>
                  <w:rStyle w:val="SC118877"/>
                  <w:rFonts w:eastAsia="Times New Roman" w:cs="Arial"/>
                  <w:bCs/>
                  <w:noProof/>
                  <w:color w:val="auto"/>
                  <w:kern w:val="36"/>
                  <w:sz w:val="16"/>
                  <w:szCs w:val="16"/>
                </w:rPr>
                <w:t>59</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p w:rsidR="005221BB" w:rsidRPr="005221BB" w:rsidRDefault="005221BB" w:rsidP="00AB7E17">
            <w:pPr>
              <w:jc w:val="center"/>
              <w:cnfStyle w:val="000000000000" w:firstRow="0" w:lastRow="0" w:firstColumn="0" w:lastColumn="0" w:oddVBand="0" w:evenVBand="0" w:oddHBand="0"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Regulates activity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58" w:tooltip="Finley L, 2011 #330" w:history="1">
              <w:r w:rsidR="00AB7E17">
                <w:rPr>
                  <w:rStyle w:val="SC118877"/>
                  <w:rFonts w:eastAsia="Times New Roman" w:cs="Arial"/>
                  <w:bCs/>
                  <w:noProof/>
                  <w:color w:val="auto"/>
                  <w:kern w:val="36"/>
                  <w:sz w:val="16"/>
                  <w:szCs w:val="16"/>
                </w:rPr>
                <w:t>58</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tc>
      </w:tr>
      <w:tr w:rsidR="005221BB" w:rsidTr="00004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5221BB" w:rsidRPr="005221BB" w:rsidRDefault="005221BB" w:rsidP="0000481E">
            <w:pPr>
              <w:jc w:val="center"/>
              <w:rPr>
                <w:rStyle w:val="SC118877"/>
                <w:rFonts w:eastAsia="Times New Roman" w:cs="Arial"/>
                <w:b w:val="0"/>
                <w:bCs w:val="0"/>
                <w:color w:val="auto"/>
                <w:kern w:val="36"/>
                <w:sz w:val="16"/>
                <w:szCs w:val="16"/>
              </w:rPr>
            </w:pPr>
            <w:r w:rsidRPr="005221BB">
              <w:rPr>
                <w:rStyle w:val="SC118877"/>
                <w:rFonts w:eastAsia="Times New Roman" w:cs="Arial"/>
                <w:b w:val="0"/>
                <w:bCs w:val="0"/>
                <w:color w:val="auto"/>
                <w:kern w:val="36"/>
                <w:sz w:val="16"/>
                <w:szCs w:val="16"/>
              </w:rPr>
              <w:t>Malate dehydrogenase</w:t>
            </w:r>
          </w:p>
        </w:tc>
        <w:tc>
          <w:tcPr>
            <w:tcW w:w="3018" w:type="dxa"/>
          </w:tcPr>
          <w:p w:rsidR="005221BB" w:rsidRPr="005221BB" w:rsidRDefault="005221BB" w:rsidP="00AB7E17">
            <w:pPr>
              <w:jc w:val="center"/>
              <w:cnfStyle w:val="000000100000" w:firstRow="0" w:lastRow="0" w:firstColumn="0" w:lastColumn="0" w:oddVBand="0" w:evenVBand="0" w:oddHBand="1"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118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&lt;EndNote&gt;&lt;Cite&gt;&lt;Author&gt;Kim E&lt;/Author&gt;&lt;Year&gt;2013&lt;/Year&gt;&lt;RecNum&gt;332&lt;/RecNum&gt;&lt;DisplayText&gt;(60, 61)&lt;/DisplayText&gt;&lt;record&gt;&lt;rec-number&gt;332&lt;/rec-number&gt;&lt;foreign-keys&gt;&lt;key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Commun&lt;/full-title&gt;&lt;/periodical&gt;&lt;pages&gt;77-82&lt;/pages&gt;&lt;volume&gt;441&lt;/volume&gt;&lt;number&gt;1&lt;/number&gt;&lt;dates&gt;&lt;year&gt;2013&lt;/year&gt;&lt;/dates&gt;&lt;urls&gt;&lt;/urls&gt;&lt;/record&gt;&lt;/Cite&gt;&lt;Cite&gt;&lt;Author&gt;Kim E&lt;/Author&gt;&lt;Year&gt;2012&lt;/Year&gt;&lt;RecNum&gt;133&lt;/RecNum&gt;&lt;record&gt;&lt;rec-number&gt;133&lt;/rec-number&gt;&lt;foreign-keys&gt;&lt;key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w:t>
              </w:r>
            </w:hyperlink>
            <w:r w:rsidR="00FC3C1A">
              <w:rPr>
                <w:rStyle w:val="SC118877"/>
                <w:rFonts w:eastAsia="Times New Roman" w:cs="Arial"/>
                <w:bCs/>
                <w:noProof/>
                <w:color w:val="auto"/>
                <w:kern w:val="36"/>
                <w:sz w:val="16"/>
                <w:szCs w:val="16"/>
              </w:rPr>
              <w:t xml:space="preserve">, </w:t>
            </w:r>
            <w:hyperlink w:anchor="_ENREF_61" w:tooltip="Kim E, 2012 #133" w:history="1">
              <w:r w:rsidR="00AB7E17">
                <w:rPr>
                  <w:rStyle w:val="SC118877"/>
                  <w:rFonts w:eastAsia="Times New Roman" w:cs="Arial"/>
                  <w:bCs/>
                  <w:noProof/>
                  <w:color w:val="auto"/>
                  <w:kern w:val="36"/>
                  <w:sz w:val="16"/>
                  <w:szCs w:val="16"/>
                </w:rPr>
                <w:t>61</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121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&lt;EndNote&gt;&lt;Cite&gt;&lt;Author&gt;Kim E&lt;/Author&gt;&lt;Year&gt;2013&lt;/Year&gt;&lt;RecNum&gt;332&lt;/RecNum&gt;&lt;DisplayText&gt;(60, 61)&lt;/DisplayText&gt;&lt;record&gt;&lt;rec-number&gt;332&lt;/rec-number&gt;&lt;foreign-keys&gt;&lt;key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Commun&lt;/full-title&gt;&lt;/periodical&gt;&lt;pages&gt;77-82&lt;/pages&gt;&lt;volume&gt;441&lt;/volume&gt;&lt;number&gt;1&lt;/number&gt;&lt;dates&gt;&lt;year&gt;2013&lt;/year&gt;&lt;/dates&gt;&lt;urls&gt;&lt;/urls&gt;&lt;/record&gt;&lt;/Cite&gt;&lt;Cite&gt;&lt;Author&gt;Kim E&lt;/Author&gt;&lt;Year&gt;2012&lt;/Year&gt;&lt;RecNum&gt;133&lt;/RecNum&gt;&lt;record&gt;&lt;rec-number&gt;133&lt;/rec-number&gt;&lt;foreign-keys&gt;&lt;key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w:t>
              </w:r>
            </w:hyperlink>
            <w:r w:rsidR="00FC3C1A">
              <w:rPr>
                <w:rStyle w:val="SC118877"/>
                <w:rFonts w:eastAsia="Times New Roman" w:cs="Arial"/>
                <w:bCs/>
                <w:noProof/>
                <w:color w:val="auto"/>
                <w:kern w:val="36"/>
                <w:sz w:val="16"/>
                <w:szCs w:val="16"/>
              </w:rPr>
              <w:t xml:space="preserve">, </w:t>
            </w:r>
            <w:hyperlink w:anchor="_ENREF_61" w:tooltip="Kim E, 2012 #133" w:history="1">
              <w:r w:rsidR="00AB7E17">
                <w:rPr>
                  <w:rStyle w:val="SC118877"/>
                  <w:rFonts w:eastAsia="Times New Roman" w:cs="Arial"/>
                  <w:bCs/>
                  <w:noProof/>
                  <w:color w:val="auto"/>
                  <w:kern w:val="36"/>
                  <w:sz w:val="16"/>
                  <w:szCs w:val="16"/>
                </w:rPr>
                <w:t>61</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298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&lt;EndNote&gt;&lt;Cite&gt;&lt;Author&gt;Kim E&lt;/Author&gt;&lt;Year&gt;2013&lt;/Year&gt;&lt;RecNum&gt;332&lt;/RecNum&gt;&lt;DisplayText&gt;(60, 61)&lt;/DisplayText&gt;&lt;record&gt;&lt;rec-number&gt;332&lt;/rec-number&gt;&lt;foreign-keys&gt;&lt;key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Commun&lt;/full-title&gt;&lt;/periodical&gt;&lt;pages&gt;77-82&lt;/pages&gt;&lt;volume&gt;441&lt;/volume&gt;&lt;number&gt;1&lt;/number&gt;&lt;dates&gt;&lt;year&gt;2013&lt;/year&gt;&lt;/dates&gt;&lt;urls&gt;&lt;/urls&gt;&lt;/record&gt;&lt;/Cite&gt;&lt;Cite&gt;&lt;Author&gt;Kim E&lt;/Author&gt;&lt;Year&gt;2012&lt;/Year&gt;&lt;RecNum&gt;133&lt;/RecNum&gt;&lt;record&gt;&lt;rec-number&gt;133&lt;/rec-number&gt;&lt;foreign-keys&gt;&lt;key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w:t>
              </w:r>
            </w:hyperlink>
            <w:r w:rsidR="00FC3C1A">
              <w:rPr>
                <w:rStyle w:val="SC118877"/>
                <w:rFonts w:eastAsia="Times New Roman" w:cs="Arial"/>
                <w:bCs/>
                <w:noProof/>
                <w:color w:val="auto"/>
                <w:kern w:val="36"/>
                <w:sz w:val="16"/>
                <w:szCs w:val="16"/>
              </w:rPr>
              <w:t xml:space="preserve">, </w:t>
            </w:r>
            <w:hyperlink w:anchor="_ENREF_61" w:tooltip="Kim E, 2012 #133" w:history="1">
              <w:r w:rsidR="00AB7E17">
                <w:rPr>
                  <w:rStyle w:val="SC118877"/>
                  <w:rFonts w:eastAsia="Times New Roman" w:cs="Arial"/>
                  <w:bCs/>
                  <w:noProof/>
                  <w:color w:val="auto"/>
                  <w:kern w:val="36"/>
                  <w:sz w:val="16"/>
                  <w:szCs w:val="16"/>
                </w:rPr>
                <w:t>61</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185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&lt;EndNote&gt;&lt;Cite&gt;&lt;Author&gt;Zhao X&lt;/Author&gt;&lt;Year&gt;2011&lt;/Year&gt;&lt;RecNum&gt;302&lt;/RecNum&gt;&lt;DisplayText&gt;(62)&lt;/DisplayText&gt;&lt;record&gt;&lt;rec-number&gt;302&lt;/rec-number&gt;&lt;foreign-keys&gt;&lt;key app="EN" db-id="zxp9w5sa30aeafes0xox2eem00dz2z2aswad"&gt;302&lt;/key&gt;&lt;key app="ENWeb" db-id="UG1-3grtqigAAEqvEt0"&gt;324&lt;/key&gt;&lt;/foreign-keys&gt;&lt;ref-type name="Journal Article"&gt;17&lt;/ref-type&gt;&lt;contributors&gt;&lt;authors&gt;&lt;author&gt;Zhao X,&lt;/author&gt;&lt;author&gt;León I,&lt;/author&gt;&lt;author&gt;Bak S,&lt;/author&gt;&lt;author&gt;Mogensen M,&lt;/author&gt;&lt;author&gt;Wrzesinski K,&lt;/author&gt;&lt;author&gt;Højlund K,&lt;/author&gt;&lt;author&gt;Jensen O,&lt;/author&gt;&lt;/authors&gt;&lt;/contributors&gt;&lt;titles&gt;&lt;title&gt;Phosphoproteome analysis of functional mitochondria isolated from resting human muscle reveals extensivephosphorylation of inner membrane protein complexes and enzymes&lt;/title&gt;&lt;secondary-title&gt;Mol Cell Proteomics&lt;/secondary-title&gt;&lt;/titles&gt;&lt;periodical&gt;&lt;full-title&gt;Mol Cell Proteomics&lt;/full-title&gt;&lt;/periodical&gt;&lt;pages&gt;doi: 10.1074/mcp.M110.000299&lt;/pages&gt;&lt;volume&gt;10&lt;/volume&gt;&lt;number&gt;1&lt;/number&gt;&lt;dates&gt;&lt;year&gt;2011&lt;/year&gt;&lt;/dates&gt;&lt;urls&gt;&lt;/urls&gt;&lt;/record&gt;&lt;/Cite&gt;&lt;/EndNote&gt;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2" w:tooltip="Zhao X, 2011 #302" w:history="1">
              <w:r w:rsidR="00AB7E17">
                <w:rPr>
                  <w:rStyle w:val="SC118877"/>
                  <w:rFonts w:eastAsia="Times New Roman" w:cs="Arial"/>
                  <w:bCs/>
                  <w:noProof/>
                  <w:color w:val="auto"/>
                  <w:kern w:val="36"/>
                  <w:sz w:val="16"/>
                  <w:szCs w:val="16"/>
                </w:rPr>
                <w:t>62</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301 </w:t>
            </w:r>
            <w:r w:rsidR="006C2756" w:rsidRPr="005221BB">
              <w:rPr>
                <w:rStyle w:val="SC118877"/>
                <w:rFonts w:eastAsia="Times New Roman" w:cs="Arial"/>
                <w:bCs/>
                <w:color w:val="auto"/>
                <w:kern w:val="36"/>
                <w:sz w:val="16"/>
                <w:szCs w:val="16"/>
              </w:rPr>
              <w:fldChar w:fldCharType="begin">
                <w:fldData xml:space="preserve">PEVuZE5vdGU+PENpdGU+PEF1dGhvcj5aaGFvIFg8L0F1dGhvcj48WWVhcj4yMDExPC9ZZWFyPjxS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</w:fldData>
              </w:fldChar>
            </w:r>
            <w:r w:rsidR="00FC3C1A">
              <w:rPr>
                <w:rStyle w:val="SC118877"/>
                <w:rFonts w:eastAsia="Times New Roman" w:cs="Arial"/>
                <w:bCs/>
                <w:color w:val="auto"/>
                <w:kern w:val="36"/>
                <w:sz w:val="16"/>
                <w:szCs w:val="16"/>
              </w:rPr>
              <w:instrText xml:space="preserve"> ADDIN EN.CITE </w:instrText>
            </w:r>
            <w:r w:rsidR="00FC3C1A">
              <w:rPr>
                <w:rStyle w:val="SC118877"/>
                <w:rFonts w:eastAsia="Times New Roman" w:cs="Arial"/>
                <w:bCs/>
                <w:color w:val="auto"/>
                <w:kern w:val="36"/>
                <w:sz w:val="16"/>
                <w:szCs w:val="16"/>
              </w:rPr>
              <w:fldChar w:fldCharType="begin">
                <w:fldData xml:space="preserve">PEVuZE5vdGU+PENpdGU+PEF1dGhvcj5aaGFvIFg8L0F1dGhvcj48WWVhcj4yMDExPC9ZZWFyPjxS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</w:fldData>
              </w:fldChar>
            </w:r>
            <w:r w:rsidR="00FC3C1A">
              <w:rPr>
                <w:rStyle w:val="SC118877"/>
                <w:rFonts w:eastAsia="Times New Roman" w:cs="Arial"/>
                <w:bCs/>
                <w:color w:val="auto"/>
                <w:kern w:val="36"/>
                <w:sz w:val="16"/>
                <w:szCs w:val="16"/>
              </w:rPr>
              <w:instrText xml:space="preserve"> ADDIN EN.CITE.DATA </w:instrText>
            </w:r>
            <w:r w:rsidR="00FC3C1A">
              <w:rPr>
                <w:rStyle w:val="SC118877"/>
                <w:rFonts w:eastAsia="Times New Roman" w:cs="Arial"/>
                <w:bCs/>
                <w:color w:val="auto"/>
                <w:kern w:val="36"/>
                <w:sz w:val="16"/>
                <w:szCs w:val="16"/>
              </w:rPr>
            </w:r>
            <w:r w:rsidR="00FC3C1A">
              <w:rPr>
                <w:rStyle w:val="SC118877"/>
                <w:rFonts w:eastAsia="Times New Roman" w:cs="Arial"/>
                <w:bCs/>
                <w:color w:val="auto"/>
                <w:kern w:val="36"/>
                <w:sz w:val="16"/>
                <w:szCs w:val="16"/>
              </w:rPr>
              <w:fldChar w:fldCharType="end"/>
            </w:r>
            <w:r w:rsidR="006C2756" w:rsidRPr="005221BB">
              <w:rPr>
                <w:rStyle w:val="SC118877"/>
                <w:rFonts w:eastAsia="Times New Roman" w:cs="Arial"/>
                <w:bCs/>
                <w:color w:val="auto"/>
                <w:kern w:val="36"/>
                <w:sz w:val="16"/>
                <w:szCs w:val="16"/>
              </w:rPr>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60-62</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307 </w:t>
            </w:r>
            <w:r w:rsidR="006C2756" w:rsidRPr="005221BB">
              <w:rPr>
                <w:rStyle w:val="SC118877"/>
                <w:rFonts w:eastAsia="Times New Roman" w:cs="Arial"/>
                <w:bCs/>
                <w:color w:val="auto"/>
                <w:kern w:val="36"/>
                <w:sz w:val="16"/>
                <w:szCs w:val="16"/>
              </w:rPr>
              <w:fldChar w:fldCharType="begin">
                <w:fldData xml:space="preserve">PEVuZE5vdGU+PENpdGU+PEF1dGhvcj5aaGFvIFg8L0F1dGhvcj48WWVhcj4yMDExPC9ZZWFyPjxS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</w:fldData>
              </w:fldChar>
            </w:r>
            <w:r w:rsidR="00FC3C1A">
              <w:rPr>
                <w:rStyle w:val="SC118877"/>
                <w:rFonts w:eastAsia="Times New Roman" w:cs="Arial"/>
                <w:bCs/>
                <w:color w:val="auto"/>
                <w:kern w:val="36"/>
                <w:sz w:val="16"/>
                <w:szCs w:val="16"/>
              </w:rPr>
              <w:instrText xml:space="preserve"> ADDIN EN.CITE </w:instrText>
            </w:r>
            <w:r w:rsidR="00FC3C1A">
              <w:rPr>
                <w:rStyle w:val="SC118877"/>
                <w:rFonts w:eastAsia="Times New Roman" w:cs="Arial"/>
                <w:bCs/>
                <w:color w:val="auto"/>
                <w:kern w:val="36"/>
                <w:sz w:val="16"/>
                <w:szCs w:val="16"/>
              </w:rPr>
              <w:fldChar w:fldCharType="begin">
                <w:fldData xml:space="preserve">PEVuZE5vdGU+PENpdGU+PEF1dGhvcj5aaGFvIFg8L0F1dGhvcj48WWVhcj4yMDExPC9ZZWFyPjxS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</w:fldData>
              </w:fldChar>
            </w:r>
            <w:r w:rsidR="00FC3C1A">
              <w:rPr>
                <w:rStyle w:val="SC118877"/>
                <w:rFonts w:eastAsia="Times New Roman" w:cs="Arial"/>
                <w:bCs/>
                <w:color w:val="auto"/>
                <w:kern w:val="36"/>
                <w:sz w:val="16"/>
                <w:szCs w:val="16"/>
              </w:rPr>
              <w:instrText xml:space="preserve"> ADDIN EN.CITE.DATA </w:instrText>
            </w:r>
            <w:r w:rsidR="00FC3C1A">
              <w:rPr>
                <w:rStyle w:val="SC118877"/>
                <w:rFonts w:eastAsia="Times New Roman" w:cs="Arial"/>
                <w:bCs/>
                <w:color w:val="auto"/>
                <w:kern w:val="36"/>
                <w:sz w:val="16"/>
                <w:szCs w:val="16"/>
              </w:rPr>
            </w:r>
            <w:r w:rsidR="00FC3C1A">
              <w:rPr>
                <w:rStyle w:val="SC118877"/>
                <w:rFonts w:eastAsia="Times New Roman" w:cs="Arial"/>
                <w:bCs/>
                <w:color w:val="auto"/>
                <w:kern w:val="36"/>
                <w:sz w:val="16"/>
                <w:szCs w:val="16"/>
              </w:rPr>
              <w:fldChar w:fldCharType="end"/>
            </w:r>
            <w:r w:rsidR="006C2756" w:rsidRPr="005221BB">
              <w:rPr>
                <w:rStyle w:val="SC118877"/>
                <w:rFonts w:eastAsia="Times New Roman" w:cs="Arial"/>
                <w:bCs/>
                <w:color w:val="auto"/>
                <w:kern w:val="36"/>
                <w:sz w:val="16"/>
                <w:szCs w:val="16"/>
              </w:rPr>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60-62</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r w:rsidRPr="005221BB">
              <w:rPr>
                <w:rStyle w:val="SC118877"/>
                <w:rFonts w:eastAsia="Times New Roman" w:cs="Arial"/>
                <w:bCs/>
                <w:color w:val="auto"/>
                <w:kern w:val="36"/>
                <w:sz w:val="16"/>
                <w:szCs w:val="16"/>
              </w:rPr>
              <w:t xml:space="preserve">, 314 </w:t>
            </w:r>
            <w:r w:rsidR="006C2756" w:rsidRPr="005221BB">
              <w:rPr>
                <w:rStyle w:val="SC118877"/>
                <w:rFonts w:eastAsia="Times New Roman" w:cs="Arial"/>
                <w:bCs/>
                <w:color w:val="auto"/>
                <w:kern w:val="36"/>
                <w:sz w:val="16"/>
                <w:szCs w:val="16"/>
              </w:rPr>
              <w:fldChar w:fldCharType="begin">
                <w:fldData xml:space="preserve">PEVuZE5vdGU+PENpdGU+PEF1dGhvcj5aaGFvIFg8L0F1dGhvcj48WWVhcj4yMDExPC9ZZWFyPjxS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</w:fldData>
              </w:fldChar>
            </w:r>
            <w:r w:rsidR="00FC3C1A">
              <w:rPr>
                <w:rStyle w:val="SC118877"/>
                <w:rFonts w:eastAsia="Times New Roman" w:cs="Arial"/>
                <w:bCs/>
                <w:color w:val="auto"/>
                <w:kern w:val="36"/>
                <w:sz w:val="16"/>
                <w:szCs w:val="16"/>
              </w:rPr>
              <w:instrText xml:space="preserve"> ADDIN EN.CITE </w:instrText>
            </w:r>
            <w:r w:rsidR="00FC3C1A">
              <w:rPr>
                <w:rStyle w:val="SC118877"/>
                <w:rFonts w:eastAsia="Times New Roman" w:cs="Arial"/>
                <w:bCs/>
                <w:color w:val="auto"/>
                <w:kern w:val="36"/>
                <w:sz w:val="16"/>
                <w:szCs w:val="16"/>
              </w:rPr>
              <w:fldChar w:fldCharType="begin">
                <w:fldData xml:space="preserve">PEVuZE5vdGU+PENpdGU+PEF1dGhvcj5aaGFvIFg8L0F1dGhvcj48WWVhcj4yMDExPC9ZZWFyPjxS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</w:fldData>
              </w:fldChar>
            </w:r>
            <w:r w:rsidR="00FC3C1A">
              <w:rPr>
                <w:rStyle w:val="SC118877"/>
                <w:rFonts w:eastAsia="Times New Roman" w:cs="Arial"/>
                <w:bCs/>
                <w:color w:val="auto"/>
                <w:kern w:val="36"/>
                <w:sz w:val="16"/>
                <w:szCs w:val="16"/>
              </w:rPr>
              <w:instrText xml:space="preserve"> ADDIN EN.CITE.DATA </w:instrText>
            </w:r>
            <w:r w:rsidR="00FC3C1A">
              <w:rPr>
                <w:rStyle w:val="SC118877"/>
                <w:rFonts w:eastAsia="Times New Roman" w:cs="Arial"/>
                <w:bCs/>
                <w:color w:val="auto"/>
                <w:kern w:val="36"/>
                <w:sz w:val="16"/>
                <w:szCs w:val="16"/>
              </w:rPr>
            </w:r>
            <w:r w:rsidR="00FC3C1A">
              <w:rPr>
                <w:rStyle w:val="SC118877"/>
                <w:rFonts w:eastAsia="Times New Roman" w:cs="Arial"/>
                <w:bCs/>
                <w:color w:val="auto"/>
                <w:kern w:val="36"/>
                <w:sz w:val="16"/>
                <w:szCs w:val="16"/>
              </w:rPr>
              <w:fldChar w:fldCharType="end"/>
            </w:r>
            <w:r w:rsidR="006C2756" w:rsidRPr="005221BB">
              <w:rPr>
                <w:rStyle w:val="SC118877"/>
                <w:rFonts w:eastAsia="Times New Roman" w:cs="Arial"/>
                <w:bCs/>
                <w:color w:val="auto"/>
                <w:kern w:val="36"/>
                <w:sz w:val="16"/>
                <w:szCs w:val="16"/>
              </w:rPr>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60-62</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tc>
        <w:tc>
          <w:tcPr>
            <w:tcW w:w="3018" w:type="dxa"/>
          </w:tcPr>
          <w:p w:rsidR="005221BB" w:rsidRPr="005221BB" w:rsidRDefault="005221BB" w:rsidP="0000481E">
            <w:pPr>
              <w:jc w:val="center"/>
              <w:cnfStyle w:val="000000100000" w:firstRow="0" w:lastRow="0" w:firstColumn="0" w:lastColumn="0" w:oddVBand="0" w:evenVBand="0" w:oddHBand="1"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Activates the enzyme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&lt;EndNote&gt;&lt;Cite&gt;&lt;Author&gt;Zhao X&lt;/Author&gt;&lt;Year&gt;2011&lt;/Year&gt;&lt;RecNum&gt;302&lt;/RecNum&gt;&lt;DisplayText&gt;(62)&lt;/DisplayText&gt;&lt;record&gt;&lt;rec-number&gt;302&lt;/rec-number&gt;&lt;foreign-keys&gt;&lt;key app="EN" db-id="zxp9w5sa30aeafes0xox2eem00dz2z2aswad"&gt;302&lt;/key&gt;&lt;key app="ENWeb" db-id="UG1-3grtqigAAEqvEt0"&gt;324&lt;/key&gt;&lt;/foreign-keys&gt;&lt;ref-type name="Journal Article"&gt;17&lt;/ref-type&gt;&lt;contributors&gt;&lt;authors&gt;&lt;author&gt;Zhao X,&lt;/author&gt;&lt;author&gt;León I,&lt;/author&gt;&lt;author&gt;Bak S,&lt;/author&gt;&lt;author&gt;Mogensen M,&lt;/author&gt;&lt;author&gt;Wrzesinski K,&lt;/author&gt;&lt;author&gt;Højlund K,&lt;/author&gt;&lt;author&gt;Jensen O,&lt;/author&gt;&lt;/authors&gt;&lt;/contributors&gt;&lt;titles&gt;&lt;title&gt;Phosphoproteome analysis of functional mitochondria isolated from resting human muscle reveals extensivephosphorylation of inner membrane protein complexes and enzymes&lt;/title&gt;&lt;secondary-title&gt;Mol Cell Proteomics&lt;/secondary-title&gt;&lt;/titles&gt;&lt;periodical&gt;&lt;full-title&gt;Mol Cell Proteomics&lt;/full-title&gt;&lt;/periodical&gt;&lt;pages&gt;doi: 10.1074/mcp.M110.000299&lt;/pages&gt;&lt;volume&gt;10&lt;/volume&gt;&lt;number&gt;1&lt;/number&gt;&lt;dates&gt;&lt;year&gt;2011&lt;/year&gt;&lt;/dates&gt;&lt;urls&gt;&lt;/urls&gt;&lt;/record&gt;&lt;/Cite&gt;&lt;/EndNote&gt;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2" w:tooltip="Zhao X, 2011 #302" w:history="1">
              <w:r w:rsidR="00AB7E17">
                <w:rPr>
                  <w:rStyle w:val="SC118877"/>
                  <w:rFonts w:eastAsia="Times New Roman" w:cs="Arial"/>
                  <w:bCs/>
                  <w:noProof/>
                  <w:color w:val="auto"/>
                  <w:kern w:val="36"/>
                  <w:sz w:val="16"/>
                  <w:szCs w:val="16"/>
                </w:rPr>
                <w:t>62</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p w:rsidR="005221BB" w:rsidRPr="005221BB" w:rsidRDefault="005221BB" w:rsidP="00AB7E17">
            <w:pPr>
              <w:jc w:val="center"/>
              <w:cnfStyle w:val="000000100000" w:firstRow="0" w:lastRow="0" w:firstColumn="0" w:lastColumn="0" w:oddVBand="0" w:evenVBand="0" w:oddHBand="1" w:evenHBand="0" w:firstRowFirstColumn="0" w:firstRowLastColumn="0" w:lastRowFirstColumn="0" w:lastRowLastColumn="0"/>
              <w:rPr>
                <w:rStyle w:val="SC118877"/>
                <w:rFonts w:eastAsia="Times New Roman" w:cs="Arial"/>
                <w:bCs/>
                <w:color w:val="auto"/>
                <w:kern w:val="36"/>
                <w:sz w:val="16"/>
                <w:szCs w:val="16"/>
              </w:rPr>
            </w:pPr>
            <w:r w:rsidRPr="005221BB">
              <w:rPr>
                <w:rStyle w:val="SC118877"/>
                <w:rFonts w:eastAsia="Times New Roman" w:cs="Arial"/>
                <w:bCs/>
                <w:color w:val="auto"/>
                <w:kern w:val="36"/>
                <w:sz w:val="16"/>
                <w:szCs w:val="16"/>
              </w:rPr>
              <w:t xml:space="preserve">Regulates adipogenic differentiation </w:t>
            </w:r>
            <w:r w:rsidR="006C2756" w:rsidRPr="005221BB">
              <w:rPr>
                <w:rStyle w:val="SC118877"/>
                <w:rFonts w:eastAsia="Times New Roman" w:cs="Arial"/>
                <w:bCs/>
                <w:color w:val="auto"/>
                <w:kern w:val="36"/>
                <w:sz w:val="16"/>
                <w:szCs w:val="16"/>
              </w:rPr>
              <w:fldChar w:fldCharType="begin"/>
            </w:r>
            <w:r w:rsidR="00FC3C1A">
              <w:rPr>
                <w:rStyle w:val="SC118877"/>
                <w:rFonts w:eastAsia="Times New Roman" w:cs="Arial"/>
                <w:bCs/>
                <w:color w:val="auto"/>
                <w:kern w:val="36"/>
                <w:sz w:val="16"/>
                <w:szCs w:val="16"/>
              </w:rPr>
              <w:instrText xml:space="preserve"> ADDIN EN.CITE &lt;EndNote&gt;&lt;Cite&gt;&lt;Author&gt;Kim E&lt;/Author&gt;&lt;Year&gt;2013&lt;/Year&gt;&lt;RecNum&gt;332&lt;/RecNum&gt;&lt;DisplayText&gt;(60, 61)&lt;/DisplayText&gt;&lt;record&gt;&lt;rec-number&gt;332&lt;/rec-number&gt;&lt;foreign-keys&gt;&lt;key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Commun&lt;/full-title&gt;&lt;/periodical&gt;&lt;pages&gt;77-82&lt;/pages&gt;&lt;volume&gt;441&lt;/volume&gt;&lt;number&gt;1&lt;/number&gt;&lt;dates&gt;&lt;year&gt;2013&lt;/year&gt;&lt;/dates&gt;&lt;urls&gt;&lt;/urls&gt;&lt;/record&gt;&lt;/Cite&gt;&lt;Cite&gt;&lt;Author&gt;Kim E&lt;/Author&gt;&lt;Year&gt;2012&lt;/Year&gt;&lt;RecNum&gt;133&lt;/RecNum&gt;&lt;record&gt;&lt;rec-number&gt;133&lt;/rec-number&gt;&lt;foreign-keys&gt;&lt;key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5221BB">
              <w:rPr>
                <w:rStyle w:val="SC118877"/>
                <w:rFonts w:eastAsia="Times New Roman" w:cs="Arial"/>
                <w:bCs/>
                <w:color w:val="auto"/>
                <w:kern w:val="36"/>
                <w:sz w:val="16"/>
                <w:szCs w:val="16"/>
              </w:rPr>
              <w:fldChar w:fldCharType="separate"/>
            </w:r>
            <w:r w:rsidR="00FC3C1A">
              <w:rPr>
                <w:rStyle w:val="SC118877"/>
                <w:rFonts w:eastAsia="Times New Roman" w:cs="Arial"/>
                <w:bCs/>
                <w:noProof/>
                <w:color w:val="auto"/>
                <w:kern w:val="36"/>
                <w:sz w:val="16"/>
                <w:szCs w:val="16"/>
              </w:rPr>
              <w:t>(</w:t>
            </w:r>
            <w:hyperlink w:anchor="_ENREF_60" w:tooltip="Kim E, 2013 #332" w:history="1">
              <w:r w:rsidR="00AB7E17">
                <w:rPr>
                  <w:rStyle w:val="SC118877"/>
                  <w:rFonts w:eastAsia="Times New Roman" w:cs="Arial"/>
                  <w:bCs/>
                  <w:noProof/>
                  <w:color w:val="auto"/>
                  <w:kern w:val="36"/>
                  <w:sz w:val="16"/>
                  <w:szCs w:val="16"/>
                </w:rPr>
                <w:t>60</w:t>
              </w:r>
            </w:hyperlink>
            <w:r w:rsidR="00FC3C1A">
              <w:rPr>
                <w:rStyle w:val="SC118877"/>
                <w:rFonts w:eastAsia="Times New Roman" w:cs="Arial"/>
                <w:bCs/>
                <w:noProof/>
                <w:color w:val="auto"/>
                <w:kern w:val="36"/>
                <w:sz w:val="16"/>
                <w:szCs w:val="16"/>
              </w:rPr>
              <w:t xml:space="preserve">, </w:t>
            </w:r>
            <w:hyperlink w:anchor="_ENREF_61" w:tooltip="Kim E, 2012 #133" w:history="1">
              <w:r w:rsidR="00AB7E17">
                <w:rPr>
                  <w:rStyle w:val="SC118877"/>
                  <w:rFonts w:eastAsia="Times New Roman" w:cs="Arial"/>
                  <w:bCs/>
                  <w:noProof/>
                  <w:color w:val="auto"/>
                  <w:kern w:val="36"/>
                  <w:sz w:val="16"/>
                  <w:szCs w:val="16"/>
                </w:rPr>
                <w:t>61</w:t>
              </w:r>
            </w:hyperlink>
            <w:r w:rsidR="00FC3C1A">
              <w:rPr>
                <w:rStyle w:val="SC118877"/>
                <w:rFonts w:eastAsia="Times New Roman" w:cs="Arial"/>
                <w:bCs/>
                <w:noProof/>
                <w:color w:val="auto"/>
                <w:kern w:val="36"/>
                <w:sz w:val="16"/>
                <w:szCs w:val="16"/>
              </w:rPr>
              <w:t>)</w:t>
            </w:r>
            <w:r w:rsidR="006C2756" w:rsidRPr="005221BB">
              <w:rPr>
                <w:rStyle w:val="SC118877"/>
                <w:rFonts w:eastAsia="Times New Roman" w:cs="Arial"/>
                <w:bCs/>
                <w:color w:val="auto"/>
                <w:kern w:val="36"/>
                <w:sz w:val="16"/>
                <w:szCs w:val="16"/>
              </w:rPr>
              <w:fldChar w:fldCharType="end"/>
            </w:r>
          </w:p>
        </w:tc>
      </w:tr>
    </w:tbl>
    <w:p w:rsidR="005221BB" w:rsidRPr="008C3F1A" w:rsidRDefault="00A34CDA" w:rsidP="00A34CDA">
      <w:pPr>
        <w:pStyle w:val="Caption"/>
        <w:rPr>
          <w:rFonts w:ascii="Arial" w:hAnsi="Arial" w:cs="Arial"/>
          <w:color w:val="auto"/>
          <w:sz w:val="16"/>
          <w:szCs w:val="16"/>
        </w:rPr>
      </w:pPr>
      <w:bookmarkStart w:id="34" w:name="_Toc413666990"/>
      <w:proofErr w:type="gramStart"/>
      <w:r w:rsidRPr="00A34CDA">
        <w:rPr>
          <w:rFonts w:ascii="Arial" w:hAnsi="Arial" w:cs="Arial"/>
          <w:color w:val="auto"/>
          <w:sz w:val="16"/>
          <w:szCs w:val="16"/>
        </w:rPr>
        <w:t xml:space="preserve">Table </w:t>
      </w:r>
      <w:r w:rsidRPr="00A34CDA">
        <w:rPr>
          <w:rFonts w:ascii="Arial" w:hAnsi="Arial" w:cs="Arial"/>
          <w:color w:val="auto"/>
          <w:sz w:val="16"/>
          <w:szCs w:val="16"/>
        </w:rPr>
        <w:fldChar w:fldCharType="begin"/>
      </w:r>
      <w:r w:rsidRPr="00A34CDA">
        <w:rPr>
          <w:rFonts w:ascii="Arial" w:hAnsi="Arial" w:cs="Arial"/>
          <w:color w:val="auto"/>
          <w:sz w:val="16"/>
          <w:szCs w:val="16"/>
        </w:rPr>
        <w:instrText xml:space="preserve"> SEQ Table \* ARABIC </w:instrText>
      </w:r>
      <w:r w:rsidRPr="00A34CDA">
        <w:rPr>
          <w:rFonts w:ascii="Arial" w:hAnsi="Arial" w:cs="Arial"/>
          <w:color w:val="auto"/>
          <w:sz w:val="16"/>
          <w:szCs w:val="16"/>
        </w:rPr>
        <w:fldChar w:fldCharType="separate"/>
      </w:r>
      <w:r w:rsidR="00DC0376">
        <w:rPr>
          <w:rFonts w:ascii="Arial" w:hAnsi="Arial" w:cs="Arial"/>
          <w:noProof/>
          <w:color w:val="auto"/>
          <w:sz w:val="16"/>
          <w:szCs w:val="16"/>
        </w:rPr>
        <w:t>3</w:t>
      </w:r>
      <w:r w:rsidRPr="00A34CDA">
        <w:rPr>
          <w:rFonts w:ascii="Arial" w:hAnsi="Arial" w:cs="Arial"/>
          <w:color w:val="auto"/>
          <w:sz w:val="16"/>
          <w:szCs w:val="16"/>
        </w:rPr>
        <w:fldChar w:fldCharType="end"/>
      </w:r>
      <w:r w:rsidR="005221BB" w:rsidRPr="008C3F1A">
        <w:rPr>
          <w:rFonts w:ascii="Arial" w:hAnsi="Arial" w:cs="Arial"/>
          <w:color w:val="auto"/>
          <w:sz w:val="16"/>
          <w:szCs w:val="16"/>
        </w:rPr>
        <w:t>.</w:t>
      </w:r>
      <w:proofErr w:type="gramEnd"/>
      <w:r w:rsidR="005221BB" w:rsidRPr="008C3F1A">
        <w:rPr>
          <w:rFonts w:ascii="Arial" w:hAnsi="Arial" w:cs="Arial"/>
          <w:color w:val="auto"/>
          <w:sz w:val="16"/>
          <w:szCs w:val="16"/>
        </w:rPr>
        <w:t xml:space="preserve"> </w:t>
      </w:r>
      <w:proofErr w:type="gramStart"/>
      <w:r w:rsidR="005221BB" w:rsidRPr="008C3F1A">
        <w:rPr>
          <w:rFonts w:ascii="Arial" w:hAnsi="Arial" w:cs="Arial"/>
          <w:color w:val="auto"/>
          <w:sz w:val="16"/>
          <w:szCs w:val="16"/>
        </w:rPr>
        <w:t xml:space="preserve">Effect of acetylation on </w:t>
      </w:r>
      <w:r w:rsidR="005221BB">
        <w:rPr>
          <w:rFonts w:ascii="Arial" w:hAnsi="Arial" w:cs="Arial"/>
          <w:color w:val="auto"/>
          <w:sz w:val="16"/>
          <w:szCs w:val="16"/>
        </w:rPr>
        <w:t>isocitrate dehydrogenase, succinate dehydrogenase, and malate dehydrogenase.</w:t>
      </w:r>
      <w:bookmarkEnd w:id="34"/>
      <w:proofErr w:type="gramEnd"/>
    </w:p>
    <w:p w:rsidR="00EF1380" w:rsidRDefault="006F3B49" w:rsidP="00C252F1">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lang w:val="en-US"/>
        </w:rPr>
        <w:t xml:space="preserve">As </w:t>
      </w:r>
      <w:r w:rsidR="00C252F1">
        <w:rPr>
          <w:rFonts w:ascii="Arial" w:hAnsi="Arial" w:cs="Arial"/>
          <w:sz w:val="24"/>
          <w:szCs w:val="24"/>
          <w:lang w:val="en-US"/>
        </w:rPr>
        <w:t xml:space="preserve">with </w:t>
      </w:r>
      <w:r>
        <w:rPr>
          <w:rFonts w:ascii="Arial" w:hAnsi="Arial" w:cs="Arial"/>
          <w:sz w:val="24"/>
          <w:szCs w:val="24"/>
          <w:lang w:val="en-US"/>
        </w:rPr>
        <w:t xml:space="preserve">glycolytic enzymes, </w:t>
      </w:r>
      <w:r>
        <w:rPr>
          <w:rFonts w:ascii="Arial" w:hAnsi="Arial" w:cs="Arial"/>
          <w:sz w:val="24"/>
          <w:szCs w:val="24"/>
        </w:rPr>
        <w:t xml:space="preserve">enzymes </w:t>
      </w:r>
      <w:r w:rsidR="00C252F1">
        <w:rPr>
          <w:rFonts w:ascii="Arial" w:hAnsi="Arial" w:cs="Arial"/>
          <w:sz w:val="24"/>
          <w:szCs w:val="24"/>
        </w:rPr>
        <w:t xml:space="preserve">in </w:t>
      </w:r>
      <w:r>
        <w:rPr>
          <w:rFonts w:ascii="Arial" w:hAnsi="Arial" w:cs="Arial"/>
          <w:sz w:val="24"/>
          <w:szCs w:val="24"/>
        </w:rPr>
        <w:t xml:space="preserve">the TCA cycle are suitable of being regulated by calorie restriction (CR) </w:t>
      </w:r>
      <w:r w:rsidR="00C252F1">
        <w:rPr>
          <w:rFonts w:ascii="Arial" w:hAnsi="Arial" w:cs="Arial"/>
          <w:sz w:val="24"/>
          <w:szCs w:val="24"/>
        </w:rPr>
        <w:t xml:space="preserve">and </w:t>
      </w:r>
      <w:r>
        <w:rPr>
          <w:rFonts w:ascii="Arial" w:hAnsi="Arial" w:cs="Arial"/>
          <w:sz w:val="24"/>
          <w:szCs w:val="24"/>
        </w:rPr>
        <w:t xml:space="preserve">glucose levels, for example </w:t>
      </w:r>
      <w:r w:rsidR="00C252F1">
        <w:rPr>
          <w:rFonts w:ascii="Arial" w:hAnsi="Arial" w:cs="Arial"/>
          <w:sz w:val="24"/>
          <w:szCs w:val="24"/>
        </w:rPr>
        <w:t xml:space="preserve">isocitrate dehydrogenase. </w:t>
      </w:r>
      <w:r w:rsidR="00EF1380">
        <w:rPr>
          <w:rFonts w:ascii="Arial" w:hAnsi="Arial" w:cs="Arial"/>
          <w:sz w:val="24"/>
          <w:szCs w:val="24"/>
          <w:lang w:val="en-US"/>
        </w:rPr>
        <w:t>The acetylation status of i</w:t>
      </w:r>
      <w:r w:rsidR="00EF1380">
        <w:rPr>
          <w:rFonts w:ascii="Arial" w:hAnsi="Arial" w:cs="Arial"/>
          <w:sz w:val="24"/>
          <w:szCs w:val="24"/>
        </w:rPr>
        <w:t xml:space="preserve">socitrate dehydrogenase is related to its activity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&lt;EndNote&gt;&lt;Cite&gt;&lt;Author&gt;Yu W&lt;/Author&gt;&lt;Year&gt;2012&lt;/Year&gt;&lt;RecNum&gt;298&lt;/RecNum&gt;&lt;DisplayText&gt;(56, 57)&lt;/DisplayText&gt;&lt;record&gt;&lt;rec-number&gt;298&lt;/rec-number&gt;&lt;foreign-keys&gt;&lt;key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Cite&gt;&lt;Author&gt;Schlicker C&lt;/Author&gt;&lt;Year&gt;2008&lt;/Year&gt;&lt;RecNum&gt;224&lt;/RecNum&gt;&lt;record&gt;&lt;rec-number&gt;224&lt;/rec-number&gt;&lt;foreign-keys&gt;&lt;key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6" w:tooltip="Yu W, 2012 #298" w:history="1">
        <w:r w:rsidR="00AB7E17">
          <w:rPr>
            <w:rFonts w:ascii="Arial" w:hAnsi="Arial" w:cs="Arial"/>
            <w:noProof/>
            <w:sz w:val="24"/>
            <w:szCs w:val="24"/>
          </w:rPr>
          <w:t>56</w:t>
        </w:r>
      </w:hyperlink>
      <w:r w:rsidR="00FC3C1A">
        <w:rPr>
          <w:rFonts w:ascii="Arial" w:hAnsi="Arial" w:cs="Arial"/>
          <w:noProof/>
          <w:sz w:val="24"/>
          <w:szCs w:val="24"/>
        </w:rPr>
        <w:t xml:space="preserve">, </w:t>
      </w:r>
      <w:hyperlink w:anchor="_ENREF_57" w:tooltip="Schlicker C, 2008 #224" w:history="1">
        <w:r w:rsidR="00AB7E17">
          <w:rPr>
            <w:rFonts w:ascii="Arial" w:hAnsi="Arial" w:cs="Arial"/>
            <w:noProof/>
            <w:sz w:val="24"/>
            <w:szCs w:val="24"/>
          </w:rPr>
          <w:t>57</w:t>
        </w:r>
      </w:hyperlink>
      <w:r w:rsidR="00FC3C1A">
        <w:rPr>
          <w:rFonts w:ascii="Arial" w:hAnsi="Arial" w:cs="Arial"/>
          <w:noProof/>
          <w:sz w:val="24"/>
          <w:szCs w:val="24"/>
        </w:rPr>
        <w:t>)</w:t>
      </w:r>
      <w:r w:rsidR="006C2756">
        <w:rPr>
          <w:rFonts w:ascii="Arial" w:hAnsi="Arial" w:cs="Arial"/>
          <w:sz w:val="24"/>
          <w:szCs w:val="24"/>
        </w:rPr>
        <w:fldChar w:fldCharType="end"/>
      </w:r>
      <w:r w:rsidR="00EF1380">
        <w:rPr>
          <w:rFonts w:ascii="Arial" w:hAnsi="Arial" w:cs="Arial"/>
          <w:sz w:val="24"/>
          <w:szCs w:val="24"/>
        </w:rPr>
        <w:t xml:space="preserve">. According to Yu </w:t>
      </w:r>
      <w:r w:rsidR="00EF1380">
        <w:rPr>
          <w:rFonts w:ascii="Arial" w:hAnsi="Arial" w:cs="Arial"/>
          <w:i/>
          <w:sz w:val="24"/>
          <w:szCs w:val="24"/>
        </w:rPr>
        <w:t xml:space="preserve">et al., </w:t>
      </w:r>
      <w:r w:rsidR="00EF1380">
        <w:rPr>
          <w:rFonts w:ascii="Arial" w:hAnsi="Arial" w:cs="Arial"/>
          <w:sz w:val="24"/>
          <w:szCs w:val="24"/>
        </w:rPr>
        <w:t xml:space="preserve">2012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6" w:tooltip="Yu W, 2012 #298" w:history="1">
        <w:r w:rsidR="00AB7E17">
          <w:rPr>
            <w:rFonts w:ascii="Arial" w:hAnsi="Arial" w:cs="Arial"/>
            <w:noProof/>
            <w:sz w:val="24"/>
            <w:szCs w:val="24"/>
          </w:rPr>
          <w:t>56</w:t>
        </w:r>
      </w:hyperlink>
      <w:r w:rsidR="00FC3C1A">
        <w:rPr>
          <w:rFonts w:ascii="Arial" w:hAnsi="Arial" w:cs="Arial"/>
          <w:noProof/>
          <w:sz w:val="24"/>
          <w:szCs w:val="24"/>
        </w:rPr>
        <w:t>)</w:t>
      </w:r>
      <w:r w:rsidR="006C2756">
        <w:rPr>
          <w:rFonts w:ascii="Arial" w:hAnsi="Arial" w:cs="Arial"/>
          <w:sz w:val="24"/>
          <w:szCs w:val="24"/>
        </w:rPr>
        <w:fldChar w:fldCharType="end"/>
      </w:r>
      <w:r w:rsidR="00EF1380">
        <w:rPr>
          <w:rFonts w:ascii="Arial" w:hAnsi="Arial" w:cs="Arial"/>
          <w:sz w:val="24"/>
          <w:szCs w:val="24"/>
        </w:rPr>
        <w:t xml:space="preserve"> </w:t>
      </w:r>
      <w:r w:rsidR="00EF1380">
        <w:rPr>
          <w:rFonts w:ascii="Arial" w:hAnsi="Arial" w:cs="Arial"/>
          <w:i/>
          <w:sz w:val="24"/>
          <w:szCs w:val="24"/>
        </w:rPr>
        <w:t xml:space="preserve">in vitro </w:t>
      </w:r>
      <w:r w:rsidR="00EF1380">
        <w:rPr>
          <w:rFonts w:ascii="Arial" w:hAnsi="Arial" w:cs="Arial"/>
          <w:sz w:val="24"/>
          <w:szCs w:val="24"/>
        </w:rPr>
        <w:t xml:space="preserve">and </w:t>
      </w:r>
      <w:r w:rsidR="00EF1380">
        <w:rPr>
          <w:rFonts w:ascii="Arial" w:hAnsi="Arial" w:cs="Arial"/>
          <w:i/>
          <w:sz w:val="24"/>
          <w:szCs w:val="24"/>
        </w:rPr>
        <w:t xml:space="preserve">in vivo </w:t>
      </w:r>
      <w:r w:rsidR="00EF1380">
        <w:rPr>
          <w:rFonts w:ascii="Arial" w:hAnsi="Arial" w:cs="Arial"/>
          <w:sz w:val="24"/>
          <w:szCs w:val="24"/>
        </w:rPr>
        <w:t xml:space="preserve">findings, Sirt3 deacetylation of this enzyme at lysine residue 413, pointed as a regulatory site, stimulates its catalytic activity by 25-fold under calorie restriction </w:t>
      </w:r>
      <w:r w:rsidR="00FF2D1B">
        <w:rPr>
          <w:rFonts w:ascii="Arial" w:hAnsi="Arial" w:cs="Arial"/>
          <w:sz w:val="24"/>
          <w:szCs w:val="24"/>
        </w:rPr>
        <w:t xml:space="preserve">(CR) </w:t>
      </w:r>
      <w:r w:rsidR="00EF1380">
        <w:rPr>
          <w:rFonts w:ascii="Arial" w:hAnsi="Arial" w:cs="Arial"/>
          <w:sz w:val="24"/>
          <w:szCs w:val="24"/>
        </w:rPr>
        <w:t xml:space="preserve">and glucose restriction. On the other hand, its acetylation at the same lysine residue decreases its activity as much as 44-fold under the same dietary restrictions. In HEK293 cells, lowering glucose concentrations (5, 3, 1, and 0 g/litre for 6 hours) produced a </w:t>
      </w:r>
      <w:r w:rsidR="00EF1380">
        <w:rPr>
          <w:rFonts w:ascii="Arial" w:hAnsi="Arial" w:cs="Arial"/>
          <w:sz w:val="24"/>
          <w:szCs w:val="24"/>
        </w:rPr>
        <w:lastRenderedPageBreak/>
        <w:t xml:space="preserve">decrease in the acetylation levels of lysine residue 413, and an increase in Sirt3 levels, which was inversely related to isocitrate dehydrogenase activity. These findings link glucose levels, nutrient status, and isocitrate dehydrogenase activity directly. Under CR, the acetylation levels of lysine residue 413 is decreased by 3-fold when compared to control diet, matching the 3-fold increase observed in Sirt3 levels under CR. When lysine residues were mutated to glutamine, a 22-fold decrease in isocitrate dehydrogenase activity was observed, whereas when it was mutated to arginine there was a slight change in the activity of this enzyme, suggesting that the positive charge at lysine residue 413 is essential for its catalytic activity. NAD-dependant Sirt3-mediated deacetylation of this enzyme fully restores its catalytic activity, which is important because of the role of Sirt3 as cellular protection from oxidative stress produced by reactive oxygen species (ROS) throughout periods of enhanced oxidative metabolism, which is dependent on isocitrate dehydrogenase activity. When isocitrate dehydrogenase was knocked-down these protective effects of Sirt3 were abolished or considerably reduced, whereas when lysine residue was mutated to arginine, it was able to protect Sirt3 knocked-down mouse embryonic fibroblasts (MEF) from oxidative stress via increased levels of reduced glutathione, pointing isocitrate dehydrogenase as having a key role in preserving the redox equilibrium in mitochondria and a regulatory role of reversible acetylation of lysine residue 413. </w:t>
      </w:r>
    </w:p>
    <w:p w:rsidR="00EF1380" w:rsidRDefault="00EF1380" w:rsidP="00EF1380">
      <w:pPr>
        <w:autoSpaceDE w:val="0"/>
        <w:autoSpaceDN w:val="0"/>
        <w:adjustRightInd w:val="0"/>
        <w:spacing w:after="0" w:line="360" w:lineRule="auto"/>
        <w:ind w:firstLine="708"/>
        <w:jc w:val="both"/>
        <w:rPr>
          <w:rFonts w:ascii="Arial" w:hAnsi="Arial" w:cs="Arial"/>
          <w:sz w:val="24"/>
          <w:szCs w:val="24"/>
        </w:rPr>
      </w:pPr>
      <w:r w:rsidRPr="00BA00E4">
        <w:rPr>
          <w:rFonts w:ascii="Arial" w:hAnsi="Arial" w:cs="Arial"/>
          <w:sz w:val="24"/>
          <w:szCs w:val="24"/>
        </w:rPr>
        <w:t xml:space="preserve">Similarly to Yu </w:t>
      </w:r>
      <w:r w:rsidRPr="00BA00E4">
        <w:rPr>
          <w:rFonts w:ascii="Arial" w:hAnsi="Arial" w:cs="Arial"/>
          <w:i/>
          <w:sz w:val="24"/>
          <w:szCs w:val="24"/>
        </w:rPr>
        <w:t>et al.,</w:t>
      </w:r>
      <w:r w:rsidRPr="00BA00E4">
        <w:rPr>
          <w:rFonts w:ascii="Arial" w:hAnsi="Arial" w:cs="Arial"/>
          <w:sz w:val="24"/>
          <w:szCs w:val="24"/>
        </w:rPr>
        <w:t>2012</w:t>
      </w:r>
      <w:r>
        <w:rPr>
          <w:rFonts w:ascii="Arial" w:hAnsi="Arial" w:cs="Arial"/>
          <w:sz w:val="24"/>
          <w:szCs w:val="24"/>
        </w:rPr>
        <w:t xml:space="preserve">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6" w:tooltip="Yu W, 2012 #298" w:history="1">
        <w:r w:rsidR="00AB7E17">
          <w:rPr>
            <w:rFonts w:ascii="Arial" w:hAnsi="Arial" w:cs="Arial"/>
            <w:noProof/>
            <w:sz w:val="24"/>
            <w:szCs w:val="24"/>
          </w:rPr>
          <w:t>56</w:t>
        </w:r>
      </w:hyperlink>
      <w:r w:rsidR="00FC3C1A">
        <w:rPr>
          <w:rFonts w:ascii="Arial" w:hAnsi="Arial" w:cs="Arial"/>
          <w:noProof/>
          <w:sz w:val="24"/>
          <w:szCs w:val="24"/>
        </w:rPr>
        <w:t>)</w:t>
      </w:r>
      <w:r w:rsidR="006C2756">
        <w:rPr>
          <w:rFonts w:ascii="Arial" w:hAnsi="Arial" w:cs="Arial"/>
          <w:sz w:val="24"/>
          <w:szCs w:val="24"/>
        </w:rPr>
        <w:fldChar w:fldCharType="end"/>
      </w:r>
      <w:r w:rsidRPr="00BA00E4">
        <w:rPr>
          <w:rFonts w:ascii="Arial" w:hAnsi="Arial" w:cs="Arial"/>
          <w:sz w:val="24"/>
          <w:szCs w:val="24"/>
        </w:rPr>
        <w:t xml:space="preserve">, Schlicker </w:t>
      </w:r>
      <w:r w:rsidRPr="00BA00E4">
        <w:rPr>
          <w:rFonts w:ascii="Arial" w:hAnsi="Arial" w:cs="Arial"/>
          <w:i/>
          <w:sz w:val="24"/>
          <w:szCs w:val="24"/>
        </w:rPr>
        <w:t xml:space="preserve">et al., </w:t>
      </w:r>
      <w:r w:rsidRPr="00BA00E4">
        <w:rPr>
          <w:rFonts w:ascii="Arial" w:hAnsi="Arial" w:cs="Arial"/>
          <w:sz w:val="24"/>
          <w:szCs w:val="24"/>
        </w:rPr>
        <w:t>2008</w:t>
      </w:r>
      <w:r>
        <w:rPr>
          <w:rFonts w:ascii="Arial" w:hAnsi="Arial" w:cs="Arial"/>
          <w:sz w:val="24"/>
          <w:szCs w:val="24"/>
        </w:rPr>
        <w:t xml:space="preserve">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&lt;EndNote&gt;&lt;Cite&gt;&lt;Author&gt;Schlicker C&lt;/Author&gt;&lt;Year&gt;2008&lt;/Year&gt;&lt;RecNum&gt;224&lt;/RecNum&gt;&lt;DisplayText&gt;(57)&lt;/DisplayText&gt;&lt;record&gt;&lt;rec-number&gt;224&lt;/rec-number&gt;&lt;foreign-keys&gt;&lt;key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57" w:tooltip="Schlicker C, 2008 #224" w:history="1">
        <w:r w:rsidR="00AB7E17">
          <w:rPr>
            <w:rFonts w:ascii="Arial" w:hAnsi="Arial" w:cs="Arial"/>
            <w:noProof/>
            <w:sz w:val="24"/>
            <w:szCs w:val="24"/>
          </w:rPr>
          <w:t>57</w:t>
        </w:r>
      </w:hyperlink>
      <w:r w:rsidR="00FC3C1A">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t>
      </w:r>
      <w:r w:rsidRPr="00BA00E4">
        <w:rPr>
          <w:rFonts w:ascii="Arial" w:hAnsi="Arial" w:cs="Arial"/>
          <w:sz w:val="24"/>
          <w:szCs w:val="24"/>
        </w:rPr>
        <w:t xml:space="preserve">also found that </w:t>
      </w:r>
      <w:r>
        <w:rPr>
          <w:rFonts w:ascii="Arial" w:hAnsi="Arial" w:cs="Arial"/>
          <w:sz w:val="24"/>
          <w:szCs w:val="24"/>
        </w:rPr>
        <w:t>Sirt3 deactylation is NAD-</w:t>
      </w:r>
      <w:r w:rsidR="00AC4500">
        <w:rPr>
          <w:rFonts w:ascii="Arial" w:hAnsi="Arial" w:cs="Arial"/>
          <w:sz w:val="24"/>
          <w:szCs w:val="24"/>
        </w:rPr>
        <w:t>dependent</w:t>
      </w:r>
      <w:r>
        <w:rPr>
          <w:rFonts w:ascii="Arial" w:hAnsi="Arial" w:cs="Arial"/>
          <w:sz w:val="24"/>
          <w:szCs w:val="24"/>
        </w:rPr>
        <w:t xml:space="preserve"> and activates isocitrate dehydrogenase, an important point to regulate flux through the TCA cycle. They found out by an enzyme-linked immunosorbent assay (ELISA) system that Sirt3 efficiently deacetylates the substrate of this enzyme when it was isolated from mitochondria. Another mitochondrial member of the sirtuins deacetylases family, Sirt5, did not significantly decrease the acetylation levels of isocitrate dehydrogenase, even when used at high concentrations. Isocitrate dehydrogenase enhanced activity is Sirt3 concentration-dependent, since increasing concentrations of this deacetylase increase the activity of this enzyme. Based on the mitochondrial colocalization of Sirt3 and isocitrate dehydrogenase, a role of this enzyme as a physiological </w:t>
      </w:r>
      <w:r>
        <w:rPr>
          <w:rFonts w:ascii="Arial" w:hAnsi="Arial" w:cs="Arial"/>
          <w:sz w:val="24"/>
          <w:szCs w:val="24"/>
        </w:rPr>
        <w:lastRenderedPageBreak/>
        <w:t xml:space="preserve">substrate for Sirt3 leading to its subsequent activation by deacetylation is very likely. </w:t>
      </w:r>
    </w:p>
    <w:p w:rsidR="00EF1380" w:rsidRDefault="00EF1380" w:rsidP="00EF1380">
      <w:pPr>
        <w:autoSpaceDE w:val="0"/>
        <w:autoSpaceDN w:val="0"/>
        <w:adjustRightInd w:val="0"/>
        <w:spacing w:after="0" w:line="360" w:lineRule="auto"/>
        <w:ind w:firstLine="720"/>
        <w:jc w:val="both"/>
        <w:rPr>
          <w:rFonts w:ascii="Arial" w:hAnsi="Arial" w:cs="Arial"/>
          <w:sz w:val="24"/>
          <w:szCs w:val="24"/>
        </w:rPr>
      </w:pPr>
      <w:r>
        <w:rPr>
          <w:rStyle w:val="SC118877"/>
          <w:rFonts w:ascii="Arial" w:hAnsi="Arial" w:cs="Arial"/>
          <w:iCs/>
          <w:sz w:val="24"/>
          <w:szCs w:val="24"/>
        </w:rPr>
        <w:t>The activity of isocitrate dehydrogenase is also controlled by deacetylation, the opposite process of acetylation. In HEK293 and MEF cells deacetylation of isocitrate dehydrogenase,</w:t>
      </w:r>
      <w:r>
        <w:rPr>
          <w:rFonts w:ascii="Arial" w:hAnsi="Arial" w:cs="Arial"/>
          <w:sz w:val="24"/>
          <w:szCs w:val="24"/>
        </w:rPr>
        <w:t xml:space="preserve"> </w:t>
      </w:r>
      <w:r>
        <w:rPr>
          <w:rStyle w:val="SC118877"/>
          <w:rFonts w:ascii="Arial" w:hAnsi="Arial" w:cs="Arial"/>
          <w:iCs/>
          <w:sz w:val="24"/>
          <w:szCs w:val="24"/>
        </w:rPr>
        <w:t xml:space="preserve">via Sirt3 inhibits its activity under CR and glucose restriction </w:t>
      </w:r>
      <w:r w:rsidR="006C2756">
        <w:rPr>
          <w:rStyle w:val="SC118877"/>
          <w:rFonts w:ascii="Arial" w:hAnsi="Arial" w:cs="Arial"/>
          <w:iCs/>
          <w:sz w:val="24"/>
          <w:szCs w:val="24"/>
        </w:rPr>
        <w:fldChar w:fldCharType="begin"/>
      </w:r>
      <w:r w:rsidR="00FC3C1A">
        <w:rPr>
          <w:rStyle w:val="SC118877"/>
          <w:rFonts w:ascii="Arial" w:hAnsi="Arial" w:cs="Arial"/>
          <w:iCs/>
          <w:sz w:val="24"/>
          <w:szCs w:val="24"/>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Pr>
          <w:rStyle w:val="SC118877"/>
          <w:rFonts w:ascii="Arial" w:hAnsi="Arial" w:cs="Arial"/>
          <w:iCs/>
          <w:sz w:val="24"/>
          <w:szCs w:val="24"/>
        </w:rPr>
        <w:fldChar w:fldCharType="separate"/>
      </w:r>
      <w:r w:rsidR="00FC3C1A">
        <w:rPr>
          <w:rStyle w:val="SC118877"/>
          <w:rFonts w:ascii="Arial" w:hAnsi="Arial" w:cs="Arial"/>
          <w:iCs/>
          <w:noProof/>
          <w:sz w:val="24"/>
          <w:szCs w:val="24"/>
        </w:rPr>
        <w:t>(</w:t>
      </w:r>
      <w:hyperlink w:anchor="_ENREF_56" w:tooltip="Yu W, 2012 #298" w:history="1">
        <w:r w:rsidR="00AB7E17">
          <w:rPr>
            <w:rStyle w:val="SC118877"/>
            <w:rFonts w:ascii="Arial" w:hAnsi="Arial" w:cs="Arial"/>
            <w:iCs/>
            <w:noProof/>
            <w:sz w:val="24"/>
            <w:szCs w:val="24"/>
          </w:rPr>
          <w:t>56</w:t>
        </w:r>
      </w:hyperlink>
      <w:r w:rsidR="00FC3C1A">
        <w:rPr>
          <w:rStyle w:val="SC118877"/>
          <w:rFonts w:ascii="Arial" w:hAnsi="Arial" w:cs="Arial"/>
          <w:iCs/>
          <w:noProof/>
          <w:sz w:val="24"/>
          <w:szCs w:val="24"/>
        </w:rPr>
        <w:t>)</w:t>
      </w:r>
      <w:r w:rsidR="006C2756">
        <w:rPr>
          <w:rStyle w:val="SC118877"/>
          <w:rFonts w:ascii="Arial" w:hAnsi="Arial" w:cs="Arial"/>
          <w:iCs/>
          <w:sz w:val="24"/>
          <w:szCs w:val="24"/>
        </w:rPr>
        <w:fldChar w:fldCharType="end"/>
      </w:r>
      <w:r>
        <w:rPr>
          <w:rStyle w:val="SC118877"/>
          <w:rFonts w:ascii="Arial" w:hAnsi="Arial" w:cs="Arial"/>
          <w:iCs/>
          <w:sz w:val="24"/>
          <w:szCs w:val="24"/>
        </w:rPr>
        <w:t xml:space="preserve">. Under the aforementioned conditions, the lysine 413 residue is deacetylated leading to the inhibition of the enzyme </w:t>
      </w:r>
      <w:r w:rsidR="006C2756">
        <w:rPr>
          <w:rStyle w:val="SC118877"/>
          <w:rFonts w:ascii="Arial" w:hAnsi="Arial" w:cs="Arial"/>
          <w:iCs/>
          <w:sz w:val="24"/>
          <w:szCs w:val="24"/>
        </w:rPr>
        <w:fldChar w:fldCharType="begin"/>
      </w:r>
      <w:r w:rsidR="00FC3C1A">
        <w:rPr>
          <w:rStyle w:val="SC118877"/>
          <w:rFonts w:ascii="Arial" w:hAnsi="Arial" w:cs="Arial"/>
          <w:iCs/>
          <w:sz w:val="24"/>
          <w:szCs w:val="24"/>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Pr>
          <w:rStyle w:val="SC118877"/>
          <w:rFonts w:ascii="Arial" w:hAnsi="Arial" w:cs="Arial"/>
          <w:iCs/>
          <w:sz w:val="24"/>
          <w:szCs w:val="24"/>
        </w:rPr>
        <w:fldChar w:fldCharType="separate"/>
      </w:r>
      <w:r w:rsidR="00FC3C1A">
        <w:rPr>
          <w:rStyle w:val="SC118877"/>
          <w:rFonts w:ascii="Arial" w:hAnsi="Arial" w:cs="Arial"/>
          <w:iCs/>
          <w:noProof/>
          <w:sz w:val="24"/>
          <w:szCs w:val="24"/>
        </w:rPr>
        <w:t>(</w:t>
      </w:r>
      <w:hyperlink w:anchor="_ENREF_56" w:tooltip="Yu W, 2012 #298" w:history="1">
        <w:r w:rsidR="00AB7E17">
          <w:rPr>
            <w:rStyle w:val="SC118877"/>
            <w:rFonts w:ascii="Arial" w:hAnsi="Arial" w:cs="Arial"/>
            <w:iCs/>
            <w:noProof/>
            <w:sz w:val="24"/>
            <w:szCs w:val="24"/>
          </w:rPr>
          <w:t>56</w:t>
        </w:r>
      </w:hyperlink>
      <w:r w:rsidR="00FC3C1A">
        <w:rPr>
          <w:rStyle w:val="SC118877"/>
          <w:rFonts w:ascii="Arial" w:hAnsi="Arial" w:cs="Arial"/>
          <w:iCs/>
          <w:noProof/>
          <w:sz w:val="24"/>
          <w:szCs w:val="24"/>
        </w:rPr>
        <w:t>)</w:t>
      </w:r>
      <w:r w:rsidR="006C2756">
        <w:rPr>
          <w:rStyle w:val="SC118877"/>
          <w:rFonts w:ascii="Arial" w:hAnsi="Arial" w:cs="Arial"/>
          <w:iCs/>
          <w:sz w:val="24"/>
          <w:szCs w:val="24"/>
        </w:rPr>
        <w:fldChar w:fldCharType="end"/>
      </w:r>
      <w:r>
        <w:rPr>
          <w:rStyle w:val="SC118877"/>
          <w:rFonts w:ascii="Arial" w:hAnsi="Arial" w:cs="Arial"/>
          <w:iCs/>
          <w:sz w:val="24"/>
          <w:szCs w:val="24"/>
        </w:rPr>
        <w:t xml:space="preserve">. Based on this finding, it is very likely that there is a link between cancer cell metabolism and the Sirt3-induced isocitrate dehydrogenase inhibition, since this is an important mechanism to control metabolic enzymes. </w:t>
      </w:r>
      <w:r>
        <w:rPr>
          <w:rFonts w:ascii="Arial" w:hAnsi="Arial" w:cs="Arial"/>
          <w:sz w:val="24"/>
          <w:szCs w:val="24"/>
        </w:rPr>
        <w:t xml:space="preserve">Figure 5 summarises the regulation of isocitrate dehydrogenase by glucose concentrations. </w:t>
      </w:r>
    </w:p>
    <w:p w:rsidR="00DC0376" w:rsidRDefault="00DC0376" w:rsidP="00EF1380">
      <w:pPr>
        <w:autoSpaceDE w:val="0"/>
        <w:autoSpaceDN w:val="0"/>
        <w:adjustRightInd w:val="0"/>
        <w:spacing w:after="0" w:line="360" w:lineRule="auto"/>
        <w:ind w:firstLine="720"/>
        <w:jc w:val="both"/>
        <w:rPr>
          <w:rFonts w:ascii="Arial" w:hAnsi="Arial" w:cs="Arial"/>
          <w:sz w:val="24"/>
          <w:szCs w:val="24"/>
        </w:rPr>
      </w:pPr>
    </w:p>
    <w:p w:rsidR="00EF1380" w:rsidRPr="006366AE" w:rsidRDefault="00EF1380" w:rsidP="00EF1380">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27B8FB9C" wp14:editId="7E9948B0">
            <wp:extent cx="5508000" cy="396000"/>
            <wp:effectExtent l="38100" t="38100" r="35560" b="4254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DH.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508000" cy="396000"/>
                    </a:xfrm>
                    <a:prstGeom prst="rect">
                      <a:avLst/>
                    </a:prstGeom>
                    <a:ln w="28575">
                      <a:solidFill>
                        <a:schemeClr val="tx1"/>
                      </a:solidFill>
                    </a:ln>
                  </pic:spPr>
                </pic:pic>
              </a:graphicData>
            </a:graphic>
          </wp:inline>
        </w:drawing>
      </w:r>
    </w:p>
    <w:p w:rsidR="00EF1380" w:rsidRPr="00735400" w:rsidRDefault="00EF1380" w:rsidP="00EF1380">
      <w:pPr>
        <w:pStyle w:val="Caption"/>
        <w:jc w:val="both"/>
        <w:rPr>
          <w:rFonts w:ascii="Arial" w:hAnsi="Arial" w:cs="Arial"/>
          <w:i/>
          <w:color w:val="auto"/>
          <w:sz w:val="22"/>
          <w:szCs w:val="24"/>
        </w:rPr>
      </w:pPr>
      <w:bookmarkStart w:id="35" w:name="_Toc413419265"/>
      <w:proofErr w:type="gramStart"/>
      <w:r w:rsidRPr="005550BC">
        <w:rPr>
          <w:rFonts w:ascii="Arial" w:hAnsi="Arial" w:cs="Arial"/>
          <w:color w:val="auto"/>
          <w:sz w:val="16"/>
          <w:szCs w:val="16"/>
        </w:rPr>
        <w:t xml:space="preserve">Figure </w:t>
      </w:r>
      <w:r w:rsidR="006C2756" w:rsidRPr="005550BC">
        <w:rPr>
          <w:rFonts w:ascii="Arial" w:hAnsi="Arial" w:cs="Arial"/>
          <w:color w:val="auto"/>
          <w:sz w:val="16"/>
          <w:szCs w:val="16"/>
        </w:rPr>
        <w:fldChar w:fldCharType="begin"/>
      </w:r>
      <w:r w:rsidRPr="005550BC">
        <w:rPr>
          <w:rFonts w:ascii="Arial" w:hAnsi="Arial" w:cs="Arial"/>
          <w:color w:val="auto"/>
          <w:sz w:val="16"/>
          <w:szCs w:val="16"/>
        </w:rPr>
        <w:instrText xml:space="preserve"> SEQ Figure \* ARABIC </w:instrText>
      </w:r>
      <w:r w:rsidR="006C2756" w:rsidRPr="005550BC">
        <w:rPr>
          <w:rFonts w:ascii="Arial" w:hAnsi="Arial" w:cs="Arial"/>
          <w:color w:val="auto"/>
          <w:sz w:val="16"/>
          <w:szCs w:val="16"/>
        </w:rPr>
        <w:fldChar w:fldCharType="separate"/>
      </w:r>
      <w:r w:rsidR="00DC0376">
        <w:rPr>
          <w:rFonts w:ascii="Arial" w:hAnsi="Arial" w:cs="Arial"/>
          <w:noProof/>
          <w:color w:val="auto"/>
          <w:sz w:val="16"/>
          <w:szCs w:val="16"/>
        </w:rPr>
        <w:t>5</w:t>
      </w:r>
      <w:r w:rsidR="006C2756" w:rsidRPr="005550BC">
        <w:rPr>
          <w:rFonts w:ascii="Arial" w:hAnsi="Arial" w:cs="Arial"/>
          <w:color w:val="auto"/>
          <w:sz w:val="16"/>
          <w:szCs w:val="16"/>
        </w:rPr>
        <w:fldChar w:fldCharType="end"/>
      </w:r>
      <w:r w:rsidRPr="003B2E1B">
        <w:rPr>
          <w:rFonts w:ascii="Arial" w:hAnsi="Arial" w:cs="Arial"/>
          <w:color w:val="auto"/>
          <w:sz w:val="16"/>
        </w:rPr>
        <w:t>.</w:t>
      </w:r>
      <w:proofErr w:type="gramEnd"/>
      <w:r w:rsidRPr="003B2E1B">
        <w:rPr>
          <w:rFonts w:ascii="Arial" w:hAnsi="Arial" w:cs="Arial"/>
          <w:color w:val="auto"/>
          <w:sz w:val="16"/>
        </w:rPr>
        <w:t xml:space="preserve"> </w:t>
      </w:r>
      <w:proofErr w:type="gramStart"/>
      <w:r w:rsidR="00AA4622">
        <w:rPr>
          <w:rFonts w:ascii="Arial" w:hAnsi="Arial" w:cs="Arial"/>
          <w:color w:val="auto"/>
          <w:sz w:val="16"/>
        </w:rPr>
        <w:t>I</w:t>
      </w:r>
      <w:r>
        <w:rPr>
          <w:rFonts w:ascii="Arial" w:hAnsi="Arial" w:cs="Arial"/>
          <w:color w:val="auto"/>
          <w:sz w:val="16"/>
        </w:rPr>
        <w:t>socitrate dehydrogenase regulation by glucose levels.</w:t>
      </w:r>
      <w:proofErr w:type="gramEnd"/>
      <w:r>
        <w:rPr>
          <w:rFonts w:ascii="Arial" w:hAnsi="Arial" w:cs="Arial"/>
          <w:color w:val="auto"/>
          <w:sz w:val="16"/>
        </w:rPr>
        <w:t xml:space="preserve"> </w:t>
      </w:r>
      <w:r w:rsidRPr="00735400">
        <w:rPr>
          <w:rFonts w:ascii="Arial" w:hAnsi="Arial" w:cs="Arial"/>
          <w:i/>
          <w:color w:val="auto"/>
          <w:sz w:val="16"/>
        </w:rPr>
        <w:t>Under low glucose conditions, the activity of Sirt3 is enhanced, increasing the deacetylation of isocitrate dehydrogenase, hence dec</w:t>
      </w:r>
      <w:r w:rsidR="00494DBB">
        <w:rPr>
          <w:rFonts w:ascii="Arial" w:hAnsi="Arial" w:cs="Arial"/>
          <w:i/>
          <w:color w:val="auto"/>
          <w:sz w:val="16"/>
        </w:rPr>
        <w:t>reasing its enzymatic activity (production of TCA cycle substrates</w:t>
      </w:r>
      <w:r w:rsidR="00494DBB" w:rsidRPr="00494DBB">
        <w:rPr>
          <w:rFonts w:ascii="Arial" w:hAnsi="Arial" w:cs="Arial"/>
          <w:i/>
          <w:color w:val="auto"/>
          <w:sz w:val="16"/>
        </w:rPr>
        <w:t xml:space="preserve"> </w:t>
      </w:r>
      <w:r w:rsidR="00494DBB">
        <w:rPr>
          <w:rFonts w:ascii="Arial" w:hAnsi="Arial" w:cs="Arial"/>
          <w:i/>
          <w:color w:val="auto"/>
          <w:sz w:val="16"/>
        </w:rPr>
        <w:t xml:space="preserve">oxalosuccinate and </w:t>
      </w:r>
      <w:r w:rsidR="00494DBB" w:rsidRPr="00735400">
        <w:rPr>
          <w:rFonts w:ascii="Arial" w:hAnsi="Arial" w:cs="Arial"/>
          <w:i/>
          <w:color w:val="auto"/>
          <w:sz w:val="16"/>
        </w:rPr>
        <w:t>α-ketoglutarate</w:t>
      </w:r>
      <w:r w:rsidRPr="00735400">
        <w:rPr>
          <w:rFonts w:ascii="Arial" w:hAnsi="Arial" w:cs="Arial"/>
          <w:i/>
          <w:color w:val="auto"/>
          <w:sz w:val="16"/>
        </w:rPr>
        <w:t>).</w:t>
      </w:r>
      <w:r>
        <w:rPr>
          <w:rFonts w:ascii="Arial" w:hAnsi="Arial" w:cs="Arial"/>
          <w:i/>
          <w:color w:val="auto"/>
          <w:sz w:val="16"/>
        </w:rPr>
        <w:t xml:space="preserve"> Metabolic enzyme is shown in red bold font; products are shown in black bold font.</w:t>
      </w:r>
      <w:bookmarkEnd w:id="35"/>
    </w:p>
    <w:p w:rsidR="00EF1380" w:rsidRDefault="00E03825" w:rsidP="00EF1380">
      <w:pPr>
        <w:spacing w:line="360" w:lineRule="auto"/>
        <w:ind w:firstLine="720"/>
        <w:jc w:val="both"/>
        <w:rPr>
          <w:rFonts w:ascii="Arial" w:hAnsi="Arial" w:cs="Arial"/>
          <w:sz w:val="24"/>
          <w:szCs w:val="24"/>
        </w:rPr>
      </w:pPr>
      <w:r>
        <w:rPr>
          <w:rFonts w:ascii="Arial" w:hAnsi="Arial" w:cs="Arial"/>
          <w:sz w:val="24"/>
          <w:szCs w:val="24"/>
        </w:rPr>
        <w:t>Another TCA cycle enzyme,</w:t>
      </w:r>
      <w:r w:rsidR="008E3819">
        <w:rPr>
          <w:rFonts w:ascii="Arial" w:hAnsi="Arial" w:cs="Arial"/>
          <w:sz w:val="24"/>
          <w:szCs w:val="24"/>
        </w:rPr>
        <w:t xml:space="preserve"> malate dehydrogenase</w:t>
      </w:r>
      <w:r>
        <w:rPr>
          <w:rFonts w:ascii="Arial" w:hAnsi="Arial" w:cs="Arial"/>
          <w:sz w:val="24"/>
          <w:szCs w:val="24"/>
        </w:rPr>
        <w:t>,</w:t>
      </w:r>
      <w:r w:rsidR="008E3819">
        <w:rPr>
          <w:rFonts w:ascii="Arial" w:hAnsi="Arial" w:cs="Arial"/>
          <w:sz w:val="24"/>
          <w:szCs w:val="24"/>
        </w:rPr>
        <w:t xml:space="preserve"> </w:t>
      </w:r>
      <w:r>
        <w:rPr>
          <w:rFonts w:ascii="Arial" w:hAnsi="Arial" w:cs="Arial"/>
          <w:sz w:val="24"/>
          <w:szCs w:val="24"/>
        </w:rPr>
        <w:t xml:space="preserve">is suitable of being regulated by the energy state of the cell. </w:t>
      </w:r>
      <w:r w:rsidR="00EF1380">
        <w:rPr>
          <w:rFonts w:ascii="Arial" w:hAnsi="Arial" w:cs="Arial"/>
          <w:sz w:val="24"/>
          <w:szCs w:val="24"/>
        </w:rPr>
        <w:t xml:space="preserve">Kim </w:t>
      </w:r>
      <w:r w:rsidR="00EF1380">
        <w:rPr>
          <w:rFonts w:ascii="Arial" w:hAnsi="Arial" w:cs="Arial"/>
          <w:i/>
          <w:sz w:val="24"/>
          <w:szCs w:val="24"/>
        </w:rPr>
        <w:t xml:space="preserve">et al., </w:t>
      </w:r>
      <w:r w:rsidR="00EF1380">
        <w:rPr>
          <w:rFonts w:ascii="Arial" w:hAnsi="Arial" w:cs="Arial"/>
          <w:sz w:val="24"/>
          <w:szCs w:val="24"/>
        </w:rPr>
        <w:t xml:space="preserve">2012 and 2013  </w:t>
      </w:r>
      <w:r w:rsidR="006C2756">
        <w:rPr>
          <w:rStyle w:val="SC118877"/>
          <w:rFonts w:ascii="Arial" w:hAnsi="Arial" w:cs="Arial"/>
          <w:iCs/>
          <w:sz w:val="24"/>
          <w:szCs w:val="24"/>
        </w:rPr>
        <w:fldChar w:fldCharType="begin"/>
      </w:r>
      <w:r w:rsidR="00FC3C1A">
        <w:rPr>
          <w:rStyle w:val="SC118877"/>
          <w:rFonts w:ascii="Arial" w:hAnsi="Arial" w:cs="Arial"/>
          <w:iCs/>
          <w:sz w:val="24"/>
          <w:szCs w:val="24"/>
        </w:rPr>
        <w:instrText xml:space="preserve"> ADDIN EN.CITE &lt;EndNote&gt;&lt;Cite&gt;&lt;Author&gt;Kim E&lt;/Author&gt;&lt;Year&gt;2012&lt;/Year&gt;&lt;RecNum&gt;133&lt;/RecNum&gt;&lt;DisplayText&gt;(60, 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Res&lt;/full-title&gt;&lt;/periodical&gt;&lt;pages&gt;1864-1876&lt;/pages&gt;&lt;volume&gt;53&lt;/volume&gt;&lt;number&gt;9&lt;/number&gt;&lt;dates&gt;&lt;year&gt;2012&lt;/year&gt;&lt;/dates&gt;&lt;urls&gt;&lt;/urls&gt;&lt;/record&gt;&lt;/Cite&gt;&lt;Cite&gt;&lt;Author&gt;Kim E&lt;/Author&gt;&lt;Year&gt;2013&lt;/Year&gt;&lt;RecNum&gt;332&lt;/RecNum&gt;&lt;record&gt;&lt;rec-number&gt;332&lt;/rec-number&gt;&lt;foreign-keys&gt;&lt;key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Commun&lt;/full-title&gt;&lt;/periodical&gt;&lt;pages&gt;77-82&lt;/pages&gt;&lt;volume&gt;441&lt;/volume&gt;&lt;number&gt;1&lt;/number&gt;&lt;dates&gt;&lt;year&gt;2013&lt;/year&gt;&lt;/dates&gt;&lt;urls&gt;&lt;/urls&gt;&lt;/record&gt;&lt;/Cite&gt;&lt;/EndNote&gt;</w:instrText>
      </w:r>
      <w:r w:rsidR="006C2756">
        <w:rPr>
          <w:rStyle w:val="SC118877"/>
          <w:rFonts w:ascii="Arial" w:hAnsi="Arial" w:cs="Arial"/>
          <w:iCs/>
          <w:sz w:val="24"/>
          <w:szCs w:val="24"/>
        </w:rPr>
        <w:fldChar w:fldCharType="separate"/>
      </w:r>
      <w:r w:rsidR="00FC3C1A">
        <w:rPr>
          <w:rStyle w:val="SC118877"/>
          <w:rFonts w:ascii="Arial" w:hAnsi="Arial" w:cs="Arial"/>
          <w:iCs/>
          <w:noProof/>
          <w:sz w:val="24"/>
          <w:szCs w:val="24"/>
        </w:rPr>
        <w:t>(</w:t>
      </w:r>
      <w:hyperlink w:anchor="_ENREF_60" w:tooltip="Kim E, 2013 #332" w:history="1">
        <w:r w:rsidR="00AB7E17">
          <w:rPr>
            <w:rStyle w:val="SC118877"/>
            <w:rFonts w:ascii="Arial" w:hAnsi="Arial" w:cs="Arial"/>
            <w:iCs/>
            <w:noProof/>
            <w:sz w:val="24"/>
            <w:szCs w:val="24"/>
          </w:rPr>
          <w:t>60</w:t>
        </w:r>
      </w:hyperlink>
      <w:r w:rsidR="00FC3C1A">
        <w:rPr>
          <w:rStyle w:val="SC118877"/>
          <w:rFonts w:ascii="Arial" w:hAnsi="Arial" w:cs="Arial"/>
          <w:iCs/>
          <w:noProof/>
          <w:sz w:val="24"/>
          <w:szCs w:val="24"/>
        </w:rPr>
        <w:t xml:space="preserve">, </w:t>
      </w:r>
      <w:hyperlink w:anchor="_ENREF_61" w:tooltip="Kim E, 2012 #133" w:history="1">
        <w:r w:rsidR="00AB7E17">
          <w:rPr>
            <w:rStyle w:val="SC118877"/>
            <w:rFonts w:ascii="Arial" w:hAnsi="Arial" w:cs="Arial"/>
            <w:iCs/>
            <w:noProof/>
            <w:sz w:val="24"/>
            <w:szCs w:val="24"/>
          </w:rPr>
          <w:t>61</w:t>
        </w:r>
      </w:hyperlink>
      <w:r w:rsidR="00FC3C1A">
        <w:rPr>
          <w:rStyle w:val="SC118877"/>
          <w:rFonts w:ascii="Arial" w:hAnsi="Arial" w:cs="Arial"/>
          <w:iCs/>
          <w:noProof/>
          <w:sz w:val="24"/>
          <w:szCs w:val="24"/>
        </w:rPr>
        <w:t>)</w:t>
      </w:r>
      <w:r w:rsidR="006C2756">
        <w:rPr>
          <w:rStyle w:val="SC118877"/>
          <w:rFonts w:ascii="Arial" w:hAnsi="Arial" w:cs="Arial"/>
          <w:iCs/>
          <w:sz w:val="24"/>
          <w:szCs w:val="24"/>
        </w:rPr>
        <w:fldChar w:fldCharType="end"/>
      </w:r>
      <w:r w:rsidR="00EF1380">
        <w:rPr>
          <w:rStyle w:val="SC118877"/>
          <w:rFonts w:ascii="Arial" w:hAnsi="Arial" w:cs="Arial"/>
          <w:iCs/>
          <w:sz w:val="24"/>
          <w:szCs w:val="24"/>
        </w:rPr>
        <w:t xml:space="preserve"> showed </w:t>
      </w:r>
      <w:r w:rsidR="00EF1380">
        <w:rPr>
          <w:rFonts w:ascii="Arial" w:hAnsi="Arial" w:cs="Arial"/>
          <w:sz w:val="24"/>
          <w:szCs w:val="24"/>
        </w:rPr>
        <w:t xml:space="preserve">that malate dehydrogenase expression is enhanced, two-fold, during adipogenesis and that acetylation at lysine residue 118 is affected by the energy state of the cell and subsequently plays a role in the regulation of adipogenic differentiation, as there is a dramatic increase, up to 6-fold, in the acetylation levels of this enzyme in the last stage of adipogenesis. The overexpression of wild-type malate dehydrogenase in 3T3-L1 preadipocytes induced a significant increase in the cells going through adipogenesis as well as in lipid accumulation, whereas when acetylation at putative lysine acetylation sites 301, 307 and 314 is blocked, there was a significant reduction in adipogenic differentiation, showing once again the importance of the acetylation of this enzyme in adipogenic differentiation. The acetylation of ectopic malate dehydrogenase had an increase of 50% during adipogenesis, being correlated with its increase in enzymatic activity. As </w:t>
      </w:r>
      <w:r>
        <w:rPr>
          <w:rFonts w:ascii="Arial" w:hAnsi="Arial" w:cs="Arial"/>
          <w:sz w:val="24"/>
          <w:szCs w:val="24"/>
        </w:rPr>
        <w:t xml:space="preserve">well as its acetylation levels, </w:t>
      </w:r>
      <w:r w:rsidR="00EF1380">
        <w:rPr>
          <w:rFonts w:ascii="Arial" w:hAnsi="Arial" w:cs="Arial"/>
          <w:sz w:val="24"/>
          <w:szCs w:val="24"/>
        </w:rPr>
        <w:t xml:space="preserve">ectopic expression of malate dehydrogenase was also increased </w:t>
      </w:r>
      <w:r w:rsidR="00EF1380">
        <w:rPr>
          <w:rFonts w:ascii="Arial" w:hAnsi="Arial" w:cs="Arial"/>
          <w:sz w:val="24"/>
          <w:szCs w:val="24"/>
        </w:rPr>
        <w:lastRenderedPageBreak/>
        <w:t>in 3T3-L1 preadipocytes, being also related to induced adipogenesis, since an enhanced differentiation was observed in the cells; this enhancement is in terms of the time that cells take to be fully differentiated which downs from 12 to 8 days after differentiation is initiated. Interestingly, they found that glucose increasing concentrations, 5.5 to 50mM, are also related to adipogenic differentiation and malate dehydrogenase acetylation, since there is a correlation amongst adipogenic differentiation, acetylation levels of this enzyme and the higher the extracellular concentrations of glucose are. When lysine acetylation sites 118, 121, and 298 were mutated to arginine or glutamine, a loss in the capacity of the cells to go through adipogenic differentiation was induce</w:t>
      </w:r>
      <w:r w:rsidR="00627F45">
        <w:rPr>
          <w:rFonts w:ascii="Arial" w:hAnsi="Arial" w:cs="Arial"/>
          <w:sz w:val="24"/>
          <w:szCs w:val="24"/>
        </w:rPr>
        <w:t>oxidative</w:t>
      </w:r>
      <w:r w:rsidR="00EF1380">
        <w:rPr>
          <w:rFonts w:ascii="Arial" w:hAnsi="Arial" w:cs="Arial"/>
          <w:sz w:val="24"/>
          <w:szCs w:val="24"/>
        </w:rPr>
        <w:t xml:space="preserve">d but had no effect on its enzymatic activity, pointing malate dehydrogenase acetylation to be closely related to adipogenic differentiation. Malate dehydrogenase acetylation also increased its enzymatic activity and subsequently enhancement in the intracellular levels of the reduced form of </w:t>
      </w:r>
      <w:r w:rsidR="00EF1380">
        <w:rPr>
          <w:rFonts w:ascii="Arial" w:hAnsi="Arial" w:cs="Arial"/>
          <w:sz w:val="24"/>
          <w:szCs w:val="24"/>
          <w:lang w:val="en-US"/>
        </w:rPr>
        <w:t>nicotinamide adenine dinucleotide phosphate</w:t>
      </w:r>
      <w:r w:rsidR="00EF1380">
        <w:rPr>
          <w:rFonts w:ascii="Arial" w:hAnsi="Arial" w:cs="Arial"/>
          <w:sz w:val="24"/>
          <w:szCs w:val="24"/>
        </w:rPr>
        <w:t xml:space="preserve"> (NADPH) and acetyl-CoA in the synthesis of fatty acids by accelerating the shuttle of citrate, suggesting that these processes are also regulated by acetylation during adipogenesis. Altogether, these findings show that adipogenic differentiation may be controlled by the acetylation patterns of malate dehydrogenase and the acetylation of this enzyme is one of the cross-talk mechanisms between the energy levels within the cell, fatty acid biosynthesis, and adipogensis </w:t>
      </w:r>
      <w:r w:rsidR="006C2756">
        <w:rPr>
          <w:rStyle w:val="SC118877"/>
          <w:rFonts w:ascii="Arial" w:hAnsi="Arial" w:cs="Arial"/>
          <w:iCs/>
          <w:sz w:val="24"/>
          <w:szCs w:val="24"/>
        </w:rPr>
        <w:fldChar w:fldCharType="begin"/>
      </w:r>
      <w:r w:rsidR="00FC3C1A">
        <w:rPr>
          <w:rStyle w:val="SC118877"/>
          <w:rFonts w:ascii="Arial" w:hAnsi="Arial" w:cs="Arial"/>
          <w:iCs/>
          <w:sz w:val="24"/>
          <w:szCs w:val="24"/>
        </w:rPr>
        <w:instrText xml:space="preserve"> ADDIN EN.CITE &lt;EndNote&gt;&lt;Cite&gt;&lt;Author&gt;Kim E&lt;/Author&gt;&lt;Year&gt;2012&lt;/Year&gt;&lt;RecNum&gt;133&lt;/RecNum&gt;&lt;DisplayText&gt;(61)&lt;/DisplayText&gt;&lt;record&gt;&lt;rec-number&gt;133&lt;/rec-number&gt;&lt;foreign-keys&gt;&lt;key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SC118877"/>
          <w:rFonts w:ascii="Arial" w:hAnsi="Arial" w:cs="Arial"/>
          <w:iCs/>
          <w:sz w:val="24"/>
          <w:szCs w:val="24"/>
        </w:rPr>
        <w:fldChar w:fldCharType="separate"/>
      </w:r>
      <w:r w:rsidR="00FC3C1A">
        <w:rPr>
          <w:rStyle w:val="SC118877"/>
          <w:rFonts w:ascii="Arial" w:hAnsi="Arial" w:cs="Arial"/>
          <w:iCs/>
          <w:noProof/>
          <w:sz w:val="24"/>
          <w:szCs w:val="24"/>
        </w:rPr>
        <w:t>(</w:t>
      </w:r>
      <w:hyperlink w:anchor="_ENREF_61" w:tooltip="Kim E, 2012 #133" w:history="1">
        <w:r w:rsidR="00AB7E17">
          <w:rPr>
            <w:rStyle w:val="SC118877"/>
            <w:rFonts w:ascii="Arial" w:hAnsi="Arial" w:cs="Arial"/>
            <w:iCs/>
            <w:noProof/>
            <w:sz w:val="24"/>
            <w:szCs w:val="24"/>
          </w:rPr>
          <w:t>61</w:t>
        </w:r>
      </w:hyperlink>
      <w:r w:rsidR="00FC3C1A">
        <w:rPr>
          <w:rStyle w:val="SC118877"/>
          <w:rFonts w:ascii="Arial" w:hAnsi="Arial" w:cs="Arial"/>
          <w:iCs/>
          <w:noProof/>
          <w:sz w:val="24"/>
          <w:szCs w:val="24"/>
        </w:rPr>
        <w:t>)</w:t>
      </w:r>
      <w:r w:rsidR="006C2756">
        <w:rPr>
          <w:rStyle w:val="SC118877"/>
          <w:rFonts w:ascii="Arial" w:hAnsi="Arial" w:cs="Arial"/>
          <w:iCs/>
          <w:sz w:val="24"/>
          <w:szCs w:val="24"/>
        </w:rPr>
        <w:fldChar w:fldCharType="end"/>
      </w:r>
      <w:r w:rsidR="00EF1380">
        <w:rPr>
          <w:rStyle w:val="SC118877"/>
          <w:rFonts w:ascii="Arial" w:hAnsi="Arial" w:cs="Arial"/>
          <w:iCs/>
          <w:sz w:val="24"/>
          <w:szCs w:val="24"/>
        </w:rPr>
        <w:t xml:space="preserve">. </w:t>
      </w:r>
      <w:r w:rsidR="00EF1380">
        <w:rPr>
          <w:rFonts w:ascii="Arial" w:hAnsi="Arial" w:cs="Arial"/>
          <w:sz w:val="24"/>
          <w:szCs w:val="24"/>
        </w:rPr>
        <w:t xml:space="preserve">Figure 6 summarises the regulation of isocitrate dehydrogenase by glucose concentrations. </w:t>
      </w:r>
    </w:p>
    <w:p w:rsidR="00EF1380" w:rsidRDefault="00EF1380" w:rsidP="00EF1380">
      <w:pPr>
        <w:autoSpaceDE w:val="0"/>
        <w:autoSpaceDN w:val="0"/>
        <w:adjustRightInd w:val="0"/>
        <w:spacing w:after="0" w:line="360" w:lineRule="auto"/>
        <w:jc w:val="both"/>
        <w:rPr>
          <w:rStyle w:val="SC118877"/>
          <w:rFonts w:ascii="Arial" w:hAnsi="Arial" w:cs="Arial"/>
          <w:iCs/>
          <w:sz w:val="24"/>
          <w:szCs w:val="24"/>
        </w:rPr>
      </w:pPr>
      <w:r>
        <w:rPr>
          <w:rFonts w:ascii="Arial" w:hAnsi="Arial" w:cs="Arial"/>
          <w:iCs/>
          <w:noProof/>
          <w:color w:val="000000"/>
          <w:sz w:val="24"/>
          <w:szCs w:val="24"/>
        </w:rPr>
        <w:drawing>
          <wp:inline distT="0" distB="0" distL="0" distR="0" wp14:anchorId="598690E8" wp14:editId="1A71EF9F">
            <wp:extent cx="5612130" cy="1761490"/>
            <wp:effectExtent l="38100" t="38100" r="45720" b="292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1761490"/>
                    </a:xfrm>
                    <a:prstGeom prst="rect">
                      <a:avLst/>
                    </a:prstGeom>
                    <a:ln w="28575">
                      <a:solidFill>
                        <a:schemeClr val="tx1"/>
                      </a:solidFill>
                    </a:ln>
                  </pic:spPr>
                </pic:pic>
              </a:graphicData>
            </a:graphic>
          </wp:inline>
        </w:drawing>
      </w:r>
    </w:p>
    <w:p w:rsidR="00EF1380" w:rsidRDefault="00EF1380" w:rsidP="00EF1380">
      <w:pPr>
        <w:pStyle w:val="Caption"/>
        <w:jc w:val="both"/>
        <w:rPr>
          <w:rFonts w:ascii="Arial" w:hAnsi="Arial" w:cs="Arial"/>
          <w:i/>
          <w:color w:val="auto"/>
          <w:sz w:val="16"/>
        </w:rPr>
      </w:pPr>
      <w:bookmarkStart w:id="36" w:name="_Toc413419266"/>
      <w:proofErr w:type="gramStart"/>
      <w:r w:rsidRPr="005550BC">
        <w:rPr>
          <w:rFonts w:ascii="Arial" w:hAnsi="Arial" w:cs="Arial"/>
          <w:color w:val="auto"/>
          <w:sz w:val="16"/>
          <w:szCs w:val="16"/>
        </w:rPr>
        <w:t xml:space="preserve">Figure </w:t>
      </w:r>
      <w:r w:rsidR="006C2756" w:rsidRPr="005550BC">
        <w:rPr>
          <w:rFonts w:ascii="Arial" w:hAnsi="Arial" w:cs="Arial"/>
          <w:color w:val="auto"/>
          <w:sz w:val="16"/>
          <w:szCs w:val="16"/>
        </w:rPr>
        <w:fldChar w:fldCharType="begin"/>
      </w:r>
      <w:r w:rsidRPr="005550BC">
        <w:rPr>
          <w:rFonts w:ascii="Arial" w:hAnsi="Arial" w:cs="Arial"/>
          <w:color w:val="auto"/>
          <w:sz w:val="16"/>
          <w:szCs w:val="16"/>
        </w:rPr>
        <w:instrText xml:space="preserve"> SEQ Figure \* ARABIC </w:instrText>
      </w:r>
      <w:r w:rsidR="006C2756" w:rsidRPr="005550BC">
        <w:rPr>
          <w:rFonts w:ascii="Arial" w:hAnsi="Arial" w:cs="Arial"/>
          <w:color w:val="auto"/>
          <w:sz w:val="16"/>
          <w:szCs w:val="16"/>
        </w:rPr>
        <w:fldChar w:fldCharType="separate"/>
      </w:r>
      <w:r w:rsidR="00DC0376">
        <w:rPr>
          <w:rFonts w:ascii="Arial" w:hAnsi="Arial" w:cs="Arial"/>
          <w:noProof/>
          <w:color w:val="auto"/>
          <w:sz w:val="16"/>
          <w:szCs w:val="16"/>
        </w:rPr>
        <w:t>6</w:t>
      </w:r>
      <w:r w:rsidR="006C2756" w:rsidRPr="005550BC">
        <w:rPr>
          <w:rFonts w:ascii="Arial" w:hAnsi="Arial" w:cs="Arial"/>
          <w:color w:val="auto"/>
          <w:sz w:val="16"/>
          <w:szCs w:val="16"/>
        </w:rPr>
        <w:fldChar w:fldCharType="end"/>
      </w:r>
      <w:r w:rsidR="00494DBB">
        <w:rPr>
          <w:rFonts w:ascii="Arial" w:hAnsi="Arial" w:cs="Arial"/>
          <w:color w:val="auto"/>
          <w:sz w:val="16"/>
        </w:rPr>
        <w:t>.</w:t>
      </w:r>
      <w:proofErr w:type="gramEnd"/>
      <w:r w:rsidR="00AA4622">
        <w:rPr>
          <w:rFonts w:ascii="Arial" w:hAnsi="Arial" w:cs="Arial"/>
          <w:color w:val="auto"/>
          <w:sz w:val="16"/>
        </w:rPr>
        <w:t xml:space="preserve"> </w:t>
      </w:r>
      <w:proofErr w:type="gramStart"/>
      <w:r w:rsidR="00494DBB">
        <w:rPr>
          <w:rFonts w:ascii="Arial" w:hAnsi="Arial" w:cs="Arial"/>
          <w:color w:val="auto"/>
          <w:sz w:val="16"/>
        </w:rPr>
        <w:t>R</w:t>
      </w:r>
      <w:r>
        <w:rPr>
          <w:rFonts w:ascii="Arial" w:hAnsi="Arial" w:cs="Arial"/>
          <w:color w:val="auto"/>
          <w:sz w:val="16"/>
        </w:rPr>
        <w:t xml:space="preserve">egulation of malate dehydrogenase by </w:t>
      </w:r>
      <w:r w:rsidRPr="003B2E1B">
        <w:rPr>
          <w:rFonts w:ascii="Arial" w:hAnsi="Arial" w:cs="Arial"/>
          <w:color w:val="auto"/>
          <w:sz w:val="16"/>
        </w:rPr>
        <w:t xml:space="preserve">glucose </w:t>
      </w:r>
      <w:r>
        <w:rPr>
          <w:rFonts w:ascii="Arial" w:hAnsi="Arial" w:cs="Arial"/>
          <w:color w:val="auto"/>
          <w:sz w:val="16"/>
        </w:rPr>
        <w:t>levels</w:t>
      </w:r>
      <w:r w:rsidRPr="003B2E1B">
        <w:rPr>
          <w:rFonts w:ascii="Arial" w:hAnsi="Arial" w:cs="Arial"/>
          <w:color w:val="auto"/>
          <w:sz w:val="16"/>
        </w:rPr>
        <w:t>.</w:t>
      </w:r>
      <w:proofErr w:type="gramEnd"/>
      <w:r w:rsidRPr="003B2E1B">
        <w:rPr>
          <w:rFonts w:ascii="Arial" w:hAnsi="Arial" w:cs="Arial"/>
          <w:color w:val="auto"/>
          <w:sz w:val="16"/>
        </w:rPr>
        <w:t xml:space="preserve"> </w:t>
      </w:r>
      <w:r w:rsidRPr="00735400">
        <w:rPr>
          <w:rFonts w:ascii="Arial" w:hAnsi="Arial" w:cs="Arial"/>
          <w:i/>
          <w:color w:val="auto"/>
          <w:sz w:val="16"/>
        </w:rPr>
        <w:t>Under high glucose conditions, the activity of malate dehydrogenase is enhanced, i</w:t>
      </w:r>
      <w:r w:rsidR="00494DBB">
        <w:rPr>
          <w:rFonts w:ascii="Arial" w:hAnsi="Arial" w:cs="Arial"/>
          <w:i/>
          <w:color w:val="auto"/>
          <w:sz w:val="16"/>
        </w:rPr>
        <w:t>ncreasing its enzymatic activity</w:t>
      </w:r>
      <w:r w:rsidR="0000481E">
        <w:rPr>
          <w:rFonts w:ascii="Arial" w:hAnsi="Arial" w:cs="Arial"/>
          <w:i/>
          <w:color w:val="auto"/>
          <w:sz w:val="16"/>
        </w:rPr>
        <w:t xml:space="preserve"> </w:t>
      </w:r>
      <w:r w:rsidR="00494DBB">
        <w:rPr>
          <w:rFonts w:ascii="Arial" w:hAnsi="Arial" w:cs="Arial"/>
          <w:i/>
          <w:color w:val="auto"/>
          <w:sz w:val="16"/>
        </w:rPr>
        <w:t>(</w:t>
      </w:r>
      <w:r w:rsidRPr="00735400">
        <w:rPr>
          <w:rFonts w:ascii="Arial" w:hAnsi="Arial" w:cs="Arial"/>
          <w:i/>
          <w:color w:val="auto"/>
          <w:sz w:val="16"/>
        </w:rPr>
        <w:t>production of malate and oxaloacetate</w:t>
      </w:r>
      <w:r w:rsidR="00494DBB">
        <w:rPr>
          <w:rFonts w:ascii="Arial" w:hAnsi="Arial" w:cs="Arial"/>
          <w:i/>
          <w:color w:val="auto"/>
          <w:sz w:val="16"/>
        </w:rPr>
        <w:t>).</w:t>
      </w:r>
      <w:bookmarkEnd w:id="36"/>
    </w:p>
    <w:p w:rsidR="00DD6198" w:rsidRDefault="00DD6198">
      <w:pPr>
        <w:rPr>
          <w:rStyle w:val="SC118877"/>
          <w:rFonts w:ascii="Arial" w:eastAsia="Times New Roman" w:hAnsi="Arial" w:cs="Arial"/>
          <w:b/>
          <w:bCs/>
          <w:color w:val="auto"/>
          <w:kern w:val="36"/>
          <w:sz w:val="24"/>
          <w:szCs w:val="24"/>
        </w:rPr>
      </w:pPr>
      <w:bookmarkStart w:id="37" w:name="_Toc379983951"/>
      <w:r>
        <w:rPr>
          <w:rStyle w:val="SC118877"/>
          <w:rFonts w:ascii="Arial" w:hAnsi="Arial" w:cs="Arial"/>
          <w:color w:val="auto"/>
          <w:sz w:val="24"/>
          <w:szCs w:val="24"/>
        </w:rPr>
        <w:br w:type="page"/>
      </w:r>
    </w:p>
    <w:p w:rsidR="00EF1380" w:rsidRDefault="00EF1380" w:rsidP="00EF1380">
      <w:pPr>
        <w:pStyle w:val="Heading1"/>
        <w:rPr>
          <w:rStyle w:val="SC118877"/>
          <w:rFonts w:ascii="Arial" w:hAnsi="Arial" w:cs="Arial"/>
          <w:color w:val="auto"/>
          <w:sz w:val="24"/>
          <w:szCs w:val="24"/>
        </w:rPr>
      </w:pPr>
      <w:bookmarkStart w:id="38" w:name="_Toc413753749"/>
      <w:r>
        <w:rPr>
          <w:rStyle w:val="SC118877"/>
          <w:rFonts w:ascii="Arial" w:hAnsi="Arial" w:cs="Arial"/>
          <w:color w:val="auto"/>
          <w:sz w:val="24"/>
          <w:szCs w:val="24"/>
        </w:rPr>
        <w:lastRenderedPageBreak/>
        <w:t>II</w:t>
      </w:r>
      <w:r w:rsidRPr="00BD6DB0">
        <w:rPr>
          <w:rStyle w:val="SC118877"/>
          <w:rFonts w:ascii="Arial" w:hAnsi="Arial" w:cs="Arial"/>
          <w:color w:val="auto"/>
          <w:sz w:val="24"/>
          <w:szCs w:val="24"/>
        </w:rPr>
        <w:t>.</w:t>
      </w:r>
      <w:r>
        <w:rPr>
          <w:rStyle w:val="SC118877"/>
          <w:rFonts w:ascii="Arial" w:hAnsi="Arial" w:cs="Arial"/>
          <w:color w:val="auto"/>
          <w:sz w:val="24"/>
          <w:szCs w:val="24"/>
        </w:rPr>
        <w:t>1.iii</w:t>
      </w:r>
      <w:r w:rsidRPr="00BD6DB0">
        <w:rPr>
          <w:rStyle w:val="SC118877"/>
          <w:rFonts w:ascii="Arial" w:hAnsi="Arial" w:cs="Arial"/>
          <w:color w:val="auto"/>
          <w:sz w:val="24"/>
          <w:szCs w:val="24"/>
        </w:rPr>
        <w:t xml:space="preserve"> β-oxidation</w:t>
      </w:r>
      <w:bookmarkEnd w:id="37"/>
      <w:bookmarkEnd w:id="38"/>
    </w:p>
    <w:p w:rsidR="00EF1380" w:rsidRDefault="00EF1380" w:rsidP="00EF1380">
      <w:pPr>
        <w:spacing w:line="360" w:lineRule="auto"/>
        <w:ind w:firstLine="720"/>
        <w:jc w:val="both"/>
        <w:rPr>
          <w:rFonts w:ascii="Arial" w:hAnsi="Arial" w:cs="Arial"/>
          <w:sz w:val="24"/>
          <w:szCs w:val="24"/>
          <w:lang w:val="en-US"/>
        </w:rPr>
      </w:pPr>
      <w:proofErr w:type="gramStart"/>
      <w:r>
        <w:rPr>
          <w:rStyle w:val="SC118877"/>
          <w:rFonts w:ascii="Arial" w:hAnsi="Arial" w:cs="Arial"/>
          <w:iCs/>
          <w:sz w:val="24"/>
          <w:szCs w:val="24"/>
        </w:rPr>
        <w:t>β-oxidation</w:t>
      </w:r>
      <w:proofErr w:type="gramEnd"/>
      <w:r>
        <w:rPr>
          <w:rStyle w:val="SC118877"/>
          <w:rFonts w:ascii="Arial" w:hAnsi="Arial" w:cs="Arial"/>
          <w:iCs/>
          <w:sz w:val="24"/>
          <w:szCs w:val="24"/>
        </w:rPr>
        <w:t xml:space="preserve"> is the metabolic pathway by which fatty acids are transformed into acetyl-CoA. Once acetyl-CoA is produced, it enters the TCA cycle. </w:t>
      </w:r>
      <w:r>
        <w:rPr>
          <w:rFonts w:ascii="Arial" w:hAnsi="Arial" w:cs="Arial"/>
          <w:sz w:val="24"/>
          <w:szCs w:val="24"/>
          <w:lang w:val="en-US"/>
        </w:rPr>
        <w:t xml:space="preserve">There are five steps in </w:t>
      </w:r>
      <w:r>
        <w:rPr>
          <w:rStyle w:val="SC118877"/>
          <w:rFonts w:ascii="Arial" w:hAnsi="Arial" w:cs="Arial"/>
          <w:iCs/>
          <w:sz w:val="24"/>
          <w:szCs w:val="24"/>
        </w:rPr>
        <w:t>β-oxidation</w:t>
      </w:r>
      <w:r>
        <w:rPr>
          <w:rFonts w:ascii="Arial" w:hAnsi="Arial" w:cs="Arial"/>
          <w:sz w:val="24"/>
          <w:szCs w:val="24"/>
          <w:lang w:val="en-US"/>
        </w:rPr>
        <w:t xml:space="preserve">, each of them taken by different enzymes. Although there are five major enzymes, many isoforms of each enzyme have been identified, showing different chain-length specificities. The five main enzymes that take part in </w:t>
      </w:r>
      <w:r>
        <w:rPr>
          <w:rStyle w:val="SC118877"/>
          <w:rFonts w:ascii="Arial" w:hAnsi="Arial" w:cs="Arial"/>
          <w:iCs/>
          <w:sz w:val="24"/>
          <w:szCs w:val="24"/>
        </w:rPr>
        <w:t>β-oxidation</w:t>
      </w:r>
      <w:r>
        <w:rPr>
          <w:rFonts w:ascii="Arial" w:hAnsi="Arial" w:cs="Arial"/>
          <w:sz w:val="24"/>
          <w:szCs w:val="24"/>
          <w:lang w:val="en-US"/>
        </w:rPr>
        <w:t xml:space="preserve"> and the reaction</w:t>
      </w:r>
      <w:r w:rsidR="006F7E97">
        <w:rPr>
          <w:rFonts w:ascii="Arial" w:hAnsi="Arial" w:cs="Arial"/>
          <w:sz w:val="24"/>
          <w:szCs w:val="24"/>
          <w:lang w:val="en-US"/>
        </w:rPr>
        <w:t>s</w:t>
      </w:r>
      <w:r>
        <w:rPr>
          <w:rFonts w:ascii="Arial" w:hAnsi="Arial" w:cs="Arial"/>
          <w:sz w:val="24"/>
          <w:szCs w:val="24"/>
          <w:lang w:val="en-US"/>
        </w:rPr>
        <w:t xml:space="preserve"> catalyzed by them are </w:t>
      </w:r>
      <w:r w:rsidR="006F7E97">
        <w:rPr>
          <w:rFonts w:ascii="Arial" w:hAnsi="Arial" w:cs="Arial"/>
          <w:sz w:val="24"/>
          <w:szCs w:val="24"/>
          <w:lang w:val="en-US"/>
        </w:rPr>
        <w:t>summari</w:t>
      </w:r>
      <w:r w:rsidR="00117570">
        <w:rPr>
          <w:rFonts w:ascii="Arial" w:hAnsi="Arial" w:cs="Arial"/>
          <w:sz w:val="24"/>
          <w:szCs w:val="24"/>
          <w:lang w:val="en-US"/>
        </w:rPr>
        <w:t>s</w:t>
      </w:r>
      <w:r w:rsidR="006F7E97">
        <w:rPr>
          <w:rFonts w:ascii="Arial" w:hAnsi="Arial" w:cs="Arial"/>
          <w:sz w:val="24"/>
          <w:szCs w:val="24"/>
          <w:lang w:val="en-US"/>
        </w:rPr>
        <w:t>ed</w:t>
      </w:r>
      <w:r>
        <w:rPr>
          <w:rFonts w:ascii="Arial" w:hAnsi="Arial" w:cs="Arial"/>
          <w:sz w:val="24"/>
          <w:szCs w:val="24"/>
          <w:lang w:val="en-US"/>
        </w:rPr>
        <w:t xml:space="preserve"> in Figure 7.</w:t>
      </w:r>
    </w:p>
    <w:p w:rsidR="00EF1380" w:rsidRPr="00BD6DB0" w:rsidRDefault="00EF1380" w:rsidP="00EF1380">
      <w:pPr>
        <w:rPr>
          <w:rStyle w:val="SC118877"/>
          <w:rFonts w:ascii="Arial" w:hAnsi="Arial" w:cs="Arial"/>
          <w:color w:val="auto"/>
          <w:sz w:val="24"/>
          <w:szCs w:val="24"/>
        </w:rPr>
      </w:pPr>
      <w:r>
        <w:rPr>
          <w:rFonts w:ascii="Arial" w:hAnsi="Arial" w:cs="Arial"/>
          <w:noProof/>
          <w:sz w:val="24"/>
          <w:szCs w:val="24"/>
        </w:rPr>
        <w:drawing>
          <wp:inline distT="0" distB="0" distL="0" distR="0" wp14:anchorId="20026A59" wp14:editId="17B6AC08">
            <wp:extent cx="5612130" cy="1889760"/>
            <wp:effectExtent l="38100" t="38100" r="45720" b="342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1889760"/>
                    </a:xfrm>
                    <a:prstGeom prst="rect">
                      <a:avLst/>
                    </a:prstGeom>
                    <a:ln w="28575">
                      <a:solidFill>
                        <a:schemeClr val="tx1"/>
                      </a:solidFill>
                    </a:ln>
                  </pic:spPr>
                </pic:pic>
              </a:graphicData>
            </a:graphic>
          </wp:inline>
        </w:drawing>
      </w:r>
    </w:p>
    <w:p w:rsidR="00EF1380" w:rsidRPr="00BD6DB0" w:rsidRDefault="00EF1380" w:rsidP="00EF1380">
      <w:pPr>
        <w:pStyle w:val="Caption"/>
        <w:rPr>
          <w:rFonts w:ascii="Arial" w:hAnsi="Arial" w:cs="Arial"/>
          <w:b w:val="0"/>
          <w:iCs/>
          <w:color w:val="auto"/>
          <w:sz w:val="16"/>
          <w:szCs w:val="16"/>
          <w:lang w:val="en-US"/>
        </w:rPr>
      </w:pPr>
      <w:bookmarkStart w:id="39" w:name="_Toc413419267"/>
      <w:proofErr w:type="gramStart"/>
      <w:r w:rsidRPr="00884A7D">
        <w:rPr>
          <w:rFonts w:ascii="Arial" w:hAnsi="Arial" w:cs="Arial"/>
          <w:color w:val="auto"/>
          <w:sz w:val="16"/>
        </w:rPr>
        <w:t xml:space="preserve">Figure </w:t>
      </w:r>
      <w:r w:rsidR="006C2756" w:rsidRPr="00884A7D">
        <w:rPr>
          <w:rFonts w:ascii="Arial" w:hAnsi="Arial" w:cs="Arial"/>
          <w:color w:val="auto"/>
          <w:sz w:val="16"/>
        </w:rPr>
        <w:fldChar w:fldCharType="begin"/>
      </w:r>
      <w:r w:rsidRPr="00884A7D">
        <w:rPr>
          <w:rFonts w:ascii="Arial" w:hAnsi="Arial" w:cs="Arial"/>
          <w:color w:val="auto"/>
          <w:sz w:val="16"/>
        </w:rPr>
        <w:instrText xml:space="preserve"> SEQ Figure \* ARABIC </w:instrText>
      </w:r>
      <w:r w:rsidR="006C2756" w:rsidRPr="00884A7D">
        <w:rPr>
          <w:rFonts w:ascii="Arial" w:hAnsi="Arial" w:cs="Arial"/>
          <w:color w:val="auto"/>
          <w:sz w:val="16"/>
        </w:rPr>
        <w:fldChar w:fldCharType="separate"/>
      </w:r>
      <w:r w:rsidR="00DC0376">
        <w:rPr>
          <w:rFonts w:ascii="Arial" w:hAnsi="Arial" w:cs="Arial"/>
          <w:noProof/>
          <w:color w:val="auto"/>
          <w:sz w:val="16"/>
        </w:rPr>
        <w:t>7</w:t>
      </w:r>
      <w:r w:rsidR="006C2756" w:rsidRPr="00884A7D">
        <w:rPr>
          <w:rFonts w:ascii="Arial" w:hAnsi="Arial" w:cs="Arial"/>
          <w:color w:val="auto"/>
          <w:sz w:val="16"/>
        </w:rPr>
        <w:fldChar w:fldCharType="end"/>
      </w:r>
      <w:r w:rsidRPr="00884A7D">
        <w:rPr>
          <w:rFonts w:ascii="Arial" w:hAnsi="Arial" w:cs="Arial"/>
          <w:color w:val="auto"/>
          <w:sz w:val="16"/>
        </w:rPr>
        <w:t>.</w:t>
      </w:r>
      <w:proofErr w:type="gramEnd"/>
      <w:r w:rsidRPr="00884A7D">
        <w:rPr>
          <w:color w:val="auto"/>
          <w:sz w:val="16"/>
        </w:rPr>
        <w:t xml:space="preserve"> </w:t>
      </w:r>
      <w:proofErr w:type="gramStart"/>
      <w:r w:rsidRPr="00BD6DB0">
        <w:rPr>
          <w:rFonts w:ascii="Arial" w:hAnsi="Arial" w:cs="Arial"/>
          <w:iCs/>
          <w:color w:val="auto"/>
          <w:sz w:val="16"/>
          <w:szCs w:val="16"/>
          <w:lang w:val="en-US"/>
        </w:rPr>
        <w:t>Enzymes and reactions in β-oxidation.</w:t>
      </w:r>
      <w:proofErr w:type="gramEnd"/>
      <w:r w:rsidRPr="00BD6DB0">
        <w:rPr>
          <w:rFonts w:ascii="Arial" w:hAnsi="Arial" w:cs="Arial"/>
          <w:iCs/>
          <w:color w:val="auto"/>
          <w:sz w:val="16"/>
          <w:szCs w:val="16"/>
          <w:lang w:val="en-US"/>
        </w:rPr>
        <w:t xml:space="preserve"> </w:t>
      </w:r>
      <w:r w:rsidRPr="00BD6DB0">
        <w:rPr>
          <w:rFonts w:ascii="Arial" w:hAnsi="Arial" w:cs="Arial"/>
          <w:i/>
          <w:color w:val="auto"/>
          <w:sz w:val="16"/>
          <w:szCs w:val="16"/>
        </w:rPr>
        <w:t>Metabolic enzymes in this pathway are shown in red bold font; metabolic products in this pathway are shown in black bold font.</w:t>
      </w:r>
      <w:bookmarkEnd w:id="39"/>
    </w:p>
    <w:p w:rsidR="00EF1380" w:rsidRDefault="00EF1380" w:rsidP="00EF1380">
      <w:pPr>
        <w:autoSpaceDE w:val="0"/>
        <w:autoSpaceDN w:val="0"/>
        <w:adjustRightInd w:val="0"/>
        <w:spacing w:after="0" w:line="360" w:lineRule="auto"/>
        <w:ind w:firstLine="720"/>
        <w:jc w:val="both"/>
        <w:rPr>
          <w:rFonts w:ascii="Arial" w:hAnsi="Arial" w:cs="Arial"/>
          <w:sz w:val="24"/>
          <w:szCs w:val="24"/>
          <w:lang w:val="en-US"/>
        </w:rPr>
      </w:pPr>
      <w:r>
        <w:rPr>
          <w:rFonts w:ascii="Arial" w:hAnsi="Arial" w:cs="Arial"/>
          <w:sz w:val="24"/>
          <w:szCs w:val="24"/>
        </w:rPr>
        <w:t>Even the activity of the β-oxidation enzymes is controlled by acetylation</w:t>
      </w:r>
      <w:r w:rsidR="006F7E97">
        <w:rPr>
          <w:rFonts w:ascii="Arial" w:hAnsi="Arial" w:cs="Arial"/>
          <w:sz w:val="24"/>
          <w:szCs w:val="24"/>
        </w:rPr>
        <w:t>,</w:t>
      </w:r>
      <w:r>
        <w:rPr>
          <w:rFonts w:ascii="Arial" w:hAnsi="Arial" w:cs="Arial"/>
          <w:sz w:val="24"/>
          <w:szCs w:val="24"/>
        </w:rPr>
        <w:t xml:space="preserve"> just the acetylation patterns of </w:t>
      </w:r>
      <w:r w:rsidR="006F7E97">
        <w:rPr>
          <w:rFonts w:ascii="Arial" w:hAnsi="Arial" w:cs="Arial"/>
          <w:sz w:val="24"/>
          <w:szCs w:val="24"/>
        </w:rPr>
        <w:t>3 enzymes have been shown to have an effect on their activity and/or expression</w:t>
      </w:r>
      <w:r w:rsidR="0000481E">
        <w:rPr>
          <w:rFonts w:ascii="Arial" w:hAnsi="Arial" w:cs="Arial"/>
          <w:sz w:val="24"/>
          <w:szCs w:val="24"/>
        </w:rPr>
        <w:t xml:space="preserve"> </w:t>
      </w:r>
      <w:r w:rsidR="00103642">
        <w:rPr>
          <w:rFonts w:ascii="Arial" w:hAnsi="Arial" w:cs="Arial"/>
          <w:sz w:val="24"/>
          <w:szCs w:val="24"/>
          <w:lang w:val="en-US"/>
        </w:rPr>
        <w:t>(see Table 4</w:t>
      </w:r>
      <w:r w:rsidR="0000481E">
        <w:rPr>
          <w:rFonts w:ascii="Arial" w:hAnsi="Arial" w:cs="Arial"/>
          <w:sz w:val="24"/>
          <w:szCs w:val="24"/>
          <w:lang w:val="en-US"/>
        </w:rPr>
        <w:t xml:space="preserve"> for a summary of the effects of acetylation on these enzymes)</w:t>
      </w:r>
      <w:r w:rsidR="006F7E97">
        <w:rPr>
          <w:rFonts w:ascii="Arial" w:hAnsi="Arial" w:cs="Arial"/>
          <w:sz w:val="24"/>
          <w:szCs w:val="24"/>
        </w:rPr>
        <w:t xml:space="preserve">. These enzymes are </w:t>
      </w:r>
      <w:r>
        <w:rPr>
          <w:rFonts w:ascii="Arial" w:hAnsi="Arial" w:cs="Arial"/>
          <w:sz w:val="24"/>
          <w:szCs w:val="24"/>
        </w:rPr>
        <w:t xml:space="preserve">acyl-CoA synthetase, enoyl-CoA hydratase and </w:t>
      </w:r>
      <w:r>
        <w:rPr>
          <w:rFonts w:ascii="Calibri" w:hAnsi="Calibri" w:cs="Arial"/>
          <w:sz w:val="24"/>
          <w:szCs w:val="24"/>
          <w:lang w:val="en-US"/>
        </w:rPr>
        <w:t>β</w:t>
      </w:r>
      <w:r>
        <w:rPr>
          <w:rFonts w:ascii="Arial" w:hAnsi="Arial" w:cs="Arial"/>
          <w:sz w:val="24"/>
          <w:szCs w:val="24"/>
          <w:lang w:val="en-US"/>
        </w:rPr>
        <w:t>-hydroxyacyl-CoA dehydrogenase</w:t>
      </w:r>
      <w:r>
        <w:rPr>
          <w:rFonts w:ascii="Arial" w:hAnsi="Arial" w:cs="Arial"/>
          <w:sz w:val="24"/>
          <w:szCs w:val="24"/>
        </w:rPr>
        <w:t xml:space="preserve"> </w:t>
      </w:r>
      <w:r w:rsidR="006F7E97">
        <w:rPr>
          <w:rFonts w:ascii="Arial" w:hAnsi="Arial" w:cs="Arial"/>
          <w:sz w:val="24"/>
          <w:szCs w:val="24"/>
        </w:rPr>
        <w:t xml:space="preserve">and </w:t>
      </w:r>
      <w:r>
        <w:rPr>
          <w:rFonts w:ascii="Arial" w:hAnsi="Arial" w:cs="Arial"/>
          <w:sz w:val="24"/>
          <w:szCs w:val="24"/>
          <w:lang w:val="en-US"/>
        </w:rPr>
        <w:t xml:space="preserve">are annotated by the PhosphoSitePlus database, </w:t>
      </w:r>
      <w:hyperlink r:id="rId23" w:history="1">
        <w:r w:rsidRPr="008152FF">
          <w:rPr>
            <w:rStyle w:val="Hyperlink"/>
            <w:rFonts w:ascii="Arial" w:hAnsi="Arial" w:cs="Arial"/>
            <w:color w:val="auto"/>
            <w:sz w:val="24"/>
            <w:szCs w:val="24"/>
            <w:lang w:val="en-US"/>
          </w:rPr>
          <w:t>www.phosphosite.org</w:t>
        </w:r>
      </w:hyperlink>
      <w:r>
        <w:rPr>
          <w:rFonts w:ascii="Arial" w:hAnsi="Arial" w:cs="Arial"/>
          <w:sz w:val="24"/>
          <w:szCs w:val="24"/>
          <w:lang w:val="en-US"/>
        </w:rPr>
        <w:t>, accessed on 22-05-2014 to be acetylated</w:t>
      </w:r>
      <w:r w:rsidR="006F7E97">
        <w:rPr>
          <w:rFonts w:ascii="Arial" w:hAnsi="Arial" w:cs="Arial"/>
          <w:sz w:val="24"/>
          <w:szCs w:val="24"/>
          <w:lang w:val="en-US"/>
        </w:rPr>
        <w:t>.</w:t>
      </w:r>
      <w:r>
        <w:rPr>
          <w:rFonts w:ascii="Arial" w:hAnsi="Arial" w:cs="Arial"/>
          <w:sz w:val="24"/>
          <w:szCs w:val="24"/>
          <w:lang w:val="en-US"/>
        </w:rPr>
        <w:t xml:space="preserve"> </w:t>
      </w:r>
      <w:r w:rsidR="006F7E97">
        <w:rPr>
          <w:rFonts w:ascii="Arial" w:hAnsi="Arial" w:cs="Arial"/>
          <w:sz w:val="24"/>
          <w:szCs w:val="24"/>
          <w:lang w:val="en-US"/>
        </w:rPr>
        <w:t>S</w:t>
      </w:r>
      <w:r>
        <w:rPr>
          <w:rFonts w:ascii="Arial" w:hAnsi="Arial" w:cs="Arial"/>
          <w:sz w:val="24"/>
          <w:szCs w:val="24"/>
          <w:lang w:val="en-US"/>
        </w:rPr>
        <w:t xml:space="preserve">ee Appendix 2 for </w:t>
      </w:r>
      <w:r w:rsidR="00293EBA">
        <w:rPr>
          <w:rFonts w:ascii="Arial" w:hAnsi="Arial" w:cs="Arial"/>
          <w:sz w:val="24"/>
          <w:szCs w:val="24"/>
          <w:lang w:val="en-US"/>
        </w:rPr>
        <w:t xml:space="preserve">all </w:t>
      </w:r>
      <w:r>
        <w:rPr>
          <w:rFonts w:ascii="Arial" w:hAnsi="Arial" w:cs="Arial"/>
          <w:sz w:val="24"/>
          <w:szCs w:val="24"/>
          <w:lang w:val="en-US"/>
        </w:rPr>
        <w:t>the acetylated lysine residues.</w:t>
      </w:r>
    </w:p>
    <w:p w:rsidR="00DC0376" w:rsidRDefault="00DC0376" w:rsidP="00EF1380">
      <w:pPr>
        <w:autoSpaceDE w:val="0"/>
        <w:autoSpaceDN w:val="0"/>
        <w:adjustRightInd w:val="0"/>
        <w:spacing w:after="0" w:line="360" w:lineRule="auto"/>
        <w:ind w:firstLine="720"/>
        <w:jc w:val="both"/>
        <w:rPr>
          <w:rFonts w:ascii="Arial" w:hAnsi="Arial" w:cs="Arial"/>
          <w:sz w:val="24"/>
          <w:szCs w:val="24"/>
          <w:lang w:val="en-US"/>
        </w:rPr>
      </w:pPr>
    </w:p>
    <w:tbl>
      <w:tblPr>
        <w:tblStyle w:val="LightList1"/>
        <w:tblW w:w="0" w:type="auto"/>
        <w:tblLook w:val="04A0" w:firstRow="1" w:lastRow="0" w:firstColumn="1" w:lastColumn="0" w:noHBand="0" w:noVBand="1"/>
      </w:tblPr>
      <w:tblGrid>
        <w:gridCol w:w="3018"/>
        <w:gridCol w:w="3018"/>
        <w:gridCol w:w="3018"/>
      </w:tblGrid>
      <w:tr w:rsidR="00103642" w:rsidTr="00305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103642" w:rsidRPr="003057B9" w:rsidRDefault="00103642" w:rsidP="003057B9">
            <w:pPr>
              <w:autoSpaceDE w:val="0"/>
              <w:autoSpaceDN w:val="0"/>
              <w:adjustRightInd w:val="0"/>
              <w:spacing w:line="360" w:lineRule="auto"/>
              <w:jc w:val="center"/>
              <w:rPr>
                <w:rFonts w:cs="Arial"/>
                <w:sz w:val="20"/>
                <w:szCs w:val="20"/>
                <w:lang w:val="en-US"/>
              </w:rPr>
            </w:pPr>
            <w:r w:rsidRPr="003057B9">
              <w:rPr>
                <w:rFonts w:cs="Arial"/>
                <w:sz w:val="20"/>
                <w:szCs w:val="20"/>
                <w:lang w:val="en-US"/>
              </w:rPr>
              <w:t>Enzyme</w:t>
            </w:r>
          </w:p>
        </w:tc>
        <w:tc>
          <w:tcPr>
            <w:tcW w:w="3018" w:type="dxa"/>
          </w:tcPr>
          <w:p w:rsidR="00103642" w:rsidRPr="003057B9" w:rsidRDefault="00103642" w:rsidP="003057B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3057B9">
              <w:rPr>
                <w:rFonts w:cs="Arial"/>
                <w:sz w:val="20"/>
                <w:szCs w:val="20"/>
                <w:lang w:val="en-US"/>
              </w:rPr>
              <w:t>Acetylated Lys residues</w:t>
            </w:r>
          </w:p>
        </w:tc>
        <w:tc>
          <w:tcPr>
            <w:tcW w:w="3018" w:type="dxa"/>
          </w:tcPr>
          <w:p w:rsidR="00103642" w:rsidRPr="003057B9" w:rsidRDefault="00103642" w:rsidP="003057B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3057B9">
              <w:rPr>
                <w:rFonts w:cs="Arial"/>
                <w:sz w:val="20"/>
                <w:szCs w:val="20"/>
                <w:lang w:val="en-US"/>
              </w:rPr>
              <w:t>Effect</w:t>
            </w:r>
          </w:p>
        </w:tc>
      </w:tr>
      <w:tr w:rsidR="00103642" w:rsidTr="00305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103642" w:rsidRPr="003057B9" w:rsidRDefault="00103642" w:rsidP="003057B9">
            <w:pPr>
              <w:autoSpaceDE w:val="0"/>
              <w:autoSpaceDN w:val="0"/>
              <w:adjustRightInd w:val="0"/>
              <w:spacing w:line="360" w:lineRule="auto"/>
              <w:jc w:val="center"/>
              <w:rPr>
                <w:rFonts w:cs="Arial"/>
                <w:b w:val="0"/>
                <w:sz w:val="16"/>
                <w:szCs w:val="16"/>
                <w:lang w:val="en-US"/>
              </w:rPr>
            </w:pPr>
            <w:r w:rsidRPr="003057B9">
              <w:rPr>
                <w:rFonts w:cs="Arial"/>
                <w:b w:val="0"/>
                <w:sz w:val="16"/>
                <w:szCs w:val="16"/>
                <w:lang w:val="en-US"/>
              </w:rPr>
              <w:t>Acyl-CoA synthetase</w:t>
            </w:r>
          </w:p>
        </w:tc>
        <w:tc>
          <w:tcPr>
            <w:tcW w:w="3018" w:type="dxa"/>
          </w:tcPr>
          <w:p w:rsidR="00103642" w:rsidRPr="003057B9" w:rsidRDefault="00103642" w:rsidP="003057B9">
            <w:pPr>
              <w:jc w:val="center"/>
              <w:cnfStyle w:val="000000100000" w:firstRow="0" w:lastRow="0" w:firstColumn="0" w:lastColumn="0" w:oddVBand="0" w:evenVBand="0" w:oddHBand="1" w:evenHBand="0" w:firstRowFirstColumn="0" w:firstRowLastColumn="0" w:lastRowFirstColumn="0" w:lastRowLastColumn="0"/>
              <w:rPr>
                <w:rStyle w:val="SC118877"/>
                <w:rFonts w:eastAsia="Times New Roman" w:cs="Arial"/>
                <w:bCs/>
                <w:color w:val="auto"/>
                <w:kern w:val="36"/>
                <w:sz w:val="16"/>
                <w:szCs w:val="16"/>
              </w:rPr>
            </w:pPr>
            <w:r w:rsidRPr="003057B9">
              <w:rPr>
                <w:rFonts w:cs="Arial"/>
                <w:sz w:val="16"/>
                <w:szCs w:val="16"/>
              </w:rPr>
              <w:t xml:space="preserve">49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52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217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223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241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250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341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387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w:t>
            </w:r>
            <w:r w:rsidRPr="003057B9">
              <w:rPr>
                <w:rStyle w:val="HTMLCite"/>
                <w:rFonts w:cs="Arial"/>
                <w:i w:val="0"/>
                <w:sz w:val="16"/>
                <w:szCs w:val="16"/>
                <w:lang w:val="en-US"/>
              </w:rPr>
              <w:t>418</w:t>
            </w:r>
            <w:r w:rsidRPr="003057B9">
              <w:rPr>
                <w:rStyle w:val="HTMLCite"/>
                <w:rFonts w:cs="Arial"/>
                <w:sz w:val="16"/>
                <w:szCs w:val="16"/>
                <w:lang w:val="en-US"/>
              </w:rPr>
              <w:t xml:space="preserve"> </w:t>
            </w:r>
            <w:r w:rsidR="006C2756" w:rsidRPr="003057B9">
              <w:rPr>
                <w:rStyle w:val="HTMLCite"/>
                <w:rFonts w:cs="Arial"/>
                <w:i w:val="0"/>
                <w:sz w:val="16"/>
                <w:szCs w:val="16"/>
                <w:lang w:val="en-US"/>
              </w:rPr>
              <w:fldChar w:fldCharType="begin"/>
            </w:r>
            <w:r w:rsidR="00FC3C1A">
              <w:rPr>
                <w:rStyle w:val="HTMLCite"/>
                <w:rFonts w:cs="Arial"/>
                <w:i w:val="0"/>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3057B9">
              <w:rPr>
                <w:rStyle w:val="HTMLCite"/>
                <w:rFonts w:cs="Arial"/>
                <w:i w:val="0"/>
                <w:sz w:val="16"/>
                <w:szCs w:val="16"/>
                <w:lang w:val="en-US"/>
              </w:rPr>
              <w:fldChar w:fldCharType="separate"/>
            </w:r>
            <w:r w:rsidR="00FC3C1A">
              <w:rPr>
                <w:rStyle w:val="HTMLCite"/>
                <w:rFonts w:cs="Arial"/>
                <w:i w:val="0"/>
                <w:noProof/>
                <w:sz w:val="16"/>
                <w:szCs w:val="16"/>
                <w:lang w:val="en-US"/>
              </w:rPr>
              <w:t>(</w:t>
            </w:r>
            <w:hyperlink w:anchor="_ENREF_64" w:tooltip="Choudhary  C, 2009 #44" w:history="1">
              <w:r w:rsidR="00AB7E17">
                <w:rPr>
                  <w:rStyle w:val="HTMLCite"/>
                  <w:rFonts w:cs="Arial"/>
                  <w:i w:val="0"/>
                  <w:noProof/>
                  <w:sz w:val="16"/>
                  <w:szCs w:val="16"/>
                  <w:lang w:val="en-US"/>
                </w:rPr>
                <w:t>64</w:t>
              </w:r>
            </w:hyperlink>
            <w:r w:rsidR="00FC3C1A">
              <w:rPr>
                <w:rStyle w:val="HTMLCite"/>
                <w:rFonts w:cs="Arial"/>
                <w:i w:val="0"/>
                <w:noProof/>
                <w:sz w:val="16"/>
                <w:szCs w:val="16"/>
                <w:lang w:val="en-US"/>
              </w:rPr>
              <w:t>)</w:t>
            </w:r>
            <w:r w:rsidR="006C2756" w:rsidRPr="003057B9">
              <w:rPr>
                <w:rStyle w:val="HTMLCite"/>
                <w:rFonts w:cs="Arial"/>
                <w:i w:val="0"/>
                <w:sz w:val="16"/>
                <w:szCs w:val="16"/>
                <w:lang w:val="en-US"/>
              </w:rPr>
              <w:fldChar w:fldCharType="end"/>
            </w:r>
            <w:r w:rsidRPr="003057B9">
              <w:rPr>
                <w:rStyle w:val="HTMLCite"/>
                <w:rFonts w:cs="Arial"/>
                <w:sz w:val="16"/>
                <w:szCs w:val="16"/>
                <w:lang w:val="en-US"/>
              </w:rPr>
              <w:t xml:space="preserve">, </w:t>
            </w:r>
            <w:r w:rsidRPr="003057B9">
              <w:rPr>
                <w:rFonts w:cs="Arial"/>
                <w:sz w:val="16"/>
                <w:szCs w:val="16"/>
              </w:rPr>
              <w:t xml:space="preserve">428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504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533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w:t>
            </w:r>
            <w:r w:rsidRPr="003057B9">
              <w:rPr>
                <w:rFonts w:cs="Arial"/>
                <w:sz w:val="16"/>
                <w:szCs w:val="16"/>
                <w:lang w:val="en-US"/>
              </w:rPr>
              <w:t xml:space="preserve">534 </w:t>
            </w:r>
            <w:r w:rsidR="006C2756" w:rsidRPr="003057B9">
              <w:rPr>
                <w:rFonts w:cs="Arial"/>
                <w:sz w:val="16"/>
                <w:szCs w:val="16"/>
                <w:lang w:val="en-US"/>
              </w:rPr>
              <w:fldChar w:fldCharType="begin"/>
            </w:r>
            <w:r w:rsidR="00FC3C1A">
              <w:rPr>
                <w:rFonts w:cs="Arial"/>
                <w:sz w:val="16"/>
                <w:szCs w:val="16"/>
                <w:lang w:val="en-US"/>
              </w:rPr>
              <w:instrText xml:space="preserve"> ADDIN EN.CITE &lt;EndNote&gt;&lt;Cite&gt;&lt;Author&gt;Crosby H&lt;/Author&gt;&lt;Year&gt;2014&lt;/Year&gt;&lt;RecNum&gt;333&lt;/RecNum&gt;&lt;DisplayText&gt;(65)&lt;/DisplayText&gt;&lt;record&gt;&lt;rec-number&gt;333&lt;/rec-number&gt;&lt;foreign-keys&gt;&lt;key app="EN" db-id="zxp9w5sa30aeafes0xox2eem00dz2z2aswad"&gt;333&lt;/key&gt;&lt;/foreign-keys&gt;&lt;ref-type name="Journal Article"&gt;17&lt;/ref-type&gt;&lt;contributors&gt;&lt;authors&gt;&lt;author&gt;Crosby H,&lt;/author&gt;&lt;author&gt;Escalante-Semerena J,&lt;/author&gt;&lt;/authors&gt;&lt;/contributors&gt;&lt;titles&gt;&lt;title&gt;The acetylation motif in AMP-forming acyl-CoA synthetases contains residues critical for acetylation and recognition by the protein acetyltransferase Pat of Rhodopseudomonas palustris&lt;/title&gt;&lt;secondary-title&gt;J Bacteriol&lt;/secondary-title&gt;&lt;/titles&gt;&lt;periodical&gt;&lt;full-title&gt;J Bacteriol&lt;/full-title&gt;&lt;/periodical&gt;&lt;pages&gt;1496-1504&lt;/pages&gt;&lt;dates&gt;&lt;year&gt;2014&lt;/year&gt;&lt;/dates&gt;&lt;urls&gt;&lt;/urls&gt;&lt;/record&gt;&lt;/Cite&gt;&lt;/EndNote&gt;</w:instrText>
            </w:r>
            <w:r w:rsidR="006C2756" w:rsidRPr="003057B9">
              <w:rPr>
                <w:rFonts w:cs="Arial"/>
                <w:sz w:val="16"/>
                <w:szCs w:val="16"/>
                <w:lang w:val="en-US"/>
              </w:rPr>
              <w:fldChar w:fldCharType="separate"/>
            </w:r>
            <w:r w:rsidR="00FC3C1A">
              <w:rPr>
                <w:rFonts w:cs="Arial"/>
                <w:noProof/>
                <w:sz w:val="16"/>
                <w:szCs w:val="16"/>
                <w:lang w:val="en-US"/>
              </w:rPr>
              <w:t>(</w:t>
            </w:r>
            <w:hyperlink w:anchor="_ENREF_65" w:tooltip="Crosby H, 2014 #333" w:history="1">
              <w:r w:rsidR="00AB7E17">
                <w:rPr>
                  <w:rFonts w:cs="Arial"/>
                  <w:noProof/>
                  <w:sz w:val="16"/>
                  <w:szCs w:val="16"/>
                  <w:lang w:val="en-US"/>
                </w:rPr>
                <w:t>65</w:t>
              </w:r>
            </w:hyperlink>
            <w:r w:rsidR="00FC3C1A">
              <w:rPr>
                <w:rFonts w:cs="Arial"/>
                <w:noProof/>
                <w:sz w:val="16"/>
                <w:szCs w:val="16"/>
                <w:lang w:val="en-US"/>
              </w:rPr>
              <w:t>)</w:t>
            </w:r>
            <w:r w:rsidR="006C2756" w:rsidRPr="003057B9">
              <w:rPr>
                <w:rFonts w:cs="Arial"/>
                <w:sz w:val="16"/>
                <w:szCs w:val="16"/>
                <w:lang w:val="en-US"/>
              </w:rPr>
              <w:fldChar w:fldCharType="end"/>
            </w:r>
            <w:r w:rsidRPr="003057B9">
              <w:rPr>
                <w:rFonts w:cs="Arial"/>
                <w:sz w:val="16"/>
                <w:szCs w:val="16"/>
              </w:rPr>
              <w:t xml:space="preserve"> , 544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562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641</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r w:rsidRPr="003057B9">
              <w:rPr>
                <w:rFonts w:cs="Arial"/>
                <w:sz w:val="16"/>
                <w:szCs w:val="16"/>
              </w:rPr>
              <w:t xml:space="preserve">, and 649 </w:t>
            </w:r>
            <w:r w:rsidR="006C2756" w:rsidRPr="003057B9">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3057B9">
              <w:rPr>
                <w:rFonts w:cs="Arial"/>
                <w:sz w:val="16"/>
                <w:szCs w:val="16"/>
              </w:rPr>
              <w:fldChar w:fldCharType="end"/>
            </w:r>
          </w:p>
          <w:p w:rsidR="00103642" w:rsidRPr="003057B9" w:rsidRDefault="00103642" w:rsidP="003057B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p>
        </w:tc>
        <w:tc>
          <w:tcPr>
            <w:tcW w:w="3018" w:type="dxa"/>
          </w:tcPr>
          <w:p w:rsidR="00103642" w:rsidRPr="003057B9" w:rsidRDefault="00103642" w:rsidP="003057B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3057B9">
              <w:rPr>
                <w:rFonts w:cs="Arial"/>
                <w:sz w:val="16"/>
                <w:szCs w:val="16"/>
                <w:lang w:val="en-US"/>
              </w:rPr>
              <w:t xml:space="preserve">Inactivates the enzyme </w:t>
            </w:r>
            <w:r w:rsidR="006C2756" w:rsidRPr="003057B9">
              <w:rPr>
                <w:rFonts w:cs="Arial"/>
                <w:sz w:val="16"/>
                <w:szCs w:val="16"/>
                <w:lang w:val="en-US"/>
              </w:rPr>
              <w:fldChar w:fldCharType="begin"/>
            </w:r>
            <w:r w:rsidR="00FC3C1A">
              <w:rPr>
                <w:rFonts w:cs="Arial"/>
                <w:sz w:val="16"/>
                <w:szCs w:val="16"/>
                <w:lang w:val="en-US"/>
              </w:rPr>
              <w:instrText xml:space="preserve"> ADDIN EN.CITE &lt;EndNote&gt;&lt;Cite&gt;&lt;Author&gt;Crosby H&lt;/Author&gt;&lt;Year&gt;2014&lt;/Year&gt;&lt;RecNum&gt;333&lt;/RecNum&gt;&lt;DisplayText&gt;(65)&lt;/DisplayText&gt;&lt;record&gt;&lt;rec-number&gt;333&lt;/rec-number&gt;&lt;foreign-keys&gt;&lt;key app="EN" db-id="zxp9w5sa30aeafes0xox2eem00dz2z2aswad"&gt;333&lt;/key&gt;&lt;/foreign-keys&gt;&lt;ref-type name="Journal Article"&gt;17&lt;/ref-type&gt;&lt;contributors&gt;&lt;authors&gt;&lt;author&gt;Crosby H,&lt;/author&gt;&lt;author&gt;Escalante-Semerena J,&lt;/author&gt;&lt;/authors&gt;&lt;/contributors&gt;&lt;titles&gt;&lt;title&gt;The acetylation motif in AMP-forming acyl-CoA synthetases contains residues critical for acetylation and recognition by the protein acetyltransferase Pat of Rhodopseudomonas palustris&lt;/title&gt;&lt;secondary-title&gt;J Bacteriol&lt;/secondary-title&gt;&lt;/titles&gt;&lt;periodical&gt;&lt;full-title&gt;J Bacteriol&lt;/full-title&gt;&lt;/periodical&gt;&lt;pages&gt;1496-1504&lt;/pages&gt;&lt;dates&gt;&lt;year&gt;2014&lt;/year&gt;&lt;/dates&gt;&lt;urls&gt;&lt;/urls&gt;&lt;/record&gt;&lt;/Cite&gt;&lt;/EndNote&gt;</w:instrText>
            </w:r>
            <w:r w:rsidR="006C2756" w:rsidRPr="003057B9">
              <w:rPr>
                <w:rFonts w:cs="Arial"/>
                <w:sz w:val="16"/>
                <w:szCs w:val="16"/>
                <w:lang w:val="en-US"/>
              </w:rPr>
              <w:fldChar w:fldCharType="separate"/>
            </w:r>
            <w:r w:rsidR="00FC3C1A">
              <w:rPr>
                <w:rFonts w:cs="Arial"/>
                <w:noProof/>
                <w:sz w:val="16"/>
                <w:szCs w:val="16"/>
                <w:lang w:val="en-US"/>
              </w:rPr>
              <w:t>(</w:t>
            </w:r>
            <w:hyperlink w:anchor="_ENREF_65" w:tooltip="Crosby H, 2014 #333" w:history="1">
              <w:r w:rsidR="00AB7E17">
                <w:rPr>
                  <w:rFonts w:cs="Arial"/>
                  <w:noProof/>
                  <w:sz w:val="16"/>
                  <w:szCs w:val="16"/>
                  <w:lang w:val="en-US"/>
                </w:rPr>
                <w:t>65</w:t>
              </w:r>
            </w:hyperlink>
            <w:r w:rsidR="00FC3C1A">
              <w:rPr>
                <w:rFonts w:cs="Arial"/>
                <w:noProof/>
                <w:sz w:val="16"/>
                <w:szCs w:val="16"/>
                <w:lang w:val="en-US"/>
              </w:rPr>
              <w:t>)</w:t>
            </w:r>
            <w:r w:rsidR="006C2756" w:rsidRPr="003057B9">
              <w:rPr>
                <w:rFonts w:cs="Arial"/>
                <w:sz w:val="16"/>
                <w:szCs w:val="16"/>
                <w:lang w:val="en-US"/>
              </w:rPr>
              <w:fldChar w:fldCharType="end"/>
            </w:r>
          </w:p>
          <w:p w:rsidR="00103642" w:rsidRPr="003057B9" w:rsidRDefault="00103642"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3057B9">
              <w:rPr>
                <w:rFonts w:cs="Arial"/>
                <w:sz w:val="16"/>
                <w:szCs w:val="16"/>
                <w:lang w:val="en-US"/>
              </w:rPr>
              <w:t xml:space="preserve">Enhances β-oxidation pathway </w:t>
            </w:r>
            <w:r w:rsidR="006C2756" w:rsidRPr="003057B9">
              <w:rPr>
                <w:rFonts w:cs="Arial"/>
                <w:sz w:val="16"/>
                <w:szCs w:val="16"/>
                <w:lang w:val="en-US"/>
              </w:rPr>
              <w:fldChar w:fldCharType="begin"/>
            </w:r>
            <w:r w:rsidR="00FC3C1A">
              <w:rPr>
                <w:rFonts w:cs="Arial"/>
                <w:sz w:val="16"/>
                <w:szCs w:val="16"/>
                <w:lang w:val="en-US"/>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3057B9">
              <w:rPr>
                <w:rFonts w:cs="Arial"/>
                <w:sz w:val="16"/>
                <w:szCs w:val="16"/>
                <w:lang w:val="en-US"/>
              </w:rPr>
              <w:fldChar w:fldCharType="separate"/>
            </w:r>
            <w:r w:rsidR="00FC3C1A">
              <w:rPr>
                <w:rFonts w:cs="Arial"/>
                <w:noProof/>
                <w:sz w:val="16"/>
                <w:szCs w:val="16"/>
                <w:lang w:val="en-US"/>
              </w:rPr>
              <w:t>(</w:t>
            </w:r>
            <w:hyperlink w:anchor="_ENREF_63" w:tooltip="Frahm J, 2011 #334" w:history="1">
              <w:r w:rsidR="00AB7E17">
                <w:rPr>
                  <w:rFonts w:cs="Arial"/>
                  <w:noProof/>
                  <w:sz w:val="16"/>
                  <w:szCs w:val="16"/>
                  <w:lang w:val="en-US"/>
                </w:rPr>
                <w:t>63</w:t>
              </w:r>
            </w:hyperlink>
            <w:r w:rsidR="00FC3C1A">
              <w:rPr>
                <w:rFonts w:cs="Arial"/>
                <w:noProof/>
                <w:sz w:val="16"/>
                <w:szCs w:val="16"/>
                <w:lang w:val="en-US"/>
              </w:rPr>
              <w:t>)</w:t>
            </w:r>
            <w:r w:rsidR="006C2756" w:rsidRPr="003057B9">
              <w:rPr>
                <w:rFonts w:cs="Arial"/>
                <w:sz w:val="16"/>
                <w:szCs w:val="16"/>
                <w:lang w:val="en-US"/>
              </w:rPr>
              <w:fldChar w:fldCharType="end"/>
            </w:r>
          </w:p>
        </w:tc>
      </w:tr>
      <w:tr w:rsidR="00103642" w:rsidTr="003057B9">
        <w:tc>
          <w:tcPr>
            <w:cnfStyle w:val="001000000000" w:firstRow="0" w:lastRow="0" w:firstColumn="1" w:lastColumn="0" w:oddVBand="0" w:evenVBand="0" w:oddHBand="0" w:evenHBand="0" w:firstRowFirstColumn="0" w:firstRowLastColumn="0" w:lastRowFirstColumn="0" w:lastRowLastColumn="0"/>
            <w:tcW w:w="3018" w:type="dxa"/>
          </w:tcPr>
          <w:p w:rsidR="00103642" w:rsidRPr="003057B9" w:rsidRDefault="00103642" w:rsidP="003057B9">
            <w:pPr>
              <w:autoSpaceDE w:val="0"/>
              <w:autoSpaceDN w:val="0"/>
              <w:adjustRightInd w:val="0"/>
              <w:spacing w:line="360" w:lineRule="auto"/>
              <w:jc w:val="center"/>
              <w:rPr>
                <w:rFonts w:cs="Arial"/>
                <w:b w:val="0"/>
                <w:sz w:val="16"/>
                <w:szCs w:val="16"/>
                <w:lang w:val="en-US"/>
              </w:rPr>
            </w:pPr>
            <w:r w:rsidRPr="003057B9">
              <w:rPr>
                <w:rFonts w:cs="Arial"/>
                <w:b w:val="0"/>
                <w:sz w:val="16"/>
                <w:szCs w:val="16"/>
                <w:lang w:val="en-US"/>
              </w:rPr>
              <w:t>Enoyl-CoA hydratase</w:t>
            </w:r>
          </w:p>
        </w:tc>
        <w:tc>
          <w:tcPr>
            <w:tcW w:w="3018" w:type="dxa"/>
          </w:tcPr>
          <w:p w:rsidR="00103642" w:rsidRPr="003057B9" w:rsidRDefault="00103642"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3057B9">
              <w:rPr>
                <w:rFonts w:cs="Arial"/>
                <w:sz w:val="16"/>
                <w:szCs w:val="16"/>
                <w:lang w:val="en-US"/>
              </w:rPr>
              <w:t>165</w:t>
            </w:r>
            <w:r w:rsidR="003057B9" w:rsidRPr="003057B9">
              <w:rPr>
                <w:rFonts w:cs="Arial"/>
                <w:sz w:val="16"/>
                <w:szCs w:val="16"/>
                <w:lang w:val="en-US"/>
              </w:rPr>
              <w:t xml:space="preserve"> </w:t>
            </w:r>
            <w:r w:rsidR="006C2756" w:rsidRPr="003057B9">
              <w:rPr>
                <w:rFonts w:cs="Arial"/>
                <w:sz w:val="16"/>
                <w:szCs w:val="16"/>
                <w:lang w:val="en-US"/>
              </w:rPr>
              <w:fldChar w:fldCharType="begin"/>
            </w:r>
            <w:r w:rsidR="003057B9" w:rsidRPr="003057B9">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3057B9">
              <w:rPr>
                <w:rFonts w:cs="Arial"/>
                <w:sz w:val="16"/>
                <w:szCs w:val="16"/>
                <w:lang w:val="en-US"/>
              </w:rPr>
              <w:fldChar w:fldCharType="separate"/>
            </w:r>
            <w:r w:rsidR="003057B9" w:rsidRPr="003057B9">
              <w:rPr>
                <w:rFonts w:cs="Arial"/>
                <w:noProof/>
                <w:sz w:val="16"/>
                <w:szCs w:val="16"/>
                <w:lang w:val="en-US"/>
              </w:rPr>
              <w:t>(</w:t>
            </w:r>
            <w:hyperlink w:anchor="_ENREF_11" w:tooltip="Zhao S, 2010 #301" w:history="1">
              <w:r w:rsidR="00AB7E17" w:rsidRPr="003057B9">
                <w:rPr>
                  <w:rFonts w:cs="Arial"/>
                  <w:noProof/>
                  <w:sz w:val="16"/>
                  <w:szCs w:val="16"/>
                  <w:lang w:val="en-US"/>
                </w:rPr>
                <w:t>11</w:t>
              </w:r>
            </w:hyperlink>
            <w:r w:rsidR="003057B9" w:rsidRPr="003057B9">
              <w:rPr>
                <w:rFonts w:cs="Arial"/>
                <w:noProof/>
                <w:sz w:val="16"/>
                <w:szCs w:val="16"/>
                <w:lang w:val="en-US"/>
              </w:rPr>
              <w:t>)</w:t>
            </w:r>
            <w:r w:rsidR="006C2756" w:rsidRPr="003057B9">
              <w:rPr>
                <w:rFonts w:cs="Arial"/>
                <w:sz w:val="16"/>
                <w:szCs w:val="16"/>
                <w:lang w:val="en-US"/>
              </w:rPr>
              <w:fldChar w:fldCharType="end"/>
            </w:r>
            <w:r w:rsidRPr="003057B9">
              <w:rPr>
                <w:rFonts w:cs="Arial"/>
                <w:sz w:val="16"/>
                <w:szCs w:val="16"/>
                <w:lang w:val="en-US"/>
              </w:rPr>
              <w:t>, 171</w:t>
            </w:r>
            <w:r w:rsidR="003057B9" w:rsidRPr="003057B9">
              <w:rPr>
                <w:rFonts w:cs="Arial"/>
                <w:sz w:val="16"/>
                <w:szCs w:val="16"/>
                <w:lang w:val="en-US"/>
              </w:rPr>
              <w:t xml:space="preserve"> </w:t>
            </w:r>
            <w:r w:rsidR="006C2756" w:rsidRPr="003057B9">
              <w:rPr>
                <w:rFonts w:cs="Arial"/>
                <w:sz w:val="16"/>
                <w:szCs w:val="16"/>
                <w:lang w:val="en-US"/>
              </w:rPr>
              <w:fldChar w:fldCharType="begin"/>
            </w:r>
            <w:r w:rsidR="003057B9" w:rsidRPr="003057B9">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3057B9">
              <w:rPr>
                <w:rFonts w:cs="Arial"/>
                <w:sz w:val="16"/>
                <w:szCs w:val="16"/>
                <w:lang w:val="en-US"/>
              </w:rPr>
              <w:fldChar w:fldCharType="separate"/>
            </w:r>
            <w:r w:rsidR="003057B9" w:rsidRPr="003057B9">
              <w:rPr>
                <w:rFonts w:cs="Arial"/>
                <w:noProof/>
                <w:sz w:val="16"/>
                <w:szCs w:val="16"/>
                <w:lang w:val="en-US"/>
              </w:rPr>
              <w:t>(</w:t>
            </w:r>
            <w:hyperlink w:anchor="_ENREF_11" w:tooltip="Zhao S, 2010 #301" w:history="1">
              <w:r w:rsidR="00AB7E17" w:rsidRPr="003057B9">
                <w:rPr>
                  <w:rFonts w:cs="Arial"/>
                  <w:noProof/>
                  <w:sz w:val="16"/>
                  <w:szCs w:val="16"/>
                  <w:lang w:val="en-US"/>
                </w:rPr>
                <w:t>11</w:t>
              </w:r>
            </w:hyperlink>
            <w:r w:rsidR="003057B9" w:rsidRPr="003057B9">
              <w:rPr>
                <w:rFonts w:cs="Arial"/>
                <w:noProof/>
                <w:sz w:val="16"/>
                <w:szCs w:val="16"/>
                <w:lang w:val="en-US"/>
              </w:rPr>
              <w:t>)</w:t>
            </w:r>
            <w:r w:rsidR="006C2756" w:rsidRPr="003057B9">
              <w:rPr>
                <w:rFonts w:cs="Arial"/>
                <w:sz w:val="16"/>
                <w:szCs w:val="16"/>
                <w:lang w:val="en-US"/>
              </w:rPr>
              <w:fldChar w:fldCharType="end"/>
            </w:r>
            <w:r w:rsidRPr="003057B9">
              <w:rPr>
                <w:rFonts w:cs="Arial"/>
                <w:sz w:val="16"/>
                <w:szCs w:val="16"/>
                <w:lang w:val="en-US"/>
              </w:rPr>
              <w:t>, 346</w:t>
            </w:r>
            <w:r w:rsidR="003057B9" w:rsidRPr="003057B9">
              <w:rPr>
                <w:rFonts w:cs="Arial"/>
                <w:sz w:val="16"/>
                <w:szCs w:val="16"/>
                <w:lang w:val="en-US"/>
              </w:rPr>
              <w:t xml:space="preserve"> </w:t>
            </w:r>
            <w:r w:rsidR="006C2756" w:rsidRPr="003057B9">
              <w:rPr>
                <w:rFonts w:cs="Arial"/>
                <w:sz w:val="16"/>
                <w:szCs w:val="16"/>
                <w:lang w:val="en-US"/>
              </w:rPr>
              <w:fldChar w:fldCharType="begin"/>
            </w:r>
            <w:r w:rsidR="003057B9" w:rsidRPr="003057B9">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3057B9">
              <w:rPr>
                <w:rFonts w:cs="Arial"/>
                <w:sz w:val="16"/>
                <w:szCs w:val="16"/>
                <w:lang w:val="en-US"/>
              </w:rPr>
              <w:fldChar w:fldCharType="separate"/>
            </w:r>
            <w:r w:rsidR="003057B9" w:rsidRPr="003057B9">
              <w:rPr>
                <w:rFonts w:cs="Arial"/>
                <w:noProof/>
                <w:sz w:val="16"/>
                <w:szCs w:val="16"/>
                <w:lang w:val="en-US"/>
              </w:rPr>
              <w:t>(</w:t>
            </w:r>
            <w:hyperlink w:anchor="_ENREF_11" w:tooltip="Zhao S, 2010 #301" w:history="1">
              <w:r w:rsidR="00AB7E17" w:rsidRPr="003057B9">
                <w:rPr>
                  <w:rFonts w:cs="Arial"/>
                  <w:noProof/>
                  <w:sz w:val="16"/>
                  <w:szCs w:val="16"/>
                  <w:lang w:val="en-US"/>
                </w:rPr>
                <w:t>11</w:t>
              </w:r>
            </w:hyperlink>
            <w:r w:rsidR="003057B9" w:rsidRPr="003057B9">
              <w:rPr>
                <w:rFonts w:cs="Arial"/>
                <w:noProof/>
                <w:sz w:val="16"/>
                <w:szCs w:val="16"/>
                <w:lang w:val="en-US"/>
              </w:rPr>
              <w:t>)</w:t>
            </w:r>
            <w:r w:rsidR="006C2756" w:rsidRPr="003057B9">
              <w:rPr>
                <w:rFonts w:cs="Arial"/>
                <w:sz w:val="16"/>
                <w:szCs w:val="16"/>
                <w:lang w:val="en-US"/>
              </w:rPr>
              <w:fldChar w:fldCharType="end"/>
            </w:r>
            <w:r w:rsidRPr="003057B9">
              <w:rPr>
                <w:rFonts w:cs="Arial"/>
                <w:sz w:val="16"/>
                <w:szCs w:val="16"/>
                <w:lang w:val="en-US"/>
              </w:rPr>
              <w:t>, 584</w:t>
            </w:r>
            <w:r w:rsidR="003057B9" w:rsidRPr="003057B9">
              <w:rPr>
                <w:rFonts w:cs="Arial"/>
                <w:sz w:val="16"/>
                <w:szCs w:val="16"/>
                <w:lang w:val="en-US"/>
              </w:rPr>
              <w:t xml:space="preserve"> </w:t>
            </w:r>
            <w:r w:rsidR="006C2756" w:rsidRPr="003057B9">
              <w:rPr>
                <w:rFonts w:cs="Arial"/>
                <w:sz w:val="16"/>
                <w:szCs w:val="16"/>
                <w:lang w:val="en-US"/>
              </w:rPr>
              <w:fldChar w:fldCharType="begin"/>
            </w:r>
            <w:r w:rsidR="003057B9" w:rsidRPr="003057B9">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3057B9">
              <w:rPr>
                <w:rFonts w:cs="Arial"/>
                <w:sz w:val="16"/>
                <w:szCs w:val="16"/>
                <w:lang w:val="en-US"/>
              </w:rPr>
              <w:fldChar w:fldCharType="separate"/>
            </w:r>
            <w:r w:rsidR="003057B9" w:rsidRPr="003057B9">
              <w:rPr>
                <w:rFonts w:cs="Arial"/>
                <w:noProof/>
                <w:sz w:val="16"/>
                <w:szCs w:val="16"/>
                <w:lang w:val="en-US"/>
              </w:rPr>
              <w:t>(</w:t>
            </w:r>
            <w:hyperlink w:anchor="_ENREF_11" w:tooltip="Zhao S, 2010 #301" w:history="1">
              <w:r w:rsidR="00AB7E17" w:rsidRPr="003057B9">
                <w:rPr>
                  <w:rFonts w:cs="Arial"/>
                  <w:noProof/>
                  <w:sz w:val="16"/>
                  <w:szCs w:val="16"/>
                  <w:lang w:val="en-US"/>
                </w:rPr>
                <w:t>11</w:t>
              </w:r>
            </w:hyperlink>
            <w:r w:rsidR="003057B9" w:rsidRPr="003057B9">
              <w:rPr>
                <w:rFonts w:cs="Arial"/>
                <w:noProof/>
                <w:sz w:val="16"/>
                <w:szCs w:val="16"/>
                <w:lang w:val="en-US"/>
              </w:rPr>
              <w:t>)</w:t>
            </w:r>
            <w:r w:rsidR="006C2756" w:rsidRPr="003057B9">
              <w:rPr>
                <w:rFonts w:cs="Arial"/>
                <w:sz w:val="16"/>
                <w:szCs w:val="16"/>
                <w:lang w:val="en-US"/>
              </w:rPr>
              <w:fldChar w:fldCharType="end"/>
            </w:r>
          </w:p>
        </w:tc>
        <w:tc>
          <w:tcPr>
            <w:tcW w:w="3018" w:type="dxa"/>
          </w:tcPr>
          <w:p w:rsidR="00103642" w:rsidRPr="003057B9" w:rsidRDefault="00103642"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3057B9">
              <w:rPr>
                <w:rFonts w:cs="Arial"/>
                <w:sz w:val="16"/>
                <w:szCs w:val="16"/>
                <w:lang w:val="en-US"/>
              </w:rPr>
              <w:t>Activates this enzyme</w:t>
            </w:r>
            <w:r w:rsidR="003057B9" w:rsidRPr="003057B9">
              <w:rPr>
                <w:rFonts w:cs="Arial"/>
                <w:sz w:val="16"/>
                <w:szCs w:val="16"/>
                <w:lang w:val="en-US"/>
              </w:rPr>
              <w:t xml:space="preserve"> </w:t>
            </w:r>
            <w:r w:rsidR="006C2756" w:rsidRPr="003057B9">
              <w:rPr>
                <w:rFonts w:cs="Arial"/>
                <w:sz w:val="16"/>
                <w:szCs w:val="16"/>
                <w:lang w:val="en-US"/>
              </w:rPr>
              <w:fldChar w:fldCharType="begin"/>
            </w:r>
            <w:r w:rsidR="003057B9" w:rsidRPr="003057B9">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3057B9">
              <w:rPr>
                <w:rFonts w:cs="Arial"/>
                <w:sz w:val="16"/>
                <w:szCs w:val="16"/>
                <w:lang w:val="en-US"/>
              </w:rPr>
              <w:fldChar w:fldCharType="separate"/>
            </w:r>
            <w:r w:rsidR="003057B9" w:rsidRPr="003057B9">
              <w:rPr>
                <w:rFonts w:cs="Arial"/>
                <w:noProof/>
                <w:sz w:val="16"/>
                <w:szCs w:val="16"/>
                <w:lang w:val="en-US"/>
              </w:rPr>
              <w:t>(</w:t>
            </w:r>
            <w:hyperlink w:anchor="_ENREF_11" w:tooltip="Zhao S, 2010 #301" w:history="1">
              <w:r w:rsidR="00AB7E17" w:rsidRPr="003057B9">
                <w:rPr>
                  <w:rFonts w:cs="Arial"/>
                  <w:noProof/>
                  <w:sz w:val="16"/>
                  <w:szCs w:val="16"/>
                  <w:lang w:val="en-US"/>
                </w:rPr>
                <w:t>11</w:t>
              </w:r>
            </w:hyperlink>
            <w:r w:rsidR="003057B9" w:rsidRPr="003057B9">
              <w:rPr>
                <w:rFonts w:cs="Arial"/>
                <w:noProof/>
                <w:sz w:val="16"/>
                <w:szCs w:val="16"/>
                <w:lang w:val="en-US"/>
              </w:rPr>
              <w:t>)</w:t>
            </w:r>
            <w:r w:rsidR="006C2756" w:rsidRPr="003057B9">
              <w:rPr>
                <w:rFonts w:cs="Arial"/>
                <w:sz w:val="16"/>
                <w:szCs w:val="16"/>
                <w:lang w:val="en-US"/>
              </w:rPr>
              <w:fldChar w:fldCharType="end"/>
            </w:r>
          </w:p>
        </w:tc>
      </w:tr>
      <w:tr w:rsidR="00103642" w:rsidTr="00305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103642" w:rsidRPr="003057B9" w:rsidRDefault="003057B9" w:rsidP="003057B9">
            <w:pPr>
              <w:autoSpaceDE w:val="0"/>
              <w:autoSpaceDN w:val="0"/>
              <w:adjustRightInd w:val="0"/>
              <w:spacing w:line="360" w:lineRule="auto"/>
              <w:jc w:val="center"/>
              <w:rPr>
                <w:rFonts w:cs="Arial"/>
                <w:b w:val="0"/>
                <w:sz w:val="16"/>
                <w:szCs w:val="16"/>
                <w:lang w:val="en-US"/>
              </w:rPr>
            </w:pPr>
            <w:r w:rsidRPr="003057B9">
              <w:rPr>
                <w:rFonts w:cs="Arial"/>
                <w:b w:val="0"/>
                <w:sz w:val="16"/>
                <w:szCs w:val="16"/>
                <w:lang w:val="en-US"/>
              </w:rPr>
              <w:t>β-hydroxyacyl-CoA dehydrogenase</w:t>
            </w:r>
          </w:p>
        </w:tc>
        <w:tc>
          <w:tcPr>
            <w:tcW w:w="3018" w:type="dxa"/>
          </w:tcPr>
          <w:p w:rsidR="00103642" w:rsidRPr="003057B9" w:rsidRDefault="00103642" w:rsidP="003057B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p>
        </w:tc>
        <w:tc>
          <w:tcPr>
            <w:tcW w:w="3018" w:type="dxa"/>
          </w:tcPr>
          <w:p w:rsidR="00103642" w:rsidRPr="003057B9" w:rsidRDefault="003057B9"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3057B9">
              <w:rPr>
                <w:rFonts w:cs="Arial"/>
                <w:sz w:val="16"/>
                <w:szCs w:val="16"/>
                <w:lang w:val="en-US"/>
              </w:rPr>
              <w:t xml:space="preserve">Activates this enzyme </w:t>
            </w:r>
            <w:r w:rsidR="006C2756" w:rsidRPr="003057B9">
              <w:rPr>
                <w:rFonts w:cs="Arial"/>
                <w:sz w:val="16"/>
                <w:szCs w:val="16"/>
                <w:lang w:val="en-US"/>
              </w:rPr>
              <w:fldChar w:fldCharType="begin"/>
            </w:r>
            <w:r w:rsidRPr="003057B9">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3057B9">
              <w:rPr>
                <w:rFonts w:cs="Arial"/>
                <w:sz w:val="16"/>
                <w:szCs w:val="16"/>
                <w:lang w:val="en-US"/>
              </w:rPr>
              <w:fldChar w:fldCharType="separate"/>
            </w:r>
            <w:r w:rsidRPr="003057B9">
              <w:rPr>
                <w:rFonts w:cs="Arial"/>
                <w:noProof/>
                <w:sz w:val="16"/>
                <w:szCs w:val="16"/>
                <w:lang w:val="en-US"/>
              </w:rPr>
              <w:t>(</w:t>
            </w:r>
            <w:hyperlink w:anchor="_ENREF_11" w:tooltip="Zhao S, 2010 #301" w:history="1">
              <w:r w:rsidR="00AB7E17" w:rsidRPr="003057B9">
                <w:rPr>
                  <w:rFonts w:cs="Arial"/>
                  <w:noProof/>
                  <w:sz w:val="16"/>
                  <w:szCs w:val="16"/>
                  <w:lang w:val="en-US"/>
                </w:rPr>
                <w:t>11</w:t>
              </w:r>
            </w:hyperlink>
            <w:r w:rsidRPr="003057B9">
              <w:rPr>
                <w:rFonts w:cs="Arial"/>
                <w:noProof/>
                <w:sz w:val="16"/>
                <w:szCs w:val="16"/>
                <w:lang w:val="en-US"/>
              </w:rPr>
              <w:t>)</w:t>
            </w:r>
            <w:r w:rsidR="006C2756" w:rsidRPr="003057B9">
              <w:rPr>
                <w:rFonts w:cs="Arial"/>
                <w:sz w:val="16"/>
                <w:szCs w:val="16"/>
                <w:lang w:val="en-US"/>
              </w:rPr>
              <w:fldChar w:fldCharType="end"/>
            </w:r>
          </w:p>
        </w:tc>
      </w:tr>
    </w:tbl>
    <w:p w:rsidR="005B168C" w:rsidRPr="008C3F1A" w:rsidRDefault="00A34CDA" w:rsidP="00A34CDA">
      <w:pPr>
        <w:pStyle w:val="Caption"/>
        <w:rPr>
          <w:rFonts w:ascii="Arial" w:hAnsi="Arial" w:cs="Arial"/>
          <w:color w:val="auto"/>
          <w:sz w:val="16"/>
          <w:szCs w:val="16"/>
        </w:rPr>
      </w:pPr>
      <w:bookmarkStart w:id="40" w:name="_Toc413666991"/>
      <w:proofErr w:type="gramStart"/>
      <w:r w:rsidRPr="00A34CDA">
        <w:rPr>
          <w:rFonts w:ascii="Arial" w:hAnsi="Arial" w:cs="Arial"/>
          <w:color w:val="auto"/>
          <w:sz w:val="16"/>
          <w:szCs w:val="16"/>
        </w:rPr>
        <w:t xml:space="preserve">Table </w:t>
      </w:r>
      <w:r w:rsidRPr="00A34CDA">
        <w:rPr>
          <w:rFonts w:ascii="Arial" w:hAnsi="Arial" w:cs="Arial"/>
          <w:color w:val="auto"/>
          <w:sz w:val="16"/>
          <w:szCs w:val="16"/>
        </w:rPr>
        <w:fldChar w:fldCharType="begin"/>
      </w:r>
      <w:r w:rsidRPr="00A34CDA">
        <w:rPr>
          <w:rFonts w:ascii="Arial" w:hAnsi="Arial" w:cs="Arial"/>
          <w:color w:val="auto"/>
          <w:sz w:val="16"/>
          <w:szCs w:val="16"/>
        </w:rPr>
        <w:instrText xml:space="preserve"> SEQ Table \* ARABIC </w:instrText>
      </w:r>
      <w:r w:rsidRPr="00A34CDA">
        <w:rPr>
          <w:rFonts w:ascii="Arial" w:hAnsi="Arial" w:cs="Arial"/>
          <w:color w:val="auto"/>
          <w:sz w:val="16"/>
          <w:szCs w:val="16"/>
        </w:rPr>
        <w:fldChar w:fldCharType="separate"/>
      </w:r>
      <w:r w:rsidR="00DC0376">
        <w:rPr>
          <w:rFonts w:ascii="Arial" w:hAnsi="Arial" w:cs="Arial"/>
          <w:noProof/>
          <w:color w:val="auto"/>
          <w:sz w:val="16"/>
          <w:szCs w:val="16"/>
        </w:rPr>
        <w:t>4</w:t>
      </w:r>
      <w:r w:rsidRPr="00A34CDA">
        <w:rPr>
          <w:rFonts w:ascii="Arial" w:hAnsi="Arial" w:cs="Arial"/>
          <w:color w:val="auto"/>
          <w:sz w:val="16"/>
          <w:szCs w:val="16"/>
        </w:rPr>
        <w:fldChar w:fldCharType="end"/>
      </w:r>
      <w:r w:rsidR="005B168C" w:rsidRPr="008C3F1A">
        <w:rPr>
          <w:rFonts w:ascii="Arial" w:hAnsi="Arial" w:cs="Arial"/>
          <w:color w:val="auto"/>
          <w:sz w:val="16"/>
          <w:szCs w:val="16"/>
        </w:rPr>
        <w:t>.</w:t>
      </w:r>
      <w:proofErr w:type="gramEnd"/>
      <w:r w:rsidR="005B168C" w:rsidRPr="008C3F1A">
        <w:rPr>
          <w:rFonts w:ascii="Arial" w:hAnsi="Arial" w:cs="Arial"/>
          <w:color w:val="auto"/>
          <w:sz w:val="16"/>
          <w:szCs w:val="16"/>
        </w:rPr>
        <w:t xml:space="preserve"> </w:t>
      </w:r>
      <w:proofErr w:type="gramStart"/>
      <w:r w:rsidR="005B168C" w:rsidRPr="008C3F1A">
        <w:rPr>
          <w:rFonts w:ascii="Arial" w:hAnsi="Arial" w:cs="Arial"/>
          <w:color w:val="auto"/>
          <w:sz w:val="16"/>
          <w:szCs w:val="16"/>
        </w:rPr>
        <w:t xml:space="preserve">Effect of acetylation on </w:t>
      </w:r>
      <w:r w:rsidR="005B168C">
        <w:rPr>
          <w:rFonts w:ascii="Arial" w:hAnsi="Arial" w:cs="Arial"/>
          <w:color w:val="auto"/>
          <w:sz w:val="16"/>
          <w:szCs w:val="16"/>
        </w:rPr>
        <w:t>acyl-CoA synthetase, enoyl-CoA hydratase, and β-hydroxyacyl-CoA dehydrogenase.</w:t>
      </w:r>
      <w:bookmarkEnd w:id="40"/>
      <w:proofErr w:type="gramEnd"/>
      <w:r w:rsidR="005B168C">
        <w:rPr>
          <w:rFonts w:ascii="Arial" w:hAnsi="Arial" w:cs="Arial"/>
          <w:color w:val="auto"/>
          <w:sz w:val="16"/>
          <w:szCs w:val="16"/>
        </w:rPr>
        <w:t xml:space="preserve"> </w:t>
      </w:r>
    </w:p>
    <w:p w:rsidR="00EF1380" w:rsidRDefault="00EF1380" w:rsidP="00EF1380">
      <w:pPr>
        <w:pStyle w:val="Heading1"/>
        <w:rPr>
          <w:rStyle w:val="SC118877"/>
          <w:rFonts w:ascii="Arial" w:hAnsi="Arial" w:cs="Arial"/>
          <w:color w:val="auto"/>
          <w:sz w:val="24"/>
          <w:szCs w:val="24"/>
        </w:rPr>
      </w:pPr>
      <w:bookmarkStart w:id="41" w:name="_Toc379983952"/>
      <w:bookmarkStart w:id="42" w:name="_Toc413753750"/>
      <w:r>
        <w:rPr>
          <w:rStyle w:val="SC118877"/>
          <w:rFonts w:ascii="Arial" w:hAnsi="Arial" w:cs="Arial"/>
          <w:color w:val="auto"/>
          <w:sz w:val="24"/>
          <w:szCs w:val="24"/>
        </w:rPr>
        <w:lastRenderedPageBreak/>
        <w:t xml:space="preserve">II.1.iv </w:t>
      </w:r>
      <w:r w:rsidRPr="00CC6649">
        <w:rPr>
          <w:rStyle w:val="SC118877"/>
          <w:rFonts w:ascii="Arial" w:hAnsi="Arial" w:cs="Arial"/>
          <w:color w:val="auto"/>
          <w:sz w:val="24"/>
          <w:szCs w:val="24"/>
        </w:rPr>
        <w:t>Pyruvate metabolism</w:t>
      </w:r>
      <w:bookmarkEnd w:id="41"/>
      <w:bookmarkEnd w:id="42"/>
    </w:p>
    <w:p w:rsidR="00EF1380" w:rsidRDefault="00EF1380" w:rsidP="00EF1380">
      <w:pPr>
        <w:spacing w:line="360" w:lineRule="auto"/>
        <w:ind w:firstLine="720"/>
        <w:jc w:val="both"/>
        <w:rPr>
          <w:rStyle w:val="SC118877"/>
          <w:rFonts w:ascii="Arial" w:hAnsi="Arial" w:cs="Arial"/>
          <w:iCs/>
          <w:sz w:val="24"/>
          <w:szCs w:val="24"/>
        </w:rPr>
      </w:pPr>
      <w:r>
        <w:rPr>
          <w:rStyle w:val="SC118877"/>
          <w:rFonts w:ascii="Arial" w:hAnsi="Arial" w:cs="Arial"/>
          <w:iCs/>
          <w:sz w:val="24"/>
          <w:szCs w:val="24"/>
        </w:rPr>
        <w:t xml:space="preserve">Pyruvate, along with ATP is the final product of glycolysis. After </w:t>
      </w:r>
      <w:r w:rsidR="006F7E97">
        <w:rPr>
          <w:rStyle w:val="SC118877"/>
          <w:rFonts w:ascii="Arial" w:hAnsi="Arial" w:cs="Arial"/>
          <w:iCs/>
          <w:sz w:val="24"/>
          <w:szCs w:val="24"/>
        </w:rPr>
        <w:t xml:space="preserve">being produced through </w:t>
      </w:r>
      <w:r>
        <w:rPr>
          <w:rStyle w:val="SC118877"/>
          <w:rFonts w:ascii="Arial" w:hAnsi="Arial" w:cs="Arial"/>
          <w:iCs/>
          <w:sz w:val="24"/>
          <w:szCs w:val="24"/>
        </w:rPr>
        <w:t xml:space="preserve">glycolysis, pyruvate is aerobically converted by the pyruvate dehydrogenase complex to acetyl-CoA and enters the TCA cycle. Also, when there is not enough oxygen available, and therefore pyruvate cannot be converted into acetyl-CoA, pyruvate is converted to lactate in a reversible reaction by lactate dehydrogenase. The main enzymes involved in pyruvate metabolism are summarised in Figure 8. </w:t>
      </w:r>
    </w:p>
    <w:p w:rsidR="00EF1380" w:rsidRDefault="00EF1380" w:rsidP="00EF1380">
      <w:pPr>
        <w:jc w:val="center"/>
        <w:rPr>
          <w:rStyle w:val="SC118877"/>
          <w:rFonts w:ascii="Arial" w:hAnsi="Arial" w:cs="Arial"/>
          <w:color w:val="auto"/>
          <w:sz w:val="24"/>
          <w:szCs w:val="24"/>
        </w:rPr>
      </w:pPr>
      <w:r>
        <w:rPr>
          <w:rFonts w:ascii="Arial" w:hAnsi="Arial" w:cs="Arial"/>
          <w:noProof/>
          <w:sz w:val="24"/>
          <w:szCs w:val="24"/>
        </w:rPr>
        <w:drawing>
          <wp:inline distT="0" distB="0" distL="0" distR="0" wp14:anchorId="55F25E43" wp14:editId="4E170263">
            <wp:extent cx="3818417" cy="4104000"/>
            <wp:effectExtent l="38100" t="38100" r="29845" b="304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uvate metabolis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8417" cy="4104000"/>
                    </a:xfrm>
                    <a:prstGeom prst="rect">
                      <a:avLst/>
                    </a:prstGeom>
                    <a:ln w="28575">
                      <a:solidFill>
                        <a:schemeClr val="tx1"/>
                      </a:solidFill>
                    </a:ln>
                  </pic:spPr>
                </pic:pic>
              </a:graphicData>
            </a:graphic>
          </wp:inline>
        </w:drawing>
      </w:r>
    </w:p>
    <w:p w:rsidR="00EF1380" w:rsidRPr="008504A7" w:rsidRDefault="00EF1380" w:rsidP="00EF1380">
      <w:pPr>
        <w:pStyle w:val="Caption"/>
        <w:rPr>
          <w:rFonts w:ascii="Arial" w:hAnsi="Arial" w:cs="Arial"/>
          <w:i/>
          <w:iCs/>
          <w:color w:val="auto"/>
          <w:sz w:val="16"/>
          <w:szCs w:val="16"/>
          <w:lang w:val="en-US"/>
        </w:rPr>
      </w:pPr>
      <w:bookmarkStart w:id="43" w:name="_Toc413419268"/>
      <w:proofErr w:type="gramStart"/>
      <w:r w:rsidRPr="003653F9">
        <w:rPr>
          <w:rFonts w:ascii="Arial" w:hAnsi="Arial" w:cs="Arial"/>
          <w:color w:val="auto"/>
          <w:sz w:val="16"/>
          <w:szCs w:val="16"/>
        </w:rPr>
        <w:t xml:space="preserve">Figure </w:t>
      </w:r>
      <w:r w:rsidR="006C2756" w:rsidRPr="003653F9">
        <w:rPr>
          <w:rFonts w:ascii="Arial" w:hAnsi="Arial" w:cs="Arial"/>
          <w:color w:val="auto"/>
          <w:sz w:val="16"/>
          <w:szCs w:val="16"/>
        </w:rPr>
        <w:fldChar w:fldCharType="begin"/>
      </w:r>
      <w:r w:rsidRPr="003653F9">
        <w:rPr>
          <w:rFonts w:ascii="Arial" w:hAnsi="Arial" w:cs="Arial"/>
          <w:color w:val="auto"/>
          <w:sz w:val="16"/>
          <w:szCs w:val="16"/>
        </w:rPr>
        <w:instrText xml:space="preserve"> SEQ Figure \* ARABIC </w:instrText>
      </w:r>
      <w:r w:rsidR="006C2756" w:rsidRPr="003653F9">
        <w:rPr>
          <w:rFonts w:ascii="Arial" w:hAnsi="Arial" w:cs="Arial"/>
          <w:color w:val="auto"/>
          <w:sz w:val="16"/>
          <w:szCs w:val="16"/>
        </w:rPr>
        <w:fldChar w:fldCharType="separate"/>
      </w:r>
      <w:r w:rsidR="00DC0376">
        <w:rPr>
          <w:rFonts w:ascii="Arial" w:hAnsi="Arial" w:cs="Arial"/>
          <w:noProof/>
          <w:color w:val="auto"/>
          <w:sz w:val="16"/>
          <w:szCs w:val="16"/>
        </w:rPr>
        <w:t>8</w:t>
      </w:r>
      <w:r w:rsidR="006C2756" w:rsidRPr="003653F9">
        <w:rPr>
          <w:rFonts w:ascii="Arial" w:hAnsi="Arial" w:cs="Arial"/>
          <w:color w:val="auto"/>
          <w:sz w:val="16"/>
          <w:szCs w:val="16"/>
        </w:rPr>
        <w:fldChar w:fldCharType="end"/>
      </w:r>
      <w:r w:rsidRPr="003653F9">
        <w:rPr>
          <w:rFonts w:ascii="Arial" w:hAnsi="Arial" w:cs="Arial"/>
          <w:color w:val="auto"/>
          <w:sz w:val="16"/>
          <w:szCs w:val="16"/>
        </w:rPr>
        <w:t>.</w:t>
      </w:r>
      <w:proofErr w:type="gramEnd"/>
      <w:r w:rsidRPr="003653F9">
        <w:rPr>
          <w:rFonts w:ascii="Arial" w:hAnsi="Arial" w:cs="Arial"/>
          <w:color w:val="auto"/>
          <w:sz w:val="16"/>
          <w:szCs w:val="16"/>
        </w:rPr>
        <w:t xml:space="preserve"> </w:t>
      </w:r>
      <w:proofErr w:type="gramStart"/>
      <w:r w:rsidRPr="008504A7">
        <w:rPr>
          <w:rFonts w:ascii="Arial" w:hAnsi="Arial" w:cs="Arial"/>
          <w:iCs/>
          <w:color w:val="auto"/>
          <w:sz w:val="16"/>
          <w:szCs w:val="16"/>
          <w:lang w:val="en-US"/>
        </w:rPr>
        <w:t>Enzymes and reactions in pyruvate metabolism.</w:t>
      </w:r>
      <w:proofErr w:type="gramEnd"/>
      <w:r w:rsidRPr="008504A7">
        <w:rPr>
          <w:rFonts w:ascii="Arial" w:hAnsi="Arial" w:cs="Arial"/>
          <w:iCs/>
          <w:color w:val="auto"/>
          <w:sz w:val="16"/>
          <w:szCs w:val="16"/>
          <w:lang w:val="en-US"/>
        </w:rPr>
        <w:t xml:space="preserve"> </w:t>
      </w:r>
      <w:r w:rsidRPr="008504A7">
        <w:rPr>
          <w:rFonts w:ascii="Arial" w:hAnsi="Arial" w:cs="Arial"/>
          <w:i/>
          <w:color w:val="auto"/>
          <w:sz w:val="16"/>
          <w:szCs w:val="16"/>
        </w:rPr>
        <w:t>Metabolic enzymes in this pathway are shown in red bold font; metabolic products in this pathway are shown in black bold font.</w:t>
      </w:r>
      <w:bookmarkEnd w:id="43"/>
    </w:p>
    <w:p w:rsidR="00EF1380" w:rsidRDefault="00EF1380" w:rsidP="00EF1380">
      <w:pPr>
        <w:autoSpaceDE w:val="0"/>
        <w:autoSpaceDN w:val="0"/>
        <w:adjustRightInd w:val="0"/>
        <w:spacing w:after="0" w:line="360" w:lineRule="auto"/>
        <w:ind w:firstLine="720"/>
        <w:jc w:val="both"/>
        <w:rPr>
          <w:rFonts w:ascii="Arial" w:hAnsi="Arial" w:cs="Arial"/>
          <w:sz w:val="24"/>
          <w:szCs w:val="24"/>
          <w:lang w:val="en-US"/>
        </w:rPr>
      </w:pPr>
      <w:r>
        <w:rPr>
          <w:rFonts w:ascii="Arial" w:hAnsi="Arial" w:cs="Arial"/>
          <w:sz w:val="24"/>
          <w:szCs w:val="24"/>
        </w:rPr>
        <w:t xml:space="preserve">Even the activity of the pyruvate metabolism pathway is controlled by acetylation, just the acetylation patterns of </w:t>
      </w:r>
      <w:r w:rsidR="006F7E97">
        <w:rPr>
          <w:rFonts w:ascii="Arial" w:hAnsi="Arial" w:cs="Arial"/>
          <w:sz w:val="24"/>
          <w:szCs w:val="24"/>
        </w:rPr>
        <w:t>4 enzymes in this pathway have been shown to have an effect on their activity and/or expression</w:t>
      </w:r>
      <w:r w:rsidR="005B168C">
        <w:rPr>
          <w:rFonts w:ascii="Arial" w:hAnsi="Arial" w:cs="Arial"/>
          <w:sz w:val="24"/>
          <w:szCs w:val="24"/>
        </w:rPr>
        <w:t xml:space="preserve"> </w:t>
      </w:r>
      <w:r w:rsidR="005B168C">
        <w:rPr>
          <w:rFonts w:ascii="Arial" w:hAnsi="Arial" w:cs="Arial"/>
          <w:sz w:val="24"/>
          <w:szCs w:val="24"/>
          <w:lang w:val="en-US"/>
        </w:rPr>
        <w:t>(see Table 5 for a summary of the effects of acetylation on these enzymes)</w:t>
      </w:r>
      <w:r w:rsidR="006F7E97">
        <w:rPr>
          <w:rFonts w:ascii="Arial" w:hAnsi="Arial" w:cs="Arial"/>
          <w:sz w:val="24"/>
          <w:szCs w:val="24"/>
        </w:rPr>
        <w:t xml:space="preserve">. These enzymes are </w:t>
      </w:r>
      <w:r>
        <w:rPr>
          <w:rFonts w:ascii="Arial" w:hAnsi="Arial" w:cs="Arial"/>
          <w:sz w:val="24"/>
          <w:szCs w:val="24"/>
        </w:rPr>
        <w:t xml:space="preserve">pyruvate kinase, lactate dehydrogenase, phosphoenolpyruvate carboxykinase, and </w:t>
      </w:r>
      <w:r>
        <w:rPr>
          <w:rFonts w:ascii="Arial" w:hAnsi="Arial" w:cs="Arial"/>
          <w:sz w:val="24"/>
          <w:szCs w:val="24"/>
        </w:rPr>
        <w:lastRenderedPageBreak/>
        <w:t xml:space="preserve">pyruvate carboxylase, </w:t>
      </w:r>
      <w:r>
        <w:rPr>
          <w:rFonts w:ascii="Arial" w:hAnsi="Arial" w:cs="Arial"/>
          <w:sz w:val="24"/>
          <w:szCs w:val="24"/>
          <w:lang w:val="en-US"/>
        </w:rPr>
        <w:t xml:space="preserve">annotated by the PhosphoSitePlus database, </w:t>
      </w:r>
      <w:hyperlink r:id="rId25" w:history="1">
        <w:r w:rsidRPr="008152FF">
          <w:rPr>
            <w:rStyle w:val="Hyperlink"/>
            <w:rFonts w:ascii="Arial" w:hAnsi="Arial" w:cs="Arial"/>
            <w:color w:val="auto"/>
            <w:sz w:val="24"/>
            <w:szCs w:val="24"/>
            <w:lang w:val="en-US"/>
          </w:rPr>
          <w:t>www.phosphosite.org</w:t>
        </w:r>
      </w:hyperlink>
      <w:r>
        <w:rPr>
          <w:rFonts w:ascii="Arial" w:hAnsi="Arial" w:cs="Arial"/>
          <w:sz w:val="24"/>
          <w:szCs w:val="24"/>
          <w:lang w:val="en-US"/>
        </w:rPr>
        <w:t>, accessed on 22-05-2014 to be acetylated</w:t>
      </w:r>
      <w:r w:rsidR="006F7E97">
        <w:rPr>
          <w:rFonts w:ascii="Arial" w:hAnsi="Arial" w:cs="Arial"/>
          <w:sz w:val="24"/>
          <w:szCs w:val="24"/>
          <w:lang w:val="en-US"/>
        </w:rPr>
        <w:t>.</w:t>
      </w:r>
      <w:r>
        <w:rPr>
          <w:rFonts w:ascii="Arial" w:hAnsi="Arial" w:cs="Arial"/>
          <w:sz w:val="24"/>
          <w:szCs w:val="24"/>
          <w:lang w:val="en-US"/>
        </w:rPr>
        <w:t xml:space="preserve"> </w:t>
      </w:r>
      <w:r w:rsidR="006F7E97">
        <w:rPr>
          <w:rFonts w:ascii="Arial" w:hAnsi="Arial" w:cs="Arial"/>
          <w:sz w:val="24"/>
          <w:szCs w:val="24"/>
          <w:lang w:val="en-US"/>
        </w:rPr>
        <w:t>S</w:t>
      </w:r>
      <w:r>
        <w:rPr>
          <w:rFonts w:ascii="Arial" w:hAnsi="Arial" w:cs="Arial"/>
          <w:sz w:val="24"/>
          <w:szCs w:val="24"/>
          <w:lang w:val="en-US"/>
        </w:rPr>
        <w:t xml:space="preserve">ee Appendix 2 for </w:t>
      </w:r>
      <w:r w:rsidR="00293EBA">
        <w:rPr>
          <w:rFonts w:ascii="Arial" w:hAnsi="Arial" w:cs="Arial"/>
          <w:sz w:val="24"/>
          <w:szCs w:val="24"/>
          <w:lang w:val="en-US"/>
        </w:rPr>
        <w:t xml:space="preserve">all </w:t>
      </w:r>
      <w:r>
        <w:rPr>
          <w:rFonts w:ascii="Arial" w:hAnsi="Arial" w:cs="Arial"/>
          <w:sz w:val="24"/>
          <w:szCs w:val="24"/>
          <w:lang w:val="en-US"/>
        </w:rPr>
        <w:t>the acetylated lysine residues.</w:t>
      </w:r>
    </w:p>
    <w:p w:rsidR="00DC0376" w:rsidRDefault="00DC0376" w:rsidP="00EF1380">
      <w:pPr>
        <w:autoSpaceDE w:val="0"/>
        <w:autoSpaceDN w:val="0"/>
        <w:adjustRightInd w:val="0"/>
        <w:spacing w:after="0" w:line="360" w:lineRule="auto"/>
        <w:ind w:firstLine="720"/>
        <w:jc w:val="both"/>
        <w:rPr>
          <w:rFonts w:ascii="Arial" w:hAnsi="Arial" w:cs="Arial"/>
          <w:sz w:val="24"/>
          <w:szCs w:val="24"/>
          <w:lang w:val="en-US"/>
        </w:rPr>
      </w:pPr>
    </w:p>
    <w:tbl>
      <w:tblPr>
        <w:tblStyle w:val="LightList1"/>
        <w:tblW w:w="0" w:type="auto"/>
        <w:tblLook w:val="04A0" w:firstRow="1" w:lastRow="0" w:firstColumn="1" w:lastColumn="0" w:noHBand="0" w:noVBand="1"/>
      </w:tblPr>
      <w:tblGrid>
        <w:gridCol w:w="3018"/>
        <w:gridCol w:w="3018"/>
        <w:gridCol w:w="3018"/>
      </w:tblGrid>
      <w:tr w:rsidR="00321557" w:rsidTr="001A2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321557" w:rsidRPr="001A280A" w:rsidRDefault="00321557" w:rsidP="001A280A">
            <w:pPr>
              <w:autoSpaceDE w:val="0"/>
              <w:autoSpaceDN w:val="0"/>
              <w:adjustRightInd w:val="0"/>
              <w:spacing w:line="360" w:lineRule="auto"/>
              <w:jc w:val="center"/>
              <w:rPr>
                <w:rFonts w:cs="Arial"/>
                <w:sz w:val="20"/>
                <w:szCs w:val="20"/>
                <w:lang w:val="en-US"/>
              </w:rPr>
            </w:pPr>
            <w:r w:rsidRPr="001A280A">
              <w:rPr>
                <w:rFonts w:cs="Arial"/>
                <w:sz w:val="20"/>
                <w:szCs w:val="20"/>
                <w:lang w:val="en-US"/>
              </w:rPr>
              <w:t>Enzyme</w:t>
            </w:r>
          </w:p>
        </w:tc>
        <w:tc>
          <w:tcPr>
            <w:tcW w:w="3018" w:type="dxa"/>
          </w:tcPr>
          <w:p w:rsidR="00321557" w:rsidRPr="001A280A" w:rsidRDefault="00321557" w:rsidP="001A280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1A280A">
              <w:rPr>
                <w:rFonts w:cs="Arial"/>
                <w:sz w:val="20"/>
                <w:szCs w:val="20"/>
                <w:lang w:val="en-US"/>
              </w:rPr>
              <w:t>Acetylated Lys residues</w:t>
            </w:r>
          </w:p>
        </w:tc>
        <w:tc>
          <w:tcPr>
            <w:tcW w:w="3018" w:type="dxa"/>
          </w:tcPr>
          <w:p w:rsidR="00321557" w:rsidRPr="001A280A" w:rsidRDefault="00321557" w:rsidP="001A280A">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1A280A">
              <w:rPr>
                <w:rFonts w:cs="Arial"/>
                <w:sz w:val="20"/>
                <w:szCs w:val="20"/>
                <w:lang w:val="en-US"/>
              </w:rPr>
              <w:t>Effect</w:t>
            </w:r>
          </w:p>
        </w:tc>
      </w:tr>
      <w:tr w:rsidR="00321557" w:rsidTr="001A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321557" w:rsidRPr="001A280A" w:rsidRDefault="00321557" w:rsidP="001A280A">
            <w:pPr>
              <w:autoSpaceDE w:val="0"/>
              <w:autoSpaceDN w:val="0"/>
              <w:adjustRightInd w:val="0"/>
              <w:spacing w:line="360" w:lineRule="auto"/>
              <w:jc w:val="center"/>
              <w:rPr>
                <w:rFonts w:cs="Arial"/>
                <w:b w:val="0"/>
                <w:sz w:val="16"/>
                <w:szCs w:val="16"/>
                <w:lang w:val="en-US"/>
              </w:rPr>
            </w:pPr>
            <w:r w:rsidRPr="001A280A">
              <w:rPr>
                <w:rFonts w:cs="Arial"/>
                <w:b w:val="0"/>
                <w:sz w:val="16"/>
                <w:szCs w:val="16"/>
                <w:lang w:val="en-US"/>
              </w:rPr>
              <w:t>Pyruvate kinase</w:t>
            </w:r>
          </w:p>
        </w:tc>
        <w:tc>
          <w:tcPr>
            <w:tcW w:w="3018" w:type="dxa"/>
          </w:tcPr>
          <w:p w:rsidR="00321557" w:rsidRPr="001A280A" w:rsidRDefault="00321557"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1A280A">
              <w:rPr>
                <w:rFonts w:cs="Arial"/>
                <w:sz w:val="16"/>
                <w:szCs w:val="16"/>
                <w:lang w:val="en-US"/>
              </w:rPr>
              <w:t>62</w:t>
            </w:r>
            <w:r w:rsidR="00293EBA" w:rsidRPr="001A280A">
              <w:rPr>
                <w:rFonts w:cs="Arial"/>
                <w:sz w:val="16"/>
                <w:szCs w:val="16"/>
                <w:lang w:val="en-US"/>
              </w:rPr>
              <w:t xml:space="preserve">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6" w:tooltip="Lv L, 2011 #161" w:history="1">
              <w:r w:rsidR="00AB7E17">
                <w:rPr>
                  <w:rFonts w:cs="Arial"/>
                  <w:noProof/>
                  <w:sz w:val="16"/>
                  <w:szCs w:val="16"/>
                  <w:lang w:val="en-US"/>
                </w:rPr>
                <w:t>66</w:t>
              </w:r>
            </w:hyperlink>
            <w:r w:rsidR="00FC3C1A">
              <w:rPr>
                <w:rFonts w:cs="Arial"/>
                <w:noProof/>
                <w:sz w:val="16"/>
                <w:szCs w:val="16"/>
                <w:lang w:val="en-US"/>
              </w:rPr>
              <w:t>)</w:t>
            </w:r>
            <w:r w:rsidR="006C2756" w:rsidRPr="001A280A">
              <w:rPr>
                <w:rFonts w:cs="Arial"/>
                <w:sz w:val="16"/>
                <w:szCs w:val="16"/>
                <w:lang w:val="en-US"/>
              </w:rPr>
              <w:fldChar w:fldCharType="end"/>
            </w:r>
            <w:r w:rsidRPr="001A280A">
              <w:rPr>
                <w:rFonts w:cs="Arial"/>
                <w:sz w:val="16"/>
                <w:szCs w:val="16"/>
                <w:lang w:val="en-US"/>
              </w:rPr>
              <w:t>, 305</w:t>
            </w:r>
            <w:r w:rsidR="00293EBA" w:rsidRPr="001A280A">
              <w:rPr>
                <w:rFonts w:cs="Arial"/>
                <w:sz w:val="16"/>
                <w:szCs w:val="16"/>
                <w:lang w:val="en-US"/>
              </w:rPr>
              <w:t xml:space="preserve">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6" w:tooltip="Lv L, 2011 #161" w:history="1">
              <w:r w:rsidR="00AB7E17">
                <w:rPr>
                  <w:rFonts w:cs="Arial"/>
                  <w:noProof/>
                  <w:sz w:val="16"/>
                  <w:szCs w:val="16"/>
                  <w:lang w:val="en-US"/>
                </w:rPr>
                <w:t>66</w:t>
              </w:r>
            </w:hyperlink>
            <w:r w:rsidR="00FC3C1A">
              <w:rPr>
                <w:rFonts w:cs="Arial"/>
                <w:noProof/>
                <w:sz w:val="16"/>
                <w:szCs w:val="16"/>
                <w:lang w:val="en-US"/>
              </w:rPr>
              <w:t>)</w:t>
            </w:r>
            <w:r w:rsidR="006C2756" w:rsidRPr="001A280A">
              <w:rPr>
                <w:rFonts w:cs="Arial"/>
                <w:sz w:val="16"/>
                <w:szCs w:val="16"/>
                <w:lang w:val="en-US"/>
              </w:rPr>
              <w:fldChar w:fldCharType="end"/>
            </w:r>
          </w:p>
        </w:tc>
        <w:tc>
          <w:tcPr>
            <w:tcW w:w="3018" w:type="dxa"/>
          </w:tcPr>
          <w:p w:rsidR="00321557" w:rsidRPr="001A280A" w:rsidRDefault="00321557"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1A280A">
              <w:rPr>
                <w:rFonts w:cs="Arial"/>
                <w:sz w:val="16"/>
                <w:szCs w:val="16"/>
                <w:lang w:val="en-US"/>
              </w:rPr>
              <w:t>Regulates stability and activity</w:t>
            </w:r>
            <w:r w:rsidR="00293EBA" w:rsidRPr="001A280A">
              <w:rPr>
                <w:rFonts w:cs="Arial"/>
                <w:sz w:val="16"/>
                <w:szCs w:val="16"/>
                <w:lang w:val="en-US"/>
              </w:rPr>
              <w:t xml:space="preserve">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6" w:tooltip="Lv L, 2011 #161" w:history="1">
              <w:r w:rsidR="00AB7E17">
                <w:rPr>
                  <w:rFonts w:cs="Arial"/>
                  <w:noProof/>
                  <w:sz w:val="16"/>
                  <w:szCs w:val="16"/>
                  <w:lang w:val="en-US"/>
                </w:rPr>
                <w:t>66</w:t>
              </w:r>
            </w:hyperlink>
            <w:r w:rsidR="00FC3C1A">
              <w:rPr>
                <w:rFonts w:cs="Arial"/>
                <w:noProof/>
                <w:sz w:val="16"/>
                <w:szCs w:val="16"/>
                <w:lang w:val="en-US"/>
              </w:rPr>
              <w:t>)</w:t>
            </w:r>
            <w:r w:rsidR="006C2756" w:rsidRPr="001A280A">
              <w:rPr>
                <w:rFonts w:cs="Arial"/>
                <w:sz w:val="16"/>
                <w:szCs w:val="16"/>
                <w:lang w:val="en-US"/>
              </w:rPr>
              <w:fldChar w:fldCharType="end"/>
            </w:r>
          </w:p>
        </w:tc>
      </w:tr>
      <w:tr w:rsidR="00321557" w:rsidTr="001A280A">
        <w:tc>
          <w:tcPr>
            <w:cnfStyle w:val="001000000000" w:firstRow="0" w:lastRow="0" w:firstColumn="1" w:lastColumn="0" w:oddVBand="0" w:evenVBand="0" w:oddHBand="0" w:evenHBand="0" w:firstRowFirstColumn="0" w:firstRowLastColumn="0" w:lastRowFirstColumn="0" w:lastRowLastColumn="0"/>
            <w:tcW w:w="3018" w:type="dxa"/>
          </w:tcPr>
          <w:p w:rsidR="00321557" w:rsidRPr="001A280A" w:rsidRDefault="00293EBA" w:rsidP="001A280A">
            <w:pPr>
              <w:autoSpaceDE w:val="0"/>
              <w:autoSpaceDN w:val="0"/>
              <w:adjustRightInd w:val="0"/>
              <w:spacing w:line="360" w:lineRule="auto"/>
              <w:jc w:val="center"/>
              <w:rPr>
                <w:rFonts w:cs="Arial"/>
                <w:b w:val="0"/>
                <w:sz w:val="16"/>
                <w:szCs w:val="16"/>
                <w:lang w:val="en-US"/>
              </w:rPr>
            </w:pPr>
            <w:r w:rsidRPr="001A280A">
              <w:rPr>
                <w:rFonts w:cs="Arial"/>
                <w:b w:val="0"/>
                <w:sz w:val="16"/>
                <w:szCs w:val="16"/>
                <w:lang w:val="en-US"/>
              </w:rPr>
              <w:t>Phosphoenolpyruvate carboxykinase</w:t>
            </w:r>
          </w:p>
        </w:tc>
        <w:tc>
          <w:tcPr>
            <w:tcW w:w="3018" w:type="dxa"/>
          </w:tcPr>
          <w:p w:rsidR="00321557" w:rsidRPr="001A280A" w:rsidRDefault="00293EBA"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1A280A">
              <w:rPr>
                <w:rFonts w:cs="Arial"/>
                <w:sz w:val="16"/>
                <w:szCs w:val="16"/>
                <w:lang w:val="en-US"/>
              </w:rPr>
              <w:t xml:space="preserve">19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&lt;EndNote&gt;&lt;Cite&gt;&lt;Author&gt;Lin Y&lt;/Author&gt;&lt;Year&gt;2009&lt;/Year&gt;&lt;RecNum&gt;339&lt;/RecNum&gt;&lt;DisplayText&gt;(67)&lt;/DisplayText&gt;&lt;record&gt;&lt;rec-number&gt;339&lt;/rec-number&gt;&lt;foreign-keys&gt;&lt;key app="EN" db-id="zxp9w5sa30aeafes0xox2eem00dz2z2aswad"&gt;339&lt;/key&gt;&lt;/foreign-keys&gt;&lt;ref-type name="Journal Article"&gt;17&lt;/ref-type&gt;&lt;contributors&gt;&lt;authors&gt;&lt;author&gt;Lin Y,&lt;/author&gt;&lt;author&gt;Lu J,&lt;/author&gt;&lt;author&gt;Zhang J,&lt;/author&gt;&lt;author&gt;Walter W,&lt;/author&gt;&lt;author&gt;Dang W,&lt;/author&gt;&lt;author&gt;Wan J,&lt;/author&gt;&lt;author&gt;Tao S,&lt;/author&gt;&lt;author&gt;Qian J,&lt;/author&gt;&lt;author&gt;Zhao Y,&lt;/author&gt;&lt;author&gt;Boeke J,&lt;/author&gt;&lt;author&gt;Berger S,&lt;/author&gt;&lt;author&gt;Zhu H,&lt;/author&gt;&lt;/authors&gt;&lt;/contributors&gt;&lt;titles&gt;&lt;title&gt;Protein acetylation microarray reveals that NuA4 controls key metabolic target regulating gluconeogenesis&lt;/title&gt;&lt;secondary-title&gt;Cell&lt;/secondary-title&gt;&lt;/titles&gt;&lt;periodical&gt;&lt;full-title&gt;Cell&lt;/full-title&gt;&lt;/periodical&gt;&lt;pages&gt;1073-1084&lt;/pages&gt;&lt;volume&gt;136&lt;/volume&gt;&lt;number&gt;6&lt;/number&gt;&lt;dates&gt;&lt;year&gt;2009&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7" w:tooltip="Lin Y, 2009 #339" w:history="1">
              <w:r w:rsidR="00AB7E17">
                <w:rPr>
                  <w:rFonts w:cs="Arial"/>
                  <w:noProof/>
                  <w:sz w:val="16"/>
                  <w:szCs w:val="16"/>
                  <w:lang w:val="en-US"/>
                </w:rPr>
                <w:t>67</w:t>
              </w:r>
            </w:hyperlink>
            <w:r w:rsidR="00FC3C1A">
              <w:rPr>
                <w:rFonts w:cs="Arial"/>
                <w:noProof/>
                <w:sz w:val="16"/>
                <w:szCs w:val="16"/>
                <w:lang w:val="en-US"/>
              </w:rPr>
              <w:t>)</w:t>
            </w:r>
            <w:r w:rsidR="006C2756" w:rsidRPr="001A280A">
              <w:rPr>
                <w:rFonts w:cs="Arial"/>
                <w:sz w:val="16"/>
                <w:szCs w:val="16"/>
                <w:lang w:val="en-US"/>
              </w:rPr>
              <w:fldChar w:fldCharType="end"/>
            </w:r>
            <w:r w:rsidRPr="001A280A">
              <w:rPr>
                <w:rFonts w:cs="Arial"/>
                <w:sz w:val="16"/>
                <w:szCs w:val="16"/>
                <w:lang w:val="en-US"/>
              </w:rPr>
              <w:t xml:space="preserve">, 70 </w:t>
            </w:r>
            <w:r w:rsidR="006C2756" w:rsidRPr="001A280A">
              <w:rPr>
                <w:rFonts w:cs="Arial"/>
                <w:sz w:val="16"/>
                <w:szCs w:val="16"/>
                <w:lang w:val="en-US"/>
              </w:rPr>
              <w:fldChar w:fldCharType="begin"/>
            </w:r>
            <w:r w:rsidRPr="001A280A">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1A280A">
              <w:rPr>
                <w:rFonts w:cs="Arial"/>
                <w:sz w:val="16"/>
                <w:szCs w:val="16"/>
                <w:lang w:val="en-US"/>
              </w:rPr>
              <w:fldChar w:fldCharType="separate"/>
            </w:r>
            <w:r w:rsidRPr="001A280A">
              <w:rPr>
                <w:rFonts w:cs="Arial"/>
                <w:noProof/>
                <w:sz w:val="16"/>
                <w:szCs w:val="16"/>
                <w:lang w:val="en-US"/>
              </w:rPr>
              <w:t>(</w:t>
            </w:r>
            <w:hyperlink w:anchor="_ENREF_11" w:tooltip="Zhao S, 2010 #301" w:history="1">
              <w:r w:rsidR="00AB7E17" w:rsidRPr="001A280A">
                <w:rPr>
                  <w:rFonts w:cs="Arial"/>
                  <w:noProof/>
                  <w:sz w:val="16"/>
                  <w:szCs w:val="16"/>
                  <w:lang w:val="en-US"/>
                </w:rPr>
                <w:t>11</w:t>
              </w:r>
            </w:hyperlink>
            <w:r w:rsidRPr="001A280A">
              <w:rPr>
                <w:rFonts w:cs="Arial"/>
                <w:noProof/>
                <w:sz w:val="16"/>
                <w:szCs w:val="16"/>
                <w:lang w:val="en-US"/>
              </w:rPr>
              <w:t>)</w:t>
            </w:r>
            <w:r w:rsidR="006C2756" w:rsidRPr="001A280A">
              <w:rPr>
                <w:rFonts w:cs="Arial"/>
                <w:sz w:val="16"/>
                <w:szCs w:val="16"/>
                <w:lang w:val="en-US"/>
              </w:rPr>
              <w:fldChar w:fldCharType="end"/>
            </w:r>
            <w:r w:rsidRPr="001A280A">
              <w:rPr>
                <w:rFonts w:cs="Arial"/>
                <w:sz w:val="16"/>
                <w:szCs w:val="16"/>
                <w:lang w:val="en-US"/>
              </w:rPr>
              <w:t xml:space="preserve">, 71 </w:t>
            </w:r>
            <w:r w:rsidR="006C2756" w:rsidRPr="001A280A">
              <w:rPr>
                <w:rFonts w:cs="Arial"/>
                <w:sz w:val="16"/>
                <w:szCs w:val="16"/>
                <w:lang w:val="en-US"/>
              </w:rPr>
              <w:fldChar w:fldCharType="begin"/>
            </w:r>
            <w:r w:rsidRPr="001A280A">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1A280A">
              <w:rPr>
                <w:rFonts w:cs="Arial"/>
                <w:sz w:val="16"/>
                <w:szCs w:val="16"/>
                <w:lang w:val="en-US"/>
              </w:rPr>
              <w:fldChar w:fldCharType="separate"/>
            </w:r>
            <w:r w:rsidRPr="001A280A">
              <w:rPr>
                <w:rFonts w:cs="Arial"/>
                <w:noProof/>
                <w:sz w:val="16"/>
                <w:szCs w:val="16"/>
                <w:lang w:val="en-US"/>
              </w:rPr>
              <w:t>(</w:t>
            </w:r>
            <w:hyperlink w:anchor="_ENREF_11" w:tooltip="Zhao S, 2010 #301" w:history="1">
              <w:r w:rsidR="00AB7E17" w:rsidRPr="001A280A">
                <w:rPr>
                  <w:rFonts w:cs="Arial"/>
                  <w:noProof/>
                  <w:sz w:val="16"/>
                  <w:szCs w:val="16"/>
                  <w:lang w:val="en-US"/>
                </w:rPr>
                <w:t>11</w:t>
              </w:r>
            </w:hyperlink>
            <w:r w:rsidRPr="001A280A">
              <w:rPr>
                <w:rFonts w:cs="Arial"/>
                <w:noProof/>
                <w:sz w:val="16"/>
                <w:szCs w:val="16"/>
                <w:lang w:val="en-US"/>
              </w:rPr>
              <w:t>)</w:t>
            </w:r>
            <w:r w:rsidR="006C2756" w:rsidRPr="001A280A">
              <w:rPr>
                <w:rFonts w:cs="Arial"/>
                <w:sz w:val="16"/>
                <w:szCs w:val="16"/>
                <w:lang w:val="en-US"/>
              </w:rPr>
              <w:fldChar w:fldCharType="end"/>
            </w:r>
            <w:r w:rsidRPr="001A280A">
              <w:rPr>
                <w:rFonts w:cs="Arial"/>
                <w:sz w:val="16"/>
                <w:szCs w:val="16"/>
                <w:lang w:val="en-US"/>
              </w:rPr>
              <w:t xml:space="preserve">, 514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&lt;EndNote&gt;&lt;Cite&gt;&lt;Author&gt;Lin Y&lt;/Author&gt;&lt;Year&gt;2009&lt;/Year&gt;&lt;RecNum&gt;339&lt;/RecNum&gt;&lt;DisplayText&gt;(67)&lt;/DisplayText&gt;&lt;record&gt;&lt;rec-number&gt;339&lt;/rec-number&gt;&lt;foreign-keys&gt;&lt;key app="EN" db-id="zxp9w5sa30aeafes0xox2eem00dz2z2aswad"&gt;339&lt;/key&gt;&lt;/foreign-keys&gt;&lt;ref-type name="Journal Article"&gt;17&lt;/ref-type&gt;&lt;contributors&gt;&lt;authors&gt;&lt;author&gt;Lin Y,&lt;/author&gt;&lt;author&gt;Lu J,&lt;/author&gt;&lt;author&gt;Zhang J,&lt;/author&gt;&lt;author&gt;Walter W,&lt;/author&gt;&lt;author&gt;Dang W,&lt;/author&gt;&lt;author&gt;Wan J,&lt;/author&gt;&lt;author&gt;Tao S,&lt;/author&gt;&lt;author&gt;Qian J,&lt;/author&gt;&lt;author&gt;Zhao Y,&lt;/author&gt;&lt;author&gt;Boeke J,&lt;/author&gt;&lt;author&gt;Berger S,&lt;/author&gt;&lt;author&gt;Zhu H,&lt;/author&gt;&lt;/authors&gt;&lt;/contributors&gt;&lt;titles&gt;&lt;title&gt;Protein acetylation microarray reveals that NuA4 controls key metabolic target regulating gluconeogenesis&lt;/title&gt;&lt;secondary-title&gt;Cell&lt;/secondary-title&gt;&lt;/titles&gt;&lt;periodical&gt;&lt;full-title&gt;Cell&lt;/full-title&gt;&lt;/periodical&gt;&lt;pages&gt;1073-1084&lt;/pages&gt;&lt;volume&gt;136&lt;/volume&gt;&lt;number&gt;6&lt;/number&gt;&lt;dates&gt;&lt;year&gt;2009&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7" w:tooltip="Lin Y, 2009 #339" w:history="1">
              <w:r w:rsidR="00AB7E17">
                <w:rPr>
                  <w:rFonts w:cs="Arial"/>
                  <w:noProof/>
                  <w:sz w:val="16"/>
                  <w:szCs w:val="16"/>
                  <w:lang w:val="en-US"/>
                </w:rPr>
                <w:t>67</w:t>
              </w:r>
            </w:hyperlink>
            <w:r w:rsidR="00FC3C1A">
              <w:rPr>
                <w:rFonts w:cs="Arial"/>
                <w:noProof/>
                <w:sz w:val="16"/>
                <w:szCs w:val="16"/>
                <w:lang w:val="en-US"/>
              </w:rPr>
              <w:t>)</w:t>
            </w:r>
            <w:r w:rsidR="006C2756" w:rsidRPr="001A280A">
              <w:rPr>
                <w:rFonts w:cs="Arial"/>
                <w:sz w:val="16"/>
                <w:szCs w:val="16"/>
                <w:lang w:val="en-US"/>
              </w:rPr>
              <w:fldChar w:fldCharType="end"/>
            </w:r>
            <w:r w:rsidRPr="001A280A">
              <w:rPr>
                <w:rFonts w:cs="Arial"/>
                <w:sz w:val="16"/>
                <w:szCs w:val="16"/>
                <w:lang w:val="en-US"/>
              </w:rPr>
              <w:t xml:space="preserve">, 594 </w:t>
            </w:r>
            <w:r w:rsidR="006C2756" w:rsidRPr="001A280A">
              <w:rPr>
                <w:rFonts w:cs="Arial"/>
                <w:sz w:val="16"/>
                <w:szCs w:val="16"/>
                <w:lang w:val="en-US"/>
              </w:rPr>
              <w:fldChar w:fldCharType="begin"/>
            </w:r>
            <w:r w:rsidRPr="001A280A">
              <w:rPr>
                <w:rFonts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1A280A">
              <w:rPr>
                <w:rFonts w:cs="Arial"/>
                <w:sz w:val="16"/>
                <w:szCs w:val="16"/>
                <w:lang w:val="en-US"/>
              </w:rPr>
              <w:fldChar w:fldCharType="separate"/>
            </w:r>
            <w:r w:rsidRPr="001A280A">
              <w:rPr>
                <w:rFonts w:cs="Arial"/>
                <w:noProof/>
                <w:sz w:val="16"/>
                <w:szCs w:val="16"/>
                <w:lang w:val="en-US"/>
              </w:rPr>
              <w:t>(</w:t>
            </w:r>
            <w:hyperlink w:anchor="_ENREF_11" w:tooltip="Zhao S, 2010 #301" w:history="1">
              <w:r w:rsidR="00AB7E17" w:rsidRPr="001A280A">
                <w:rPr>
                  <w:rFonts w:cs="Arial"/>
                  <w:noProof/>
                  <w:sz w:val="16"/>
                  <w:szCs w:val="16"/>
                  <w:lang w:val="en-US"/>
                </w:rPr>
                <w:t>11</w:t>
              </w:r>
            </w:hyperlink>
            <w:r w:rsidRPr="001A280A">
              <w:rPr>
                <w:rFonts w:cs="Arial"/>
                <w:noProof/>
                <w:sz w:val="16"/>
                <w:szCs w:val="16"/>
                <w:lang w:val="en-US"/>
              </w:rPr>
              <w:t>)</w:t>
            </w:r>
            <w:r w:rsidR="006C2756" w:rsidRPr="001A280A">
              <w:rPr>
                <w:rFonts w:cs="Arial"/>
                <w:sz w:val="16"/>
                <w:szCs w:val="16"/>
                <w:lang w:val="en-US"/>
              </w:rPr>
              <w:fldChar w:fldCharType="end"/>
            </w:r>
          </w:p>
        </w:tc>
        <w:tc>
          <w:tcPr>
            <w:tcW w:w="3018" w:type="dxa"/>
          </w:tcPr>
          <w:p w:rsidR="00321557" w:rsidRPr="001A280A" w:rsidRDefault="00293EBA"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1A280A">
              <w:rPr>
                <w:rFonts w:cs="Arial"/>
                <w:sz w:val="16"/>
                <w:szCs w:val="16"/>
                <w:lang w:val="en-US"/>
              </w:rPr>
              <w:t xml:space="preserve">Regulates stability </w:t>
            </w:r>
            <w:r w:rsidR="006C2756" w:rsidRPr="001A280A">
              <w:rPr>
                <w:rFonts w:cs="Arial"/>
                <w:sz w:val="16"/>
                <w:szCs w:val="16"/>
                <w:lang w:val="en-US"/>
              </w:rPr>
              <w:fldChar w:fldCharType="begin">
                <w:fldData xml:space="preserve">PEVuZE5vdGU+PENpdGU+PEF1dGhvcj5aaGFvIFM8L0F1dGhvcj48WWVhcj4yMDEwPC9ZZWFyPjxS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</w:fldData>
              </w:fldChar>
            </w:r>
            <w:r w:rsidR="00FC3C1A">
              <w:rPr>
                <w:rFonts w:cs="Arial"/>
                <w:sz w:val="16"/>
                <w:szCs w:val="16"/>
                <w:lang w:val="en-US"/>
              </w:rPr>
              <w:instrText xml:space="preserve"> ADDIN EN.CITE </w:instrText>
            </w:r>
            <w:r w:rsidR="00FC3C1A">
              <w:rPr>
                <w:rFonts w:cs="Arial"/>
                <w:sz w:val="16"/>
                <w:szCs w:val="16"/>
                <w:lang w:val="en-US"/>
              </w:rPr>
              <w:fldChar w:fldCharType="begin">
                <w:fldData xml:space="preserve">PEVuZE5vdGU+PENpdGU+PEF1dGhvcj5aaGFvIFM8L0F1dGhvcj48WWVhcj4yMDEwPC9ZZWFyPjxS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</w:fldData>
              </w:fldChar>
            </w:r>
            <w:r w:rsidR="00FC3C1A">
              <w:rPr>
                <w:rFonts w:cs="Arial"/>
                <w:sz w:val="16"/>
                <w:szCs w:val="16"/>
                <w:lang w:val="en-US"/>
              </w:rPr>
              <w:instrText xml:space="preserve"> ADDIN EN.CITE.DATA </w:instrText>
            </w:r>
            <w:r w:rsidR="00FC3C1A">
              <w:rPr>
                <w:rFonts w:cs="Arial"/>
                <w:sz w:val="16"/>
                <w:szCs w:val="16"/>
                <w:lang w:val="en-US"/>
              </w:rPr>
            </w:r>
            <w:r w:rsidR="00FC3C1A">
              <w:rPr>
                <w:rFonts w:cs="Arial"/>
                <w:sz w:val="16"/>
                <w:szCs w:val="16"/>
                <w:lang w:val="en-US"/>
              </w:rPr>
              <w:fldChar w:fldCharType="end"/>
            </w:r>
            <w:r w:rsidR="006C2756" w:rsidRPr="001A280A">
              <w:rPr>
                <w:rFonts w:cs="Arial"/>
                <w:sz w:val="16"/>
                <w:szCs w:val="16"/>
                <w:lang w:val="en-US"/>
              </w:rPr>
            </w:r>
            <w:r w:rsidR="006C2756" w:rsidRPr="001A280A">
              <w:rPr>
                <w:rFonts w:cs="Arial"/>
                <w:sz w:val="16"/>
                <w:szCs w:val="16"/>
                <w:lang w:val="en-US"/>
              </w:rPr>
              <w:fldChar w:fldCharType="separate"/>
            </w:r>
            <w:r w:rsidR="00FC3C1A">
              <w:rPr>
                <w:rFonts w:cs="Arial"/>
                <w:noProof/>
                <w:sz w:val="16"/>
                <w:szCs w:val="16"/>
                <w:lang w:val="en-US"/>
              </w:rPr>
              <w:t>(</w:t>
            </w:r>
            <w:hyperlink w:anchor="_ENREF_11" w:tooltip="Zhao S, 2010 #301" w:history="1">
              <w:r w:rsidR="00AB7E17">
                <w:rPr>
                  <w:rFonts w:cs="Arial"/>
                  <w:noProof/>
                  <w:sz w:val="16"/>
                  <w:szCs w:val="16"/>
                  <w:lang w:val="en-US"/>
                </w:rPr>
                <w:t>11</w:t>
              </w:r>
            </w:hyperlink>
            <w:r w:rsidR="00FC3C1A">
              <w:rPr>
                <w:rFonts w:cs="Arial"/>
                <w:noProof/>
                <w:sz w:val="16"/>
                <w:szCs w:val="16"/>
                <w:lang w:val="en-US"/>
              </w:rPr>
              <w:t xml:space="preserve">, </w:t>
            </w:r>
            <w:hyperlink w:anchor="_ENREF_68" w:tooltip="Jiang W, 2011 #326" w:history="1">
              <w:r w:rsidR="00AB7E17">
                <w:rPr>
                  <w:rFonts w:cs="Arial"/>
                  <w:noProof/>
                  <w:sz w:val="16"/>
                  <w:szCs w:val="16"/>
                  <w:lang w:val="en-US"/>
                </w:rPr>
                <w:t>68</w:t>
              </w:r>
            </w:hyperlink>
            <w:r w:rsidR="00FC3C1A">
              <w:rPr>
                <w:rFonts w:cs="Arial"/>
                <w:noProof/>
                <w:sz w:val="16"/>
                <w:szCs w:val="16"/>
                <w:lang w:val="en-US"/>
              </w:rPr>
              <w:t>)</w:t>
            </w:r>
            <w:r w:rsidR="006C2756" w:rsidRPr="001A280A">
              <w:rPr>
                <w:rFonts w:cs="Arial"/>
                <w:sz w:val="16"/>
                <w:szCs w:val="16"/>
                <w:lang w:val="en-US"/>
              </w:rPr>
              <w:fldChar w:fldCharType="end"/>
            </w:r>
          </w:p>
        </w:tc>
      </w:tr>
      <w:tr w:rsidR="00321557" w:rsidTr="001A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321557" w:rsidRPr="001A280A" w:rsidRDefault="00293EBA" w:rsidP="001A280A">
            <w:pPr>
              <w:autoSpaceDE w:val="0"/>
              <w:autoSpaceDN w:val="0"/>
              <w:adjustRightInd w:val="0"/>
              <w:spacing w:line="360" w:lineRule="auto"/>
              <w:jc w:val="center"/>
              <w:rPr>
                <w:rFonts w:cs="Arial"/>
                <w:b w:val="0"/>
                <w:sz w:val="16"/>
                <w:szCs w:val="16"/>
                <w:lang w:val="en-US"/>
              </w:rPr>
            </w:pPr>
            <w:r w:rsidRPr="001A280A">
              <w:rPr>
                <w:rFonts w:cs="Arial"/>
                <w:b w:val="0"/>
                <w:sz w:val="16"/>
                <w:szCs w:val="16"/>
                <w:lang w:val="en-US"/>
              </w:rPr>
              <w:t>Lactate dehydrogenase</w:t>
            </w:r>
          </w:p>
        </w:tc>
        <w:tc>
          <w:tcPr>
            <w:tcW w:w="3018" w:type="dxa"/>
          </w:tcPr>
          <w:p w:rsidR="00321557" w:rsidRPr="001A280A" w:rsidRDefault="00293EBA"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1A280A">
              <w:rPr>
                <w:rFonts w:cs="Arial"/>
                <w:sz w:val="16"/>
                <w:szCs w:val="16"/>
                <w:lang w:val="en-US"/>
              </w:rPr>
              <w:t xml:space="preserve">5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&lt;EndNote&gt;&lt;Cite&gt;&lt;Author&gt;Zhao D&lt;/Author&gt;&lt;Year&gt;2013&lt;/Year&gt;&lt;RecNum&gt;337&lt;/RecNum&gt;&lt;DisplayText&gt;(69)&lt;/DisplayText&gt;&lt;record&gt;&lt;rec-number&gt;337&lt;/rec-number&gt;&lt;foreign-keys&gt;&lt;key app="EN" db-id="zxp9w5sa30aeafes0xox2eem00dz2z2aswad"&gt;337&lt;/key&gt;&lt;/foreign-keys&gt;&lt;ref-type name="Journal Article"&gt;17&lt;/ref-type&gt;&lt;contributors&gt;&lt;authors&gt;&lt;author&gt;Zhao D,&lt;/author&gt;&lt;author&gt;Zou S,&lt;/author&gt;&lt;author&gt;Liu Y,&lt;/author&gt;&lt;author&gt;Zhou X,&lt;/author&gt;&lt;author&gt;Mo Y,&lt;/author&gt;&lt;author&gt;Wang P,&lt;/author&gt;&lt;author&gt;Xu Y,&lt;/author&gt;&lt;author&gt;Dong B,&lt;/author&gt;&lt;author&gt;Xiong Y,&lt;/author&gt;&lt;author&gt;Lei Q,&lt;/author&gt;&lt;author&gt;Guan K,&lt;/author&gt;&lt;/authors&gt;&lt;/contributors&gt;&lt;titles&gt;&lt;title&gt;Lysine-5 acetylation negatively regulates lactate dehydrogenase A and is decreased in pancreatic cancer.&lt;/title&gt;&lt;secondary-title&gt;Cancer Cell&lt;/secondary-title&gt;&lt;/titles&gt;&lt;periodical&gt;&lt;full-title&gt;Cancer Cell&lt;/full-title&gt;&lt;/periodical&gt;&lt;pages&gt;464-476&lt;/pages&gt;&lt;volume&gt;23&lt;/volume&gt;&lt;number&gt;4&lt;/number&gt;&lt;dates&gt;&lt;year&gt;2013&lt;/year&gt;&lt;/dates&gt;&lt;urls&gt;&lt;/urls&gt;&lt;/record&gt;&lt;/Cite&gt;&lt;/EndNote&gt;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9" w:tooltip="Zhao D, 2013 #337" w:history="1">
              <w:r w:rsidR="00AB7E17">
                <w:rPr>
                  <w:rFonts w:cs="Arial"/>
                  <w:noProof/>
                  <w:sz w:val="16"/>
                  <w:szCs w:val="16"/>
                  <w:lang w:val="en-US"/>
                </w:rPr>
                <w:t>69</w:t>
              </w:r>
            </w:hyperlink>
            <w:r w:rsidR="00FC3C1A">
              <w:rPr>
                <w:rFonts w:cs="Arial"/>
                <w:noProof/>
                <w:sz w:val="16"/>
                <w:szCs w:val="16"/>
                <w:lang w:val="en-US"/>
              </w:rPr>
              <w:t>)</w:t>
            </w:r>
            <w:r w:rsidR="006C2756" w:rsidRPr="001A280A">
              <w:rPr>
                <w:rFonts w:cs="Arial"/>
                <w:sz w:val="16"/>
                <w:szCs w:val="16"/>
                <w:lang w:val="en-US"/>
              </w:rPr>
              <w:fldChar w:fldCharType="end"/>
            </w:r>
            <w:r w:rsidRPr="001A280A">
              <w:rPr>
                <w:rFonts w:cs="Arial"/>
                <w:sz w:val="16"/>
                <w:szCs w:val="16"/>
                <w:lang w:val="en-US"/>
              </w:rPr>
              <w:t xml:space="preserve">, 318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&lt;EndNote&gt;&lt;Cite&gt;&lt;Author&gt;Zhao D&lt;/Author&gt;&lt;Year&gt;2013&lt;/Year&gt;&lt;RecNum&gt;337&lt;/RecNum&gt;&lt;DisplayText&gt;(69)&lt;/DisplayText&gt;&lt;record&gt;&lt;rec-number&gt;337&lt;/rec-number&gt;&lt;foreign-keys&gt;&lt;key app="EN" db-id="zxp9w5sa30aeafes0xox2eem00dz2z2aswad"&gt;337&lt;/key&gt;&lt;/foreign-keys&gt;&lt;ref-type name="Journal Article"&gt;17&lt;/ref-type&gt;&lt;contributors&gt;&lt;authors&gt;&lt;author&gt;Zhao D,&lt;/author&gt;&lt;author&gt;Zou S,&lt;/author&gt;&lt;author&gt;Liu Y,&lt;/author&gt;&lt;author&gt;Zhou X,&lt;/author&gt;&lt;author&gt;Mo Y,&lt;/author&gt;&lt;author&gt;Wang P,&lt;/author&gt;&lt;author&gt;Xu Y,&lt;/author&gt;&lt;author&gt;Dong B,&lt;/author&gt;&lt;author&gt;Xiong Y,&lt;/author&gt;&lt;author&gt;Lei Q,&lt;/author&gt;&lt;author&gt;Guan K,&lt;/author&gt;&lt;/authors&gt;&lt;/contributors&gt;&lt;titles&gt;&lt;title&gt;Lysine-5 acetylation negatively regulates lactate dehydrogenase A and is decreased in pancreatic cancer.&lt;/title&gt;&lt;secondary-title&gt;Cancer Cell&lt;/secondary-title&gt;&lt;/titles&gt;&lt;periodical&gt;&lt;full-title&gt;Cancer Cell&lt;/full-title&gt;&lt;/periodical&gt;&lt;pages&gt;464-476&lt;/pages&gt;&lt;volume&gt;23&lt;/volume&gt;&lt;number&gt;4&lt;/number&gt;&lt;dates&gt;&lt;year&gt;2013&lt;/year&gt;&lt;/dates&gt;&lt;urls&gt;&lt;/urls&gt;&lt;/record&gt;&lt;/Cite&gt;&lt;/EndNote&gt;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9" w:tooltip="Zhao D, 2013 #337" w:history="1">
              <w:r w:rsidR="00AB7E17">
                <w:rPr>
                  <w:rFonts w:cs="Arial"/>
                  <w:noProof/>
                  <w:sz w:val="16"/>
                  <w:szCs w:val="16"/>
                  <w:lang w:val="en-US"/>
                </w:rPr>
                <w:t>69</w:t>
              </w:r>
            </w:hyperlink>
            <w:r w:rsidR="00FC3C1A">
              <w:rPr>
                <w:rFonts w:cs="Arial"/>
                <w:noProof/>
                <w:sz w:val="16"/>
                <w:szCs w:val="16"/>
                <w:lang w:val="en-US"/>
              </w:rPr>
              <w:t>)</w:t>
            </w:r>
            <w:r w:rsidR="006C2756" w:rsidRPr="001A280A">
              <w:rPr>
                <w:rFonts w:cs="Arial"/>
                <w:sz w:val="16"/>
                <w:szCs w:val="16"/>
                <w:lang w:val="en-US"/>
              </w:rPr>
              <w:fldChar w:fldCharType="end"/>
            </w:r>
          </w:p>
        </w:tc>
        <w:tc>
          <w:tcPr>
            <w:tcW w:w="3018" w:type="dxa"/>
          </w:tcPr>
          <w:p w:rsidR="00321557" w:rsidRPr="001A280A" w:rsidRDefault="00293EBA" w:rsidP="00AB7E1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n-US"/>
              </w:rPr>
            </w:pPr>
            <w:r w:rsidRPr="001A280A">
              <w:rPr>
                <w:rFonts w:cs="Arial"/>
                <w:sz w:val="16"/>
                <w:szCs w:val="16"/>
                <w:lang w:val="en-US"/>
              </w:rPr>
              <w:t xml:space="preserve">Inhibits the enzyme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&lt;EndNote&gt;&lt;Cite&gt;&lt;Author&gt;Zhao D&lt;/Author&gt;&lt;Year&gt;2013&lt;/Year&gt;&lt;RecNum&gt;337&lt;/RecNum&gt;&lt;DisplayText&gt;(69)&lt;/DisplayText&gt;&lt;record&gt;&lt;rec-number&gt;337&lt;/rec-number&gt;&lt;foreign-keys&gt;&lt;key app="EN" db-id="zxp9w5sa30aeafes0xox2eem00dz2z2aswad"&gt;337&lt;/key&gt;&lt;/foreign-keys&gt;&lt;ref-type name="Journal Article"&gt;17&lt;/ref-type&gt;&lt;contributors&gt;&lt;authors&gt;&lt;author&gt;Zhao D,&lt;/author&gt;&lt;author&gt;Zou S,&lt;/author&gt;&lt;author&gt;Liu Y,&lt;/author&gt;&lt;author&gt;Zhou X,&lt;/author&gt;&lt;author&gt;Mo Y,&lt;/author&gt;&lt;author&gt;Wang P,&lt;/author&gt;&lt;author&gt;Xu Y,&lt;/author&gt;&lt;author&gt;Dong B,&lt;/author&gt;&lt;author&gt;Xiong Y,&lt;/author&gt;&lt;author&gt;Lei Q,&lt;/author&gt;&lt;author&gt;Guan K,&lt;/author&gt;&lt;/authors&gt;&lt;/contributors&gt;&lt;titles&gt;&lt;title&gt;Lysine-5 acetylation negatively regulates lactate dehydrogenase A and is decreased in pancreatic cancer.&lt;/title&gt;&lt;secondary-title&gt;Cancer Cell&lt;/secondary-title&gt;&lt;/titles&gt;&lt;periodical&gt;&lt;full-title&gt;Cancer Cell&lt;/full-title&gt;&lt;/periodical&gt;&lt;pages&gt;464-476&lt;/pages&gt;&lt;volume&gt;23&lt;/volume&gt;&lt;number&gt;4&lt;/number&gt;&lt;dates&gt;&lt;year&gt;2013&lt;/year&gt;&lt;/dates&gt;&lt;urls&gt;&lt;/urls&gt;&lt;/record&gt;&lt;/Cite&gt;&lt;/EndNote&gt;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69" w:tooltip="Zhao D, 2013 #337" w:history="1">
              <w:r w:rsidR="00AB7E17">
                <w:rPr>
                  <w:rFonts w:cs="Arial"/>
                  <w:noProof/>
                  <w:sz w:val="16"/>
                  <w:szCs w:val="16"/>
                  <w:lang w:val="en-US"/>
                </w:rPr>
                <w:t>69</w:t>
              </w:r>
            </w:hyperlink>
            <w:r w:rsidR="00FC3C1A">
              <w:rPr>
                <w:rFonts w:cs="Arial"/>
                <w:noProof/>
                <w:sz w:val="16"/>
                <w:szCs w:val="16"/>
                <w:lang w:val="en-US"/>
              </w:rPr>
              <w:t>)</w:t>
            </w:r>
            <w:r w:rsidR="006C2756" w:rsidRPr="001A280A">
              <w:rPr>
                <w:rFonts w:cs="Arial"/>
                <w:sz w:val="16"/>
                <w:szCs w:val="16"/>
                <w:lang w:val="en-US"/>
              </w:rPr>
              <w:fldChar w:fldCharType="end"/>
            </w:r>
          </w:p>
        </w:tc>
      </w:tr>
      <w:tr w:rsidR="00321557" w:rsidTr="001A280A">
        <w:tc>
          <w:tcPr>
            <w:cnfStyle w:val="001000000000" w:firstRow="0" w:lastRow="0" w:firstColumn="1" w:lastColumn="0" w:oddVBand="0" w:evenVBand="0" w:oddHBand="0" w:evenHBand="0" w:firstRowFirstColumn="0" w:firstRowLastColumn="0" w:lastRowFirstColumn="0" w:lastRowLastColumn="0"/>
            <w:tcW w:w="3018" w:type="dxa"/>
          </w:tcPr>
          <w:p w:rsidR="00321557" w:rsidRPr="001A280A" w:rsidRDefault="00293EBA" w:rsidP="001A280A">
            <w:pPr>
              <w:autoSpaceDE w:val="0"/>
              <w:autoSpaceDN w:val="0"/>
              <w:adjustRightInd w:val="0"/>
              <w:spacing w:line="360" w:lineRule="auto"/>
              <w:jc w:val="center"/>
              <w:rPr>
                <w:rFonts w:cs="Arial"/>
                <w:b w:val="0"/>
                <w:sz w:val="16"/>
                <w:szCs w:val="16"/>
                <w:lang w:val="en-US"/>
              </w:rPr>
            </w:pPr>
            <w:r w:rsidRPr="001A280A">
              <w:rPr>
                <w:rFonts w:cs="Arial"/>
                <w:b w:val="0"/>
                <w:sz w:val="16"/>
                <w:szCs w:val="16"/>
                <w:lang w:val="en-US"/>
              </w:rPr>
              <w:t>Pyruvate carboxylase</w:t>
            </w:r>
          </w:p>
        </w:tc>
        <w:tc>
          <w:tcPr>
            <w:tcW w:w="3018" w:type="dxa"/>
          </w:tcPr>
          <w:p w:rsidR="00321557" w:rsidRPr="001A280A" w:rsidRDefault="00293EBA"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1A280A">
              <w:rPr>
                <w:rFonts w:eastAsia="Times New Roman" w:cs="Arial"/>
                <w:sz w:val="16"/>
                <w:szCs w:val="16"/>
                <w:lang w:val="en-US"/>
              </w:rPr>
              <w:t xml:space="preserve">35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39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79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148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152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237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241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w:t>
            </w:r>
            <w:r w:rsidR="001A280A" w:rsidRPr="001A280A">
              <w:rPr>
                <w:rFonts w:eastAsia="Times New Roman" w:cs="Arial"/>
                <w:sz w:val="16"/>
                <w:szCs w:val="16"/>
                <w:lang w:val="en-US"/>
              </w:rPr>
              <w:t xml:space="preserve">316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001A280A" w:rsidRPr="001A280A">
              <w:rPr>
                <w:rFonts w:eastAsia="Times New Roman" w:cs="Arial"/>
                <w:sz w:val="16"/>
                <w:szCs w:val="16"/>
                <w:lang w:val="en-US"/>
              </w:rPr>
              <w:t xml:space="preserve">, </w:t>
            </w:r>
            <w:r w:rsidRPr="001A280A">
              <w:rPr>
                <w:rFonts w:eastAsia="Times New Roman" w:cs="Arial"/>
                <w:sz w:val="16"/>
                <w:szCs w:val="16"/>
                <w:lang w:val="en-US"/>
              </w:rPr>
              <w:t xml:space="preserve">434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589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717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748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892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969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xml:space="preserve">, 992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r w:rsidRPr="001A280A">
              <w:rPr>
                <w:rFonts w:eastAsia="Times New Roman" w:cs="Arial"/>
                <w:sz w:val="16"/>
                <w:szCs w:val="16"/>
                <w:lang w:val="en-US"/>
              </w:rPr>
              <w:t>, and 190</w:t>
            </w:r>
            <w:r w:rsidR="001A280A" w:rsidRPr="001A280A">
              <w:rPr>
                <w:rFonts w:eastAsia="Times New Roman" w:cs="Arial"/>
                <w:sz w:val="16"/>
                <w:szCs w:val="16"/>
                <w:lang w:val="en-US"/>
              </w:rPr>
              <w:t>9</w:t>
            </w:r>
            <w:r w:rsidRPr="001A280A">
              <w:rPr>
                <w:rFonts w:eastAsia="Times New Roman" w:cs="Arial"/>
                <w:sz w:val="16"/>
                <w:szCs w:val="16"/>
                <w:lang w:val="en-US"/>
              </w:rPr>
              <w:t xml:space="preserve"> </w:t>
            </w:r>
            <w:r w:rsidR="006C2756" w:rsidRPr="001A280A">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1A280A">
              <w:rPr>
                <w:rFonts w:eastAsia="Times New Roman" w:cs="Arial"/>
                <w:sz w:val="16"/>
                <w:szCs w:val="16"/>
                <w:lang w:val="en-US"/>
              </w:rPr>
              <w:fldChar w:fldCharType="end"/>
            </w:r>
          </w:p>
        </w:tc>
        <w:tc>
          <w:tcPr>
            <w:tcW w:w="3018" w:type="dxa"/>
          </w:tcPr>
          <w:p w:rsidR="00321557" w:rsidRPr="001A280A" w:rsidRDefault="001A280A" w:rsidP="00AB7E1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1A280A">
              <w:rPr>
                <w:rFonts w:cs="Arial"/>
                <w:sz w:val="16"/>
                <w:szCs w:val="16"/>
                <w:lang w:val="en-US"/>
              </w:rPr>
              <w:t xml:space="preserve">Regulates activity </w:t>
            </w:r>
            <w:r w:rsidR="006C2756" w:rsidRPr="001A280A">
              <w:rPr>
                <w:rFonts w:cs="Arial"/>
                <w:sz w:val="16"/>
                <w:szCs w:val="16"/>
                <w:lang w:val="en-US"/>
              </w:rPr>
              <w:fldChar w:fldCharType="begin"/>
            </w:r>
            <w:r w:rsidR="00FC3C1A">
              <w:rPr>
                <w:rFonts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1A280A">
              <w:rPr>
                <w:rFonts w:cs="Arial"/>
                <w:sz w:val="16"/>
                <w:szCs w:val="16"/>
                <w:lang w:val="en-US"/>
              </w:rPr>
              <w:fldChar w:fldCharType="separate"/>
            </w:r>
            <w:r w:rsidR="00FC3C1A">
              <w:rPr>
                <w:rFonts w:cs="Arial"/>
                <w:noProof/>
                <w:sz w:val="16"/>
                <w:szCs w:val="16"/>
                <w:lang w:val="en-US"/>
              </w:rPr>
              <w:t>(</w:t>
            </w:r>
            <w:hyperlink w:anchor="_ENREF_70" w:tooltip="Wirth M, 2013 #338" w:history="1">
              <w:r w:rsidR="00AB7E17">
                <w:rPr>
                  <w:rFonts w:cs="Arial"/>
                  <w:noProof/>
                  <w:sz w:val="16"/>
                  <w:szCs w:val="16"/>
                  <w:lang w:val="en-US"/>
                </w:rPr>
                <w:t>70</w:t>
              </w:r>
            </w:hyperlink>
            <w:r w:rsidR="00FC3C1A">
              <w:rPr>
                <w:rFonts w:cs="Arial"/>
                <w:noProof/>
                <w:sz w:val="16"/>
                <w:szCs w:val="16"/>
                <w:lang w:val="en-US"/>
              </w:rPr>
              <w:t>)</w:t>
            </w:r>
            <w:r w:rsidR="006C2756" w:rsidRPr="001A280A">
              <w:rPr>
                <w:rFonts w:cs="Arial"/>
                <w:sz w:val="16"/>
                <w:szCs w:val="16"/>
                <w:lang w:val="en-US"/>
              </w:rPr>
              <w:fldChar w:fldCharType="end"/>
            </w:r>
          </w:p>
        </w:tc>
      </w:tr>
    </w:tbl>
    <w:p w:rsidR="001A280A" w:rsidRDefault="00A34CDA" w:rsidP="00A34CDA">
      <w:pPr>
        <w:pStyle w:val="Caption"/>
        <w:rPr>
          <w:rFonts w:ascii="Arial" w:hAnsi="Arial" w:cs="Arial"/>
          <w:color w:val="auto"/>
          <w:sz w:val="16"/>
          <w:szCs w:val="16"/>
        </w:rPr>
      </w:pPr>
      <w:bookmarkStart w:id="44" w:name="_Toc413666992"/>
      <w:proofErr w:type="gramStart"/>
      <w:r w:rsidRPr="009B171E">
        <w:rPr>
          <w:rFonts w:ascii="Arial" w:hAnsi="Arial" w:cs="Arial"/>
          <w:color w:val="auto"/>
          <w:sz w:val="16"/>
        </w:rPr>
        <w:t xml:space="preserve">Table </w:t>
      </w:r>
      <w:r w:rsidRPr="009B171E">
        <w:rPr>
          <w:rFonts w:ascii="Arial" w:hAnsi="Arial" w:cs="Arial"/>
          <w:color w:val="auto"/>
          <w:sz w:val="16"/>
        </w:rPr>
        <w:fldChar w:fldCharType="begin"/>
      </w:r>
      <w:r w:rsidRPr="009B171E">
        <w:rPr>
          <w:rFonts w:ascii="Arial" w:hAnsi="Arial" w:cs="Arial"/>
          <w:color w:val="auto"/>
          <w:sz w:val="16"/>
        </w:rPr>
        <w:instrText xml:space="preserve"> SEQ Table \* ARABIC </w:instrText>
      </w:r>
      <w:r w:rsidRPr="009B171E">
        <w:rPr>
          <w:rFonts w:ascii="Arial" w:hAnsi="Arial" w:cs="Arial"/>
          <w:color w:val="auto"/>
          <w:sz w:val="16"/>
        </w:rPr>
        <w:fldChar w:fldCharType="separate"/>
      </w:r>
      <w:r w:rsidR="00DC0376">
        <w:rPr>
          <w:rFonts w:ascii="Arial" w:hAnsi="Arial" w:cs="Arial"/>
          <w:noProof/>
          <w:color w:val="auto"/>
          <w:sz w:val="16"/>
        </w:rPr>
        <w:t>5</w:t>
      </w:r>
      <w:r w:rsidRPr="009B171E">
        <w:rPr>
          <w:rFonts w:ascii="Arial" w:hAnsi="Arial" w:cs="Arial"/>
          <w:color w:val="auto"/>
          <w:sz w:val="16"/>
        </w:rPr>
        <w:fldChar w:fldCharType="end"/>
      </w:r>
      <w:r w:rsidR="001A280A" w:rsidRPr="008C3F1A">
        <w:rPr>
          <w:rFonts w:ascii="Arial" w:hAnsi="Arial" w:cs="Arial"/>
          <w:color w:val="auto"/>
          <w:sz w:val="16"/>
          <w:szCs w:val="16"/>
        </w:rPr>
        <w:t>.</w:t>
      </w:r>
      <w:proofErr w:type="gramEnd"/>
      <w:r w:rsidR="001A280A" w:rsidRPr="008C3F1A">
        <w:rPr>
          <w:rFonts w:ascii="Arial" w:hAnsi="Arial" w:cs="Arial"/>
          <w:color w:val="auto"/>
          <w:sz w:val="16"/>
          <w:szCs w:val="16"/>
        </w:rPr>
        <w:t xml:space="preserve"> </w:t>
      </w:r>
      <w:proofErr w:type="gramStart"/>
      <w:r w:rsidR="001A280A" w:rsidRPr="008C3F1A">
        <w:rPr>
          <w:rFonts w:ascii="Arial" w:hAnsi="Arial" w:cs="Arial"/>
          <w:color w:val="auto"/>
          <w:sz w:val="16"/>
          <w:szCs w:val="16"/>
        </w:rPr>
        <w:t xml:space="preserve">Effect of acetylation on </w:t>
      </w:r>
      <w:r w:rsidR="001A280A">
        <w:rPr>
          <w:rFonts w:ascii="Arial" w:hAnsi="Arial" w:cs="Arial"/>
          <w:color w:val="auto"/>
          <w:sz w:val="16"/>
          <w:szCs w:val="16"/>
        </w:rPr>
        <w:t>pyruvate kinase, phosphoenolpyruvate carboxykinase, lactate dehydrogenase, and pyruvate carboxylase.</w:t>
      </w:r>
      <w:bookmarkEnd w:id="44"/>
      <w:proofErr w:type="gramEnd"/>
      <w:r w:rsidR="001A280A">
        <w:rPr>
          <w:rFonts w:ascii="Arial" w:hAnsi="Arial" w:cs="Arial"/>
          <w:color w:val="auto"/>
          <w:sz w:val="16"/>
          <w:szCs w:val="16"/>
        </w:rPr>
        <w:t xml:space="preserve"> </w:t>
      </w:r>
    </w:p>
    <w:p w:rsidR="00DD6198" w:rsidRDefault="00DD6198">
      <w:pPr>
        <w:rPr>
          <w:lang w:eastAsia="es-MX"/>
        </w:rPr>
      </w:pPr>
      <w:r>
        <w:rPr>
          <w:lang w:eastAsia="es-MX"/>
        </w:rPr>
        <w:br w:type="page"/>
      </w:r>
    </w:p>
    <w:p w:rsidR="00EF1380" w:rsidRPr="00EE35AE" w:rsidRDefault="00EF1380" w:rsidP="001E52CA">
      <w:pPr>
        <w:pStyle w:val="Heading1"/>
        <w:numPr>
          <w:ilvl w:val="0"/>
          <w:numId w:val="4"/>
        </w:numPr>
        <w:ind w:left="709" w:hanging="709"/>
        <w:rPr>
          <w:rFonts w:ascii="Arial" w:hAnsi="Arial" w:cs="Arial"/>
          <w:bCs w:val="0"/>
          <w:sz w:val="28"/>
          <w:szCs w:val="28"/>
        </w:rPr>
      </w:pPr>
      <w:bookmarkStart w:id="45" w:name="_Toc379983953"/>
      <w:bookmarkStart w:id="46" w:name="_Toc413753751"/>
      <w:r w:rsidRPr="00EE35AE">
        <w:rPr>
          <w:rFonts w:ascii="Arial" w:hAnsi="Arial" w:cs="Arial"/>
          <w:sz w:val="28"/>
          <w:szCs w:val="28"/>
        </w:rPr>
        <w:lastRenderedPageBreak/>
        <w:t xml:space="preserve">Proteomic </w:t>
      </w:r>
      <w:r>
        <w:rPr>
          <w:rFonts w:ascii="Arial" w:hAnsi="Arial" w:cs="Arial"/>
          <w:sz w:val="28"/>
          <w:szCs w:val="28"/>
        </w:rPr>
        <w:t>analysis</w:t>
      </w:r>
      <w:bookmarkEnd w:id="45"/>
      <w:bookmarkEnd w:id="46"/>
    </w:p>
    <w:p w:rsidR="00EF1380" w:rsidRDefault="00EF1380" w:rsidP="00EF1380">
      <w:pPr>
        <w:pStyle w:val="NormalWeb"/>
        <w:shd w:val="clear" w:color="auto" w:fill="FFFFFF"/>
        <w:spacing w:before="96" w:beforeAutospacing="0" w:after="120" w:afterAutospacing="0" w:line="360" w:lineRule="auto"/>
        <w:ind w:firstLine="709"/>
        <w:jc w:val="both"/>
        <w:rPr>
          <w:rFonts w:ascii="Arial" w:hAnsi="Arial" w:cs="Arial"/>
          <w:bCs/>
          <w:color w:val="000000"/>
          <w:lang w:val="en-GB"/>
        </w:rPr>
      </w:pPr>
      <w:r>
        <w:rPr>
          <w:rFonts w:ascii="Arial" w:hAnsi="Arial" w:cs="Arial"/>
          <w:bCs/>
          <w:color w:val="000000"/>
          <w:lang w:val="en-GB"/>
        </w:rPr>
        <w:t xml:space="preserve">The entire set of proteins expressed at a certain time in a tissue, cell or genome is known as the proteome, which is suitable of being studied. Proteomics is the study of this proteome. There are some fields related to proteomics, and functional proteomics is a developing research field in proteomics. The description of cellular mechanisms at the molecular level, as well as the elucidation of the biological role of unidentified proteins are approaches related to the functional proteomics field </w:t>
      </w:r>
      <w:r w:rsidR="006C2756">
        <w:rPr>
          <w:rFonts w:ascii="Arial" w:hAnsi="Arial" w:cs="Arial"/>
          <w:bCs/>
          <w:color w:val="000000"/>
          <w:lang w:val="en-GB"/>
        </w:rPr>
        <w:fldChar w:fldCharType="begin"/>
      </w:r>
      <w:r w:rsidR="00FC3C1A">
        <w:rPr>
          <w:rFonts w:ascii="Arial" w:hAnsi="Arial" w:cs="Arial"/>
          <w:bCs/>
          <w:color w:val="000000"/>
          <w:lang w:val="en-GB"/>
        </w:rPr>
        <w:instrText xml:space="preserve"> ADDIN EN.CITE &lt;EndNote&gt;&lt;Cite&gt;&lt;Author&gt;Monti M&lt;/Author&gt;&lt;Year&gt;2005&lt;/Year&gt;&lt;RecNum&gt;340&lt;/RecNum&gt;&lt;DisplayText&gt;(71)&lt;/DisplayText&gt;&lt;record&gt;&lt;rec-number&gt;340&lt;/rec-number&gt;&lt;foreign-keys&gt;&lt;key app="EN" db-id="zxp9w5sa30aeafes0xox2eem00dz2z2aswad"&gt;340&lt;/key&gt;&lt;/foreign-keys&gt;&lt;ref-type name="Journal Article"&gt;17&lt;/ref-type&gt;&lt;contributors&gt;&lt;authors&gt;&lt;author&gt;Monti M,&lt;/author&gt;&lt;author&gt;Orrù S,&lt;/author&gt;&lt;author&gt;Pagnozzi D,&lt;/author&gt;&lt;author&gt;Pucci P,&lt;/author&gt;&lt;/authors&gt;&lt;/contributors&gt;&lt;titles&gt;&lt;title&gt;Functional proteomics&lt;/title&gt;&lt;secondary-title&gt;Clin Chim Acta&lt;/secondary-title&gt;&lt;/titles&gt;&lt;periodical&gt;&lt;full-title&gt;Clin Chim Acta&lt;/full-title&gt;&lt;/periodical&gt;&lt;pages&gt;140-150&lt;/pages&gt;&lt;volume&gt;357&lt;/volume&gt;&lt;number&gt;2&lt;/number&gt;&lt;dates&gt;&lt;year&gt;2005&lt;/year&gt;&lt;/dates&gt;&lt;urls&gt;&lt;/urls&gt;&lt;/record&gt;&lt;/Cite&gt;&lt;/EndNote&gt;</w:instrText>
      </w:r>
      <w:r w:rsidR="006C2756">
        <w:rPr>
          <w:rFonts w:ascii="Arial" w:hAnsi="Arial" w:cs="Arial"/>
          <w:bCs/>
          <w:color w:val="000000"/>
          <w:lang w:val="en-GB"/>
        </w:rPr>
        <w:fldChar w:fldCharType="separate"/>
      </w:r>
      <w:r w:rsidR="00FC3C1A">
        <w:rPr>
          <w:rFonts w:ascii="Arial" w:hAnsi="Arial" w:cs="Arial"/>
          <w:bCs/>
          <w:noProof/>
          <w:color w:val="000000"/>
          <w:lang w:val="en-GB"/>
        </w:rPr>
        <w:t>(</w:t>
      </w:r>
      <w:hyperlink w:anchor="_ENREF_71" w:tooltip="Monti M, 2005 #340" w:history="1">
        <w:r w:rsidR="00AB7E17">
          <w:rPr>
            <w:rFonts w:ascii="Arial" w:hAnsi="Arial" w:cs="Arial"/>
            <w:bCs/>
            <w:noProof/>
            <w:color w:val="000000"/>
            <w:lang w:val="en-GB"/>
          </w:rPr>
          <w:t>71</w:t>
        </w:r>
      </w:hyperlink>
      <w:r w:rsidR="00FC3C1A">
        <w:rPr>
          <w:rFonts w:ascii="Arial" w:hAnsi="Arial" w:cs="Arial"/>
          <w:bCs/>
          <w:noProof/>
          <w:color w:val="000000"/>
          <w:lang w:val="en-GB"/>
        </w:rPr>
        <w:t>)</w:t>
      </w:r>
      <w:r w:rsidR="006C2756">
        <w:rPr>
          <w:rFonts w:ascii="Arial" w:hAnsi="Arial" w:cs="Arial"/>
          <w:bCs/>
          <w:color w:val="000000"/>
          <w:lang w:val="en-GB"/>
        </w:rPr>
        <w:fldChar w:fldCharType="end"/>
      </w:r>
      <w:r>
        <w:rPr>
          <w:rFonts w:ascii="Arial" w:hAnsi="Arial" w:cs="Arial"/>
          <w:bCs/>
          <w:color w:val="000000"/>
          <w:lang w:val="en-GB"/>
        </w:rPr>
        <w:t xml:space="preserve">. The description of signalling pathways, the complexes in which some proteins are involved, and the activity of proteins are areas in which functional proteomics can be a useful tool in the proteomic field </w:t>
      </w:r>
      <w:r w:rsidR="006C2756">
        <w:rPr>
          <w:rFonts w:ascii="Arial" w:hAnsi="Arial" w:cs="Arial"/>
          <w:bCs/>
          <w:color w:val="000000"/>
          <w:lang w:val="en-GB"/>
        </w:rPr>
        <w:fldChar w:fldCharType="begin">
          <w:fldData xml:space="preserve">PEVuZE5vdGU+PENpdGU+PEF1dGhvcj5OZXViYXVlciBHPC9BdXRob3I+PFllYXI+MTk5NzwvWWVh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</w:fldData>
        </w:fldChar>
      </w:r>
      <w:r w:rsidR="00FC3C1A">
        <w:rPr>
          <w:rFonts w:ascii="Arial" w:hAnsi="Arial" w:cs="Arial"/>
          <w:bCs/>
          <w:color w:val="000000"/>
          <w:lang w:val="en-GB"/>
        </w:rPr>
        <w:instrText xml:space="preserve"> ADDIN EN.CITE </w:instrText>
      </w:r>
      <w:r w:rsidR="00FC3C1A">
        <w:rPr>
          <w:rFonts w:ascii="Arial" w:hAnsi="Arial" w:cs="Arial"/>
          <w:bCs/>
          <w:color w:val="000000"/>
          <w:lang w:val="en-GB"/>
        </w:rPr>
        <w:fldChar w:fldCharType="begin">
          <w:fldData xml:space="preserve">PEVuZE5vdGU+PENpdGU+PEF1dGhvcj5OZXViYXVlciBHPC9BdXRob3I+PFllYXI+MTk5NzwvWWVh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</w:fldData>
        </w:fldChar>
      </w:r>
      <w:r w:rsidR="00FC3C1A">
        <w:rPr>
          <w:rFonts w:ascii="Arial" w:hAnsi="Arial" w:cs="Arial"/>
          <w:bCs/>
          <w:color w:val="000000"/>
          <w:lang w:val="en-GB"/>
        </w:rPr>
        <w:instrText xml:space="preserve"> ADDIN EN.CITE.DATA </w:instrText>
      </w:r>
      <w:r w:rsidR="00FC3C1A">
        <w:rPr>
          <w:rFonts w:ascii="Arial" w:hAnsi="Arial" w:cs="Arial"/>
          <w:bCs/>
          <w:color w:val="000000"/>
          <w:lang w:val="en-GB"/>
        </w:rPr>
      </w:r>
      <w:r w:rsidR="00FC3C1A">
        <w:rPr>
          <w:rFonts w:ascii="Arial" w:hAnsi="Arial" w:cs="Arial"/>
          <w:bCs/>
          <w:color w:val="000000"/>
          <w:lang w:val="en-GB"/>
        </w:rPr>
        <w:fldChar w:fldCharType="end"/>
      </w:r>
      <w:r w:rsidR="006C2756">
        <w:rPr>
          <w:rFonts w:ascii="Arial" w:hAnsi="Arial" w:cs="Arial"/>
          <w:bCs/>
          <w:color w:val="000000"/>
          <w:lang w:val="en-GB"/>
        </w:rPr>
      </w:r>
      <w:r w:rsidR="006C2756">
        <w:rPr>
          <w:rFonts w:ascii="Arial" w:hAnsi="Arial" w:cs="Arial"/>
          <w:bCs/>
          <w:color w:val="000000"/>
          <w:lang w:val="en-GB"/>
        </w:rPr>
        <w:fldChar w:fldCharType="separate"/>
      </w:r>
      <w:r w:rsidR="00FC3C1A">
        <w:rPr>
          <w:rFonts w:ascii="Arial" w:hAnsi="Arial" w:cs="Arial"/>
          <w:bCs/>
          <w:noProof/>
          <w:color w:val="000000"/>
          <w:lang w:val="en-GB"/>
        </w:rPr>
        <w:t>(</w:t>
      </w:r>
      <w:hyperlink w:anchor="_ENREF_72" w:tooltip="Neubauer G, 1997 #341" w:history="1">
        <w:r w:rsidR="00AB7E17">
          <w:rPr>
            <w:rFonts w:ascii="Arial" w:hAnsi="Arial" w:cs="Arial"/>
            <w:bCs/>
            <w:noProof/>
            <w:color w:val="000000"/>
            <w:lang w:val="en-GB"/>
          </w:rPr>
          <w:t>72-75</w:t>
        </w:r>
      </w:hyperlink>
      <w:r w:rsidR="00FC3C1A">
        <w:rPr>
          <w:rFonts w:ascii="Arial" w:hAnsi="Arial" w:cs="Arial"/>
          <w:bCs/>
          <w:noProof/>
          <w:color w:val="000000"/>
          <w:lang w:val="en-GB"/>
        </w:rPr>
        <w:t>)</w:t>
      </w:r>
      <w:r w:rsidR="006C2756">
        <w:rPr>
          <w:rFonts w:ascii="Arial" w:hAnsi="Arial" w:cs="Arial"/>
          <w:bCs/>
          <w:color w:val="000000"/>
          <w:lang w:val="en-GB"/>
        </w:rPr>
        <w:fldChar w:fldCharType="end"/>
      </w:r>
      <w:r>
        <w:rPr>
          <w:rFonts w:ascii="Arial" w:hAnsi="Arial" w:cs="Arial"/>
          <w:bCs/>
          <w:color w:val="000000"/>
          <w:lang w:val="en-GB"/>
        </w:rPr>
        <w:t xml:space="preserve">. The fluxes involved in molecular networks, as well as their spatial and temporal properties can also be screened and study in living cells by using functional proteomics </w:t>
      </w:r>
      <w:r w:rsidR="006C2756">
        <w:rPr>
          <w:rFonts w:ascii="Arial" w:hAnsi="Arial" w:cs="Arial"/>
          <w:bCs/>
          <w:color w:val="000000"/>
          <w:lang w:val="en-GB"/>
        </w:rPr>
        <w:fldChar w:fldCharType="begin"/>
      </w:r>
      <w:r w:rsidR="00FC3C1A">
        <w:rPr>
          <w:rFonts w:ascii="Arial" w:hAnsi="Arial" w:cs="Arial"/>
          <w:bCs/>
          <w:color w:val="000000"/>
          <w:lang w:val="en-GB"/>
        </w:rPr>
        <w:instrText xml:space="preserve"> ADDIN EN.CITE &lt;EndNote&gt;&lt;Cite&gt;&lt;Author&gt;Godovac-Zimmermann J&lt;/Author&gt;&lt;Year&gt;2001&lt;/Year&gt;&lt;RecNum&gt;345&lt;/RecNum&gt;&lt;DisplayText&gt;(76)&lt;/DisplayText&gt;&lt;record&gt;&lt;rec-number&gt;345&lt;/rec-number&gt;&lt;foreign-keys&gt;&lt;key app="EN" db-id="zxp9w5sa30aeafes0xox2eem00dz2z2aswad"&gt;345&lt;/key&gt;&lt;/foreign-keys&gt;&lt;ref-type name="Journal Article"&gt;17&lt;/ref-type&gt;&lt;contributors&gt;&lt;authors&gt;&lt;author&gt;Godovac-Zimmermann J, &lt;/author&gt;&lt;author&gt;Brown L,&lt;/author&gt;&lt;/authors&gt;&lt;/contributors&gt;&lt;titles&gt;&lt;title&gt;Perspectives for mass spectrometry and functional proteomics&lt;/title&gt;&lt;secondary-title&gt;Mass Spectrom Rev&lt;/secondary-title&gt;&lt;/titles&gt;&lt;periodical&gt;&lt;full-title&gt;Mass Spectrom Rev&lt;/full-title&gt;&lt;/periodical&gt;&lt;pages&gt;1-57&lt;/pages&gt;&lt;volume&gt;20&lt;/volume&gt;&lt;number&gt;1&lt;/number&gt;&lt;dates&gt;&lt;year&gt;2001&lt;/year&gt;&lt;/dates&gt;&lt;urls&gt;&lt;/urls&gt;&lt;/record&gt;&lt;/Cite&gt;&lt;/EndNote&gt;</w:instrText>
      </w:r>
      <w:r w:rsidR="006C2756">
        <w:rPr>
          <w:rFonts w:ascii="Arial" w:hAnsi="Arial" w:cs="Arial"/>
          <w:bCs/>
          <w:color w:val="000000"/>
          <w:lang w:val="en-GB"/>
        </w:rPr>
        <w:fldChar w:fldCharType="separate"/>
      </w:r>
      <w:r w:rsidR="00FC3C1A">
        <w:rPr>
          <w:rFonts w:ascii="Arial" w:hAnsi="Arial" w:cs="Arial"/>
          <w:bCs/>
          <w:noProof/>
          <w:color w:val="000000"/>
          <w:lang w:val="en-GB"/>
        </w:rPr>
        <w:t>(</w:t>
      </w:r>
      <w:hyperlink w:anchor="_ENREF_76" w:tooltip="Godovac-Zimmermann J, 2001 #345" w:history="1">
        <w:r w:rsidR="00AB7E17">
          <w:rPr>
            <w:rFonts w:ascii="Arial" w:hAnsi="Arial" w:cs="Arial"/>
            <w:bCs/>
            <w:noProof/>
            <w:color w:val="000000"/>
            <w:lang w:val="en-GB"/>
          </w:rPr>
          <w:t>76</w:t>
        </w:r>
      </w:hyperlink>
      <w:r w:rsidR="00FC3C1A">
        <w:rPr>
          <w:rFonts w:ascii="Arial" w:hAnsi="Arial" w:cs="Arial"/>
          <w:bCs/>
          <w:noProof/>
          <w:color w:val="000000"/>
          <w:lang w:val="en-GB"/>
        </w:rPr>
        <w:t>)</w:t>
      </w:r>
      <w:r w:rsidR="006C2756">
        <w:rPr>
          <w:rFonts w:ascii="Arial" w:hAnsi="Arial" w:cs="Arial"/>
          <w:bCs/>
          <w:color w:val="000000"/>
          <w:lang w:val="en-GB"/>
        </w:rPr>
        <w:fldChar w:fldCharType="end"/>
      </w:r>
      <w:r>
        <w:rPr>
          <w:rFonts w:ascii="Arial" w:hAnsi="Arial" w:cs="Arial"/>
          <w:bCs/>
          <w:color w:val="000000"/>
          <w:lang w:val="en-GB"/>
        </w:rPr>
        <w:t>.</w:t>
      </w:r>
    </w:p>
    <w:p w:rsidR="00EF1380" w:rsidRPr="003830F2" w:rsidRDefault="00EF1380" w:rsidP="00EF1380">
      <w:pPr>
        <w:shd w:val="clear" w:color="auto" w:fill="FFFFFF"/>
        <w:spacing w:before="206" w:after="206" w:line="360" w:lineRule="auto"/>
        <w:ind w:firstLine="709"/>
        <w:jc w:val="both"/>
        <w:rPr>
          <w:rFonts w:ascii="Arial" w:hAnsi="Arial" w:cs="Arial"/>
          <w:sz w:val="24"/>
          <w:szCs w:val="24"/>
          <w:shd w:val="clear" w:color="auto" w:fill="FFFFFF"/>
        </w:rPr>
      </w:pPr>
      <w:r>
        <w:rPr>
          <w:rStyle w:val="highlight"/>
          <w:rFonts w:ascii="Arial" w:hAnsi="Arial" w:cs="Arial"/>
          <w:color w:val="000000"/>
          <w:sz w:val="24"/>
          <w:szCs w:val="24"/>
          <w:shd w:val="clear" w:color="auto" w:fill="FFFFFF"/>
        </w:rPr>
        <w:t xml:space="preserve">The gathering of information via quantitative protein profiling is a useful and important proteomic technique </w:t>
      </w:r>
      <w:r w:rsidR="006C2756" w:rsidRPr="00ED1617">
        <w:rPr>
          <w:rFonts w:ascii="Arial" w:hAnsi="Arial" w:cs="Arial"/>
          <w:color w:val="000000"/>
          <w:sz w:val="24"/>
          <w:szCs w:val="24"/>
          <w:shd w:val="clear" w:color="auto" w:fill="FFFFFF"/>
        </w:rPr>
        <w:fldChar w:fldCharType="begin"/>
      </w:r>
      <w:r w:rsidR="00FC3C1A">
        <w:rPr>
          <w:rFonts w:ascii="Arial" w:hAnsi="Arial" w:cs="Arial"/>
          <w:color w:val="000000"/>
          <w:sz w:val="24"/>
          <w:szCs w:val="24"/>
          <w:shd w:val="clear" w:color="auto" w:fill="FFFFFF"/>
        </w:rPr>
        <w:instrText xml:space="preserve"> ADDIN EN.CITE &lt;EndNote&gt;&lt;Cite&gt;&lt;Author&gt;Chen W&lt;/Author&gt;&lt;Year&gt;2006&lt;/Year&gt;&lt;RecNum&gt;0&lt;/RecNum&gt;&lt;IDText&gt;Protein profiling by the combination of two independent mass spectrometry techniques.&lt;/IDText&gt;&lt;DisplayText&gt;(77, 78)&lt;/DisplayText&gt;&lt;record&gt;&lt;titles&gt;&lt;title&gt;Protein profiling by the combination of two independent mass spectrometry techniques.&lt;/title&gt;&lt;secondary-title&gt;Nat Protoc&lt;/secondary-title&gt;&lt;/titles&gt;&lt;pages&gt;1446-1452&lt;/pages&gt;&lt;number&gt;3&lt;/number&gt;&lt;contributors&gt;&lt;authors&gt;&lt;author&gt;Chen W,&lt;/author&gt;&lt;author&gt;Kang S,&lt;/author&gt;&lt;author&gt;Lubec G.,&lt;/author&gt;&lt;/authors&gt;&lt;/contributors&gt;&lt;added-date format="utc"&gt;1375185498&lt;/added-date&gt;&lt;ref-type name="Journal Article"&gt;17&lt;/ref-type&gt;&lt;dates&gt;&lt;year&gt;2006&lt;/year&gt;&lt;/dates&gt;&lt;rec-number&gt;219&lt;/rec-number&gt;&lt;last-updated-date format="utc"&gt;1375185560&lt;/last-updated-date&gt;&lt;volume&gt;1&lt;/volume&gt;&lt;/record&gt;&lt;/Cite&gt;&lt;Cite&gt;&lt;Author&gt;Smolka M&lt;/Author&gt;&lt;Year&gt;2002&lt;/Year&gt;&lt;RecNum&gt;235&lt;/RecNum&gt;&lt;IDText&gt;Quantitative Protein Profiling Using Two-dimensional Gel Electrophoresis, Isotope-coded Affinity Tag Labeling, and Mass Spectrometry &lt;/IDText&gt;&lt;record&gt;&lt;rec-number&gt;235&lt;/rec-number&gt;&lt;foreign-keys&gt;&lt;key app="EN" db-id="zxp9w5sa30aeafes0xox2eem00dz2z2aswad"&gt;235&lt;/key&gt;&lt;key app="ENWeb" db-id="UG1-3grtqigAAEqvEt0"&gt;220&lt;/key&gt;&lt;/foreign-keys&gt;&lt;ref-type name="Journal Article"&gt;17&lt;/ref-type&gt;&lt;contributors&gt;&lt;authors&gt;&lt;author&gt;Smolka M,&lt;/author&gt;&lt;author&gt;Zhou H,&lt;/author&gt;&lt;author&gt;Aebersold R,&lt;/author&gt;&lt;/authors&gt;&lt;/contributors&gt;&lt;titles&gt;&lt;title&gt;Quantitative Protein Profiling Using Two-dimensional Gel Electrophoresis, Isotope-coded Affinity Tag Labeling, and Mass Spectrometry &lt;/title&gt;&lt;secondary-title&gt;Molecular &amp;amp; Cellular Proteomics&lt;/secondary-title&gt;&lt;/titles&gt;&lt;periodical&gt;&lt;full-title&gt;Molecular &amp;amp; Cellular Proteomics&lt;/full-title&gt;&lt;/periodical&gt;&lt;pages&gt;19-29&lt;/pages&gt;&lt;volume&gt;1&lt;/volume&gt;&lt;number&gt;1&lt;/number&gt;&lt;dates&gt;&lt;year&gt;2002&lt;/year&gt;&lt;/dates&gt;&lt;urls&gt;&lt;/urls&gt;&lt;/record&gt;&lt;/Cite&gt;&lt;/EndNote&gt;</w:instrText>
      </w:r>
      <w:r w:rsidR="006C2756" w:rsidRPr="00ED1617">
        <w:rPr>
          <w:rFonts w:ascii="Arial" w:hAnsi="Arial" w:cs="Arial"/>
          <w:color w:val="000000"/>
          <w:sz w:val="24"/>
          <w:szCs w:val="24"/>
          <w:shd w:val="clear" w:color="auto" w:fill="FFFFFF"/>
        </w:rPr>
        <w:fldChar w:fldCharType="separate"/>
      </w:r>
      <w:r w:rsidR="00FC3C1A">
        <w:rPr>
          <w:rFonts w:ascii="Arial" w:hAnsi="Arial" w:cs="Arial"/>
          <w:noProof/>
          <w:color w:val="000000"/>
          <w:sz w:val="24"/>
          <w:szCs w:val="24"/>
          <w:shd w:val="clear" w:color="auto" w:fill="FFFFFF"/>
        </w:rPr>
        <w:t>(</w:t>
      </w:r>
      <w:hyperlink w:anchor="_ENREF_77" w:tooltip="Chen W, 2006 #219" w:history="1">
        <w:r w:rsidR="00AB7E17">
          <w:rPr>
            <w:rFonts w:ascii="Arial" w:hAnsi="Arial" w:cs="Arial"/>
            <w:noProof/>
            <w:color w:val="000000"/>
            <w:sz w:val="24"/>
            <w:szCs w:val="24"/>
            <w:shd w:val="clear" w:color="auto" w:fill="FFFFFF"/>
          </w:rPr>
          <w:t>77</w:t>
        </w:r>
      </w:hyperlink>
      <w:r w:rsidR="00FC3C1A">
        <w:rPr>
          <w:rFonts w:ascii="Arial" w:hAnsi="Arial" w:cs="Arial"/>
          <w:noProof/>
          <w:color w:val="000000"/>
          <w:sz w:val="24"/>
          <w:szCs w:val="24"/>
          <w:shd w:val="clear" w:color="auto" w:fill="FFFFFF"/>
        </w:rPr>
        <w:t xml:space="preserve">, </w:t>
      </w:r>
      <w:hyperlink w:anchor="_ENREF_78" w:tooltip="Smolka M, 2002 #235" w:history="1">
        <w:r w:rsidR="00AB7E17">
          <w:rPr>
            <w:rFonts w:ascii="Arial" w:hAnsi="Arial" w:cs="Arial"/>
            <w:noProof/>
            <w:color w:val="000000"/>
            <w:sz w:val="24"/>
            <w:szCs w:val="24"/>
            <w:shd w:val="clear" w:color="auto" w:fill="FFFFFF"/>
          </w:rPr>
          <w:t>78</w:t>
        </w:r>
      </w:hyperlink>
      <w:r w:rsidR="00FC3C1A">
        <w:rPr>
          <w:rFonts w:ascii="Arial" w:hAnsi="Arial" w:cs="Arial"/>
          <w:noProof/>
          <w:color w:val="000000"/>
          <w:sz w:val="24"/>
          <w:szCs w:val="24"/>
          <w:shd w:val="clear" w:color="auto" w:fill="FFFFFF"/>
        </w:rPr>
        <w:t>)</w:t>
      </w:r>
      <w:r w:rsidR="006C2756" w:rsidRPr="00ED1617">
        <w:rPr>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particularly when used in its high-throughput mode </w:t>
      </w:r>
      <w:r w:rsidR="006C2756" w:rsidRPr="00ED1617">
        <w:rPr>
          <w:rFonts w:ascii="Arial" w:hAnsi="Arial" w:cs="Arial"/>
          <w:color w:val="000000"/>
          <w:sz w:val="24"/>
          <w:szCs w:val="24"/>
          <w:shd w:val="clear" w:color="auto" w:fill="FFFFFF"/>
        </w:rPr>
        <w:fldChar w:fldCharType="begin"/>
      </w:r>
      <w:r w:rsidR="00FC3C1A">
        <w:rPr>
          <w:rFonts w:ascii="Arial" w:hAnsi="Arial" w:cs="Arial"/>
          <w:color w:val="000000"/>
          <w:sz w:val="24"/>
          <w:szCs w:val="24"/>
          <w:shd w:val="clear" w:color="auto" w:fill="FFFFFF"/>
        </w:rPr>
        <w:instrText xml:space="preserve"> ADDIN EN.CITE &lt;EndNote&gt;&lt;Cite&gt;&lt;Author&gt;Chen W&lt;/Author&gt;&lt;Year&gt;2006&lt;/Year&gt;&lt;RecNum&gt;0&lt;/RecNum&gt;&lt;IDText&gt;Protein profiling by the combination of two independent mass spectrometry techniques.&lt;/IDText&gt;&lt;DisplayText&gt;(77)&lt;/DisplayText&gt;&lt;record&gt;&lt;titles&gt;&lt;title&gt;Protein profiling by the combination of two independent mass spectrometry techniques.&lt;/title&gt;&lt;secondary-title&gt;Nat Protoc&lt;/secondary-title&gt;&lt;/titles&gt;&lt;pages&gt;1446-1452&lt;/pages&gt;&lt;number&gt;3&lt;/number&gt;&lt;contributors&gt;&lt;authors&gt;&lt;author&gt;Chen W,&lt;/author&gt;&lt;author&gt;Kang S,&lt;/author&gt;&lt;author&gt;Lubec G.,&lt;/author&gt;&lt;/authors&gt;&lt;/contributors&gt;&lt;added-date format="utc"&gt;1375185498&lt;/added-date&gt;&lt;ref-type name="Journal Article"&gt;17&lt;/ref-type&gt;&lt;dates&gt;&lt;year&gt;2006&lt;/year&gt;&lt;/dates&gt;&lt;rec-number&gt;219&lt;/rec-number&gt;&lt;last-updated-date format="utc"&gt;1375185560&lt;/last-updated-date&gt;&lt;volume&gt;1&lt;/volume&gt;&lt;/record&gt;&lt;/Cite&gt;&lt;/EndNote&gt;</w:instrText>
      </w:r>
      <w:r w:rsidR="006C2756" w:rsidRPr="00ED1617">
        <w:rPr>
          <w:rFonts w:ascii="Arial" w:hAnsi="Arial" w:cs="Arial"/>
          <w:color w:val="000000"/>
          <w:sz w:val="24"/>
          <w:szCs w:val="24"/>
          <w:shd w:val="clear" w:color="auto" w:fill="FFFFFF"/>
        </w:rPr>
        <w:fldChar w:fldCharType="separate"/>
      </w:r>
      <w:r w:rsidR="00FC3C1A">
        <w:rPr>
          <w:rFonts w:ascii="Arial" w:hAnsi="Arial" w:cs="Arial"/>
          <w:noProof/>
          <w:color w:val="000000"/>
          <w:sz w:val="24"/>
          <w:szCs w:val="24"/>
          <w:shd w:val="clear" w:color="auto" w:fill="FFFFFF"/>
        </w:rPr>
        <w:t>(</w:t>
      </w:r>
      <w:hyperlink w:anchor="_ENREF_77" w:tooltip="Chen W, 2006 #219" w:history="1">
        <w:r w:rsidR="00AB7E17">
          <w:rPr>
            <w:rFonts w:ascii="Arial" w:hAnsi="Arial" w:cs="Arial"/>
            <w:noProof/>
            <w:color w:val="000000"/>
            <w:sz w:val="24"/>
            <w:szCs w:val="24"/>
            <w:shd w:val="clear" w:color="auto" w:fill="FFFFFF"/>
          </w:rPr>
          <w:t>77</w:t>
        </w:r>
      </w:hyperlink>
      <w:r w:rsidR="00FC3C1A">
        <w:rPr>
          <w:rFonts w:ascii="Arial" w:hAnsi="Arial" w:cs="Arial"/>
          <w:noProof/>
          <w:color w:val="000000"/>
          <w:sz w:val="24"/>
          <w:szCs w:val="24"/>
          <w:shd w:val="clear" w:color="auto" w:fill="FFFFFF"/>
        </w:rPr>
        <w:t>)</w:t>
      </w:r>
      <w:r w:rsidR="006C2756" w:rsidRPr="00ED1617">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 xml:space="preserve">. Quantitative protein profiling allows to comprehensibly, accurately and reproducibly identify and quantify proteins contained in any biological sample, relying on quite new technologies </w:t>
      </w:r>
      <w:r w:rsidR="006C2756" w:rsidRPr="00ED1617">
        <w:rPr>
          <w:rFonts w:ascii="Arial" w:eastAsia="Times New Roman" w:hAnsi="Arial" w:cs="Arial"/>
          <w:color w:val="000000"/>
          <w:sz w:val="24"/>
          <w:szCs w:val="24"/>
        </w:rPr>
        <w:fldChar w:fldCharType="begin"/>
      </w:r>
      <w:r w:rsidR="00FC3C1A">
        <w:rPr>
          <w:rFonts w:ascii="Arial" w:eastAsia="Times New Roman" w:hAnsi="Arial" w:cs="Arial"/>
          <w:color w:val="000000"/>
          <w:sz w:val="24"/>
          <w:szCs w:val="24"/>
        </w:rPr>
        <w:instrText xml:space="preserve"> ADDIN EN.CITE &lt;EndNote&gt;&lt;Cite&gt;&lt;Author&gt;Smolka M&lt;/Author&gt;&lt;Year&gt;2002&lt;/Year&gt;&lt;RecNum&gt;235&lt;/RecNum&gt;&lt;IDText&gt;Quantitative Protein Profiling Using Two-dimensional Gel Electrophoresis, Isotope-coded Affinity Tag Labeling, and Mass Spectrometry &lt;/IDText&gt;&lt;DisplayText&gt;(78)&lt;/DisplayText&gt;&lt;record&gt;&lt;rec-number&gt;235&lt;/rec-number&gt;&lt;foreign-keys&gt;&lt;key app="EN" db-id="zxp9w5sa30aeafes0xox2eem00dz2z2aswad"&gt;235&lt;/key&gt;&lt;key app="ENWeb" db-id="UG1-3grtqigAAEqvEt0"&gt;220&lt;/key&gt;&lt;/foreign-keys&gt;&lt;ref-type name="Journal Article"&gt;17&lt;/ref-type&gt;&lt;contributors&gt;&lt;authors&gt;&lt;author&gt;Smolka M,&lt;/author&gt;&lt;author&gt;Zhou H,&lt;/author&gt;&lt;author&gt;Aebersold R,&lt;/author&gt;&lt;/authors&gt;&lt;/contributors&gt;&lt;titles&gt;&lt;title&gt;Quantitative Protein Profiling Using Two-dimensional Gel Electrophoresis, Isotope-coded Affinity Tag Labeling, and Mass Spectrometry &lt;/title&gt;&lt;secondary-title&gt;Molecular &amp;amp; Cellular Proteomics&lt;/secondary-title&gt;&lt;/titles&gt;&lt;periodical&gt;&lt;full-title&gt;Molecular &amp;amp; Cellular Proteomics&lt;/full-title&gt;&lt;/periodical&gt;&lt;pages&gt;19-29&lt;/pages&gt;&lt;volume&gt;1&lt;/volume&gt;&lt;number&gt;1&lt;/number&gt;&lt;dates&gt;&lt;year&gt;2002&lt;/year&gt;&lt;/dates&gt;&lt;urls&gt;&lt;/urls&gt;&lt;/record&gt;&lt;/Cite&gt;&lt;/EndNote&gt;</w:instrText>
      </w:r>
      <w:r w:rsidR="006C2756" w:rsidRPr="00ED1617">
        <w:rPr>
          <w:rFonts w:ascii="Arial" w:eastAsia="Times New Roman" w:hAnsi="Arial" w:cs="Arial"/>
          <w:color w:val="000000"/>
          <w:sz w:val="24"/>
          <w:szCs w:val="24"/>
        </w:rPr>
        <w:fldChar w:fldCharType="separate"/>
      </w:r>
      <w:r w:rsidR="00FC3C1A">
        <w:rPr>
          <w:rFonts w:ascii="Arial" w:eastAsia="Times New Roman" w:hAnsi="Arial" w:cs="Arial"/>
          <w:noProof/>
          <w:color w:val="000000"/>
          <w:sz w:val="24"/>
          <w:szCs w:val="24"/>
        </w:rPr>
        <w:t>(</w:t>
      </w:r>
      <w:hyperlink w:anchor="_ENREF_78" w:tooltip="Smolka M, 2002 #235" w:history="1">
        <w:r w:rsidR="00AB7E17">
          <w:rPr>
            <w:rFonts w:ascii="Arial" w:eastAsia="Times New Roman" w:hAnsi="Arial" w:cs="Arial"/>
            <w:noProof/>
            <w:color w:val="000000"/>
            <w:sz w:val="24"/>
            <w:szCs w:val="24"/>
          </w:rPr>
          <w:t>78</w:t>
        </w:r>
      </w:hyperlink>
      <w:r w:rsidR="00FC3C1A">
        <w:rPr>
          <w:rFonts w:ascii="Arial" w:eastAsia="Times New Roman" w:hAnsi="Arial" w:cs="Arial"/>
          <w:noProof/>
          <w:color w:val="000000"/>
          <w:sz w:val="24"/>
          <w:szCs w:val="24"/>
        </w:rPr>
        <w:t>)</w:t>
      </w:r>
      <w:r w:rsidR="006C2756" w:rsidRPr="00ED1617">
        <w:rPr>
          <w:rFonts w:ascii="Arial" w:eastAsia="Times New Roman" w:hAnsi="Arial" w:cs="Arial"/>
          <w:color w:val="000000"/>
          <w:sz w:val="24"/>
          <w:szCs w:val="24"/>
        </w:rPr>
        <w:fldChar w:fldCharType="end"/>
      </w:r>
      <w:r w:rsidRPr="00ED1617">
        <w:rPr>
          <w:rStyle w:val="highlight"/>
          <w:rFonts w:ascii="Arial" w:hAnsi="Arial" w:cs="Arial"/>
          <w:color w:val="000000"/>
          <w:sz w:val="24"/>
          <w:szCs w:val="24"/>
          <w:shd w:val="clear" w:color="auto" w:fill="FFFFFF"/>
        </w:rPr>
        <w:t>.</w:t>
      </w:r>
      <w:r>
        <w:rPr>
          <w:rStyle w:val="highlight"/>
          <w:rFonts w:ascii="Arial" w:hAnsi="Arial" w:cs="Arial"/>
          <w:color w:val="000000"/>
          <w:sz w:val="24"/>
          <w:szCs w:val="24"/>
          <w:shd w:val="clear" w:color="auto" w:fill="FFFFFF"/>
        </w:rPr>
        <w:t xml:space="preserve"> Reference databases for cells as much as for tissues can be enriched by the information collected and stored using quantitative protein profiling </w:t>
      </w:r>
      <w:r w:rsidR="006C2756" w:rsidRPr="00ED1617">
        <w:rPr>
          <w:rFonts w:ascii="Arial" w:hAnsi="Arial" w:cs="Arial"/>
          <w:color w:val="000000"/>
          <w:sz w:val="24"/>
          <w:szCs w:val="24"/>
          <w:shd w:val="clear" w:color="auto" w:fill="FFFFFF"/>
        </w:rPr>
        <w:fldChar w:fldCharType="begin"/>
      </w:r>
      <w:r w:rsidR="00FC3C1A">
        <w:rPr>
          <w:rFonts w:ascii="Arial" w:hAnsi="Arial" w:cs="Arial"/>
          <w:color w:val="000000"/>
          <w:sz w:val="24"/>
          <w:szCs w:val="24"/>
          <w:shd w:val="clear" w:color="auto" w:fill="FFFFFF"/>
        </w:rPr>
        <w:instrText xml:space="preserve"> ADDIN EN.CITE &lt;EndNote&gt;&lt;Cite&gt;&lt;Author&gt;Chen W&lt;/Author&gt;&lt;Year&gt;2006&lt;/Year&gt;&lt;RecNum&gt;0&lt;/RecNum&gt;&lt;IDText&gt;Protein profiling by the combination of two independent mass spectrometry techniques.&lt;/IDText&gt;&lt;DisplayText&gt;(77)&lt;/DisplayText&gt;&lt;record&gt;&lt;titles&gt;&lt;title&gt;Protein profiling by the combination of two independent mass spectrometry techniques.&lt;/title&gt;&lt;secondary-title&gt;Nat Protoc&lt;/secondary-title&gt;&lt;/titles&gt;&lt;pages&gt;1446-1452&lt;/pages&gt;&lt;number&gt;3&lt;/number&gt;&lt;contributors&gt;&lt;authors&gt;&lt;author&gt;Chen W,&lt;/author&gt;&lt;author&gt;Kang S,&lt;/author&gt;&lt;author&gt;Lubec G.,&lt;/author&gt;&lt;/authors&gt;&lt;/contributors&gt;&lt;added-date format="utc"&gt;1375185498&lt;/added-date&gt;&lt;ref-type name="Journal Article"&gt;17&lt;/ref-type&gt;&lt;dates&gt;&lt;year&gt;2006&lt;/year&gt;&lt;/dates&gt;&lt;rec-number&gt;219&lt;/rec-number&gt;&lt;last-updated-date format="utc"&gt;1375185560&lt;/last-updated-date&gt;&lt;volume&gt;1&lt;/volume&gt;&lt;/record&gt;&lt;/Cite&gt;&lt;/EndNote&gt;</w:instrText>
      </w:r>
      <w:r w:rsidR="006C2756" w:rsidRPr="00ED1617">
        <w:rPr>
          <w:rFonts w:ascii="Arial" w:hAnsi="Arial" w:cs="Arial"/>
          <w:color w:val="000000"/>
          <w:sz w:val="24"/>
          <w:szCs w:val="24"/>
          <w:shd w:val="clear" w:color="auto" w:fill="FFFFFF"/>
        </w:rPr>
        <w:fldChar w:fldCharType="separate"/>
      </w:r>
      <w:r w:rsidR="00FC3C1A">
        <w:rPr>
          <w:rFonts w:ascii="Arial" w:hAnsi="Arial" w:cs="Arial"/>
          <w:noProof/>
          <w:color w:val="000000"/>
          <w:sz w:val="24"/>
          <w:szCs w:val="24"/>
          <w:shd w:val="clear" w:color="auto" w:fill="FFFFFF"/>
        </w:rPr>
        <w:t>(</w:t>
      </w:r>
      <w:hyperlink w:anchor="_ENREF_77" w:tooltip="Chen W, 2006 #219" w:history="1">
        <w:r w:rsidR="00AB7E17">
          <w:rPr>
            <w:rFonts w:ascii="Arial" w:hAnsi="Arial" w:cs="Arial"/>
            <w:noProof/>
            <w:color w:val="000000"/>
            <w:sz w:val="24"/>
            <w:szCs w:val="24"/>
            <w:shd w:val="clear" w:color="auto" w:fill="FFFFFF"/>
          </w:rPr>
          <w:t>77</w:t>
        </w:r>
      </w:hyperlink>
      <w:r w:rsidR="00FC3C1A">
        <w:rPr>
          <w:rFonts w:ascii="Arial" w:hAnsi="Arial" w:cs="Arial"/>
          <w:noProof/>
          <w:color w:val="000000"/>
          <w:sz w:val="24"/>
          <w:szCs w:val="24"/>
          <w:shd w:val="clear" w:color="auto" w:fill="FFFFFF"/>
        </w:rPr>
        <w:t>)</w:t>
      </w:r>
      <w:r w:rsidR="006C2756" w:rsidRPr="00ED1617">
        <w:rPr>
          <w:rFonts w:ascii="Arial" w:hAnsi="Arial" w:cs="Arial"/>
          <w:color w:val="000000"/>
          <w:sz w:val="24"/>
          <w:szCs w:val="24"/>
          <w:shd w:val="clear" w:color="auto" w:fill="FFFFFF"/>
        </w:rPr>
        <w:fldChar w:fldCharType="end"/>
      </w:r>
      <w:r w:rsidRPr="00ED1617">
        <w:rPr>
          <w:rStyle w:val="highlight"/>
          <w:rFonts w:ascii="Arial" w:hAnsi="Arial" w:cs="Arial"/>
          <w:color w:val="000000"/>
          <w:sz w:val="24"/>
          <w:szCs w:val="24"/>
          <w:shd w:val="clear" w:color="auto" w:fill="FFFFFF"/>
        </w:rPr>
        <w:t xml:space="preserve">. </w:t>
      </w:r>
      <w:r>
        <w:rPr>
          <w:rStyle w:val="highlight"/>
          <w:rFonts w:ascii="Arial" w:hAnsi="Arial" w:cs="Arial"/>
          <w:color w:val="000000"/>
          <w:sz w:val="24"/>
          <w:szCs w:val="24"/>
          <w:shd w:val="clear" w:color="auto" w:fill="FFFFFF"/>
        </w:rPr>
        <w:t xml:space="preserve">Comparative proteomics can be performed by using these databases </w:t>
      </w:r>
      <w:r w:rsidR="006C2756" w:rsidRPr="00ED1617">
        <w:rPr>
          <w:rFonts w:ascii="Arial" w:hAnsi="Arial" w:cs="Arial"/>
          <w:color w:val="000000"/>
          <w:sz w:val="24"/>
          <w:szCs w:val="24"/>
          <w:shd w:val="clear" w:color="auto" w:fill="FFFFFF"/>
        </w:rPr>
        <w:fldChar w:fldCharType="begin"/>
      </w:r>
      <w:r w:rsidR="00FC3C1A">
        <w:rPr>
          <w:rFonts w:ascii="Arial" w:hAnsi="Arial" w:cs="Arial"/>
          <w:color w:val="000000"/>
          <w:sz w:val="24"/>
          <w:szCs w:val="24"/>
          <w:shd w:val="clear" w:color="auto" w:fill="FFFFFF"/>
        </w:rPr>
        <w:instrText xml:space="preserve"> ADDIN EN.CITE &lt;EndNote&gt;&lt;Cite&gt;&lt;Author&gt;Chen W&lt;/Author&gt;&lt;Year&gt;2006&lt;/Year&gt;&lt;RecNum&gt;0&lt;/RecNum&gt;&lt;IDText&gt;Protein profiling by the combination of two independent mass spectrometry techniques.&lt;/IDText&gt;&lt;DisplayText&gt;(77, 78)&lt;/DisplayText&gt;&lt;record&gt;&lt;titles&gt;&lt;title&gt;Protein profiling by the combination of two independent mass spectrometry techniques.&lt;/title&gt;&lt;secondary-title&gt;Nat Protoc&lt;/secondary-title&gt;&lt;/titles&gt;&lt;pages&gt;1446-1452&lt;/pages&gt;&lt;number&gt;3&lt;/number&gt;&lt;contributors&gt;&lt;authors&gt;&lt;author&gt;Chen W,&lt;/author&gt;&lt;author&gt;Kang S,&lt;/author&gt;&lt;author&gt;Lubec G.,&lt;/author&gt;&lt;/authors&gt;&lt;/contributors&gt;&lt;added-date format="utc"&gt;1375185498&lt;/added-date&gt;&lt;ref-type name="Journal Article"&gt;17&lt;/ref-type&gt;&lt;dates&gt;&lt;year&gt;2006&lt;/year&gt;&lt;/dates&gt;&lt;rec-number&gt;219&lt;/rec-number&gt;&lt;last-updated-date format="utc"&gt;1375185560&lt;/last-updated-date&gt;&lt;volume&gt;1&lt;/volume&gt;&lt;/record&gt;&lt;/Cite&gt;&lt;Cite&gt;&lt;Author&gt;Smolka M&lt;/Author&gt;&lt;Year&gt;2002&lt;/Year&gt;&lt;RecNum&gt;235&lt;/RecNum&gt;&lt;record&gt;&lt;rec-number&gt;235&lt;/rec-number&gt;&lt;foreign-keys&gt;&lt;key app="EN" db-id="zxp9w5sa30aeafes0xox2eem00dz2z2aswad"&gt;235&lt;/key&gt;&lt;key app="ENWeb" db-id="UG1-3grtqigAAEqvEt0"&gt;220&lt;/key&gt;&lt;/foreign-keys&gt;&lt;ref-type name="Journal Article"&gt;17&lt;/ref-type&gt;&lt;contributors&gt;&lt;authors&gt;&lt;author&gt;Smolka M,&lt;/author&gt;&lt;author&gt;Zhou H,&lt;/author&gt;&lt;author&gt;Aebersold R,&lt;/author&gt;&lt;/authors&gt;&lt;/contributors&gt;&lt;titles&gt;&lt;title&gt;Quantitative Protein Profiling Using Two-dimensional Gel Electrophoresis, Isotope-coded Affinity Tag Labeling, and Mass Spectrometry &lt;/title&gt;&lt;secondary-title&gt;Molecular &amp;amp; Cellular Proteomics&lt;/secondary-title&gt;&lt;/titles&gt;&lt;periodical&gt;&lt;full-title&gt;Molecular &amp;amp; Cellular Proteomics&lt;/full-title&gt;&lt;/periodical&gt;&lt;pages&gt;19-29&lt;/pages&gt;&lt;volume&gt;1&lt;/volume&gt;&lt;number&gt;1&lt;/number&gt;&lt;dates&gt;&lt;year&gt;2002&lt;/year&gt;&lt;/dates&gt;&lt;urls&gt;&lt;/urls&gt;&lt;/record&gt;&lt;/Cite&gt;&lt;/EndNote&gt;</w:instrText>
      </w:r>
      <w:r w:rsidR="006C2756" w:rsidRPr="00ED1617">
        <w:rPr>
          <w:rFonts w:ascii="Arial" w:hAnsi="Arial" w:cs="Arial"/>
          <w:color w:val="000000"/>
          <w:sz w:val="24"/>
          <w:szCs w:val="24"/>
          <w:shd w:val="clear" w:color="auto" w:fill="FFFFFF"/>
        </w:rPr>
        <w:fldChar w:fldCharType="separate"/>
      </w:r>
      <w:r w:rsidR="00FC3C1A">
        <w:rPr>
          <w:rFonts w:ascii="Arial" w:hAnsi="Arial" w:cs="Arial"/>
          <w:noProof/>
          <w:color w:val="000000"/>
          <w:sz w:val="24"/>
          <w:szCs w:val="24"/>
          <w:shd w:val="clear" w:color="auto" w:fill="FFFFFF"/>
        </w:rPr>
        <w:t>(</w:t>
      </w:r>
      <w:hyperlink w:anchor="_ENREF_77" w:tooltip="Chen W, 2006 #219" w:history="1">
        <w:r w:rsidR="00AB7E17">
          <w:rPr>
            <w:rFonts w:ascii="Arial" w:hAnsi="Arial" w:cs="Arial"/>
            <w:noProof/>
            <w:color w:val="000000"/>
            <w:sz w:val="24"/>
            <w:szCs w:val="24"/>
            <w:shd w:val="clear" w:color="auto" w:fill="FFFFFF"/>
          </w:rPr>
          <w:t>77</w:t>
        </w:r>
      </w:hyperlink>
      <w:r w:rsidR="00FC3C1A">
        <w:rPr>
          <w:rFonts w:ascii="Arial" w:hAnsi="Arial" w:cs="Arial"/>
          <w:noProof/>
          <w:color w:val="000000"/>
          <w:sz w:val="24"/>
          <w:szCs w:val="24"/>
          <w:shd w:val="clear" w:color="auto" w:fill="FFFFFF"/>
        </w:rPr>
        <w:t xml:space="preserve">, </w:t>
      </w:r>
      <w:hyperlink w:anchor="_ENREF_78" w:tooltip="Smolka M, 2002 #235" w:history="1">
        <w:r w:rsidR="00AB7E17">
          <w:rPr>
            <w:rFonts w:ascii="Arial" w:hAnsi="Arial" w:cs="Arial"/>
            <w:noProof/>
            <w:color w:val="000000"/>
            <w:sz w:val="24"/>
            <w:szCs w:val="24"/>
            <w:shd w:val="clear" w:color="auto" w:fill="FFFFFF"/>
          </w:rPr>
          <w:t>78</w:t>
        </w:r>
      </w:hyperlink>
      <w:r w:rsidR="00FC3C1A">
        <w:rPr>
          <w:rFonts w:ascii="Arial" w:hAnsi="Arial" w:cs="Arial"/>
          <w:noProof/>
          <w:color w:val="000000"/>
          <w:sz w:val="24"/>
          <w:szCs w:val="24"/>
          <w:shd w:val="clear" w:color="auto" w:fill="FFFFFF"/>
        </w:rPr>
        <w:t>)</w:t>
      </w:r>
      <w:r w:rsidR="006C2756" w:rsidRPr="00ED1617">
        <w:rPr>
          <w:rFonts w:ascii="Arial" w:hAnsi="Arial" w:cs="Arial"/>
          <w:color w:val="000000"/>
          <w:sz w:val="24"/>
          <w:szCs w:val="24"/>
          <w:shd w:val="clear" w:color="auto" w:fill="FFFFFF"/>
        </w:rPr>
        <w:fldChar w:fldCharType="end"/>
      </w:r>
      <w:r>
        <w:rPr>
          <w:rFonts w:ascii="Arial" w:hAnsi="Arial" w:cs="Arial"/>
          <w:color w:val="000000"/>
          <w:sz w:val="24"/>
          <w:szCs w:val="24"/>
          <w:shd w:val="clear" w:color="auto" w:fill="FFFFFF"/>
        </w:rPr>
        <w:t>.</w:t>
      </w:r>
      <w:r w:rsidRPr="00ED1617">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Mass-spectrometry (MS) is one of the most used techniques to study peptides and proteins </w:t>
      </w:r>
      <w:r w:rsidR="006C2756">
        <w:rPr>
          <w:rFonts w:ascii="Arial" w:eastAsia="Times New Roman" w:hAnsi="Arial" w:cs="Arial"/>
          <w:color w:val="000000"/>
          <w:sz w:val="24"/>
          <w:szCs w:val="24"/>
        </w:rPr>
        <w:fldChar w:fldCharType="begin"/>
      </w:r>
      <w:r w:rsidR="00FC3C1A">
        <w:rPr>
          <w:rFonts w:ascii="Arial" w:eastAsia="Times New Roman" w:hAnsi="Arial" w:cs="Arial"/>
          <w:color w:val="000000"/>
          <w:sz w:val="24"/>
          <w:szCs w:val="24"/>
        </w:rPr>
        <w:instrText xml:space="preserve"> ADDIN EN.CITE &lt;EndNote&gt;&lt;Cite&gt;&lt;Author&gt;Lengqvist J&lt;/Author&gt;&lt;Year&gt;2013&lt;/Year&gt;&lt;RecNum&gt;151&lt;/RecNum&gt;&lt;DisplayText&gt;(79)&lt;/DisplayText&gt;&lt;record&gt;&lt;rec-number&gt;151&lt;/rec-number&gt;&lt;foreign-keys&gt;&lt;key app="EN" db-id="zxp9w5sa30aeafes0xox2eem00dz2z2aswad"&gt;151&lt;/key&gt;&lt;key app="ENWeb" db-id="UG1-3grtqigAAEqvEt0"&gt;221&lt;/key&gt;&lt;/foreign-keys&gt;&lt;ref-type name="Journal Article"&gt;17&lt;/ref-type&gt;&lt;contributors&gt;&lt;authors&gt;&lt;author&gt;Lengqvist J,&lt;/author&gt;&lt;author&gt;Sandberg A,&lt;/author&gt;&lt;/authors&gt;&lt;/contributors&gt;&lt;titles&gt;&lt;title&gt;Stable isotope labeling methods in protein profiling&lt;/title&gt;&lt;secondary-title&gt;Methods Mol Biol&lt;/secondary-title&gt;&lt;/titles&gt;&lt;periodical&gt;&lt;full-title&gt;Methods Mol Biol&lt;/full-title&gt;&lt;/periodical&gt;&lt;pages&gt;21-51&lt;/pages&gt;&lt;volume&gt;1023&lt;/volume&gt;&lt;dates&gt;&lt;year&gt;2013&lt;/year&gt;&lt;/dates&gt;&lt;urls&gt;&lt;/urls&gt;&lt;/record&gt;&lt;/Cite&gt;&lt;/EndNote&gt;</w:instrText>
      </w:r>
      <w:r w:rsidR="006C2756">
        <w:rPr>
          <w:rFonts w:ascii="Arial" w:eastAsia="Times New Roman" w:hAnsi="Arial" w:cs="Arial"/>
          <w:color w:val="000000"/>
          <w:sz w:val="24"/>
          <w:szCs w:val="24"/>
        </w:rPr>
        <w:fldChar w:fldCharType="separate"/>
      </w:r>
      <w:r w:rsidR="00FC3C1A">
        <w:rPr>
          <w:rFonts w:ascii="Arial" w:eastAsia="Times New Roman" w:hAnsi="Arial" w:cs="Arial"/>
          <w:noProof/>
          <w:color w:val="000000"/>
          <w:sz w:val="24"/>
          <w:szCs w:val="24"/>
        </w:rPr>
        <w:t>(</w:t>
      </w:r>
      <w:hyperlink w:anchor="_ENREF_79" w:tooltip="Lengqvist J, 2013 #151" w:history="1">
        <w:r w:rsidR="00AB7E17">
          <w:rPr>
            <w:rFonts w:ascii="Arial" w:eastAsia="Times New Roman" w:hAnsi="Arial" w:cs="Arial"/>
            <w:noProof/>
            <w:color w:val="000000"/>
            <w:sz w:val="24"/>
            <w:szCs w:val="24"/>
          </w:rPr>
          <w:t>79</w:t>
        </w:r>
      </w:hyperlink>
      <w:r w:rsidR="00FC3C1A">
        <w:rPr>
          <w:rFonts w:ascii="Arial" w:eastAsia="Times New Roman" w:hAnsi="Arial" w:cs="Arial"/>
          <w:noProof/>
          <w:color w:val="000000"/>
          <w:sz w:val="24"/>
          <w:szCs w:val="24"/>
        </w:rPr>
        <w:t>)</w:t>
      </w:r>
      <w:r w:rsidR="006C2756">
        <w:rPr>
          <w:rFonts w:ascii="Arial" w:eastAsia="Times New Roman" w:hAnsi="Arial" w:cs="Arial"/>
          <w:color w:val="000000"/>
          <w:sz w:val="24"/>
          <w:szCs w:val="24"/>
        </w:rPr>
        <w:fldChar w:fldCharType="end"/>
      </w:r>
      <w:r>
        <w:rPr>
          <w:rFonts w:ascii="Arial" w:eastAsia="Times New Roman" w:hAnsi="Arial" w:cs="Arial"/>
          <w:color w:val="000000"/>
          <w:sz w:val="24"/>
          <w:szCs w:val="24"/>
        </w:rPr>
        <w:t xml:space="preserve"> since it is an analytical technique that determines the number of ions in gas-phase and the composition of a ionised sample in mass-to-charge ratios</w:t>
      </w:r>
      <w:r w:rsidRPr="00ED1617">
        <w:rPr>
          <w:rStyle w:val="highlight"/>
          <w:rFonts w:ascii="Arial" w:hAnsi="Arial" w:cs="Arial"/>
          <w:color w:val="000000"/>
          <w:sz w:val="24"/>
          <w:szCs w:val="24"/>
          <w:shd w:val="clear" w:color="auto" w:fill="FFFFFF"/>
        </w:rPr>
        <w:t xml:space="preserve">. </w:t>
      </w:r>
      <w:r>
        <w:rPr>
          <w:rStyle w:val="highlight"/>
          <w:rFonts w:ascii="Arial" w:hAnsi="Arial" w:cs="Arial"/>
          <w:color w:val="000000"/>
          <w:sz w:val="24"/>
          <w:szCs w:val="24"/>
          <w:shd w:val="clear" w:color="auto" w:fill="FFFFFF"/>
        </w:rPr>
        <w:t xml:space="preserve">MS is a technique that has been in vogue during the last 20 years and has made available complete sequence databases, as well as improvement and development of computational data analysis and instrumentation. Not only MS, but also large-scale proteomics analysis, like for example stable isotope labelling techniques, have also been used for protein profiling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&lt;EndNote&gt;&lt;Cite&gt;&lt;Author&gt;Lengqvist J&lt;/Author&gt;&lt;Year&gt;2013&lt;/Year&gt;&lt;RecNum&gt;151&lt;/RecNum&gt;&lt;DisplayText&gt;(79)&lt;/DisplayText&gt;&lt;record&gt;&lt;rec-number&gt;151&lt;/rec-number&gt;&lt;foreign-keys&gt;&lt;key app="EN" db-id="zxp9w5sa30aeafes0xox2eem00dz2z2aswad"&gt;151&lt;/key&gt;&lt;key app="ENWeb" db-id="UG1-3grtqigAAEqvEt0"&gt;221&lt;/key&gt;&lt;/foreign-keys&gt;&lt;ref-type name="Journal Article"&gt;17&lt;/ref-type&gt;&lt;contributors&gt;&lt;authors&gt;&lt;author&gt;Lengqvist J,&lt;/author&gt;&lt;author&gt;Sandberg A,&lt;/author&gt;&lt;/authors&gt;&lt;/contributors&gt;&lt;titles&gt;&lt;title&gt;Stable isotope labeling methods in protein profiling&lt;/title&gt;&lt;secondary-title&gt;Methods Mol Biol&lt;/secondary-title&gt;&lt;/titles&gt;&lt;periodical&gt;&lt;full-title&gt;Methods Mol Biol&lt;/full-title&gt;&lt;/periodical&gt;&lt;pages&gt;21-51&lt;/pages&gt;&lt;volume&gt;1023&lt;/volume&gt;&lt;dates&gt;&lt;year&gt;2013&lt;/year&gt;&lt;/dates&gt;&lt;urls&gt;&lt;/urls&gt;&lt;/record&gt;&lt;/Cite&gt;&lt;/EndNote&gt;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79" w:tooltip="Lengqvist J, 2013 #151" w:history="1">
        <w:r w:rsidR="00AB7E17">
          <w:rPr>
            <w:rStyle w:val="highlight"/>
            <w:rFonts w:ascii="Arial" w:hAnsi="Arial" w:cs="Arial"/>
            <w:noProof/>
            <w:color w:val="000000"/>
            <w:sz w:val="24"/>
            <w:szCs w:val="24"/>
            <w:shd w:val="clear" w:color="auto" w:fill="FFFFFF"/>
          </w:rPr>
          <w:t>79</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These and many other analysis have been possible due to the availability of these databases, and the computational and instrumentation development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&lt;EndNote&gt;&lt;Cite&gt;&lt;Author&gt;Lengqvist J&lt;/Author&gt;&lt;Year&gt;2013&lt;/Year&gt;&lt;RecNum&gt;151&lt;/RecNum&gt;&lt;DisplayText&gt;(79)&lt;/DisplayText&gt;&lt;record&gt;&lt;rec-number&gt;151&lt;/rec-number&gt;&lt;foreign-keys&gt;&lt;key app="EN" db-id="zxp9w5sa30aeafes0xox2eem00dz2z2aswad"&gt;151&lt;/key&gt;&lt;key app="ENWeb" db-id="UG1-3grtqigAAEqvEt0"&gt;221&lt;/key&gt;&lt;/foreign-keys&gt;&lt;ref-type name="Journal Article"&gt;17&lt;/ref-type&gt;&lt;contributors&gt;&lt;authors&gt;&lt;author&gt;Lengqvist J,&lt;/author&gt;&lt;author&gt;Sandberg A,&lt;/author&gt;&lt;/authors&gt;&lt;/contributors&gt;&lt;titles&gt;&lt;title&gt;Stable isotope labeling methods in protein profiling&lt;/title&gt;&lt;secondary-title&gt;Methods Mol Biol&lt;/secondary-title&gt;&lt;/titles&gt;&lt;periodical&gt;&lt;full-title&gt;Methods Mol Biol&lt;/full-title&gt;&lt;/periodical&gt;&lt;pages&gt;21-51&lt;/pages&gt;&lt;volume&gt;1023&lt;/volume&gt;&lt;dates&gt;&lt;year&gt;2013&lt;/year&gt;&lt;/dates&gt;&lt;urls&gt;&lt;/urls&gt;&lt;/record&gt;&lt;/Cite&gt;&lt;/EndNote&gt;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79" w:tooltip="Lengqvist J, 2013 #151" w:history="1">
        <w:r w:rsidR="00AB7E17">
          <w:rPr>
            <w:rStyle w:val="highlight"/>
            <w:rFonts w:ascii="Arial" w:hAnsi="Arial" w:cs="Arial"/>
            <w:noProof/>
            <w:color w:val="000000"/>
            <w:sz w:val="24"/>
            <w:szCs w:val="24"/>
            <w:shd w:val="clear" w:color="auto" w:fill="FFFFFF"/>
          </w:rPr>
          <w:t>79</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MS is a technique with a broad range of variations, which </w:t>
      </w:r>
      <w:r>
        <w:rPr>
          <w:rStyle w:val="highlight"/>
          <w:rFonts w:ascii="Arial" w:hAnsi="Arial" w:cs="Arial"/>
          <w:color w:val="000000"/>
          <w:sz w:val="24"/>
          <w:szCs w:val="24"/>
          <w:shd w:val="clear" w:color="auto" w:fill="FFFFFF"/>
        </w:rPr>
        <w:lastRenderedPageBreak/>
        <w:t>include: Tandem MS (MS/MS), in which the first device to separate the sample is another MS;</w:t>
      </w:r>
      <w:r>
        <w:rPr>
          <w:rFonts w:ascii="Arial" w:hAnsi="Arial" w:cs="Arial"/>
          <w:sz w:val="24"/>
          <w:szCs w:val="24"/>
          <w:shd w:val="clear" w:color="auto" w:fill="FFFFFF"/>
        </w:rPr>
        <w:t xml:space="preserve"> </w:t>
      </w:r>
      <w:r w:rsidRPr="003A1F18">
        <w:rPr>
          <w:rFonts w:ascii="Arial" w:hAnsi="Arial" w:cs="Arial"/>
          <w:iCs/>
          <w:color w:val="252525"/>
          <w:sz w:val="24"/>
          <w:szCs w:val="24"/>
          <w:shd w:val="clear" w:color="auto" w:fill="FFFFFF"/>
        </w:rPr>
        <w:t>Matrix-Assisted Laser Desorption/Ionization-Time of Flight MS</w:t>
      </w:r>
      <w:r>
        <w:rPr>
          <w:rFonts w:ascii="Arial" w:hAnsi="Arial" w:cs="Arial"/>
          <w:sz w:val="24"/>
          <w:szCs w:val="24"/>
          <w:shd w:val="clear" w:color="auto" w:fill="FFFFFF"/>
        </w:rPr>
        <w:t xml:space="preserve"> (MALDI-TOF), which performs a soft ionization of fragile samples, impeding their fragmentation; and Liquid chromatography-mass spectrometry (LC-MS) or Liquid chromatography-tandem mass spectrometry (LC-MS/MS), a combined technique that physically separates a sample by liquid chromatography and analyses it by MS.</w:t>
      </w:r>
    </w:p>
    <w:p w:rsidR="008E5723" w:rsidRDefault="00EF1380" w:rsidP="00AF0B8D">
      <w:pPr>
        <w:autoSpaceDE w:val="0"/>
        <w:autoSpaceDN w:val="0"/>
        <w:adjustRightInd w:val="0"/>
        <w:spacing w:line="360" w:lineRule="auto"/>
        <w:ind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There are many other techniques with different sample separation and comparison methods, and label/label-free protein profiling techniques, with its specific advantages and limitations. The broad ranging techniques include </w:t>
      </w:r>
      <w:r>
        <w:rPr>
          <w:rStyle w:val="highlight"/>
          <w:rFonts w:ascii="Arial" w:hAnsi="Arial" w:cs="Arial"/>
          <w:color w:val="000000"/>
          <w:sz w:val="24"/>
          <w:szCs w:val="24"/>
          <w:shd w:val="clear" w:color="auto" w:fill="FFFFFF"/>
        </w:rPr>
        <w:t>I</w:t>
      </w:r>
      <w:r>
        <w:rPr>
          <w:rFonts w:ascii="Arial" w:hAnsi="Arial" w:cs="Arial"/>
          <w:sz w:val="24"/>
          <w:szCs w:val="24"/>
          <w:shd w:val="clear" w:color="auto" w:fill="FFFFFF"/>
        </w:rPr>
        <w:t xml:space="preserve">sotope-coded affinity-tag-based protein profiling (ICAT), Stable Isotopic Labelling by Amino Acids in Cell Culture (SILAC), </w:t>
      </w:r>
      <w:r>
        <w:rPr>
          <w:rStyle w:val="highlight"/>
          <w:rFonts w:ascii="Arial" w:hAnsi="Arial" w:cs="Arial"/>
          <w:color w:val="000000"/>
          <w:sz w:val="24"/>
          <w:szCs w:val="24"/>
          <w:shd w:val="clear" w:color="auto" w:fill="FFFFFF"/>
        </w:rPr>
        <w:t>I</w:t>
      </w:r>
      <w:r>
        <w:rPr>
          <w:rFonts w:ascii="Arial" w:hAnsi="Arial" w:cs="Arial"/>
          <w:sz w:val="24"/>
          <w:szCs w:val="24"/>
          <w:shd w:val="clear" w:color="auto" w:fill="FFFFFF"/>
        </w:rPr>
        <w:t xml:space="preserve">sobaric tagging for relative and absolute quantification (iTRAQ), ProteomeLab PF2D (2D LC), Multi-dimensional Protein Identification Technology (MudPIT), Label Free Quantitation (LFQ), and Tandem mass tags (TMT). In order </w:t>
      </w:r>
      <w:r w:rsidRPr="003E539E">
        <w:rPr>
          <w:rFonts w:ascii="Arial" w:hAnsi="Arial" w:cs="Arial"/>
          <w:sz w:val="24"/>
          <w:szCs w:val="24"/>
          <w:shd w:val="clear" w:color="auto" w:fill="FFFFFF"/>
        </w:rPr>
        <w:t>to detect PTMs, a combination of the techniques mentioned above can be used, although in the proteomic scale</w:t>
      </w:r>
      <w:r>
        <w:rPr>
          <w:rFonts w:ascii="Arial" w:hAnsi="Arial" w:cs="Arial"/>
          <w:sz w:val="24"/>
          <w:szCs w:val="24"/>
          <w:shd w:val="clear" w:color="auto" w:fill="FFFFFF"/>
        </w:rPr>
        <w:t>,</w:t>
      </w:r>
      <w:r w:rsidRPr="003E539E">
        <w:rPr>
          <w:rFonts w:ascii="Arial" w:hAnsi="Arial" w:cs="Arial"/>
          <w:sz w:val="24"/>
          <w:szCs w:val="24"/>
          <w:shd w:val="clear" w:color="auto" w:fill="FFFFFF"/>
        </w:rPr>
        <w:t xml:space="preserve"> PTMs can also be studied by using the advances in based proteomics quantitative MS</w:t>
      </w:r>
      <w:r>
        <w:rPr>
          <w:rFonts w:ascii="Arial" w:hAnsi="Arial" w:cs="Arial"/>
          <w:sz w:val="24"/>
          <w:szCs w:val="24"/>
          <w:shd w:val="clear" w:color="auto" w:fill="FFFFFF"/>
        </w:rPr>
        <w:t xml:space="preserve">. </w:t>
      </w:r>
      <w:r>
        <w:rPr>
          <w:rStyle w:val="SC118877"/>
          <w:rFonts w:ascii="Arial" w:hAnsi="Arial" w:cs="Arial"/>
          <w:iCs/>
          <w:sz w:val="24"/>
          <w:szCs w:val="24"/>
          <w:lang w:val="en-US"/>
        </w:rPr>
        <w:t>T</w:t>
      </w:r>
      <w:r w:rsidRPr="00ED1617">
        <w:rPr>
          <w:rFonts w:ascii="Arial" w:hAnsi="Arial" w:cs="Arial"/>
          <w:sz w:val="24"/>
          <w:szCs w:val="24"/>
          <w:shd w:val="clear" w:color="auto" w:fill="FFFFFF"/>
        </w:rPr>
        <w:t xml:space="preserve">able </w:t>
      </w:r>
      <w:r w:rsidR="00806F63">
        <w:rPr>
          <w:rFonts w:ascii="Arial" w:hAnsi="Arial" w:cs="Arial"/>
          <w:sz w:val="24"/>
          <w:szCs w:val="24"/>
          <w:shd w:val="clear" w:color="auto" w:fill="FFFFFF"/>
        </w:rPr>
        <w:t>6</w:t>
      </w:r>
      <w:r w:rsidRPr="00ED1617">
        <w:rPr>
          <w:rFonts w:ascii="Arial" w:hAnsi="Arial" w:cs="Arial"/>
          <w:sz w:val="24"/>
          <w:szCs w:val="24"/>
          <w:shd w:val="clear" w:color="auto" w:fill="FFFFFF"/>
        </w:rPr>
        <w:t xml:space="preserve"> summarises these techniques.</w:t>
      </w:r>
      <w:r w:rsidR="008E5723">
        <w:rPr>
          <w:rFonts w:ascii="Arial" w:hAnsi="Arial" w:cs="Arial"/>
          <w:sz w:val="24"/>
          <w:szCs w:val="24"/>
          <w:shd w:val="clear" w:color="auto" w:fill="FFFFFF"/>
        </w:rPr>
        <w:br w:type="page"/>
      </w:r>
    </w:p>
    <w:tbl>
      <w:tblPr>
        <w:tblStyle w:val="LightList1"/>
        <w:tblW w:w="8968" w:type="dxa"/>
        <w:tblInd w:w="71" w:type="dxa"/>
        <w:tblLook w:val="04A0" w:firstRow="1" w:lastRow="0" w:firstColumn="1" w:lastColumn="0" w:noHBand="0" w:noVBand="1"/>
      </w:tblPr>
      <w:tblGrid>
        <w:gridCol w:w="883"/>
        <w:gridCol w:w="1775"/>
        <w:gridCol w:w="1560"/>
        <w:gridCol w:w="1581"/>
        <w:gridCol w:w="1613"/>
        <w:gridCol w:w="1556"/>
      </w:tblGrid>
      <w:tr w:rsidR="00EF1380" w:rsidRPr="00390752" w:rsidTr="009B40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dxa"/>
            <w:noWrap/>
            <w:hideMark/>
          </w:tcPr>
          <w:p w:rsidR="00EF1380" w:rsidRPr="00195738" w:rsidRDefault="00EF1380" w:rsidP="009B400B">
            <w:pPr>
              <w:jc w:val="center"/>
              <w:rPr>
                <w:rFonts w:ascii="Calibri" w:eastAsia="Times New Roman" w:hAnsi="Calibri" w:cs="Times New Roman"/>
                <w:sz w:val="20"/>
                <w:lang w:eastAsia="es-MX"/>
              </w:rPr>
            </w:pPr>
            <w:r w:rsidRPr="00195738">
              <w:rPr>
                <w:rFonts w:ascii="Calibri" w:eastAsia="Times New Roman" w:hAnsi="Calibri" w:cs="Times New Roman"/>
                <w:sz w:val="20"/>
                <w:lang w:eastAsia="es-MX"/>
              </w:rPr>
              <w:lastRenderedPageBreak/>
              <w:t>Method</w:t>
            </w:r>
          </w:p>
        </w:tc>
        <w:tc>
          <w:tcPr>
            <w:tcW w:w="1775" w:type="dxa"/>
            <w:noWrap/>
            <w:hideMark/>
          </w:tcPr>
          <w:p w:rsidR="00EF1380" w:rsidRPr="00195738"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eastAsia="es-MX"/>
              </w:rPr>
            </w:pPr>
            <w:r w:rsidRPr="00195738">
              <w:rPr>
                <w:rFonts w:ascii="Calibri" w:eastAsia="Times New Roman" w:hAnsi="Calibri" w:cs="Times New Roman"/>
                <w:sz w:val="20"/>
                <w:lang w:eastAsia="es-MX"/>
              </w:rPr>
              <w:t>Labelling</w:t>
            </w:r>
          </w:p>
        </w:tc>
        <w:tc>
          <w:tcPr>
            <w:tcW w:w="1560" w:type="dxa"/>
            <w:noWrap/>
            <w:hideMark/>
          </w:tcPr>
          <w:p w:rsidR="00EF1380" w:rsidRPr="00195738"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eastAsia="es-MX"/>
              </w:rPr>
            </w:pPr>
            <w:r w:rsidRPr="00195738">
              <w:rPr>
                <w:rFonts w:ascii="Calibri" w:eastAsia="Times New Roman" w:hAnsi="Calibri" w:cs="Times New Roman"/>
                <w:sz w:val="20"/>
                <w:lang w:eastAsia="es-MX"/>
              </w:rPr>
              <w:t>Separation</w:t>
            </w:r>
          </w:p>
        </w:tc>
        <w:tc>
          <w:tcPr>
            <w:tcW w:w="1581" w:type="dxa"/>
            <w:noWrap/>
            <w:hideMark/>
          </w:tcPr>
          <w:p w:rsidR="00EF1380" w:rsidRPr="00195738"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eastAsia="es-MX"/>
              </w:rPr>
            </w:pPr>
            <w:r w:rsidRPr="00195738">
              <w:rPr>
                <w:rFonts w:ascii="Calibri" w:eastAsia="Times New Roman" w:hAnsi="Calibri" w:cs="Times New Roman"/>
                <w:sz w:val="20"/>
                <w:lang w:eastAsia="es-MX"/>
              </w:rPr>
              <w:t>Sample comparison</w:t>
            </w:r>
          </w:p>
        </w:tc>
        <w:tc>
          <w:tcPr>
            <w:tcW w:w="1613" w:type="dxa"/>
            <w:noWrap/>
            <w:hideMark/>
          </w:tcPr>
          <w:p w:rsidR="00EF1380" w:rsidRPr="00195738"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eastAsia="es-MX"/>
              </w:rPr>
            </w:pPr>
            <w:r w:rsidRPr="00195738">
              <w:rPr>
                <w:rFonts w:ascii="Calibri" w:eastAsia="Times New Roman" w:hAnsi="Calibri" w:cs="Times New Roman"/>
                <w:sz w:val="20"/>
                <w:lang w:eastAsia="es-MX"/>
              </w:rPr>
              <w:t>Limits</w:t>
            </w:r>
          </w:p>
        </w:tc>
        <w:tc>
          <w:tcPr>
            <w:tcW w:w="1556" w:type="dxa"/>
            <w:noWrap/>
            <w:hideMark/>
          </w:tcPr>
          <w:p w:rsidR="00EF1380" w:rsidRPr="00195738"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eastAsia="es-MX"/>
              </w:rPr>
            </w:pPr>
            <w:r w:rsidRPr="00195738">
              <w:rPr>
                <w:rFonts w:ascii="Calibri" w:eastAsia="Times New Roman" w:hAnsi="Calibri" w:cs="Times New Roman"/>
                <w:sz w:val="20"/>
                <w:lang w:eastAsia="es-MX"/>
              </w:rPr>
              <w:t>Pros</w:t>
            </w:r>
          </w:p>
        </w:tc>
      </w:tr>
      <w:tr w:rsidR="00EF1380" w:rsidRPr="00390752" w:rsidTr="009B40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195738" w:rsidRDefault="00EF1380" w:rsidP="009B400B">
            <w:pPr>
              <w:jc w:val="center"/>
              <w:rPr>
                <w:rFonts w:ascii="Calibri" w:eastAsia="Times New Roman" w:hAnsi="Calibri" w:cs="Times New Roman"/>
                <w:b w:val="0"/>
                <w:color w:val="000000"/>
                <w:sz w:val="16"/>
                <w:szCs w:val="16"/>
                <w:lang w:eastAsia="es-MX"/>
              </w:rPr>
            </w:pPr>
            <w:r w:rsidRPr="00195738">
              <w:rPr>
                <w:rFonts w:ascii="Calibri" w:eastAsia="Times New Roman" w:hAnsi="Calibri" w:cs="Times New Roman"/>
                <w:b w:val="0"/>
                <w:color w:val="000000"/>
                <w:sz w:val="16"/>
                <w:szCs w:val="16"/>
                <w:lang w:eastAsia="es-MX"/>
              </w:rPr>
              <w:t>ICAT</w:t>
            </w:r>
          </w:p>
        </w:tc>
        <w:tc>
          <w:tcPr>
            <w:tcW w:w="1775" w:type="dxa"/>
            <w:noWrap/>
            <w:vAlign w:val="center"/>
            <w:hideMark/>
          </w:tcPr>
          <w:p w:rsidR="00EF1380" w:rsidRPr="00195738" w:rsidRDefault="00EF1380" w:rsidP="009B400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C12/</w:t>
            </w:r>
            <w:r>
              <w:rPr>
                <w:rFonts w:ascii="Calibri" w:eastAsia="Times New Roman" w:hAnsi="Calibri" w:cs="Times New Roman"/>
                <w:color w:val="000000"/>
                <w:sz w:val="16"/>
                <w:szCs w:val="16"/>
                <w:lang w:val="en-US" w:eastAsia="es-MX"/>
              </w:rPr>
              <w:t>C</w:t>
            </w:r>
            <w:r w:rsidRPr="00195738">
              <w:rPr>
                <w:rFonts w:ascii="Calibri" w:eastAsia="Times New Roman" w:hAnsi="Calibri" w:cs="Times New Roman"/>
                <w:color w:val="000000"/>
                <w:sz w:val="16"/>
                <w:szCs w:val="16"/>
                <w:lang w:val="en-US" w:eastAsia="es-MX"/>
              </w:rPr>
              <w:t>13 at cysteine residues</w:t>
            </w:r>
          </w:p>
        </w:tc>
        <w:tc>
          <w:tcPr>
            <w:tcW w:w="1560"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CEX, Avidin and LC MS/MS</w:t>
            </w:r>
          </w:p>
        </w:tc>
        <w:tc>
          <w:tcPr>
            <w:tcW w:w="1581"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MX"/>
              </w:rPr>
            </w:pPr>
            <w:r w:rsidRPr="00195738">
              <w:rPr>
                <w:rFonts w:ascii="Calibri" w:eastAsia="Times New Roman" w:hAnsi="Calibri" w:cs="Times New Roman"/>
                <w:color w:val="000000"/>
                <w:sz w:val="16"/>
                <w:szCs w:val="16"/>
                <w:lang w:eastAsia="es-MX"/>
              </w:rPr>
              <w:t>2-plex MS quantitation</w:t>
            </w:r>
          </w:p>
        </w:tc>
        <w:tc>
          <w:tcPr>
            <w:tcW w:w="1613"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Only detects cysteine-containing proteins</w:t>
            </w:r>
          </w:p>
        </w:tc>
        <w:tc>
          <w:tcPr>
            <w:tcW w:w="1556"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MX"/>
              </w:rPr>
            </w:pPr>
            <w:r w:rsidRPr="00195738">
              <w:rPr>
                <w:rFonts w:ascii="Calibri" w:eastAsia="Times New Roman" w:hAnsi="Calibri" w:cs="Times New Roman"/>
                <w:color w:val="000000"/>
                <w:sz w:val="16"/>
                <w:szCs w:val="16"/>
                <w:lang w:eastAsia="es-MX"/>
              </w:rPr>
              <w:t>Simplifies complex mixtures; no PTMs</w:t>
            </w:r>
          </w:p>
        </w:tc>
      </w:tr>
      <w:tr w:rsidR="00EF1380" w:rsidRPr="00390752" w:rsidTr="009B400B">
        <w:trPr>
          <w:trHeight w:val="300"/>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195738" w:rsidRDefault="00EF1380" w:rsidP="009B400B">
            <w:pPr>
              <w:jc w:val="center"/>
              <w:rPr>
                <w:rFonts w:ascii="Calibri" w:eastAsia="Times New Roman" w:hAnsi="Calibri" w:cs="Times New Roman"/>
                <w:b w:val="0"/>
                <w:color w:val="000000"/>
                <w:sz w:val="16"/>
                <w:szCs w:val="16"/>
                <w:lang w:eastAsia="es-MX"/>
              </w:rPr>
            </w:pPr>
            <w:r w:rsidRPr="00195738">
              <w:rPr>
                <w:rFonts w:ascii="Calibri" w:eastAsia="Times New Roman" w:hAnsi="Calibri" w:cs="Times New Roman"/>
                <w:b w:val="0"/>
                <w:color w:val="000000"/>
                <w:sz w:val="16"/>
                <w:szCs w:val="16"/>
                <w:lang w:eastAsia="es-MX"/>
              </w:rPr>
              <w:t>SILAC</w:t>
            </w:r>
          </w:p>
        </w:tc>
        <w:tc>
          <w:tcPr>
            <w:tcW w:w="1775"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s-MX" w:eastAsia="es-MX"/>
              </w:rPr>
            </w:pPr>
            <w:r w:rsidRPr="00195738">
              <w:rPr>
                <w:rFonts w:ascii="Calibri" w:eastAsia="Times New Roman" w:hAnsi="Calibri" w:cs="Times New Roman"/>
                <w:color w:val="000000"/>
                <w:sz w:val="16"/>
                <w:szCs w:val="16"/>
                <w:lang w:eastAsia="es-MX"/>
              </w:rPr>
              <w:t>Stable isotop</w:t>
            </w:r>
            <w:r w:rsidRPr="00195738">
              <w:rPr>
                <w:rFonts w:ascii="Calibri" w:eastAsia="Times New Roman" w:hAnsi="Calibri" w:cs="Times New Roman"/>
                <w:color w:val="000000"/>
                <w:sz w:val="16"/>
                <w:szCs w:val="16"/>
                <w:lang w:val="es-MX" w:eastAsia="es-MX"/>
              </w:rPr>
              <w:t>es labe</w:t>
            </w:r>
            <w:r>
              <w:rPr>
                <w:rFonts w:ascii="Calibri" w:eastAsia="Times New Roman" w:hAnsi="Calibri" w:cs="Times New Roman"/>
                <w:color w:val="000000"/>
                <w:sz w:val="16"/>
                <w:szCs w:val="16"/>
                <w:lang w:val="es-MX" w:eastAsia="es-MX"/>
              </w:rPr>
              <w:t>l</w:t>
            </w:r>
            <w:r w:rsidRPr="00195738">
              <w:rPr>
                <w:rFonts w:ascii="Calibri" w:eastAsia="Times New Roman" w:hAnsi="Calibri" w:cs="Times New Roman"/>
                <w:color w:val="000000"/>
                <w:sz w:val="16"/>
                <w:szCs w:val="16"/>
                <w:lang w:val="es-MX" w:eastAsia="es-MX"/>
              </w:rPr>
              <w:t>led peptides</w:t>
            </w:r>
          </w:p>
        </w:tc>
        <w:tc>
          <w:tcPr>
            <w:tcW w:w="1560"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Pr>
                <w:rFonts w:ascii="Calibri" w:eastAsia="Times New Roman" w:hAnsi="Calibri" w:cs="Times New Roman"/>
                <w:color w:val="000000"/>
                <w:sz w:val="16"/>
                <w:szCs w:val="16"/>
                <w:lang w:val="en-US" w:eastAsia="es-MX"/>
              </w:rPr>
              <w:t>CEX and LC-</w:t>
            </w:r>
            <w:r w:rsidRPr="00195738">
              <w:rPr>
                <w:rFonts w:ascii="Calibri" w:eastAsia="Times New Roman" w:hAnsi="Calibri" w:cs="Times New Roman"/>
                <w:color w:val="000000"/>
                <w:sz w:val="16"/>
                <w:szCs w:val="16"/>
                <w:lang w:val="en-US" w:eastAsia="es-MX"/>
              </w:rPr>
              <w:t>MS/MS</w:t>
            </w:r>
          </w:p>
        </w:tc>
        <w:tc>
          <w:tcPr>
            <w:tcW w:w="1581" w:type="dxa"/>
            <w:noWrap/>
            <w:vAlign w:val="center"/>
            <w:hideMark/>
          </w:tcPr>
          <w:p w:rsidR="00EF1380" w:rsidRPr="00112B7B"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MX"/>
              </w:rPr>
            </w:pPr>
            <w:r w:rsidRPr="00112B7B">
              <w:rPr>
                <w:rFonts w:ascii="Calibri" w:eastAsia="Times New Roman" w:hAnsi="Calibri" w:cs="Times New Roman"/>
                <w:color w:val="000000"/>
                <w:sz w:val="16"/>
                <w:szCs w:val="16"/>
                <w:lang w:eastAsia="es-MX"/>
              </w:rPr>
              <w:t>2-plex and 3-plex MS quantitation</w:t>
            </w:r>
          </w:p>
        </w:tc>
        <w:tc>
          <w:tcPr>
            <w:tcW w:w="1613" w:type="dxa"/>
            <w:noWrap/>
            <w:vAlign w:val="center"/>
            <w:hideMark/>
          </w:tcPr>
          <w:p w:rsidR="00EF1380" w:rsidRPr="00635313" w:rsidRDefault="00EF1380" w:rsidP="009B400B">
            <w:pPr>
              <w:jc w:val="both"/>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shd w:val="clear" w:color="auto" w:fill="FFFFFF"/>
              </w:rPr>
              <w:t>Incomplete p</w:t>
            </w:r>
            <w:r w:rsidRPr="00D904A4">
              <w:rPr>
                <w:color w:val="000000"/>
                <w:sz w:val="16"/>
                <w:szCs w:val="16"/>
                <w:shd w:val="clear" w:color="auto" w:fill="FFFFFF"/>
              </w:rPr>
              <w:t>roduction of derivates that could create side products, limiting the sensitivity of the analysis.</w:t>
            </w:r>
          </w:p>
        </w:tc>
        <w:tc>
          <w:tcPr>
            <w:tcW w:w="1556"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Labelling occurs early on in the sample preparation</w:t>
            </w:r>
          </w:p>
        </w:tc>
      </w:tr>
      <w:tr w:rsidR="00EF1380" w:rsidRPr="00390752" w:rsidTr="009B40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637AE8" w:rsidRDefault="00EF1380" w:rsidP="009B400B">
            <w:pPr>
              <w:pStyle w:val="NormalWeb"/>
              <w:spacing w:before="0" w:beforeAutospacing="0" w:after="0" w:afterAutospacing="0" w:line="276" w:lineRule="auto"/>
              <w:jc w:val="center"/>
              <w:rPr>
                <w:rFonts w:ascii="Arial" w:hAnsi="Arial" w:cs="Arial"/>
                <w:b w:val="0"/>
                <w:sz w:val="16"/>
                <w:szCs w:val="36"/>
                <w:lang w:val="en-GB"/>
              </w:rPr>
            </w:pPr>
            <w:r w:rsidRPr="00637AE8">
              <w:rPr>
                <w:rFonts w:ascii="Calibri" w:hAnsi="Calibri"/>
                <w:b w:val="0"/>
                <w:color w:val="000000"/>
                <w:kern w:val="24"/>
                <w:sz w:val="16"/>
                <w:szCs w:val="12"/>
                <w:lang w:val="en-US"/>
              </w:rPr>
              <w:t>iTRAQ (4 or 8-plex) and TMT 2, 6 or 10-plex)</w:t>
            </w:r>
          </w:p>
        </w:tc>
        <w:tc>
          <w:tcPr>
            <w:tcW w:w="1775" w:type="dxa"/>
            <w:noWrap/>
            <w:vAlign w:val="center"/>
            <w:hideMark/>
          </w:tcPr>
          <w:p w:rsidR="00EF1380" w:rsidRPr="00637AE8" w:rsidRDefault="00EF1380" w:rsidP="009B400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36"/>
                <w:lang w:val="en-GB"/>
              </w:rPr>
            </w:pPr>
            <w:r w:rsidRPr="00637AE8">
              <w:rPr>
                <w:rFonts w:ascii="Calibri" w:hAnsi="Calibri"/>
                <w:color w:val="000000"/>
                <w:kern w:val="24"/>
                <w:sz w:val="16"/>
                <w:szCs w:val="12"/>
                <w:lang w:val="en-US"/>
              </w:rPr>
              <w:t xml:space="preserve">Isobaric tags at N-terminus and </w:t>
            </w:r>
            <w:r w:rsidRPr="00637AE8">
              <w:rPr>
                <w:rFonts w:ascii="Calibri" w:hAnsi="Calibri"/>
                <w:color w:val="000000"/>
                <w:kern w:val="24"/>
                <w:sz w:val="16"/>
                <w:szCs w:val="12"/>
              </w:rPr>
              <w:t>ε</w:t>
            </w:r>
            <w:r w:rsidRPr="00637AE8">
              <w:rPr>
                <w:rFonts w:ascii="Calibri" w:hAnsi="Calibri"/>
                <w:color w:val="000000"/>
                <w:kern w:val="24"/>
                <w:sz w:val="16"/>
                <w:szCs w:val="12"/>
                <w:lang w:val="en-US"/>
              </w:rPr>
              <w:t>-N of lysine residues</w:t>
            </w:r>
          </w:p>
        </w:tc>
        <w:tc>
          <w:tcPr>
            <w:tcW w:w="1560" w:type="dxa"/>
            <w:noWrap/>
            <w:vAlign w:val="center"/>
            <w:hideMark/>
          </w:tcPr>
          <w:p w:rsidR="00EF1380" w:rsidRPr="00637AE8" w:rsidRDefault="00EF1380" w:rsidP="009B400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36"/>
                <w:lang w:val="en-GB"/>
              </w:rPr>
            </w:pPr>
            <w:r w:rsidRPr="00637AE8">
              <w:rPr>
                <w:rFonts w:ascii="Calibri" w:hAnsi="Calibri"/>
                <w:color w:val="000000"/>
                <w:kern w:val="24"/>
                <w:sz w:val="16"/>
                <w:szCs w:val="12"/>
                <w:lang w:val="en-US"/>
              </w:rPr>
              <w:t>CEX and LC-MS/MS</w:t>
            </w:r>
          </w:p>
        </w:tc>
        <w:tc>
          <w:tcPr>
            <w:tcW w:w="1581" w:type="dxa"/>
            <w:noWrap/>
            <w:vAlign w:val="center"/>
            <w:hideMark/>
          </w:tcPr>
          <w:p w:rsidR="00EF1380" w:rsidRPr="00637AE8" w:rsidRDefault="00EF1380" w:rsidP="009B400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36"/>
                <w:lang w:val="en-GB"/>
              </w:rPr>
            </w:pPr>
            <w:r w:rsidRPr="00637AE8">
              <w:rPr>
                <w:rFonts w:ascii="Calibri" w:hAnsi="Calibri"/>
                <w:color w:val="000000"/>
                <w:kern w:val="24"/>
                <w:sz w:val="16"/>
                <w:szCs w:val="12"/>
                <w:lang w:val="en-US"/>
              </w:rPr>
              <w:t>2, 6, 4, 8 and 10-plex MS/MS quantitation based on intensity of reported ions.</w:t>
            </w:r>
          </w:p>
        </w:tc>
        <w:tc>
          <w:tcPr>
            <w:tcW w:w="1613" w:type="dxa"/>
            <w:noWrap/>
            <w:vAlign w:val="center"/>
            <w:hideMark/>
          </w:tcPr>
          <w:p w:rsidR="00EF1380" w:rsidRPr="00637AE8" w:rsidRDefault="00EF1380" w:rsidP="009B400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36"/>
                <w:lang w:val="en-GB"/>
              </w:rPr>
            </w:pPr>
            <w:r w:rsidRPr="00637AE8">
              <w:rPr>
                <w:rFonts w:ascii="Calibri" w:hAnsi="Calibri"/>
                <w:color w:val="000000"/>
                <w:kern w:val="24"/>
                <w:sz w:val="16"/>
                <w:szCs w:val="12"/>
                <w:lang w:val="en-US"/>
              </w:rPr>
              <w:t>Quantification on MS/MS selected peptides only</w:t>
            </w:r>
          </w:p>
        </w:tc>
        <w:tc>
          <w:tcPr>
            <w:tcW w:w="1556" w:type="dxa"/>
            <w:noWrap/>
            <w:vAlign w:val="center"/>
            <w:hideMark/>
          </w:tcPr>
          <w:p w:rsidR="00EF1380" w:rsidRPr="00637AE8" w:rsidRDefault="00EF1380" w:rsidP="009B400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36"/>
              </w:rPr>
            </w:pPr>
            <w:r w:rsidRPr="00637AE8">
              <w:rPr>
                <w:rFonts w:ascii="Calibri" w:hAnsi="Calibri"/>
                <w:color w:val="000000"/>
                <w:kern w:val="24"/>
                <w:sz w:val="16"/>
                <w:szCs w:val="12"/>
              </w:rPr>
              <w:t>8, 10-plex allows greater multiplexing</w:t>
            </w:r>
          </w:p>
        </w:tc>
      </w:tr>
      <w:tr w:rsidR="00EF1380" w:rsidRPr="00390752" w:rsidTr="009B400B">
        <w:trPr>
          <w:trHeight w:val="300"/>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195738" w:rsidRDefault="00EF1380" w:rsidP="009B400B">
            <w:pPr>
              <w:jc w:val="center"/>
              <w:rPr>
                <w:rFonts w:ascii="Calibri" w:eastAsia="Times New Roman" w:hAnsi="Calibri" w:cs="Times New Roman"/>
                <w:b w:val="0"/>
                <w:color w:val="000000"/>
                <w:sz w:val="16"/>
                <w:szCs w:val="16"/>
                <w:lang w:val="es-MX" w:eastAsia="es-MX"/>
              </w:rPr>
            </w:pPr>
            <w:r w:rsidRPr="00195738">
              <w:rPr>
                <w:rFonts w:ascii="Calibri" w:eastAsia="Times New Roman" w:hAnsi="Calibri" w:cs="Times New Roman"/>
                <w:b w:val="0"/>
                <w:color w:val="000000"/>
                <w:sz w:val="16"/>
                <w:szCs w:val="16"/>
                <w:lang w:val="es-MX" w:eastAsia="es-MX"/>
              </w:rPr>
              <w:t>2D LC</w:t>
            </w:r>
          </w:p>
        </w:tc>
        <w:tc>
          <w:tcPr>
            <w:tcW w:w="1775"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s-MX" w:eastAsia="es-MX"/>
              </w:rPr>
            </w:pPr>
            <w:r w:rsidRPr="00195738">
              <w:rPr>
                <w:rFonts w:ascii="Calibri" w:eastAsia="Times New Roman" w:hAnsi="Calibri" w:cs="Times New Roman"/>
                <w:color w:val="000000"/>
                <w:sz w:val="16"/>
                <w:szCs w:val="16"/>
                <w:lang w:val="es-MX" w:eastAsia="es-MX"/>
              </w:rPr>
              <w:t>None</w:t>
            </w:r>
          </w:p>
        </w:tc>
        <w:tc>
          <w:tcPr>
            <w:tcW w:w="1560"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2D chromato-focusing and RP HPLC</w:t>
            </w:r>
          </w:p>
        </w:tc>
        <w:tc>
          <w:tcPr>
            <w:tcW w:w="1581"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Quantity pair wise RP fractions by UV</w:t>
            </w:r>
          </w:p>
        </w:tc>
        <w:tc>
          <w:tcPr>
            <w:tcW w:w="1613"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Pr>
                <w:rFonts w:ascii="Calibri" w:eastAsia="Times New Roman" w:hAnsi="Calibri" w:cs="Times New Roman"/>
                <w:color w:val="000000"/>
                <w:sz w:val="16"/>
                <w:szCs w:val="16"/>
                <w:lang w:val="en-US" w:eastAsia="es-MX"/>
              </w:rPr>
              <w:t>Number of samples that can be prepared</w:t>
            </w:r>
          </w:p>
        </w:tc>
        <w:tc>
          <w:tcPr>
            <w:tcW w:w="1556"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Pr>
                <w:rFonts w:ascii="Calibri" w:eastAsia="Times New Roman" w:hAnsi="Calibri" w:cs="Times New Roman"/>
                <w:color w:val="000000"/>
                <w:sz w:val="16"/>
                <w:szCs w:val="16"/>
                <w:lang w:val="en-US" w:eastAsia="es-MX"/>
              </w:rPr>
              <w:t>C</w:t>
            </w:r>
            <w:r w:rsidRPr="00195738">
              <w:rPr>
                <w:rFonts w:ascii="Calibri" w:eastAsia="Times New Roman" w:hAnsi="Calibri" w:cs="Times New Roman"/>
                <w:color w:val="000000"/>
                <w:sz w:val="16"/>
                <w:szCs w:val="16"/>
                <w:lang w:val="en-US" w:eastAsia="es-MX"/>
              </w:rPr>
              <w:t>omparison of 2 samples at &gt;500</w:t>
            </w:r>
            <w:r w:rsidRPr="00195738">
              <w:rPr>
                <w:rFonts w:ascii="Calibri" w:eastAsia="Times New Roman" w:hAnsi="Calibri" w:cs="Times New Roman"/>
                <w:color w:val="000000"/>
                <w:sz w:val="16"/>
                <w:szCs w:val="16"/>
                <w:lang w:val="es-MX" w:eastAsia="es-MX"/>
              </w:rPr>
              <w:t>μ</w:t>
            </w:r>
            <w:r w:rsidRPr="00195738">
              <w:rPr>
                <w:rFonts w:ascii="Calibri" w:eastAsia="Times New Roman" w:hAnsi="Calibri" w:cs="Times New Roman"/>
                <w:color w:val="000000"/>
                <w:sz w:val="16"/>
                <w:szCs w:val="16"/>
                <w:lang w:val="en-US" w:eastAsia="es-MX"/>
              </w:rPr>
              <w:t>g</w:t>
            </w:r>
          </w:p>
        </w:tc>
      </w:tr>
      <w:tr w:rsidR="00EF1380" w:rsidRPr="00390752" w:rsidTr="009B40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195738" w:rsidRDefault="00EF1380" w:rsidP="009B400B">
            <w:pPr>
              <w:jc w:val="center"/>
              <w:rPr>
                <w:rFonts w:ascii="Calibri" w:eastAsia="Times New Roman" w:hAnsi="Calibri" w:cs="Times New Roman"/>
                <w:b w:val="0"/>
                <w:color w:val="000000"/>
                <w:sz w:val="16"/>
                <w:szCs w:val="16"/>
                <w:lang w:val="es-MX" w:eastAsia="es-MX"/>
              </w:rPr>
            </w:pPr>
            <w:r w:rsidRPr="00195738">
              <w:rPr>
                <w:rFonts w:ascii="Calibri" w:eastAsia="Times New Roman" w:hAnsi="Calibri" w:cs="Times New Roman"/>
                <w:b w:val="0"/>
                <w:color w:val="000000"/>
                <w:sz w:val="16"/>
                <w:szCs w:val="16"/>
                <w:lang w:val="es-MX" w:eastAsia="es-MX"/>
              </w:rPr>
              <w:t>MudPIT</w:t>
            </w:r>
          </w:p>
        </w:tc>
        <w:tc>
          <w:tcPr>
            <w:tcW w:w="1775"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s-MX" w:eastAsia="es-MX"/>
              </w:rPr>
            </w:pPr>
            <w:r w:rsidRPr="00195738">
              <w:rPr>
                <w:rFonts w:ascii="Calibri" w:eastAsia="Times New Roman" w:hAnsi="Calibri" w:cs="Times New Roman"/>
                <w:color w:val="000000"/>
                <w:sz w:val="16"/>
                <w:szCs w:val="16"/>
                <w:lang w:val="es-MX" w:eastAsia="es-MX"/>
              </w:rPr>
              <w:t>None</w:t>
            </w:r>
          </w:p>
        </w:tc>
        <w:tc>
          <w:tcPr>
            <w:tcW w:w="1560"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CEX and LC</w:t>
            </w:r>
            <w:r>
              <w:rPr>
                <w:rFonts w:ascii="Calibri" w:eastAsia="Times New Roman" w:hAnsi="Calibri" w:cs="Times New Roman"/>
                <w:color w:val="000000"/>
                <w:sz w:val="16"/>
                <w:szCs w:val="16"/>
                <w:lang w:val="en-US" w:eastAsia="es-MX"/>
              </w:rPr>
              <w:t>-</w:t>
            </w:r>
            <w:r w:rsidRPr="00195738">
              <w:rPr>
                <w:rFonts w:ascii="Calibri" w:eastAsia="Times New Roman" w:hAnsi="Calibri" w:cs="Times New Roman"/>
                <w:color w:val="000000"/>
                <w:sz w:val="16"/>
                <w:szCs w:val="16"/>
                <w:lang w:val="en-US" w:eastAsia="es-MX"/>
              </w:rPr>
              <w:t>MS/MS</w:t>
            </w:r>
          </w:p>
        </w:tc>
        <w:tc>
          <w:tcPr>
            <w:tcW w:w="1581"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2D LC approach used to catalogue proteins from complex samples</w:t>
            </w:r>
          </w:p>
        </w:tc>
        <w:tc>
          <w:tcPr>
            <w:tcW w:w="1613"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Addition</w:t>
            </w:r>
            <w:r>
              <w:rPr>
                <w:rFonts w:ascii="Calibri" w:eastAsia="Times New Roman" w:hAnsi="Calibri" w:cs="Times New Roman"/>
                <w:color w:val="000000"/>
                <w:sz w:val="16"/>
                <w:szCs w:val="16"/>
                <w:lang w:val="en-US" w:eastAsia="es-MX"/>
              </w:rPr>
              <w:t xml:space="preserve"> </w:t>
            </w:r>
            <w:r w:rsidRPr="00195738">
              <w:rPr>
                <w:rFonts w:ascii="Calibri" w:eastAsia="Times New Roman" w:hAnsi="Calibri" w:cs="Times New Roman"/>
                <w:color w:val="000000"/>
                <w:sz w:val="16"/>
                <w:szCs w:val="16"/>
                <w:lang w:val="en-US" w:eastAsia="es-MX"/>
              </w:rPr>
              <w:t>prefractioning</w:t>
            </w:r>
            <w:r>
              <w:rPr>
                <w:rFonts w:ascii="Calibri" w:eastAsia="Times New Roman" w:hAnsi="Calibri" w:cs="Times New Roman"/>
                <w:color w:val="000000"/>
                <w:sz w:val="16"/>
                <w:szCs w:val="16"/>
                <w:lang w:val="en-US" w:eastAsia="es-MX"/>
              </w:rPr>
              <w:t xml:space="preserve"> </w:t>
            </w:r>
            <w:r w:rsidRPr="00195738">
              <w:rPr>
                <w:rFonts w:ascii="Calibri" w:eastAsia="Times New Roman" w:hAnsi="Calibri" w:cs="Times New Roman"/>
                <w:color w:val="000000"/>
                <w:sz w:val="16"/>
                <w:szCs w:val="16"/>
                <w:lang w:val="en-US" w:eastAsia="es-MX"/>
              </w:rPr>
              <w:t xml:space="preserve"> aids in identification of proteins in the proteome</w:t>
            </w:r>
          </w:p>
        </w:tc>
        <w:tc>
          <w:tcPr>
            <w:tcW w:w="1556" w:type="dxa"/>
            <w:noWrap/>
            <w:vAlign w:val="center"/>
            <w:hideMark/>
          </w:tcPr>
          <w:p w:rsidR="00EF1380" w:rsidRPr="00D3306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MX"/>
              </w:rPr>
            </w:pPr>
            <w:r w:rsidRPr="00D33068">
              <w:rPr>
                <w:rFonts w:ascii="Calibri" w:eastAsia="Times New Roman" w:hAnsi="Calibri" w:cs="Times New Roman"/>
                <w:color w:val="000000"/>
                <w:sz w:val="16"/>
                <w:szCs w:val="16"/>
                <w:lang w:eastAsia="es-MX"/>
              </w:rPr>
              <w:t>No direct quantification</w:t>
            </w:r>
          </w:p>
          <w:p w:rsidR="00EF1380" w:rsidRPr="00635313"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MX"/>
              </w:rPr>
            </w:pPr>
            <w:r w:rsidRPr="00195738">
              <w:rPr>
                <w:rFonts w:ascii="Calibri" w:eastAsia="Times New Roman" w:hAnsi="Calibri" w:cs="Times New Roman"/>
                <w:color w:val="000000"/>
                <w:sz w:val="16"/>
                <w:szCs w:val="16"/>
                <w:lang w:val="en-US" w:eastAsia="es-MX"/>
              </w:rPr>
              <w:t>Ideal for serum/plasma discoveries</w:t>
            </w:r>
          </w:p>
        </w:tc>
      </w:tr>
      <w:tr w:rsidR="00EF1380" w:rsidRPr="00390752" w:rsidTr="009B400B">
        <w:trPr>
          <w:trHeight w:val="300"/>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195738" w:rsidRDefault="00EF1380" w:rsidP="009B400B">
            <w:pPr>
              <w:jc w:val="center"/>
              <w:rPr>
                <w:rFonts w:ascii="Calibri" w:eastAsia="Times New Roman" w:hAnsi="Calibri" w:cs="Times New Roman"/>
                <w:b w:val="0"/>
                <w:color w:val="000000"/>
                <w:sz w:val="16"/>
                <w:szCs w:val="16"/>
                <w:lang w:val="es-MX" w:eastAsia="es-MX"/>
              </w:rPr>
            </w:pPr>
            <w:r w:rsidRPr="00195738">
              <w:rPr>
                <w:rFonts w:ascii="Calibri" w:eastAsia="Times New Roman" w:hAnsi="Calibri" w:cs="Times New Roman"/>
                <w:b w:val="0"/>
                <w:color w:val="000000"/>
                <w:sz w:val="16"/>
                <w:szCs w:val="16"/>
                <w:lang w:val="es-MX" w:eastAsia="es-MX"/>
              </w:rPr>
              <w:t>LFQ</w:t>
            </w:r>
          </w:p>
        </w:tc>
        <w:tc>
          <w:tcPr>
            <w:tcW w:w="1775"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s-MX" w:eastAsia="es-MX"/>
              </w:rPr>
            </w:pPr>
            <w:r w:rsidRPr="00195738">
              <w:rPr>
                <w:rFonts w:ascii="Calibri" w:eastAsia="Times New Roman" w:hAnsi="Calibri" w:cs="Times New Roman"/>
                <w:color w:val="000000"/>
                <w:sz w:val="16"/>
                <w:szCs w:val="16"/>
                <w:lang w:val="es-MX" w:eastAsia="es-MX"/>
              </w:rPr>
              <w:t>None</w:t>
            </w:r>
          </w:p>
        </w:tc>
        <w:tc>
          <w:tcPr>
            <w:tcW w:w="1560"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s-MX" w:eastAsia="es-MX"/>
              </w:rPr>
            </w:pPr>
            <w:r w:rsidRPr="00195738">
              <w:rPr>
                <w:rFonts w:ascii="Calibri" w:eastAsia="Times New Roman" w:hAnsi="Calibri" w:cs="Times New Roman"/>
                <w:color w:val="000000"/>
                <w:sz w:val="16"/>
                <w:szCs w:val="16"/>
                <w:lang w:val="es-MX" w:eastAsia="es-MX"/>
              </w:rPr>
              <w:t>LC</w:t>
            </w:r>
            <w:r>
              <w:rPr>
                <w:rFonts w:ascii="Calibri" w:eastAsia="Times New Roman" w:hAnsi="Calibri" w:cs="Times New Roman"/>
                <w:color w:val="000000"/>
                <w:sz w:val="16"/>
                <w:szCs w:val="16"/>
                <w:lang w:val="es-MX" w:eastAsia="es-MX"/>
              </w:rPr>
              <w:t>-</w:t>
            </w:r>
            <w:r w:rsidRPr="00195738">
              <w:rPr>
                <w:rFonts w:ascii="Calibri" w:eastAsia="Times New Roman" w:hAnsi="Calibri" w:cs="Times New Roman"/>
                <w:color w:val="000000"/>
                <w:sz w:val="16"/>
                <w:szCs w:val="16"/>
                <w:lang w:val="es-MX" w:eastAsia="es-MX"/>
              </w:rPr>
              <w:t>MS</w:t>
            </w:r>
          </w:p>
        </w:tc>
        <w:tc>
          <w:tcPr>
            <w:tcW w:w="1581"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LC</w:t>
            </w:r>
            <w:r>
              <w:rPr>
                <w:rFonts w:ascii="Calibri" w:eastAsia="Times New Roman" w:hAnsi="Calibri" w:cs="Times New Roman"/>
                <w:color w:val="000000"/>
                <w:sz w:val="16"/>
                <w:szCs w:val="16"/>
                <w:lang w:val="en-US" w:eastAsia="es-MX"/>
              </w:rPr>
              <w:t>-</w:t>
            </w:r>
            <w:r w:rsidRPr="00195738">
              <w:rPr>
                <w:rFonts w:ascii="Calibri" w:eastAsia="Times New Roman" w:hAnsi="Calibri" w:cs="Times New Roman"/>
                <w:color w:val="000000"/>
                <w:sz w:val="16"/>
                <w:szCs w:val="16"/>
                <w:lang w:val="en-US" w:eastAsia="es-MX"/>
              </w:rPr>
              <w:t>MS based disease biomarker discovery tool</w:t>
            </w:r>
          </w:p>
        </w:tc>
        <w:tc>
          <w:tcPr>
            <w:tcW w:w="1613"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Limited or no initial protein identification. Repeat run often used for identification</w:t>
            </w:r>
          </w:p>
        </w:tc>
        <w:tc>
          <w:tcPr>
            <w:tcW w:w="1556" w:type="dxa"/>
            <w:noWrap/>
            <w:vAlign w:val="center"/>
            <w:hideMark/>
          </w:tcPr>
          <w:p w:rsidR="00EF1380" w:rsidRPr="00195738" w:rsidRDefault="00EF1380" w:rsidP="009B40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Countless samples can be compared</w:t>
            </w:r>
          </w:p>
        </w:tc>
      </w:tr>
      <w:tr w:rsidR="00EF1380" w:rsidRPr="00390752" w:rsidTr="009B40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83" w:type="dxa"/>
            <w:noWrap/>
            <w:vAlign w:val="center"/>
            <w:hideMark/>
          </w:tcPr>
          <w:p w:rsidR="00EF1380" w:rsidRPr="00195738" w:rsidRDefault="00EF1380" w:rsidP="009B400B">
            <w:pPr>
              <w:jc w:val="center"/>
              <w:rPr>
                <w:rFonts w:ascii="Calibri" w:eastAsia="Times New Roman" w:hAnsi="Calibri" w:cs="Times New Roman"/>
                <w:b w:val="0"/>
                <w:color w:val="000000"/>
                <w:sz w:val="16"/>
                <w:szCs w:val="16"/>
                <w:lang w:val="es-MX" w:eastAsia="es-MX"/>
              </w:rPr>
            </w:pPr>
            <w:r>
              <w:rPr>
                <w:rFonts w:ascii="Calibri" w:eastAsia="Times New Roman" w:hAnsi="Calibri" w:cs="Times New Roman"/>
                <w:b w:val="0"/>
                <w:color w:val="000000"/>
                <w:sz w:val="16"/>
                <w:szCs w:val="16"/>
                <w:lang w:val="es-MX" w:eastAsia="es-MX"/>
              </w:rPr>
              <w:t>HDMS</w:t>
            </w:r>
          </w:p>
        </w:tc>
        <w:tc>
          <w:tcPr>
            <w:tcW w:w="1775"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s-MX" w:eastAsia="es-MX"/>
              </w:rPr>
            </w:pPr>
            <w:r>
              <w:rPr>
                <w:rFonts w:ascii="Calibri" w:eastAsia="Times New Roman" w:hAnsi="Calibri" w:cs="Times New Roman"/>
                <w:color w:val="000000"/>
                <w:sz w:val="16"/>
                <w:szCs w:val="16"/>
                <w:lang w:val="es-MX" w:eastAsia="es-MX"/>
              </w:rPr>
              <w:t>None</w:t>
            </w:r>
          </w:p>
        </w:tc>
        <w:tc>
          <w:tcPr>
            <w:tcW w:w="1560"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s-MX" w:eastAsia="es-MX"/>
              </w:rPr>
            </w:pPr>
            <w:r>
              <w:rPr>
                <w:rFonts w:ascii="Calibri" w:eastAsia="Times New Roman" w:hAnsi="Calibri" w:cs="Times New Roman"/>
                <w:color w:val="000000"/>
                <w:sz w:val="16"/>
                <w:szCs w:val="16"/>
                <w:lang w:val="es-MX" w:eastAsia="es-MX"/>
              </w:rPr>
              <w:t>LC-MS</w:t>
            </w:r>
          </w:p>
        </w:tc>
        <w:tc>
          <w:tcPr>
            <w:tcW w:w="1581" w:type="dxa"/>
            <w:noWrap/>
            <w:vAlign w:val="center"/>
            <w:hideMark/>
          </w:tcPr>
          <w:p w:rsidR="00EF1380" w:rsidRPr="0072151F"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val="en-US" w:eastAsia="es-MX"/>
              </w:rPr>
              <w:t>Mass of peptides and fragments are measured and t</w:t>
            </w:r>
            <w:r w:rsidRPr="00195738">
              <w:rPr>
                <w:rFonts w:ascii="Calibri" w:eastAsia="Times New Roman" w:hAnsi="Calibri" w:cs="Times New Roman"/>
                <w:color w:val="000000"/>
                <w:sz w:val="16"/>
                <w:szCs w:val="16"/>
                <w:lang w:val="en-US" w:eastAsia="es-MX"/>
              </w:rPr>
              <w:t>h</w:t>
            </w:r>
            <w:r>
              <w:rPr>
                <w:rFonts w:ascii="Calibri" w:eastAsia="Times New Roman" w:hAnsi="Calibri" w:cs="Times New Roman"/>
                <w:color w:val="000000"/>
                <w:sz w:val="16"/>
                <w:szCs w:val="16"/>
                <w:lang w:val="en-US" w:eastAsia="es-MX"/>
              </w:rPr>
              <w:t>e</w:t>
            </w:r>
            <w:r w:rsidRPr="00195738">
              <w:rPr>
                <w:rFonts w:ascii="Calibri" w:eastAsia="Times New Roman" w:hAnsi="Calibri" w:cs="Times New Roman"/>
                <w:color w:val="000000"/>
                <w:sz w:val="16"/>
                <w:szCs w:val="16"/>
                <w:lang w:val="en-US" w:eastAsia="es-MX"/>
              </w:rPr>
              <w:t xml:space="preserve"> spectra of every component are aligned in time</w:t>
            </w:r>
          </w:p>
        </w:tc>
        <w:tc>
          <w:tcPr>
            <w:tcW w:w="1613"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 xml:space="preserve">Samples completely catalogued in an HDMS </w:t>
            </w:r>
            <w:r>
              <w:rPr>
                <w:rFonts w:ascii="Calibri" w:eastAsia="Times New Roman" w:hAnsi="Calibri" w:cs="Times New Roman"/>
                <w:color w:val="000000"/>
                <w:sz w:val="16"/>
                <w:szCs w:val="16"/>
                <w:lang w:val="en-US" w:eastAsia="es-MX"/>
              </w:rPr>
              <w:t xml:space="preserve">or </w:t>
            </w:r>
            <w:r w:rsidRPr="00195738">
              <w:rPr>
                <w:rFonts w:ascii="Calibri" w:eastAsia="Times New Roman" w:hAnsi="Calibri" w:cs="Times New Roman"/>
                <w:color w:val="000000"/>
                <w:sz w:val="16"/>
                <w:szCs w:val="16"/>
                <w:lang w:val="en-US" w:eastAsia="es-MX"/>
              </w:rPr>
              <w:t>analysis</w:t>
            </w:r>
          </w:p>
        </w:tc>
        <w:tc>
          <w:tcPr>
            <w:tcW w:w="1556" w:type="dxa"/>
            <w:noWrap/>
            <w:vAlign w:val="center"/>
            <w:hideMark/>
          </w:tcPr>
          <w:p w:rsidR="00EF1380" w:rsidRPr="00195738" w:rsidRDefault="00EF1380" w:rsidP="009B40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val="en-US" w:eastAsia="es-MX"/>
              </w:rPr>
            </w:pPr>
            <w:r w:rsidRPr="00195738">
              <w:rPr>
                <w:rFonts w:ascii="Calibri" w:eastAsia="Times New Roman" w:hAnsi="Calibri" w:cs="Times New Roman"/>
                <w:color w:val="000000"/>
                <w:sz w:val="16"/>
                <w:szCs w:val="16"/>
                <w:lang w:val="en-US" w:eastAsia="es-MX"/>
              </w:rPr>
              <w:t>Data are recorded without discrimination or pre-selection, hence samples are completely catalogued in a single MS or HDMS analysis</w:t>
            </w:r>
          </w:p>
        </w:tc>
      </w:tr>
    </w:tbl>
    <w:p w:rsidR="00EF1380" w:rsidRPr="00063A0F" w:rsidRDefault="00EF1380" w:rsidP="00EF1380">
      <w:pPr>
        <w:pStyle w:val="Caption"/>
        <w:jc w:val="both"/>
        <w:rPr>
          <w:rFonts w:ascii="Arial" w:hAnsi="Arial" w:cs="Arial"/>
          <w:b w:val="0"/>
          <w:bCs w:val="0"/>
          <w:color w:val="auto"/>
          <w:sz w:val="16"/>
          <w:szCs w:val="16"/>
          <w:lang w:val="en-US"/>
        </w:rPr>
      </w:pPr>
      <w:bookmarkStart w:id="47" w:name="_Toc413666993"/>
      <w:proofErr w:type="gramStart"/>
      <w:r w:rsidRPr="00112B7B">
        <w:rPr>
          <w:rFonts w:ascii="Arial" w:hAnsi="Arial" w:cs="Arial"/>
          <w:color w:val="auto"/>
          <w:sz w:val="16"/>
        </w:rPr>
        <w:t xml:space="preserve">Table </w:t>
      </w:r>
      <w:r w:rsidR="006C2756" w:rsidRPr="00112B7B">
        <w:rPr>
          <w:rFonts w:ascii="Arial" w:hAnsi="Arial" w:cs="Arial"/>
          <w:color w:val="auto"/>
          <w:sz w:val="16"/>
        </w:rPr>
        <w:fldChar w:fldCharType="begin"/>
      </w:r>
      <w:r w:rsidRPr="00112B7B">
        <w:rPr>
          <w:rFonts w:ascii="Arial" w:hAnsi="Arial" w:cs="Arial"/>
          <w:color w:val="auto"/>
          <w:sz w:val="16"/>
        </w:rPr>
        <w:instrText xml:space="preserve"> SEQ Table \* ARABIC </w:instrText>
      </w:r>
      <w:r w:rsidR="006C2756" w:rsidRPr="00112B7B">
        <w:rPr>
          <w:rFonts w:ascii="Arial" w:hAnsi="Arial" w:cs="Arial"/>
          <w:color w:val="auto"/>
          <w:sz w:val="16"/>
        </w:rPr>
        <w:fldChar w:fldCharType="separate"/>
      </w:r>
      <w:r w:rsidR="00DC0376">
        <w:rPr>
          <w:rFonts w:ascii="Arial" w:hAnsi="Arial" w:cs="Arial"/>
          <w:noProof/>
          <w:color w:val="auto"/>
          <w:sz w:val="16"/>
        </w:rPr>
        <w:t>6</w:t>
      </w:r>
      <w:r w:rsidR="006C2756" w:rsidRPr="00112B7B">
        <w:rPr>
          <w:rFonts w:ascii="Arial" w:hAnsi="Arial" w:cs="Arial"/>
          <w:color w:val="auto"/>
          <w:sz w:val="16"/>
        </w:rPr>
        <w:fldChar w:fldCharType="end"/>
      </w:r>
      <w:r w:rsidRPr="00112B7B">
        <w:rPr>
          <w:rFonts w:ascii="Arial" w:hAnsi="Arial" w:cs="Arial"/>
          <w:color w:val="auto"/>
          <w:sz w:val="16"/>
        </w:rPr>
        <w:t>.</w:t>
      </w:r>
      <w:proofErr w:type="gramEnd"/>
      <w:r w:rsidRPr="00112B7B">
        <w:rPr>
          <w:rFonts w:ascii="Arial" w:hAnsi="Arial" w:cs="Arial"/>
          <w:color w:val="auto"/>
          <w:sz w:val="16"/>
        </w:rPr>
        <w:t xml:space="preserve"> </w:t>
      </w:r>
      <w:proofErr w:type="gramStart"/>
      <w:r w:rsidRPr="00063A0F">
        <w:rPr>
          <w:rStyle w:val="Strong"/>
          <w:rFonts w:ascii="Arial" w:hAnsi="Arial" w:cs="Arial"/>
          <w:b/>
          <w:color w:val="auto"/>
          <w:sz w:val="16"/>
          <w:szCs w:val="16"/>
          <w:lang w:val="en-US"/>
        </w:rPr>
        <w:t>Protein Profiling Techniques.</w:t>
      </w:r>
      <w:proofErr w:type="gramEnd"/>
      <w:r w:rsidRPr="00063A0F">
        <w:rPr>
          <w:rStyle w:val="Strong"/>
          <w:rFonts w:ascii="Arial" w:hAnsi="Arial" w:cs="Arial"/>
          <w:b/>
          <w:color w:val="auto"/>
          <w:sz w:val="16"/>
          <w:szCs w:val="16"/>
          <w:lang w:val="en-US"/>
        </w:rPr>
        <w:t xml:space="preserve"> </w:t>
      </w:r>
      <w:r w:rsidRPr="00063A0F">
        <w:rPr>
          <w:rStyle w:val="Strong"/>
          <w:rFonts w:ascii="Arial" w:hAnsi="Arial" w:cs="Arial"/>
          <w:b/>
          <w:i/>
          <w:color w:val="auto"/>
          <w:sz w:val="16"/>
          <w:szCs w:val="16"/>
          <w:lang w:val="en-US"/>
        </w:rPr>
        <w:t xml:space="preserve">This table </w:t>
      </w:r>
      <w:r w:rsidR="001868E0" w:rsidRPr="00063A0F">
        <w:rPr>
          <w:rStyle w:val="Strong"/>
          <w:rFonts w:ascii="Arial" w:hAnsi="Arial" w:cs="Arial"/>
          <w:b/>
          <w:i/>
          <w:color w:val="auto"/>
          <w:sz w:val="16"/>
          <w:szCs w:val="16"/>
          <w:lang w:val="en-US"/>
        </w:rPr>
        <w:t>summari</w:t>
      </w:r>
      <w:r w:rsidR="00117570">
        <w:rPr>
          <w:rStyle w:val="Strong"/>
          <w:rFonts w:ascii="Arial" w:hAnsi="Arial" w:cs="Arial"/>
          <w:b/>
          <w:i/>
          <w:color w:val="auto"/>
          <w:sz w:val="16"/>
          <w:szCs w:val="16"/>
          <w:lang w:val="en-US"/>
        </w:rPr>
        <w:t>s</w:t>
      </w:r>
      <w:r w:rsidR="001868E0" w:rsidRPr="00063A0F">
        <w:rPr>
          <w:rStyle w:val="Strong"/>
          <w:rFonts w:ascii="Arial" w:hAnsi="Arial" w:cs="Arial"/>
          <w:b/>
          <w:i/>
          <w:color w:val="auto"/>
          <w:sz w:val="16"/>
          <w:szCs w:val="16"/>
          <w:lang w:val="en-US"/>
        </w:rPr>
        <w:t>es</w:t>
      </w:r>
      <w:r w:rsidRPr="00063A0F">
        <w:rPr>
          <w:rStyle w:val="Strong"/>
          <w:rFonts w:ascii="Arial" w:hAnsi="Arial" w:cs="Arial"/>
          <w:b/>
          <w:i/>
          <w:color w:val="auto"/>
          <w:sz w:val="16"/>
          <w:szCs w:val="16"/>
          <w:lang w:val="en-US"/>
        </w:rPr>
        <w:t xml:space="preserve"> </w:t>
      </w:r>
      <w:r w:rsidR="001868E0">
        <w:rPr>
          <w:rStyle w:val="Strong"/>
          <w:rFonts w:ascii="Arial" w:hAnsi="Arial" w:cs="Arial"/>
          <w:b/>
          <w:i/>
          <w:color w:val="auto"/>
          <w:sz w:val="16"/>
          <w:szCs w:val="16"/>
          <w:lang w:val="en-US"/>
        </w:rPr>
        <w:t xml:space="preserve">some of </w:t>
      </w:r>
      <w:r w:rsidRPr="00063A0F">
        <w:rPr>
          <w:rStyle w:val="Strong"/>
          <w:rFonts w:ascii="Arial" w:hAnsi="Arial" w:cs="Arial"/>
          <w:b/>
          <w:i/>
          <w:color w:val="auto"/>
          <w:sz w:val="16"/>
          <w:szCs w:val="16"/>
          <w:lang w:val="en-US"/>
        </w:rPr>
        <w:t xml:space="preserve">the techniques currently in use. CEX, cation exchange; RP HPLC, Reversed Phase High Performance Liquid Chromatography; </w:t>
      </w:r>
      <w:r>
        <w:rPr>
          <w:rStyle w:val="Strong"/>
          <w:rFonts w:ascii="Arial" w:hAnsi="Arial" w:cs="Arial"/>
          <w:b/>
          <w:i/>
          <w:color w:val="auto"/>
          <w:sz w:val="16"/>
          <w:szCs w:val="16"/>
          <w:lang w:val="en-US"/>
        </w:rPr>
        <w:t>RP, Reverse Phase; HDMS, High Definition MS</w:t>
      </w:r>
      <w:r w:rsidRPr="00063A0F">
        <w:rPr>
          <w:rStyle w:val="Strong"/>
          <w:rFonts w:ascii="Arial" w:hAnsi="Arial" w:cs="Arial"/>
          <w:b/>
          <w:i/>
          <w:color w:val="auto"/>
          <w:sz w:val="16"/>
          <w:szCs w:val="16"/>
          <w:lang w:val="en-US"/>
        </w:rPr>
        <w:t>.</w:t>
      </w:r>
      <w:bookmarkEnd w:id="47"/>
    </w:p>
    <w:p w:rsidR="00EF1380" w:rsidRDefault="00EF1380" w:rsidP="00EF1380">
      <w:pPr>
        <w:autoSpaceDE w:val="0"/>
        <w:autoSpaceDN w:val="0"/>
        <w:adjustRightInd w:val="0"/>
        <w:spacing w:line="360" w:lineRule="auto"/>
        <w:ind w:firstLine="720"/>
        <w:jc w:val="both"/>
        <w:rPr>
          <w:rStyle w:val="highlight"/>
          <w:rFonts w:ascii="Arial" w:hAnsi="Arial" w:cs="Arial"/>
          <w:color w:val="000000"/>
          <w:sz w:val="24"/>
          <w:szCs w:val="24"/>
          <w:shd w:val="clear" w:color="auto" w:fill="FFFFFF"/>
        </w:rPr>
      </w:pPr>
      <w:r>
        <w:rPr>
          <w:rFonts w:ascii="Arial" w:hAnsi="Arial" w:cs="Arial"/>
          <w:sz w:val="24"/>
          <w:szCs w:val="24"/>
        </w:rPr>
        <w:t xml:space="preserve">As aforesaid, protein profiling techniques can be used to study PTMs, including acetylation. </w:t>
      </w:r>
      <w:r w:rsidRPr="003E539E">
        <w:rPr>
          <w:rFonts w:ascii="Arial" w:hAnsi="Arial" w:cs="Arial"/>
          <w:sz w:val="24"/>
          <w:szCs w:val="24"/>
          <w:lang w:val="en-US"/>
        </w:rPr>
        <w:t xml:space="preserve">In terms of acetylation sites, Zhao </w:t>
      </w:r>
      <w:r w:rsidRPr="001C4DB0">
        <w:rPr>
          <w:rFonts w:ascii="Arial" w:hAnsi="Arial" w:cs="Arial"/>
          <w:i/>
          <w:sz w:val="24"/>
          <w:szCs w:val="24"/>
          <w:lang w:val="en-US"/>
        </w:rPr>
        <w:t>et al.</w:t>
      </w:r>
      <w:r w:rsidRPr="003E539E">
        <w:rPr>
          <w:rFonts w:ascii="Arial" w:hAnsi="Arial" w:cs="Arial"/>
          <w:sz w:val="24"/>
          <w:szCs w:val="24"/>
          <w:lang w:val="en-US"/>
        </w:rPr>
        <w:t>, 2010</w:t>
      </w:r>
      <w:r>
        <w:rPr>
          <w:rFonts w:ascii="Arial" w:hAnsi="Arial" w:cs="Arial"/>
          <w:sz w:val="24"/>
          <w:szCs w:val="24"/>
          <w:lang w:val="en-US"/>
        </w:rPr>
        <w:t xml:space="preserve">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11" w:tooltip="Zhao S, 2010 #301" w:history="1">
        <w:r w:rsidR="00AB7E17">
          <w:rPr>
            <w:rFonts w:ascii="Arial" w:hAnsi="Arial" w:cs="Arial"/>
            <w:noProof/>
            <w:sz w:val="24"/>
            <w:szCs w:val="24"/>
            <w:lang w:val="en-US"/>
          </w:rPr>
          <w:t>11</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sidRPr="003E539E">
        <w:rPr>
          <w:rFonts w:ascii="Arial" w:hAnsi="Arial" w:cs="Arial"/>
          <w:sz w:val="24"/>
          <w:szCs w:val="24"/>
          <w:lang w:val="en-US"/>
        </w:rPr>
        <w:t xml:space="preserve"> </w:t>
      </w:r>
      <w:r>
        <w:rPr>
          <w:rFonts w:ascii="Arial" w:hAnsi="Arial" w:cs="Arial"/>
          <w:sz w:val="24"/>
          <w:szCs w:val="24"/>
          <w:lang w:val="en-US"/>
        </w:rPr>
        <w:t>did</w:t>
      </w:r>
      <w:r w:rsidRPr="003E539E">
        <w:rPr>
          <w:rFonts w:ascii="Arial" w:hAnsi="Arial" w:cs="Arial"/>
          <w:sz w:val="24"/>
          <w:szCs w:val="24"/>
          <w:lang w:val="en-US"/>
        </w:rPr>
        <w:t xml:space="preserve"> an MS analysis and found that n</w:t>
      </w:r>
      <w:r w:rsidRPr="003E539E">
        <w:rPr>
          <w:rStyle w:val="SC118877"/>
          <w:rFonts w:ascii="Arial" w:hAnsi="Arial" w:cs="Arial"/>
          <w:iCs/>
          <w:sz w:val="24"/>
          <w:szCs w:val="24"/>
          <w:lang w:val="en-US"/>
        </w:rPr>
        <w:t xml:space="preserve">early every single metabolic enzyme is found </w:t>
      </w:r>
      <w:r>
        <w:rPr>
          <w:rStyle w:val="SC118877"/>
          <w:rFonts w:ascii="Arial" w:hAnsi="Arial" w:cs="Arial"/>
          <w:iCs/>
          <w:sz w:val="24"/>
          <w:szCs w:val="24"/>
          <w:lang w:val="en-US"/>
        </w:rPr>
        <w:t xml:space="preserve">to be </w:t>
      </w:r>
      <w:r w:rsidRPr="003E539E">
        <w:rPr>
          <w:rStyle w:val="SC118877"/>
          <w:rFonts w:ascii="Arial" w:hAnsi="Arial" w:cs="Arial"/>
          <w:iCs/>
          <w:sz w:val="24"/>
          <w:szCs w:val="24"/>
          <w:lang w:val="en-US"/>
        </w:rPr>
        <w:t>acetylated in nuclear, cytosolic and mitochondrial fractions of human liver tissue</w:t>
      </w:r>
      <w:r>
        <w:rPr>
          <w:rStyle w:val="SC118877"/>
          <w:rFonts w:ascii="Arial" w:hAnsi="Arial" w:cs="Arial"/>
          <w:iCs/>
          <w:sz w:val="24"/>
          <w:szCs w:val="24"/>
          <w:lang w:val="en-US"/>
        </w:rPr>
        <w:t>. They also quantified the acetylation of</w:t>
      </w:r>
      <w:r w:rsidRPr="002D1646">
        <w:rPr>
          <w:rStyle w:val="SC118877"/>
          <w:rFonts w:ascii="Arial" w:hAnsi="Arial" w:cs="Arial"/>
          <w:iCs/>
          <w:sz w:val="24"/>
          <w:szCs w:val="24"/>
          <w:lang w:val="en-US"/>
        </w:rPr>
        <w:t xml:space="preserve"> </w:t>
      </w:r>
      <w:r w:rsidRPr="003E539E">
        <w:rPr>
          <w:rStyle w:val="SC118877"/>
          <w:rFonts w:ascii="Arial" w:hAnsi="Arial" w:cs="Arial"/>
          <w:iCs/>
          <w:sz w:val="24"/>
          <w:szCs w:val="24"/>
          <w:lang w:val="en-US"/>
        </w:rPr>
        <w:t>β-oxidation enzymes</w:t>
      </w:r>
      <w:r>
        <w:rPr>
          <w:rStyle w:val="SC118877"/>
          <w:rFonts w:ascii="Arial" w:hAnsi="Arial" w:cs="Arial"/>
          <w:iCs/>
          <w:sz w:val="24"/>
          <w:szCs w:val="24"/>
          <w:lang w:val="en-US"/>
        </w:rPr>
        <w:t xml:space="preserve"> by using iTRAQ.</w:t>
      </w:r>
      <w:r>
        <w:rPr>
          <w:rStyle w:val="highlight"/>
          <w:rFonts w:ascii="Arial" w:hAnsi="Arial" w:cs="Arial"/>
          <w:color w:val="000000"/>
          <w:sz w:val="24"/>
          <w:szCs w:val="24"/>
          <w:shd w:val="clear" w:color="auto" w:fill="FFFFFF"/>
        </w:rPr>
        <w:t xml:space="preserve"> Schlicker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2008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&lt;EndNote&gt;&lt;Cite&gt;&lt;Author&gt;Schlicker C&lt;/Author&gt;&lt;Year&gt;2008&lt;/Year&gt;&lt;RecNum&gt;224&lt;/RecNum&gt;&lt;DisplayText&gt;(57)&lt;/DisplayText&gt;&lt;record&gt;&lt;rec-number&gt;224&lt;/rec-number&gt;&lt;foreign-keys&gt;&lt;key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57" w:tooltip="Schlicker C, 2008 #224" w:history="1">
        <w:r w:rsidR="00AB7E17">
          <w:rPr>
            <w:rStyle w:val="highlight"/>
            <w:rFonts w:ascii="Arial" w:hAnsi="Arial" w:cs="Arial"/>
            <w:noProof/>
            <w:color w:val="000000"/>
            <w:sz w:val="24"/>
            <w:szCs w:val="24"/>
            <w:shd w:val="clear" w:color="auto" w:fill="FFFFFF"/>
          </w:rPr>
          <w:t>57</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did an MS analysis to identify the sites where isocitrate dehydrogenase is acetylated. They were only able to find lysine residue 241 to be acetylated, and were unable to find lysine residue 75 to be acetylated, opposite to Kim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2006 </w:t>
      </w:r>
      <w:r w:rsidR="006C2756" w:rsidRPr="00037F12">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&lt;EndNote&gt;&lt;Cite&gt;&lt;Author&gt;Kim S&lt;/Author&gt;&lt;Year&gt;2006&lt;/Year&gt;&lt;RecNum&gt;135&lt;/RecNum&gt;&lt;DisplayText&gt;(80)&lt;/DisplayText&gt;&lt;record&gt;&lt;rec-number&gt;135&lt;/rec-number&gt;&lt;foreign-keys&gt;&lt;key app="EN" db-id="zxp9w5sa30aeafes0xox2eem00dz2z2aswad"&gt;135&lt;/key&gt;&lt;key app="ENWeb" db-id="UG1-3grtqigAAEqvEt0"&gt;206&lt;/key&gt;&lt;/foreign-keys&gt;&lt;ref-type name="Journal Article"&gt;17&lt;/ref-type&gt;&lt;contributors&gt;&lt;authors&gt;&lt;author&gt;Kim S,&lt;/author&gt;&lt;author&gt;Sprung R,&lt;/author&gt;&lt;author&gt;Chen Y,&lt;/author&gt;&lt;author&gt;Xu Y,&lt;/author&gt;&lt;author&gt;Ball H,&lt;/author&gt;&lt;author&gt;Pei J,&lt;/author&gt;&lt;author&gt;Cheng T,&lt;/author&gt;&lt;author&gt;Kho Y,&lt;/author&gt;&lt;author&gt;Xiao H,&lt;/author&gt;&lt;author&gt;Xiao L,&lt;/author&gt;&lt;author&gt;Grishin N,&lt;/author&gt;&lt;author&gt;White M,&lt;/author&gt;&lt;author&gt;Yang X,&lt;/author&gt;&lt;author&gt;Zhao Y,&lt;/author&gt;&lt;/authors&gt;&lt;/contributors&gt;&lt;titles&gt;&lt;title&gt;Substrate and Functional Diversity Resource of Lysine Acetylation Revealed by a Proteomics Survey &lt;/title&gt;&lt;secondary-title&gt;Molecular Cell&lt;/secondary-title&gt;&lt;/titles&gt;&lt;periodical&gt;&lt;full-title&gt;Molecular Cell&lt;/full-title&gt;&lt;/periodical&gt;&lt;volume&gt;23&lt;/volume&gt;&lt;number&gt;607-618&lt;/number&gt;&lt;dates&gt;&lt;year&gt;2006&lt;/year&gt;&lt;/dates&gt;&lt;urls&gt;&lt;/urls&gt;&lt;/record&gt;&lt;/Cite&gt;&lt;/EndNote&gt;</w:instrText>
      </w:r>
      <w:r w:rsidR="006C2756" w:rsidRPr="00037F12">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80" w:tooltip="Kim S, 2006 #135" w:history="1">
        <w:r w:rsidR="00AB7E17">
          <w:rPr>
            <w:rStyle w:val="highlight"/>
            <w:rFonts w:ascii="Arial" w:hAnsi="Arial" w:cs="Arial"/>
            <w:noProof/>
            <w:color w:val="000000"/>
            <w:sz w:val="24"/>
            <w:szCs w:val="24"/>
            <w:shd w:val="clear" w:color="auto" w:fill="FFFFFF"/>
          </w:rPr>
          <w:t>80</w:t>
        </w:r>
      </w:hyperlink>
      <w:r w:rsidR="00FC3C1A">
        <w:rPr>
          <w:rStyle w:val="highlight"/>
          <w:rFonts w:ascii="Arial" w:hAnsi="Arial" w:cs="Arial"/>
          <w:noProof/>
          <w:color w:val="000000"/>
          <w:sz w:val="24"/>
          <w:szCs w:val="24"/>
          <w:shd w:val="clear" w:color="auto" w:fill="FFFFFF"/>
        </w:rPr>
        <w:t>)</w:t>
      </w:r>
      <w:r w:rsidR="006C2756" w:rsidRPr="00037F12">
        <w:rPr>
          <w:rStyle w:val="highlight"/>
          <w:rFonts w:ascii="Arial" w:hAnsi="Arial" w:cs="Arial"/>
          <w:color w:val="000000"/>
          <w:sz w:val="24"/>
          <w:szCs w:val="24"/>
          <w:shd w:val="clear" w:color="auto" w:fill="FFFFFF"/>
        </w:rPr>
        <w:fldChar w:fldCharType="end"/>
      </w:r>
      <w:r w:rsidRPr="00037F12">
        <w:rPr>
          <w:rStyle w:val="highlight"/>
          <w:rFonts w:ascii="Arial" w:hAnsi="Arial" w:cs="Arial"/>
          <w:color w:val="000000"/>
          <w:sz w:val="24"/>
          <w:szCs w:val="24"/>
          <w:shd w:val="clear" w:color="auto" w:fill="FFFFFF"/>
        </w:rPr>
        <w:t>. In</w:t>
      </w:r>
      <w:r>
        <w:rPr>
          <w:rStyle w:val="highlight"/>
          <w:rFonts w:ascii="Arial" w:hAnsi="Arial" w:cs="Arial"/>
          <w:color w:val="000000"/>
          <w:sz w:val="24"/>
          <w:szCs w:val="24"/>
          <w:shd w:val="clear" w:color="auto" w:fill="FFFFFF"/>
        </w:rPr>
        <w:t xml:space="preserve"> contrast, they identified a novel and additional acetylation site, the double lysine (KK) motif at lysine residues 211 and 212. Schwer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lastRenderedPageBreak/>
        <w:t xml:space="preserve">2009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&lt;EndNote&gt;&lt;Cite&gt;&lt;Author&gt;Schwer B&lt;/Author&gt;&lt;Year&gt;2009&lt;/Year&gt;&lt;RecNum&gt;329&lt;/RecNum&gt;&lt;DisplayText&gt;(81)&lt;/DisplayText&gt;&lt;record&gt;&lt;rec-number&gt;329&lt;/rec-number&gt;&lt;foreign-keys&gt;&lt;key app="EN" db-id="zxp9w5sa30aeafes0xox2eem00dz2z2aswad"&gt;329&lt;/key&gt;&lt;/foreign-keys&gt;&lt;ref-type name="Journal Article"&gt;17&lt;/ref-type&gt;&lt;contributors&gt;&lt;authors&gt;&lt;author&gt;Schwer B,&lt;/author&gt;&lt;author&gt;Eckersdorff M,&lt;/author&gt;&lt;author&gt;Li Y,&lt;/author&gt;&lt;author&gt;Silva J,&lt;/author&gt;&lt;author&gt;Fermin D,&lt;/author&gt;&lt;author&gt;Kurtev M,&lt;/author&gt;&lt;author&gt;Giallourakis C,&lt;/author&gt;&lt;author&gt;Comb M,&lt;/author&gt;&lt;author&gt;Alt F,&lt;/author&gt;&lt;author&gt;Lombard D,&lt;/author&gt;&lt;/authors&gt;&lt;/contributors&gt;&lt;titles&gt;&lt;title&gt;Calorie restriction alters mitochondrial protein acetylation&lt;/title&gt;&lt;secondary-title&gt;Aging Cell&lt;/secondary-title&gt;&lt;/titles&gt;&lt;periodical&gt;&lt;full-title&gt;Aging Cell&lt;/full-title&gt;&lt;/periodical&gt;&lt;pages&gt;604-606&lt;/pages&gt;&lt;volume&gt;8&lt;/volume&gt;&lt;number&gt;5&lt;/number&gt;&lt;dates&gt;&lt;year&gt;2009&lt;/year&gt;&lt;/dates&gt;&lt;urls&gt;&lt;/urls&gt;&lt;/record&gt;&lt;/Cite&gt;&lt;/EndNote&gt;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81" w:tooltip="Schwer B, 2009 #329" w:history="1">
        <w:r w:rsidR="00AB7E17">
          <w:rPr>
            <w:rStyle w:val="highlight"/>
            <w:rFonts w:ascii="Arial" w:hAnsi="Arial" w:cs="Arial"/>
            <w:noProof/>
            <w:color w:val="000000"/>
            <w:sz w:val="24"/>
            <w:szCs w:val="24"/>
            <w:shd w:val="clear" w:color="auto" w:fill="FFFFFF"/>
          </w:rPr>
          <w:t>81</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identified 72 proteins that may be involved in a wide range of metabolic pathways with altered acetylation patterns (2.5-fold) due to CR via large-scale MS screening, and the acetylated peptides were subsequently analysed by LFQ and MS, finding 287 unique acetylated proteins.</w:t>
      </w:r>
    </w:p>
    <w:p w:rsidR="00EF1380" w:rsidRDefault="00EF1380" w:rsidP="00EF1380">
      <w:pPr>
        <w:autoSpaceDE w:val="0"/>
        <w:autoSpaceDN w:val="0"/>
        <w:adjustRightInd w:val="0"/>
        <w:spacing w:line="360" w:lineRule="auto"/>
        <w:ind w:firstLine="720"/>
        <w:jc w:val="both"/>
        <w:rPr>
          <w:rStyle w:val="highlight"/>
          <w:rFonts w:ascii="Arial" w:hAnsi="Arial" w:cs="Arial"/>
          <w:color w:val="000000"/>
          <w:sz w:val="24"/>
          <w:szCs w:val="24"/>
          <w:shd w:val="clear" w:color="auto" w:fill="FFFFFF"/>
        </w:rPr>
      </w:pPr>
      <w:r>
        <w:rPr>
          <w:rStyle w:val="highlight"/>
          <w:rFonts w:ascii="Arial" w:hAnsi="Arial" w:cs="Arial"/>
          <w:color w:val="000000"/>
          <w:sz w:val="24"/>
          <w:szCs w:val="24"/>
          <w:shd w:val="clear" w:color="auto" w:fill="FFFFFF"/>
        </w:rPr>
        <w:t xml:space="preserve">Cimen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2010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&lt;EndNote&gt;&lt;Cite&gt;&lt;Author&gt;Cimen H&lt;/Author&gt;&lt;Year&gt;2010&lt;/Year&gt;&lt;RecNum&gt;331&lt;/RecNum&gt;&lt;DisplayText&gt;(59)&lt;/DisplayText&gt;&lt;record&gt;&lt;rec-number&gt;331&lt;/rec-number&gt;&lt;foreign-keys&gt;&lt;key app="EN" db-id="zxp9w5sa30aeafes0xox2eem00dz2z2aswad"&gt;331&lt;/key&gt;&lt;/foreign-keys&gt;&lt;ref-type name="Journal Article"&gt;17&lt;/ref-type&gt;&lt;contributors&gt;&lt;authors&gt;&lt;author&gt;Cimen H,&lt;/author&gt;&lt;author&gt;Han M,&lt;/author&gt;&lt;author&gt;Yang Y,&lt;/author&gt;&lt;author&gt;Tong Q,&lt;/author&gt;&lt;author&gt;Koc H,&lt;/author&gt;&lt;author&gt;Koc E,&lt;/author&gt;&lt;/authors&gt;&lt;/contributors&gt;&lt;titles&gt;&lt;title&gt;Regulation of succinate dehydrogenase activity by SIRT3 in mammalian mitochondria&lt;/title&gt;&lt;secondary-title&gt;Biochemistry&lt;/secondary-title&gt;&lt;/titles&gt;&lt;periodical&gt;&lt;full-title&gt;Biochemistry&lt;/full-title&gt;&lt;/periodical&gt;&lt;pages&gt;304-311&lt;/pages&gt;&lt;volume&gt;49&lt;/volume&gt;&lt;number&gt;2&lt;/number&gt;&lt;dates&gt;&lt;year&gt;2010&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59" w:tooltip="Cimen H, 2010 #331" w:history="1">
        <w:r w:rsidR="00AB7E17">
          <w:rPr>
            <w:rStyle w:val="highlight"/>
            <w:rFonts w:ascii="Arial" w:hAnsi="Arial" w:cs="Arial"/>
            <w:noProof/>
            <w:color w:val="000000"/>
            <w:sz w:val="24"/>
            <w:szCs w:val="24"/>
            <w:shd w:val="clear" w:color="auto" w:fill="FFFFFF"/>
          </w:rPr>
          <w:t>59</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mapped various acetylated lysine residues in isocitrate dehydrogenase by MS/MS and determined the role of acetylation in the activity of complex II of the electron transport chain in Sirt3 knockout mice. An MS analysis to elucidate which proteins interact with Sirt3 and to identify subunits of complex II and V of the electron transport chain was done by Finley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2011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58" w:tooltip="Finley L, 2011 #330" w:history="1">
        <w:r w:rsidR="00AB7E17">
          <w:rPr>
            <w:rStyle w:val="highlight"/>
            <w:rFonts w:ascii="Arial" w:hAnsi="Arial" w:cs="Arial"/>
            <w:noProof/>
            <w:color w:val="000000"/>
            <w:sz w:val="24"/>
            <w:szCs w:val="24"/>
            <w:shd w:val="clear" w:color="auto" w:fill="FFFFFF"/>
          </w:rPr>
          <w:t>58</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By using MS/MS they also identified 13 acetylation sites on succinate dehydrogenase in mouse liver mitochondria, six of which are residues reported to be acetylated for the first time. Based on the lack of information about the role of HATs/KATs and HDACs/KDACs in controlling several essential functions via non-histone substrates in </w:t>
      </w:r>
      <w:r w:rsidRPr="0018350E">
        <w:rPr>
          <w:rFonts w:ascii="Arial" w:eastAsiaTheme="minorHAnsi" w:hAnsi="Arial" w:cs="Arial"/>
          <w:i/>
          <w:sz w:val="24"/>
          <w:szCs w:val="24"/>
          <w:lang w:val="en-US" w:eastAsia="en-US"/>
        </w:rPr>
        <w:t>Saccharomyces cerevisiae</w:t>
      </w:r>
      <w:r>
        <w:rPr>
          <w:rFonts w:ascii="Arial" w:eastAsiaTheme="minorHAnsi" w:hAnsi="Arial" w:cs="Arial"/>
          <w:sz w:val="24"/>
          <w:szCs w:val="24"/>
          <w:lang w:val="en-US" w:eastAsia="en-US"/>
        </w:rPr>
        <w:t xml:space="preserve">, Lin </w:t>
      </w:r>
      <w:r>
        <w:rPr>
          <w:rFonts w:ascii="Arial" w:eastAsiaTheme="minorHAnsi" w:hAnsi="Arial" w:cs="Arial"/>
          <w:i/>
          <w:sz w:val="24"/>
          <w:szCs w:val="24"/>
          <w:lang w:val="en-US" w:eastAsia="en-US"/>
        </w:rPr>
        <w:t xml:space="preserve">et al., </w:t>
      </w:r>
      <w:r>
        <w:rPr>
          <w:rFonts w:ascii="Arial" w:eastAsiaTheme="minorHAnsi" w:hAnsi="Arial" w:cs="Arial"/>
          <w:sz w:val="24"/>
          <w:szCs w:val="24"/>
          <w:lang w:val="en-US" w:eastAsia="en-US"/>
        </w:rPr>
        <w:t xml:space="preserve">2009 </w:t>
      </w:r>
      <w:r w:rsidR="006C2756">
        <w:rPr>
          <w:rFonts w:ascii="Arial" w:eastAsiaTheme="minorHAnsi" w:hAnsi="Arial" w:cs="Arial"/>
          <w:sz w:val="24"/>
          <w:szCs w:val="24"/>
          <w:lang w:val="en-US" w:eastAsia="en-US"/>
        </w:rPr>
        <w:fldChar w:fldCharType="begin"/>
      </w:r>
      <w:r w:rsidR="00FC3C1A">
        <w:rPr>
          <w:rFonts w:ascii="Arial" w:eastAsiaTheme="minorHAnsi" w:hAnsi="Arial" w:cs="Arial"/>
          <w:sz w:val="24"/>
          <w:szCs w:val="24"/>
          <w:lang w:val="en-US" w:eastAsia="en-US"/>
        </w:rPr>
        <w:instrText xml:space="preserve"> ADDIN EN.CITE &lt;EndNote&gt;&lt;Cite&gt;&lt;Author&gt;Lin Y&lt;/Author&gt;&lt;Year&gt;2009&lt;/Year&gt;&lt;RecNum&gt;339&lt;/RecNum&gt;&lt;DisplayText&gt;(67)&lt;/DisplayText&gt;&lt;record&gt;&lt;rec-number&gt;339&lt;/rec-number&gt;&lt;foreign-keys&gt;&lt;key app="EN" db-id="zxp9w5sa30aeafes0xox2eem00dz2z2aswad"&gt;339&lt;/key&gt;&lt;/foreign-keys&gt;&lt;ref-type name="Journal Article"&gt;17&lt;/ref-type&gt;&lt;contributors&gt;&lt;authors&gt;&lt;author&gt;Lin Y,&lt;/author&gt;&lt;author&gt;Lu J,&lt;/author&gt;&lt;author&gt;Zhang J,&lt;/author&gt;&lt;author&gt;Walter W,&lt;/author&gt;&lt;author&gt;Dang W,&lt;/author&gt;&lt;author&gt;Wan J,&lt;/author&gt;&lt;author&gt;Tao S,&lt;/author&gt;&lt;author&gt;Qian J,&lt;/author&gt;&lt;author&gt;Zhao Y,&lt;/author&gt;&lt;author&gt;Boeke J,&lt;/author&gt;&lt;author&gt;Berger S,&lt;/author&gt;&lt;author&gt;Zhu H,&lt;/author&gt;&lt;/authors&gt;&lt;/contributors&gt;&lt;titles&gt;&lt;title&gt;Protein acetylation microarray reveals that NuA4 controls key metabolic target regulating gluconeogenesis&lt;/title&gt;&lt;secondary-title&gt;Cell&lt;/secondary-title&gt;&lt;/titles&gt;&lt;periodical&gt;&lt;full-title&gt;Cell&lt;/full-title&gt;&lt;/periodical&gt;&lt;pages&gt;1073-1084&lt;/pages&gt;&lt;volume&gt;136&lt;/volume&gt;&lt;number&gt;6&lt;/number&gt;&lt;dates&gt;&lt;year&gt;2009&lt;/year&gt;&lt;/dates&gt;&lt;urls&gt;&lt;/urls&gt;&lt;/record&gt;&lt;/Cite&gt;&lt;/EndNote&gt;</w:instrText>
      </w:r>
      <w:r w:rsidR="006C2756">
        <w:rPr>
          <w:rFonts w:ascii="Arial" w:eastAsiaTheme="minorHAnsi" w:hAnsi="Arial" w:cs="Arial"/>
          <w:sz w:val="24"/>
          <w:szCs w:val="24"/>
          <w:lang w:val="en-US" w:eastAsia="en-US"/>
        </w:rPr>
        <w:fldChar w:fldCharType="separate"/>
      </w:r>
      <w:r w:rsidR="00FC3C1A">
        <w:rPr>
          <w:rFonts w:ascii="Arial" w:eastAsiaTheme="minorHAnsi" w:hAnsi="Arial" w:cs="Arial"/>
          <w:noProof/>
          <w:sz w:val="24"/>
          <w:szCs w:val="24"/>
          <w:lang w:val="en-US" w:eastAsia="en-US"/>
        </w:rPr>
        <w:t>(</w:t>
      </w:r>
      <w:hyperlink w:anchor="_ENREF_67" w:tooltip="Lin Y, 2009 #339" w:history="1">
        <w:r w:rsidR="00AB7E17">
          <w:rPr>
            <w:rFonts w:ascii="Arial" w:eastAsiaTheme="minorHAnsi" w:hAnsi="Arial" w:cs="Arial"/>
            <w:noProof/>
            <w:sz w:val="24"/>
            <w:szCs w:val="24"/>
            <w:lang w:val="en-US" w:eastAsia="en-US"/>
          </w:rPr>
          <w:t>67</w:t>
        </w:r>
      </w:hyperlink>
      <w:r w:rsidR="00FC3C1A">
        <w:rPr>
          <w:rFonts w:ascii="Arial" w:eastAsiaTheme="minorHAnsi" w:hAnsi="Arial" w:cs="Arial"/>
          <w:noProof/>
          <w:sz w:val="24"/>
          <w:szCs w:val="24"/>
          <w:lang w:val="en-US" w:eastAsia="en-US"/>
        </w:rPr>
        <w:t>)</w:t>
      </w:r>
      <w:r w:rsidR="006C2756">
        <w:rPr>
          <w:rFonts w:ascii="Arial" w:eastAsiaTheme="minorHAnsi" w:hAnsi="Arial" w:cs="Arial"/>
          <w:sz w:val="24"/>
          <w:szCs w:val="24"/>
          <w:lang w:val="en-US" w:eastAsia="en-US"/>
        </w:rPr>
        <w:fldChar w:fldCharType="end"/>
      </w:r>
      <w:r>
        <w:rPr>
          <w:rFonts w:ascii="Arial" w:eastAsiaTheme="minorHAnsi" w:hAnsi="Arial" w:cs="Arial"/>
          <w:sz w:val="24"/>
          <w:szCs w:val="24"/>
          <w:lang w:val="en-US" w:eastAsia="en-US"/>
        </w:rPr>
        <w:t xml:space="preserve"> </w:t>
      </w:r>
      <w:r w:rsidR="001868E0">
        <w:rPr>
          <w:rFonts w:ascii="Arial" w:eastAsiaTheme="minorHAnsi" w:hAnsi="Arial" w:cs="Arial"/>
          <w:sz w:val="24"/>
          <w:szCs w:val="24"/>
          <w:lang w:val="en-US" w:eastAsia="en-US"/>
        </w:rPr>
        <w:t>analy</w:t>
      </w:r>
      <w:r w:rsidR="00117570">
        <w:rPr>
          <w:rFonts w:ascii="Arial" w:eastAsiaTheme="minorHAnsi" w:hAnsi="Arial" w:cs="Arial"/>
          <w:sz w:val="24"/>
          <w:szCs w:val="24"/>
          <w:lang w:val="en-US" w:eastAsia="en-US"/>
        </w:rPr>
        <w:t>s</w:t>
      </w:r>
      <w:r w:rsidR="001868E0">
        <w:rPr>
          <w:rFonts w:ascii="Arial" w:eastAsiaTheme="minorHAnsi" w:hAnsi="Arial" w:cs="Arial"/>
          <w:sz w:val="24"/>
          <w:szCs w:val="24"/>
          <w:lang w:val="en-US" w:eastAsia="en-US"/>
        </w:rPr>
        <w:t>ed</w:t>
      </w:r>
      <w:r>
        <w:rPr>
          <w:rFonts w:ascii="Arial" w:eastAsiaTheme="minorHAnsi" w:hAnsi="Arial" w:cs="Arial"/>
          <w:sz w:val="24"/>
          <w:szCs w:val="24"/>
          <w:lang w:val="en-US" w:eastAsia="en-US"/>
        </w:rPr>
        <w:t xml:space="preserve"> by tandem mass spectrometry yeast proteome microarrays, validating and identifying many non</w:t>
      </w:r>
      <w:r w:rsidR="001868E0">
        <w:rPr>
          <w:rFonts w:ascii="Arial" w:eastAsiaTheme="minorHAnsi" w:hAnsi="Arial" w:cs="Arial"/>
          <w:sz w:val="24"/>
          <w:szCs w:val="24"/>
          <w:lang w:val="en-US" w:eastAsia="en-US"/>
        </w:rPr>
        <w:t>-</w:t>
      </w:r>
      <w:r>
        <w:rPr>
          <w:rFonts w:ascii="Arial" w:eastAsiaTheme="minorHAnsi" w:hAnsi="Arial" w:cs="Arial"/>
          <w:sz w:val="24"/>
          <w:szCs w:val="24"/>
          <w:lang w:val="en-US" w:eastAsia="en-US"/>
        </w:rPr>
        <w:t xml:space="preserve">chromatin substrates of the crucial NuA4 complex. They also determined two acetylation sites in phosphoenolpyruvate carboxykinase, at lysine residues 19 and 514. </w:t>
      </w:r>
      <w:r>
        <w:rPr>
          <w:rStyle w:val="highlight"/>
          <w:rFonts w:ascii="Arial" w:hAnsi="Arial" w:cs="Arial"/>
          <w:color w:val="000000"/>
          <w:sz w:val="24"/>
          <w:szCs w:val="24"/>
          <w:shd w:val="clear" w:color="auto" w:fill="FFFFFF"/>
        </w:rPr>
        <w:t xml:space="preserve">Lundby </w:t>
      </w:r>
      <w:r w:rsidRPr="00AB0AF8">
        <w:rPr>
          <w:rStyle w:val="highlight"/>
          <w:rFonts w:ascii="Arial" w:hAnsi="Arial" w:cs="Arial"/>
          <w:i/>
          <w:color w:val="000000"/>
          <w:sz w:val="24"/>
          <w:szCs w:val="24"/>
          <w:shd w:val="clear" w:color="auto" w:fill="FFFFFF"/>
        </w:rPr>
        <w:t>et al.</w:t>
      </w:r>
      <w:r>
        <w:rPr>
          <w:rStyle w:val="highlight"/>
          <w:rFonts w:ascii="Arial" w:hAnsi="Arial" w:cs="Arial"/>
          <w:color w:val="000000"/>
          <w:sz w:val="24"/>
          <w:szCs w:val="24"/>
          <w:shd w:val="clear" w:color="auto" w:fill="FFFFFF"/>
        </w:rPr>
        <w:t xml:space="preserve">, 2012 </w:t>
      </w:r>
      <w:r w:rsidR="006C2756">
        <w:rPr>
          <w:rStyle w:val="highlight"/>
          <w:rFonts w:ascii="Arial" w:hAnsi="Arial" w:cs="Arial"/>
          <w:color w:val="000000"/>
          <w:sz w:val="24"/>
          <w:szCs w:val="24"/>
          <w:shd w:val="clear" w:color="auto" w:fill="FFFFFF"/>
        </w:rPr>
        <w:fldChar w:fldCharType="begin"/>
      </w:r>
      <w:r w:rsidR="000B3EAF">
        <w:rPr>
          <w:rStyle w:val="highlight"/>
          <w:rFonts w:ascii="Arial" w:hAnsi="Arial" w:cs="Arial"/>
          <w:color w:val="000000"/>
          <w:sz w:val="24"/>
          <w:szCs w:val="24"/>
          <w:shd w:val="clear" w:color="auto" w:fill="FFFFFF"/>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0B3EAF">
        <w:rPr>
          <w:rStyle w:val="highlight"/>
          <w:rFonts w:ascii="Arial" w:hAnsi="Arial" w:cs="Arial"/>
          <w:noProof/>
          <w:color w:val="000000"/>
          <w:sz w:val="24"/>
          <w:szCs w:val="24"/>
          <w:shd w:val="clear" w:color="auto" w:fill="FFFFFF"/>
        </w:rPr>
        <w:t>(</w:t>
      </w:r>
      <w:hyperlink w:anchor="_ENREF_12" w:tooltip="Lundby A, 2012 #156" w:history="1">
        <w:r w:rsidR="00AB7E17">
          <w:rPr>
            <w:rStyle w:val="highlight"/>
            <w:rFonts w:ascii="Arial" w:hAnsi="Arial" w:cs="Arial"/>
            <w:noProof/>
            <w:color w:val="000000"/>
            <w:sz w:val="24"/>
            <w:szCs w:val="24"/>
            <w:shd w:val="clear" w:color="auto" w:fill="FFFFFF"/>
          </w:rPr>
          <w:t>12</w:t>
        </w:r>
      </w:hyperlink>
      <w:r w:rsidR="000B3EAF">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used MS/MS measurements to generate an atlas of lysine acetylation sites of 16 different tissues in rats. The acetylome data set they generated increased four times the existing number of lysine acetylation sites and two times the number of acetylated proteins. They were able to map in between 3000 and 6000 acetylation sites. Their study also found that the majority of the acetylated proteome is localised in either the nucleus or the cytoplasm, approximately 30% of the all the acetylated proteome, whereas the percentage of acetylated proteins in the plasma membrane and the mitochondria is approximately 15% of the total acetylated proteins. On the other hand, the Golgi apparatus, the endoplasmic reticulum as well as the extracellular space account for 5% of the acetylated proteome. </w:t>
      </w:r>
      <w:r w:rsidRPr="00834B58">
        <w:rPr>
          <w:rStyle w:val="highlight"/>
          <w:rFonts w:ascii="Arial" w:hAnsi="Arial" w:cs="Arial"/>
          <w:color w:val="000000"/>
          <w:sz w:val="24"/>
          <w:szCs w:val="24"/>
          <w:shd w:val="clear" w:color="auto" w:fill="FFFFFF"/>
        </w:rPr>
        <w:t xml:space="preserve">Shevade </w:t>
      </w:r>
      <w:r w:rsidRPr="00834B58">
        <w:rPr>
          <w:rStyle w:val="highlight"/>
          <w:rFonts w:ascii="Arial" w:hAnsi="Arial" w:cs="Arial"/>
          <w:i/>
          <w:color w:val="000000"/>
          <w:sz w:val="24"/>
          <w:szCs w:val="24"/>
          <w:shd w:val="clear" w:color="auto" w:fill="FFFFFF"/>
        </w:rPr>
        <w:t xml:space="preserve">et al., </w:t>
      </w:r>
      <w:r w:rsidRPr="00834B58">
        <w:rPr>
          <w:rStyle w:val="highlight"/>
          <w:rFonts w:ascii="Arial" w:hAnsi="Arial" w:cs="Arial"/>
          <w:color w:val="000000"/>
          <w:sz w:val="24"/>
          <w:szCs w:val="24"/>
          <w:shd w:val="clear" w:color="auto" w:fill="FFFFFF"/>
        </w:rPr>
        <w:t>2013</w:t>
      </w:r>
      <w:r>
        <w:rPr>
          <w:rStyle w:val="highlight"/>
          <w:rFonts w:ascii="Arial" w:hAnsi="Arial" w:cs="Arial"/>
          <w:color w:val="000000"/>
          <w:sz w:val="24"/>
          <w:szCs w:val="24"/>
          <w:shd w:val="clear" w:color="auto" w:fill="FFFFFF"/>
        </w:rPr>
        <w:t xml:space="preserve">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&lt;EndNote&gt;&lt;Cite&gt;&lt;Author&gt;Shevade S&lt;/Author&gt;&lt;Year&gt;2013&lt;/Year&gt;&lt;RecNum&gt;323&lt;/RecNum&gt;&lt;DisplayText&gt;(82)&lt;/DisplayText&gt;&lt;record&gt;&lt;rec-number&gt;323&lt;/rec-number&gt;&lt;foreign-keys&gt;&lt;key app="EN" db-id="zxp9w5sa30aeafes0xox2eem00dz2z2aswad"&gt;323&lt;/key&gt;&lt;/foreign-keys&gt;&lt;ref-type name="Journal Article"&gt;17&lt;/ref-type&gt;&lt;contributors&gt;&lt;authors&gt;&lt;author&gt;Shevade S,&lt;/author&gt;&lt;author&gt;Jindal N,&lt;/author&gt;&lt;author&gt;Dutta S,&lt;/author&gt;&lt;author&gt;Jarori G,&lt;/author&gt;&lt;/authors&gt;&lt;/contributors&gt;&lt;titles&gt;&lt;title&gt;&lt;style face="normal" font="default" size="100%"&gt;Food vacuole associated enolase in &lt;/style&gt;&lt;style face="italic" font="default" size="100%"&gt;Plasmodium&lt;/style&gt;&lt;style face="normal" font="default" size="100%"&gt; undergoes multiple post-translational modifications: evidence for atypical ubiquitination&lt;/style&gt;&lt;/title&gt;&lt;secondary-title&gt;PLoS One&lt;/secondary-title&gt;&lt;/titles&gt;&lt;periodical&gt;&lt;full-title&gt;PLoS One&lt;/full-title&gt;&lt;/periodical&gt;&lt;pages&gt;doi: 10.1371/journal.pone.0072687&lt;/pages&gt;&lt;volume&gt;8&lt;/volume&gt;&lt;number&gt;8&lt;/number&gt;&lt;dates&gt;&lt;year&gt;2013&lt;/year&gt;&lt;/dates&gt;&lt;urls&gt;&lt;/urls&gt;&lt;/record&gt;&lt;/Cite&gt;&lt;/EndNote&gt;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82" w:tooltip="Shevade S, 2013 #323" w:history="1">
        <w:r w:rsidR="00AB7E17">
          <w:rPr>
            <w:rStyle w:val="highlight"/>
            <w:rFonts w:ascii="Arial" w:hAnsi="Arial" w:cs="Arial"/>
            <w:noProof/>
            <w:color w:val="000000"/>
            <w:sz w:val="24"/>
            <w:szCs w:val="24"/>
            <w:shd w:val="clear" w:color="auto" w:fill="FFFFFF"/>
          </w:rPr>
          <w:t>82</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sidRPr="00834B58">
        <w:rPr>
          <w:rStyle w:val="highlight"/>
          <w:rFonts w:ascii="Arial" w:hAnsi="Arial" w:cs="Arial"/>
          <w:color w:val="000000"/>
          <w:sz w:val="24"/>
          <w:szCs w:val="24"/>
          <w:shd w:val="clear" w:color="auto" w:fill="FFFFFF"/>
        </w:rPr>
        <w:t xml:space="preserve"> used</w:t>
      </w:r>
      <w:r w:rsidRPr="00FF4074">
        <w:rPr>
          <w:rFonts w:ascii="ArialMT" w:eastAsia="ArialMT" w:cs="ArialMT"/>
          <w:sz w:val="17"/>
          <w:szCs w:val="17"/>
          <w:lang w:val="en-US" w:eastAsia="en-US"/>
        </w:rPr>
        <w:t xml:space="preserve"> </w:t>
      </w:r>
      <w:r w:rsidRPr="00FF4074">
        <w:rPr>
          <w:rFonts w:ascii="Arial" w:eastAsia="ArialMT" w:hAnsi="Arial" w:cs="Arial"/>
          <w:sz w:val="24"/>
          <w:szCs w:val="24"/>
          <w:lang w:val="en-US" w:eastAsia="en-US"/>
        </w:rPr>
        <w:t>MS/MS</w:t>
      </w:r>
      <w:r w:rsidRPr="00834B58">
        <w:rPr>
          <w:rStyle w:val="highlight"/>
          <w:rFonts w:ascii="Arial" w:hAnsi="Arial" w:cs="Arial"/>
          <w:color w:val="000000"/>
          <w:sz w:val="24"/>
          <w:szCs w:val="24"/>
          <w:shd w:val="clear" w:color="auto" w:fill="FFFFFF"/>
        </w:rPr>
        <w:t xml:space="preserve"> to show PTMs in enolase. They found two acetylation sites at lysine residues 142 and 384. Their analysis also revealed the conjugation, through l</w:t>
      </w:r>
      <w:r>
        <w:rPr>
          <w:rStyle w:val="highlight"/>
          <w:rFonts w:ascii="Arial" w:hAnsi="Arial" w:cs="Arial"/>
          <w:color w:val="000000"/>
          <w:sz w:val="24"/>
          <w:szCs w:val="24"/>
          <w:shd w:val="clear" w:color="auto" w:fill="FFFFFF"/>
        </w:rPr>
        <w:t>ysine residue 147, of three ubi</w:t>
      </w:r>
      <w:r w:rsidRPr="00834B58">
        <w:rPr>
          <w:rStyle w:val="highlight"/>
          <w:rFonts w:ascii="Arial" w:hAnsi="Arial" w:cs="Arial"/>
          <w:color w:val="000000"/>
          <w:sz w:val="24"/>
          <w:szCs w:val="24"/>
          <w:shd w:val="clear" w:color="auto" w:fill="FFFFFF"/>
        </w:rPr>
        <w:t>quitin molecules to enolase.</w:t>
      </w:r>
      <w:r>
        <w:rPr>
          <w:rStyle w:val="highlight"/>
          <w:rFonts w:ascii="Arial" w:hAnsi="Arial" w:cs="Arial"/>
          <w:color w:val="000000"/>
          <w:sz w:val="24"/>
          <w:szCs w:val="24"/>
          <w:shd w:val="clear" w:color="auto" w:fill="FFFFFF"/>
        </w:rPr>
        <w:t xml:space="preserve"> </w:t>
      </w:r>
    </w:p>
    <w:p w:rsidR="00EF1380" w:rsidRDefault="00EF1380" w:rsidP="00EF1380">
      <w:pPr>
        <w:autoSpaceDE w:val="0"/>
        <w:autoSpaceDN w:val="0"/>
        <w:adjustRightInd w:val="0"/>
        <w:spacing w:line="360" w:lineRule="auto"/>
        <w:ind w:firstLine="720"/>
        <w:jc w:val="both"/>
        <w:rPr>
          <w:rStyle w:val="highlight"/>
          <w:rFonts w:ascii="Arial" w:hAnsi="Arial" w:cs="Arial"/>
          <w:color w:val="000000"/>
          <w:sz w:val="24"/>
          <w:szCs w:val="24"/>
          <w:shd w:val="clear" w:color="auto" w:fill="FFFFFF"/>
        </w:rPr>
      </w:pPr>
      <w:r>
        <w:rPr>
          <w:rFonts w:ascii="Arial" w:hAnsi="Arial" w:cs="Arial"/>
          <w:sz w:val="24"/>
          <w:szCs w:val="24"/>
        </w:rPr>
        <w:lastRenderedPageBreak/>
        <w:t xml:space="preserve">Choudhary et al, 2009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64" w:tooltip="Choudhary  C, 2009 #44" w:history="1">
        <w:r w:rsidR="00AB7E17">
          <w:rPr>
            <w:rFonts w:ascii="Arial" w:hAnsi="Arial" w:cs="Arial"/>
            <w:noProof/>
            <w:sz w:val="24"/>
            <w:szCs w:val="24"/>
          </w:rPr>
          <w:t>64</w:t>
        </w:r>
      </w:hyperlink>
      <w:r w:rsidR="00FC3C1A">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also identified by MS 3600 acetylation sites on 1750 proteins</w:t>
      </w:r>
      <w:r w:rsidR="0043425D">
        <w:rPr>
          <w:rFonts w:ascii="Arial" w:hAnsi="Arial" w:cs="Arial"/>
          <w:sz w:val="24"/>
          <w:szCs w:val="24"/>
        </w:rPr>
        <w:t>. T</w:t>
      </w:r>
      <w:r>
        <w:rPr>
          <w:rFonts w:ascii="Arial" w:hAnsi="Arial" w:cs="Arial"/>
          <w:sz w:val="24"/>
          <w:szCs w:val="24"/>
        </w:rPr>
        <w:t xml:space="preserve">hey also assessed </w:t>
      </w:r>
      <w:r>
        <w:rPr>
          <w:rFonts w:ascii="Arial" w:hAnsi="Arial" w:cs="Arial"/>
          <w:i/>
          <w:sz w:val="24"/>
          <w:szCs w:val="24"/>
        </w:rPr>
        <w:t xml:space="preserve">in vivo </w:t>
      </w:r>
      <w:r>
        <w:rPr>
          <w:rFonts w:ascii="Arial" w:hAnsi="Arial" w:cs="Arial"/>
          <w:sz w:val="24"/>
          <w:szCs w:val="24"/>
        </w:rPr>
        <w:t xml:space="preserve">the reproducibility and depth of the acetylome coverage  by SILAC using A549 and Jurkat cells, finding that lysine acetylation is related to cellular processes such as nuclear transport, cell cycle, splicing, and chromatin remodelling. </w:t>
      </w:r>
      <w:r>
        <w:rPr>
          <w:rStyle w:val="highlight"/>
          <w:rFonts w:ascii="Arial" w:hAnsi="Arial" w:cs="Arial"/>
          <w:color w:val="000000"/>
          <w:sz w:val="24"/>
          <w:szCs w:val="24"/>
          <w:shd w:val="clear" w:color="auto" w:fill="FFFFFF"/>
        </w:rPr>
        <w:t xml:space="preserve">In order to determine if the acetylation patterns of metabolic enzymes were controlled by different carbon sources, Wang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2010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&lt;EndNote&gt;&lt;Cite&gt;&lt;Author&gt;Wang Y&lt;/Author&gt;&lt;Year&gt;2010&lt;/Year&gt;&lt;RecNum&gt;273&lt;/RecNum&gt;&lt;DisplayText&gt;(83)&lt;/DisplayText&gt;&lt;record&gt;&lt;rec-number&gt;273&lt;/rec-number&gt;&lt;foreign-keys&gt;&lt;key app="EN" db-id="zxp9w5sa30aeafes0xox2eem00dz2z2aswad"&gt;273&lt;/key&gt;&lt;key app="ENWeb" db-id="UG1-3grtqigAAEqvEt0"&gt;294&lt;/key&gt;&lt;/foreign-keys&gt;&lt;ref-type name="Journal Article"&gt;17&lt;/ref-type&gt;&lt;contributors&gt;&lt;authors&gt;&lt;author&gt;Wang Y,&lt;/author&gt;&lt;author&gt;Tsai C,&lt;/author&gt;&lt;author&gt;Hong T,&lt;/author&gt;&lt;author&gt;Tsou C,&lt;/author&gt;&lt;author&gt;Lin P,&lt;/author&gt;&lt;author&gt;Pan S,&lt;/author&gt;&lt;author&gt;Hong T,&lt;/author&gt;&lt;author&gt;Yang P,&lt;/author&gt;&lt;author&gt;Sung T,&lt;/author&gt;&lt;author&gt;Hsu W,&lt;/author&gt;&lt;author&gt;Chen Y,&lt;/author&gt;&lt;/authors&gt;&lt;/contributors&gt;&lt;titles&gt;&lt;title&gt;An informatics-assisted label-free quantitation strategy that depicts phosphoproteomic profiles in lung cancer cell invasion&lt;/title&gt;&lt;secondary-title&gt;J Proteome Res&lt;/secondary-title&gt;&lt;/titles&gt;&lt;periodical&gt;&lt;full-title&gt;J Proteome Res&lt;/full-title&gt;&lt;/periodical&gt;&lt;pages&gt;doi: 10.1021/pr100394u&lt;/pages&gt;&lt;volume&gt;9&lt;/volume&gt;&lt;number&gt;11&lt;/number&gt;&lt;dates&gt;&lt;year&gt;2010&lt;/year&gt;&lt;/dates&gt;&lt;urls&gt;&lt;/urls&gt;&lt;/record&gt;&lt;/Cite&gt;&lt;/EndNote&gt;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83" w:tooltip="Wang Y, 2010 #273" w:history="1">
        <w:r w:rsidR="00AB7E17">
          <w:rPr>
            <w:rStyle w:val="highlight"/>
            <w:rFonts w:ascii="Arial" w:hAnsi="Arial" w:cs="Arial"/>
            <w:noProof/>
            <w:color w:val="000000"/>
            <w:sz w:val="24"/>
            <w:szCs w:val="24"/>
            <w:shd w:val="clear" w:color="auto" w:fill="FFFFFF"/>
          </w:rPr>
          <w:t>83</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did an MS analysis of immunoprecipitated acetylated peptides. They identified 235 peptides that matched to 191 proteins in </w:t>
      </w:r>
      <w:r>
        <w:rPr>
          <w:rStyle w:val="highlight"/>
          <w:rFonts w:ascii="Arial" w:hAnsi="Arial" w:cs="Arial"/>
          <w:i/>
          <w:color w:val="000000"/>
          <w:sz w:val="24"/>
          <w:szCs w:val="24"/>
          <w:shd w:val="clear" w:color="auto" w:fill="FFFFFF"/>
        </w:rPr>
        <w:t>Sa</w:t>
      </w:r>
      <w:r w:rsidR="0043425D">
        <w:rPr>
          <w:rStyle w:val="highlight"/>
          <w:rFonts w:ascii="Arial" w:hAnsi="Arial" w:cs="Arial"/>
          <w:i/>
          <w:color w:val="000000"/>
          <w:sz w:val="24"/>
          <w:szCs w:val="24"/>
          <w:shd w:val="clear" w:color="auto" w:fill="FFFFFF"/>
        </w:rPr>
        <w:t>l</w:t>
      </w:r>
      <w:r>
        <w:rPr>
          <w:rStyle w:val="highlight"/>
          <w:rFonts w:ascii="Arial" w:hAnsi="Arial" w:cs="Arial"/>
          <w:i/>
          <w:color w:val="000000"/>
          <w:sz w:val="24"/>
          <w:szCs w:val="24"/>
          <w:shd w:val="clear" w:color="auto" w:fill="FFFFFF"/>
        </w:rPr>
        <w:t>monella enterica</w:t>
      </w:r>
      <w:r>
        <w:rPr>
          <w:rStyle w:val="highlight"/>
          <w:rFonts w:ascii="Arial" w:hAnsi="Arial" w:cs="Arial"/>
          <w:color w:val="000000"/>
          <w:sz w:val="24"/>
          <w:szCs w:val="24"/>
          <w:shd w:val="clear" w:color="auto" w:fill="FFFFFF"/>
        </w:rPr>
        <w:t xml:space="preserve">, where around 50% of the proteins that were found to be acetylated participated in multiple metabolic pathways, and around 90% of the enzymes participating in central metabolism were found to be acetylated. By SILAC quantitative analysis they determined that from the 15 enzymes that had altered acetylation patterns in response to various carbon sources, all of them showed a higher acetylation rate in the presence of glucose as a carbon source than when citrate was the carbon source. Wirth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2013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70" w:tooltip="Wirth M, 2013 #338" w:history="1">
        <w:r w:rsidR="00AB7E17">
          <w:rPr>
            <w:rStyle w:val="highlight"/>
            <w:rFonts w:ascii="Arial" w:hAnsi="Arial" w:cs="Arial"/>
            <w:noProof/>
            <w:color w:val="000000"/>
            <w:sz w:val="24"/>
            <w:szCs w:val="24"/>
            <w:shd w:val="clear" w:color="auto" w:fill="FFFFFF"/>
          </w:rPr>
          <w:t>70</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performed a SILAC to quantify differences in the acetylation of specific sites in pyruvate carboxylase. They also performed an MS/MS comparison of the non- and acetylated relative abundance of peptides revealing. New Sirt4 interacting factors were identified to be highly acetylated. 13 new acetylated sites in pyruvate carboxylase were mapped, with acetylated lysine residue 748 found to be regulating the activity of this enzyme. This analysis also revealed only minor differences in the acetylation levels of this enzyme in the presence of Sirt4. </w:t>
      </w:r>
    </w:p>
    <w:p w:rsidR="00EF1380" w:rsidRDefault="00EF1380" w:rsidP="00EF1380">
      <w:pPr>
        <w:autoSpaceDE w:val="0"/>
        <w:autoSpaceDN w:val="0"/>
        <w:adjustRightInd w:val="0"/>
        <w:spacing w:line="360" w:lineRule="auto"/>
        <w:ind w:firstLine="720"/>
        <w:jc w:val="both"/>
        <w:rPr>
          <w:rStyle w:val="highlight"/>
          <w:rFonts w:ascii="Arial" w:hAnsi="Arial" w:cs="Arial"/>
          <w:color w:val="000000"/>
          <w:sz w:val="24"/>
          <w:szCs w:val="24"/>
          <w:shd w:val="clear" w:color="auto" w:fill="FFFFFF"/>
        </w:rPr>
      </w:pPr>
      <w:r>
        <w:rPr>
          <w:rStyle w:val="highlight"/>
          <w:rFonts w:ascii="Arial" w:hAnsi="Arial" w:cs="Arial"/>
          <w:color w:val="000000"/>
          <w:sz w:val="24"/>
          <w:szCs w:val="24"/>
          <w:shd w:val="clear" w:color="auto" w:fill="FFFFFF"/>
        </w:rPr>
        <w:t xml:space="preserve">Lv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2011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66" w:tooltip="Lv L, 2011 #161" w:history="1">
        <w:r w:rsidR="00AB7E17">
          <w:rPr>
            <w:rStyle w:val="highlight"/>
            <w:rFonts w:ascii="Arial" w:hAnsi="Arial" w:cs="Arial"/>
            <w:noProof/>
            <w:color w:val="000000"/>
            <w:sz w:val="24"/>
            <w:szCs w:val="24"/>
            <w:shd w:val="clear" w:color="auto" w:fill="FFFFFF"/>
          </w:rPr>
          <w:t>66</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analysed immunopurified peptides from cytosolic, nuclear and mitochondrial fractions from LNCaP human prostate cell line and cancer tissues by LC-MS/MS, identifying 113 acetylated proteins, including the acetylation of pyruvate kinase on lysine residue 305. Finkemeier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2011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55" w:tooltip="Finkemeier I, 2011 #315" w:history="1">
        <w:r w:rsidR="00AB7E17">
          <w:rPr>
            <w:rStyle w:val="highlight"/>
            <w:rFonts w:ascii="Arial" w:hAnsi="Arial" w:cs="Arial"/>
            <w:noProof/>
            <w:color w:val="000000"/>
            <w:sz w:val="24"/>
            <w:szCs w:val="24"/>
            <w:shd w:val="clear" w:color="auto" w:fill="FFFFFF"/>
          </w:rPr>
          <w:t>55</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also used LC-MS/MC analysis to identify novel acetylated proteins in </w:t>
      </w:r>
      <w:r w:rsidRPr="006366AE">
        <w:rPr>
          <w:rStyle w:val="highlight"/>
          <w:rFonts w:ascii="Arial" w:hAnsi="Arial" w:cs="Arial"/>
          <w:i/>
          <w:color w:val="000000"/>
          <w:sz w:val="24"/>
          <w:szCs w:val="24"/>
          <w:shd w:val="clear" w:color="auto" w:fill="FFFFFF"/>
        </w:rPr>
        <w:t>Arabi</w:t>
      </w:r>
      <w:r>
        <w:rPr>
          <w:rStyle w:val="highlight"/>
          <w:rFonts w:ascii="Arial" w:hAnsi="Arial" w:cs="Arial"/>
          <w:i/>
          <w:color w:val="000000"/>
          <w:sz w:val="24"/>
          <w:szCs w:val="24"/>
          <w:shd w:val="clear" w:color="auto" w:fill="FFFFFF"/>
        </w:rPr>
        <w:t>dopsis thaliana.</w:t>
      </w:r>
      <w:r>
        <w:rPr>
          <w:rStyle w:val="highlight"/>
          <w:rFonts w:ascii="Arial" w:hAnsi="Arial" w:cs="Arial"/>
          <w:color w:val="000000"/>
          <w:sz w:val="24"/>
          <w:szCs w:val="24"/>
          <w:shd w:val="clear" w:color="auto" w:fill="FFFFFF"/>
        </w:rPr>
        <w:t xml:space="preserve"> Kim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2012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&lt;EndNote&gt;&lt;Cite&gt;&lt;Author&gt;Kim E&lt;/Author&gt;&lt;Year&gt;2012&lt;/Year&gt;&lt;RecNum&gt;133&lt;/RecNum&gt;&lt;DisplayText&gt;(61)&lt;/DisplayText&gt;&lt;record&gt;&lt;rec-number&gt;133&lt;/rec-number&gt;&lt;foreign-keys&gt;&lt;key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61" w:tooltip="Kim E, 2012 #133" w:history="1">
        <w:r w:rsidR="00AB7E17">
          <w:rPr>
            <w:rStyle w:val="highlight"/>
            <w:rFonts w:ascii="Arial" w:hAnsi="Arial" w:cs="Arial"/>
            <w:noProof/>
            <w:color w:val="000000"/>
            <w:sz w:val="24"/>
            <w:szCs w:val="24"/>
            <w:shd w:val="clear" w:color="auto" w:fill="FFFFFF"/>
          </w:rPr>
          <w:t>61</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identified several proteins showing significant quantitative changes based on an analysis of the acetylome in 3T3-L1 pre</w:t>
      </w:r>
      <w:r w:rsidR="001868E0">
        <w:rPr>
          <w:rStyle w:val="highlight"/>
          <w:rFonts w:ascii="Arial" w:hAnsi="Arial" w:cs="Arial"/>
          <w:color w:val="000000"/>
          <w:sz w:val="24"/>
          <w:szCs w:val="24"/>
          <w:shd w:val="clear" w:color="auto" w:fill="FFFFFF"/>
        </w:rPr>
        <w:t>a</w:t>
      </w:r>
      <w:r>
        <w:rPr>
          <w:rStyle w:val="highlight"/>
          <w:rFonts w:ascii="Arial" w:hAnsi="Arial" w:cs="Arial"/>
          <w:color w:val="000000"/>
          <w:sz w:val="24"/>
          <w:szCs w:val="24"/>
          <w:shd w:val="clear" w:color="auto" w:fill="FFFFFF"/>
        </w:rPr>
        <w:t xml:space="preserve">dipocytes during adipogenesis by LC-MS/MS, focusing their research on malate dehydrogenase. A characterisation of enolase from pancreatic ductal </w:t>
      </w:r>
      <w:r>
        <w:rPr>
          <w:rStyle w:val="highlight"/>
          <w:rFonts w:ascii="Arial" w:hAnsi="Arial" w:cs="Arial"/>
          <w:color w:val="000000"/>
          <w:sz w:val="24"/>
          <w:szCs w:val="24"/>
          <w:shd w:val="clear" w:color="auto" w:fill="FFFFFF"/>
        </w:rPr>
        <w:lastRenderedPageBreak/>
        <w:t xml:space="preserve">adenocarcinoma cells and healthy pancreatic ductal cells was made by Zhao </w:t>
      </w:r>
      <w:r>
        <w:rPr>
          <w:rStyle w:val="highlight"/>
          <w:rFonts w:ascii="Arial" w:hAnsi="Arial" w:cs="Arial"/>
          <w:i/>
          <w:color w:val="000000"/>
          <w:sz w:val="24"/>
          <w:szCs w:val="24"/>
          <w:shd w:val="clear" w:color="auto" w:fill="FFFFFF"/>
        </w:rPr>
        <w:t xml:space="preserve">et al., </w:t>
      </w:r>
      <w:r>
        <w:rPr>
          <w:rStyle w:val="highlight"/>
          <w:rFonts w:ascii="Arial" w:hAnsi="Arial" w:cs="Arial"/>
          <w:color w:val="000000"/>
          <w:sz w:val="24"/>
          <w:szCs w:val="24"/>
          <w:shd w:val="clear" w:color="auto" w:fill="FFFFFF"/>
        </w:rPr>
        <w:t xml:space="preserve">2010 </w:t>
      </w:r>
      <w:r w:rsidR="006C2756">
        <w:rPr>
          <w:rStyle w:val="highlight"/>
          <w:rFonts w:ascii="Arial" w:hAnsi="Arial" w:cs="Arial"/>
          <w:color w:val="000000"/>
          <w:sz w:val="24"/>
          <w:szCs w:val="24"/>
          <w:shd w:val="clear" w:color="auto" w:fill="FFFFFF"/>
        </w:rPr>
        <w:fldChar w:fldCharType="begin"/>
      </w:r>
      <w:r w:rsidR="00FC3C1A">
        <w:rPr>
          <w:rStyle w:val="highlight"/>
          <w:rFonts w:ascii="Arial" w:hAnsi="Arial" w:cs="Arial"/>
          <w:color w:val="000000"/>
          <w:sz w:val="24"/>
          <w:szCs w:val="24"/>
          <w:shd w:val="clear" w:color="auto" w:fill="FFFFFF"/>
        </w:rPr>
        <w:instrText xml:space="preserve"> ADDIN EN.CITE &lt;EndNote&gt;&lt;Cite&gt;&lt;Author&gt;Zhou W&lt;/Author&gt;&lt;Year&gt;2010&lt;/Year&gt;&lt;RecNum&gt;303&lt;/RecNum&gt;&lt;DisplayText&gt;(84)&lt;/DisplayText&gt;&lt;record&gt;&lt;rec-number&gt;303&lt;/rec-number&gt;&lt;foreign-keys&gt;&lt;key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Pr>
          <w:rStyle w:val="highlight"/>
          <w:rFonts w:ascii="Arial" w:hAnsi="Arial" w:cs="Arial"/>
          <w:color w:val="000000"/>
          <w:sz w:val="24"/>
          <w:szCs w:val="24"/>
          <w:shd w:val="clear" w:color="auto" w:fill="FFFFFF"/>
        </w:rPr>
        <w:fldChar w:fldCharType="separate"/>
      </w:r>
      <w:r w:rsidR="00FC3C1A">
        <w:rPr>
          <w:rStyle w:val="highlight"/>
          <w:rFonts w:ascii="Arial" w:hAnsi="Arial" w:cs="Arial"/>
          <w:noProof/>
          <w:color w:val="000000"/>
          <w:sz w:val="24"/>
          <w:szCs w:val="24"/>
          <w:shd w:val="clear" w:color="auto" w:fill="FFFFFF"/>
        </w:rPr>
        <w:t>(</w:t>
      </w:r>
      <w:hyperlink w:anchor="_ENREF_84" w:tooltip="Zhou W, 2010 #303" w:history="1">
        <w:r w:rsidR="00AB7E17">
          <w:rPr>
            <w:rStyle w:val="highlight"/>
            <w:rFonts w:ascii="Arial" w:hAnsi="Arial" w:cs="Arial"/>
            <w:noProof/>
            <w:color w:val="000000"/>
            <w:sz w:val="24"/>
            <w:szCs w:val="24"/>
            <w:shd w:val="clear" w:color="auto" w:fill="FFFFFF"/>
          </w:rPr>
          <w:t>84</w:t>
        </w:r>
      </w:hyperlink>
      <w:r w:rsidR="00FC3C1A">
        <w:rPr>
          <w:rStyle w:val="highlight"/>
          <w:rFonts w:ascii="Arial" w:hAnsi="Arial" w:cs="Arial"/>
          <w:noProof/>
          <w:color w:val="000000"/>
          <w:sz w:val="24"/>
          <w:szCs w:val="24"/>
          <w:shd w:val="clear" w:color="auto" w:fill="FFFFFF"/>
        </w:rPr>
        <w:t>)</w:t>
      </w:r>
      <w:r w:rsidR="006C2756">
        <w:rPr>
          <w:rStyle w:val="highlight"/>
          <w:rFonts w:ascii="Arial" w:hAnsi="Arial" w:cs="Arial"/>
          <w:color w:val="000000"/>
          <w:sz w:val="24"/>
          <w:szCs w:val="24"/>
          <w:shd w:val="clear" w:color="auto" w:fill="FFFFFF"/>
        </w:rPr>
        <w:fldChar w:fldCharType="end"/>
      </w:r>
      <w:r>
        <w:rPr>
          <w:rStyle w:val="highlight"/>
          <w:rFonts w:ascii="Arial" w:hAnsi="Arial" w:cs="Arial"/>
          <w:color w:val="000000"/>
          <w:sz w:val="24"/>
          <w:szCs w:val="24"/>
          <w:shd w:val="clear" w:color="auto" w:fill="FFFFFF"/>
        </w:rPr>
        <w:t xml:space="preserve"> by LC-MS/MS, identifying 26 acetylation sites in pancreatic ductal adenocarcinoma cells, and 17 in healthy pancreatic ductal cells (see Appendix II for the acetylation sites). </w:t>
      </w:r>
      <w:r w:rsidRPr="00A6718F">
        <w:rPr>
          <w:rStyle w:val="SC118877"/>
          <w:rFonts w:ascii="Arial" w:hAnsi="Arial" w:cs="Arial"/>
          <w:iCs/>
          <w:sz w:val="24"/>
          <w:szCs w:val="24"/>
          <w:lang w:val="en-US"/>
        </w:rPr>
        <w:t xml:space="preserve">By using </w:t>
      </w:r>
      <w:r>
        <w:rPr>
          <w:rFonts w:ascii="Arial" w:hAnsi="Arial" w:cs="Arial"/>
          <w:color w:val="000000"/>
          <w:sz w:val="24"/>
          <w:szCs w:val="24"/>
          <w:shd w:val="clear" w:color="auto" w:fill="FFFFFF"/>
        </w:rPr>
        <w:t>(</w:t>
      </w:r>
      <w:r w:rsidRPr="00834B58">
        <w:rPr>
          <w:rFonts w:ascii="Arial" w:hAnsi="Arial" w:cs="Arial"/>
          <w:color w:val="000000"/>
          <w:sz w:val="24"/>
          <w:szCs w:val="24"/>
          <w:shd w:val="clear" w:color="auto" w:fill="FFFFFF"/>
        </w:rPr>
        <w:t>MALDI-TOF</w:t>
      </w:r>
      <w:r>
        <w:rPr>
          <w:rFonts w:ascii="Arial" w:hAnsi="Arial" w:cs="Arial"/>
          <w:color w:val="000000"/>
          <w:sz w:val="24"/>
          <w:szCs w:val="24"/>
          <w:shd w:val="clear" w:color="auto" w:fill="FFFFFF"/>
        </w:rPr>
        <w:t>)</w:t>
      </w:r>
      <w:r w:rsidRPr="00834B58">
        <w:rPr>
          <w:rFonts w:ascii="Arial" w:hAnsi="Arial" w:cs="Arial"/>
          <w:color w:val="000000"/>
          <w:sz w:val="24"/>
          <w:szCs w:val="24"/>
          <w:shd w:val="clear" w:color="auto" w:fill="FFFFFF"/>
        </w:rPr>
        <w:t xml:space="preserve"> MS </w:t>
      </w:r>
      <w:r>
        <w:rPr>
          <w:rFonts w:ascii="Arial" w:hAnsi="Arial" w:cs="Arial"/>
          <w:color w:val="000000"/>
          <w:sz w:val="24"/>
          <w:szCs w:val="24"/>
          <w:shd w:val="clear" w:color="auto" w:fill="FFFFFF"/>
        </w:rPr>
        <w:t xml:space="preserve">analysis </w:t>
      </w:r>
      <w:r w:rsidRPr="00834B58">
        <w:rPr>
          <w:rFonts w:ascii="Arial" w:hAnsi="Arial" w:cs="Arial"/>
          <w:color w:val="000000"/>
          <w:sz w:val="24"/>
          <w:szCs w:val="24"/>
          <w:shd w:val="clear" w:color="auto" w:fill="FFFFFF"/>
        </w:rPr>
        <w:t xml:space="preserve">Dihazi </w:t>
      </w:r>
      <w:r w:rsidRPr="00834B58">
        <w:rPr>
          <w:rFonts w:ascii="Arial" w:hAnsi="Arial" w:cs="Arial"/>
          <w:i/>
          <w:color w:val="000000"/>
          <w:sz w:val="24"/>
          <w:szCs w:val="24"/>
          <w:shd w:val="clear" w:color="auto" w:fill="FFFFFF"/>
        </w:rPr>
        <w:t xml:space="preserve">et al., </w:t>
      </w:r>
      <w:r w:rsidRPr="00834B58">
        <w:rPr>
          <w:rFonts w:ascii="Arial" w:hAnsi="Arial" w:cs="Arial"/>
          <w:color w:val="000000"/>
          <w:sz w:val="24"/>
          <w:szCs w:val="24"/>
          <w:shd w:val="clear" w:color="auto" w:fill="FFFFFF"/>
        </w:rPr>
        <w:t xml:space="preserve">2005 </w:t>
      </w:r>
      <w:r w:rsidR="006C2756">
        <w:rPr>
          <w:rFonts w:ascii="Arial" w:hAnsi="Arial" w:cs="Arial"/>
          <w:color w:val="000000"/>
          <w:sz w:val="24"/>
          <w:szCs w:val="24"/>
          <w:shd w:val="clear" w:color="auto" w:fill="FFFFFF"/>
        </w:rPr>
        <w:fldChar w:fldCharType="begin"/>
      </w:r>
      <w:r w:rsidR="00FC3C1A">
        <w:rPr>
          <w:rFonts w:ascii="Arial" w:hAnsi="Arial" w:cs="Arial"/>
          <w:color w:val="000000"/>
          <w:sz w:val="24"/>
          <w:szCs w:val="24"/>
          <w:shd w:val="clear" w:color="auto" w:fill="FFFFFF"/>
        </w:rPr>
        <w:instrText xml:space="preserve"> ADDIN EN.CITE &lt;EndNote&gt;&lt;Cite&gt;&lt;Author&gt;Dihazi H&lt;/Author&gt;&lt;Year&gt;2005&lt;/Year&gt;&lt;RecNum&gt;320&lt;/RecNum&gt;&lt;DisplayText&gt;(50)&lt;/DisplayText&gt;&lt;record&gt;&lt;rec-number&gt;320&lt;/rec-number&gt;&lt;foreign-keys&gt;&lt;key app="EN" db-id="zxp9w5sa30aeafes0xox2eem00dz2z2aswad"&gt;320&lt;/key&gt;&lt;/foreign-keys&gt;&lt;ref-type name="Journal Article"&gt;17&lt;/ref-type&gt;&lt;contributors&gt;&lt;authors&gt;&lt;author&gt;Dihazi H,&lt;/author&gt;&lt;author&gt;Kessler R,&lt;/author&gt;&lt;author&gt;Müller G,&lt;/author&gt;&lt;author&gt;Eschrich K,&lt;/author&gt;&lt;/authors&gt;&lt;/contributors&gt;&lt;titles&gt;&lt;title&gt;Lysine 3 acetylation regulates the phosphorylation of yeast 6-phosphofructo-2-kinase under hypo-osmotic stress&lt;/title&gt;&lt;secondary-title&gt;Biol. Chem.&lt;/secondary-title&gt;&lt;/titles&gt;&lt;periodical&gt;&lt;full-title&gt;Biol. Chem.&lt;/full-title&gt;&lt;/periodical&gt;&lt;pages&gt;895-900&lt;/pages&gt;&lt;volume&gt;386&lt;/volume&gt;&lt;number&gt;9&lt;/number&gt;&lt;dates&gt;&lt;year&gt;2005&lt;/year&gt;&lt;/dates&gt;&lt;urls&gt;&lt;/urls&gt;&lt;/record&gt;&lt;/Cite&gt;&lt;/EndNote&gt;</w:instrText>
      </w:r>
      <w:r w:rsidR="006C2756">
        <w:rPr>
          <w:rFonts w:ascii="Arial" w:hAnsi="Arial" w:cs="Arial"/>
          <w:color w:val="000000"/>
          <w:sz w:val="24"/>
          <w:szCs w:val="24"/>
          <w:shd w:val="clear" w:color="auto" w:fill="FFFFFF"/>
        </w:rPr>
        <w:fldChar w:fldCharType="separate"/>
      </w:r>
      <w:r w:rsidR="00FC3C1A">
        <w:rPr>
          <w:rFonts w:ascii="Arial" w:hAnsi="Arial" w:cs="Arial"/>
          <w:noProof/>
          <w:color w:val="000000"/>
          <w:sz w:val="24"/>
          <w:szCs w:val="24"/>
          <w:shd w:val="clear" w:color="auto" w:fill="FFFFFF"/>
        </w:rPr>
        <w:t>(</w:t>
      </w:r>
      <w:hyperlink w:anchor="_ENREF_50" w:tooltip="Dihazi H, 2005 #320" w:history="1">
        <w:r w:rsidR="00AB7E17">
          <w:rPr>
            <w:rFonts w:ascii="Arial" w:hAnsi="Arial" w:cs="Arial"/>
            <w:noProof/>
            <w:color w:val="000000"/>
            <w:sz w:val="24"/>
            <w:szCs w:val="24"/>
            <w:shd w:val="clear" w:color="auto" w:fill="FFFFFF"/>
          </w:rPr>
          <w:t>50</w:t>
        </w:r>
      </w:hyperlink>
      <w:r w:rsidR="00FC3C1A">
        <w:rPr>
          <w:rFonts w:ascii="Arial" w:hAnsi="Arial" w:cs="Arial"/>
          <w:noProof/>
          <w:color w:val="000000"/>
          <w:sz w:val="24"/>
          <w:szCs w:val="24"/>
          <w:shd w:val="clear" w:color="auto" w:fill="FFFFFF"/>
        </w:rPr>
        <w:t>)</w:t>
      </w:r>
      <w:r w:rsidR="006C2756">
        <w:rPr>
          <w:rFonts w:ascii="Arial" w:hAnsi="Arial" w:cs="Arial"/>
          <w:color w:val="000000"/>
          <w:sz w:val="24"/>
          <w:szCs w:val="24"/>
          <w:shd w:val="clear" w:color="auto" w:fill="FFFFFF"/>
        </w:rPr>
        <w:fldChar w:fldCharType="end"/>
      </w:r>
      <w:r w:rsidRPr="00834B58">
        <w:rPr>
          <w:rFonts w:ascii="Arial" w:hAnsi="Arial" w:cs="Arial"/>
          <w:color w:val="000000"/>
          <w:sz w:val="24"/>
          <w:szCs w:val="24"/>
          <w:shd w:val="clear" w:color="auto" w:fill="FFFFFF"/>
        </w:rPr>
        <w:t xml:space="preserve"> elucidated </w:t>
      </w:r>
      <w:r>
        <w:rPr>
          <w:rFonts w:ascii="Arial" w:hAnsi="Arial" w:cs="Arial"/>
          <w:color w:val="000000"/>
          <w:sz w:val="24"/>
          <w:szCs w:val="24"/>
          <w:shd w:val="clear" w:color="auto" w:fill="FFFFFF"/>
        </w:rPr>
        <w:t xml:space="preserve">one </w:t>
      </w:r>
      <w:r w:rsidRPr="00834B58">
        <w:rPr>
          <w:rStyle w:val="highlight"/>
          <w:rFonts w:ascii="Arial" w:hAnsi="Arial" w:cs="Arial"/>
          <w:color w:val="000000"/>
          <w:sz w:val="24"/>
          <w:szCs w:val="24"/>
          <w:shd w:val="clear" w:color="auto" w:fill="FFFFFF"/>
        </w:rPr>
        <w:t>phosphorylation site</w:t>
      </w:r>
      <w:r>
        <w:rPr>
          <w:rStyle w:val="highlight"/>
          <w:rFonts w:ascii="Arial" w:hAnsi="Arial" w:cs="Arial"/>
          <w:color w:val="000000"/>
          <w:sz w:val="24"/>
          <w:szCs w:val="24"/>
          <w:shd w:val="clear" w:color="auto" w:fill="FFFFFF"/>
        </w:rPr>
        <w:t xml:space="preserve"> in phosphofruc</w:t>
      </w:r>
      <w:r w:rsidRPr="00834B58">
        <w:rPr>
          <w:rStyle w:val="highlight"/>
          <w:rFonts w:ascii="Arial" w:hAnsi="Arial" w:cs="Arial"/>
          <w:color w:val="000000"/>
          <w:sz w:val="24"/>
          <w:szCs w:val="24"/>
          <w:shd w:val="clear" w:color="auto" w:fill="FFFFFF"/>
        </w:rPr>
        <w:t>t</w:t>
      </w:r>
      <w:r>
        <w:rPr>
          <w:rStyle w:val="highlight"/>
          <w:rFonts w:ascii="Arial" w:hAnsi="Arial" w:cs="Arial"/>
          <w:color w:val="000000"/>
          <w:sz w:val="24"/>
          <w:szCs w:val="24"/>
          <w:shd w:val="clear" w:color="auto" w:fill="FFFFFF"/>
        </w:rPr>
        <w:t>o</w:t>
      </w:r>
      <w:r w:rsidRPr="00834B58">
        <w:rPr>
          <w:rStyle w:val="highlight"/>
          <w:rFonts w:ascii="Arial" w:hAnsi="Arial" w:cs="Arial"/>
          <w:color w:val="000000"/>
          <w:sz w:val="24"/>
          <w:szCs w:val="24"/>
          <w:shd w:val="clear" w:color="auto" w:fill="FFFFFF"/>
        </w:rPr>
        <w:t xml:space="preserve">kinase. </w:t>
      </w:r>
    </w:p>
    <w:p w:rsidR="00EF1380" w:rsidRDefault="00EF1380" w:rsidP="00EF1380">
      <w:pPr>
        <w:autoSpaceDE w:val="0"/>
        <w:autoSpaceDN w:val="0"/>
        <w:adjustRightInd w:val="0"/>
        <w:spacing w:line="360" w:lineRule="auto"/>
        <w:ind w:firstLine="720"/>
        <w:jc w:val="both"/>
        <w:rPr>
          <w:rStyle w:val="highlight"/>
          <w:rFonts w:ascii="Arial" w:hAnsi="Arial" w:cs="Arial"/>
          <w:color w:val="000000"/>
          <w:sz w:val="24"/>
          <w:szCs w:val="24"/>
          <w:shd w:val="clear" w:color="auto" w:fill="FFFFFF"/>
        </w:rPr>
      </w:pPr>
      <w:r>
        <w:rPr>
          <w:rStyle w:val="highlight"/>
          <w:rFonts w:ascii="Arial" w:hAnsi="Arial" w:cs="Arial"/>
          <w:color w:val="000000"/>
          <w:sz w:val="24"/>
          <w:szCs w:val="24"/>
          <w:shd w:val="clear" w:color="auto" w:fill="FFFFFF"/>
        </w:rPr>
        <w:t xml:space="preserve">Table </w:t>
      </w:r>
      <w:r w:rsidR="00806F63">
        <w:rPr>
          <w:rStyle w:val="highlight"/>
          <w:rFonts w:ascii="Arial" w:hAnsi="Arial" w:cs="Arial"/>
          <w:color w:val="000000"/>
          <w:sz w:val="24"/>
          <w:szCs w:val="24"/>
          <w:shd w:val="clear" w:color="auto" w:fill="FFFFFF"/>
        </w:rPr>
        <w:t>7</w:t>
      </w:r>
      <w:r>
        <w:rPr>
          <w:rStyle w:val="highlight"/>
          <w:rFonts w:ascii="Arial" w:hAnsi="Arial" w:cs="Arial"/>
          <w:color w:val="000000"/>
          <w:sz w:val="24"/>
          <w:szCs w:val="24"/>
          <w:shd w:val="clear" w:color="auto" w:fill="FFFFFF"/>
        </w:rPr>
        <w:t xml:space="preserve"> summarises </w:t>
      </w:r>
      <w:r w:rsidR="00117570">
        <w:rPr>
          <w:rStyle w:val="highlight"/>
          <w:rFonts w:ascii="Arial" w:hAnsi="Arial" w:cs="Arial"/>
          <w:color w:val="000000"/>
          <w:sz w:val="24"/>
          <w:szCs w:val="24"/>
          <w:shd w:val="clear" w:color="auto" w:fill="FFFFFF"/>
        </w:rPr>
        <w:t>all</w:t>
      </w:r>
      <w:r>
        <w:rPr>
          <w:rStyle w:val="highlight"/>
          <w:rFonts w:ascii="Arial" w:hAnsi="Arial" w:cs="Arial"/>
          <w:color w:val="000000"/>
          <w:sz w:val="24"/>
          <w:szCs w:val="24"/>
          <w:shd w:val="clear" w:color="auto" w:fill="FFFFFF"/>
        </w:rPr>
        <w:t xml:space="preserve"> the findings made by using different protein profiling techniques and approaches.</w:t>
      </w:r>
    </w:p>
    <w:p w:rsidR="00DC0376" w:rsidRDefault="00DC0376" w:rsidP="00EF1380">
      <w:pPr>
        <w:autoSpaceDE w:val="0"/>
        <w:autoSpaceDN w:val="0"/>
        <w:adjustRightInd w:val="0"/>
        <w:spacing w:line="360" w:lineRule="auto"/>
        <w:ind w:firstLine="720"/>
        <w:jc w:val="both"/>
        <w:rPr>
          <w:rStyle w:val="highlight"/>
          <w:rFonts w:ascii="Arial" w:hAnsi="Arial" w:cs="Arial"/>
          <w:color w:val="000000"/>
          <w:sz w:val="24"/>
          <w:szCs w:val="24"/>
          <w:shd w:val="clear" w:color="auto" w:fill="FFFFFF"/>
        </w:rPr>
      </w:pPr>
    </w:p>
    <w:tbl>
      <w:tblPr>
        <w:tblStyle w:val="LightList1"/>
        <w:tblW w:w="8860" w:type="dxa"/>
        <w:jc w:val="center"/>
        <w:tblLook w:val="04A0" w:firstRow="1" w:lastRow="0" w:firstColumn="1" w:lastColumn="0" w:noHBand="0" w:noVBand="1"/>
      </w:tblPr>
      <w:tblGrid>
        <w:gridCol w:w="943"/>
        <w:gridCol w:w="2195"/>
        <w:gridCol w:w="5722"/>
      </w:tblGrid>
      <w:tr w:rsidR="00EF1380" w:rsidRPr="00631FD8" w:rsidTr="009B400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631FD8" w:rsidRDefault="00EF1380" w:rsidP="009B400B">
            <w:pPr>
              <w:ind w:left="-93" w:hanging="16"/>
              <w:rPr>
                <w:rFonts w:ascii="Calibri" w:eastAsia="Times New Roman" w:hAnsi="Calibri" w:cs="Times New Roman"/>
                <w:sz w:val="20"/>
                <w:lang w:val="en-US" w:eastAsia="es-MX"/>
              </w:rPr>
            </w:pPr>
          </w:p>
        </w:tc>
        <w:tc>
          <w:tcPr>
            <w:tcW w:w="2195" w:type="dxa"/>
            <w:noWrap/>
            <w:hideMark/>
          </w:tcPr>
          <w:p w:rsidR="00EF1380" w:rsidRPr="008433D5"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val="es-MX" w:eastAsia="es-MX"/>
              </w:rPr>
            </w:pPr>
            <w:r w:rsidRPr="008433D5">
              <w:rPr>
                <w:rFonts w:ascii="Calibri" w:eastAsia="Times New Roman" w:hAnsi="Calibri" w:cs="Times New Roman"/>
                <w:sz w:val="20"/>
                <w:lang w:val="es-MX" w:eastAsia="es-MX"/>
              </w:rPr>
              <w:t>Protein profiling techniques</w:t>
            </w:r>
          </w:p>
        </w:tc>
        <w:tc>
          <w:tcPr>
            <w:tcW w:w="5722" w:type="dxa"/>
            <w:noWrap/>
            <w:hideMark/>
          </w:tcPr>
          <w:p w:rsidR="00EF1380" w:rsidRPr="008433D5" w:rsidRDefault="00EF1380" w:rsidP="009B40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lang w:val="es-MX" w:eastAsia="es-MX"/>
              </w:rPr>
            </w:pPr>
            <w:r w:rsidRPr="008433D5">
              <w:rPr>
                <w:rFonts w:ascii="Calibri" w:eastAsia="Times New Roman" w:hAnsi="Calibri" w:cs="Times New Roman"/>
                <w:sz w:val="20"/>
                <w:lang w:val="es-MX" w:eastAsia="es-MX"/>
              </w:rPr>
              <w:t>Findings</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Times New Roman"/>
                <w:b w:val="0"/>
                <w:color w:val="000000"/>
                <w:sz w:val="16"/>
                <w:szCs w:val="16"/>
                <w:lang w:val="es-MX" w:eastAsia="es-MX"/>
              </w:rPr>
            </w:pPr>
            <w:r w:rsidRPr="008433D5">
              <w:rPr>
                <w:rFonts w:eastAsia="Times New Roman" w:cs="Times New Roman"/>
                <w:b w:val="0"/>
                <w:color w:val="000000"/>
                <w:sz w:val="16"/>
                <w:szCs w:val="16"/>
                <w:lang w:val="es-MX" w:eastAsia="es-MX"/>
              </w:rPr>
              <w:t>Choudha</w:t>
            </w:r>
            <w:r>
              <w:rPr>
                <w:rFonts w:eastAsia="Times New Roman" w:cs="Times New Roman"/>
                <w:b w:val="0"/>
                <w:color w:val="000000"/>
                <w:sz w:val="16"/>
                <w:szCs w:val="16"/>
                <w:lang w:val="es-MX" w:eastAsia="es-MX"/>
              </w:rPr>
              <w:t>r</w:t>
            </w:r>
            <w:r w:rsidRPr="008433D5">
              <w:rPr>
                <w:rFonts w:eastAsia="Times New Roman" w:cs="Times New Roman"/>
                <w:b w:val="0"/>
                <w:color w:val="000000"/>
                <w:sz w:val="16"/>
                <w:szCs w:val="16"/>
                <w:lang w:val="es-MX" w:eastAsia="es-MX"/>
              </w:rPr>
              <w:t xml:space="preserve">y </w:t>
            </w:r>
            <w:r w:rsidRPr="008433D5">
              <w:rPr>
                <w:rFonts w:eastAsia="Times New Roman" w:cs="Times New Roman"/>
                <w:b w:val="0"/>
                <w:i/>
                <w:iCs/>
                <w:color w:val="000000"/>
                <w:sz w:val="16"/>
                <w:szCs w:val="16"/>
                <w:lang w:val="es-MX" w:eastAsia="es-MX"/>
              </w:rPr>
              <w:t xml:space="preserve">et al., </w:t>
            </w:r>
            <w:r w:rsidRPr="008433D5">
              <w:rPr>
                <w:rFonts w:eastAsia="Times New Roman" w:cs="Times New Roman"/>
                <w:b w:val="0"/>
                <w:color w:val="000000"/>
                <w:sz w:val="16"/>
                <w:szCs w:val="16"/>
                <w:lang w:val="es-MX" w:eastAsia="es-MX"/>
              </w:rPr>
              <w:t>2009</w:t>
            </w:r>
          </w:p>
        </w:tc>
        <w:tc>
          <w:tcPr>
            <w:tcW w:w="2195" w:type="dxa"/>
            <w:noWrap/>
            <w:hideMark/>
          </w:tcPr>
          <w:p w:rsidR="00EF1380"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es-MX" w:eastAsia="es-MX"/>
              </w:rPr>
            </w:pPr>
            <w:r>
              <w:rPr>
                <w:rFonts w:eastAsia="Times New Roman" w:cs="Times New Roman"/>
                <w:color w:val="000000"/>
                <w:sz w:val="16"/>
                <w:szCs w:val="16"/>
                <w:lang w:val="es-MX" w:eastAsia="es-MX"/>
              </w:rPr>
              <w:t>MS</w:t>
            </w:r>
          </w:p>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SILAC</w:t>
            </w:r>
          </w:p>
        </w:tc>
        <w:tc>
          <w:tcPr>
            <w:tcW w:w="5722" w:type="dxa"/>
            <w:noWrap/>
            <w:hideMark/>
          </w:tcPr>
          <w:p w:rsidR="00EF1380"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8433D5">
              <w:rPr>
                <w:rFonts w:eastAsia="Times New Roman" w:cs="Arial"/>
                <w:color w:val="000000"/>
                <w:sz w:val="16"/>
                <w:szCs w:val="16"/>
                <w:lang w:val="en-US" w:eastAsia="es-MX"/>
              </w:rPr>
              <w:t>Identifi</w:t>
            </w:r>
            <w:r>
              <w:rPr>
                <w:rFonts w:eastAsia="Times New Roman" w:cs="Arial"/>
                <w:color w:val="000000"/>
                <w:sz w:val="16"/>
                <w:szCs w:val="16"/>
                <w:lang w:val="en-US" w:eastAsia="es-MX"/>
              </w:rPr>
              <w:t>ed</w:t>
            </w:r>
            <w:r w:rsidRPr="008433D5">
              <w:rPr>
                <w:rFonts w:eastAsia="Times New Roman" w:cs="Arial"/>
                <w:color w:val="000000"/>
                <w:sz w:val="16"/>
                <w:szCs w:val="16"/>
                <w:lang w:val="en-US" w:eastAsia="es-MX"/>
              </w:rPr>
              <w:t xml:space="preserve"> </w:t>
            </w:r>
            <w:r>
              <w:rPr>
                <w:rFonts w:eastAsia="Times New Roman" w:cs="Arial"/>
                <w:color w:val="000000"/>
                <w:sz w:val="16"/>
                <w:szCs w:val="16"/>
                <w:lang w:val="en-US" w:eastAsia="es-MX"/>
              </w:rPr>
              <w:t xml:space="preserve">3600 lysine acetylation sites on 1750 proteins. </w:t>
            </w:r>
          </w:p>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Pr>
                <w:rFonts w:eastAsia="Times New Roman" w:cs="Arial"/>
                <w:color w:val="000000"/>
                <w:sz w:val="16"/>
                <w:szCs w:val="16"/>
                <w:lang w:val="en-US" w:eastAsia="es-MX"/>
              </w:rPr>
              <w:t xml:space="preserve">Quantified acetylation changes in response to HDACi. </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FE363D" w:rsidRDefault="00EF1380" w:rsidP="009B400B">
            <w:pPr>
              <w:rPr>
                <w:rFonts w:eastAsia="Times New Roman" w:cs="Arial"/>
                <w:b w:val="0"/>
                <w:color w:val="000000"/>
                <w:sz w:val="16"/>
                <w:szCs w:val="16"/>
                <w:lang w:eastAsia="es-MX"/>
              </w:rPr>
            </w:pPr>
            <w:r w:rsidRPr="008433D5">
              <w:rPr>
                <w:rFonts w:eastAsia="Times New Roman" w:cs="Arial"/>
                <w:b w:val="0"/>
                <w:color w:val="000000"/>
                <w:sz w:val="16"/>
                <w:szCs w:val="16"/>
                <w:lang w:eastAsia="es-MX"/>
              </w:rPr>
              <w:t xml:space="preserve">Cimen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2010</w:t>
            </w:r>
          </w:p>
        </w:tc>
        <w:tc>
          <w:tcPr>
            <w:tcW w:w="2195" w:type="dxa"/>
            <w:noWrap/>
            <w:hideMark/>
          </w:tcPr>
          <w:p w:rsidR="00EF1380" w:rsidRPr="00FE363D"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s-MX"/>
              </w:rPr>
            </w:pPr>
            <w:r w:rsidRPr="00FE363D">
              <w:rPr>
                <w:rFonts w:eastAsia="Times New Roman" w:cs="Times New Roman"/>
                <w:color w:val="000000"/>
                <w:sz w:val="16"/>
                <w:szCs w:val="16"/>
                <w:lang w:eastAsia="es-MX"/>
              </w:rPr>
              <w:t>MS/MS</w:t>
            </w:r>
          </w:p>
        </w:tc>
        <w:tc>
          <w:tcPr>
            <w:tcW w:w="5722" w:type="dxa"/>
            <w:noWrap/>
            <w:hideMark/>
          </w:tcPr>
          <w:p w:rsidR="00EF1380"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433D5">
              <w:rPr>
                <w:rFonts w:eastAsia="Times New Roman" w:cs="Arial"/>
                <w:color w:val="000000"/>
                <w:sz w:val="16"/>
                <w:szCs w:val="16"/>
                <w:lang w:eastAsia="es-MX"/>
              </w:rPr>
              <w:t xml:space="preserve">Mapped various acetylated lysine </w:t>
            </w:r>
            <w:r>
              <w:rPr>
                <w:rFonts w:eastAsia="Times New Roman" w:cs="Arial"/>
                <w:color w:val="000000"/>
                <w:sz w:val="16"/>
                <w:szCs w:val="16"/>
                <w:lang w:eastAsia="es-MX"/>
              </w:rPr>
              <w:t>residues.</w:t>
            </w:r>
          </w:p>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8433D5">
              <w:rPr>
                <w:rFonts w:eastAsia="Times New Roman" w:cs="Arial"/>
                <w:color w:val="000000"/>
                <w:sz w:val="16"/>
                <w:szCs w:val="16"/>
                <w:lang w:eastAsia="es-MX"/>
              </w:rPr>
              <w:t>Determined the role of acetylation in the activity of isocitrate dehydrogenase</w:t>
            </w:r>
            <w:r>
              <w:rPr>
                <w:rFonts w:eastAsia="Times New Roman" w:cs="Arial"/>
                <w:color w:val="000000"/>
                <w:sz w:val="16"/>
                <w:szCs w:val="16"/>
                <w:lang w:eastAsia="es-MX"/>
              </w:rPr>
              <w:t>.</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tcPr>
          <w:p w:rsidR="00EF1380" w:rsidRPr="008433D5" w:rsidRDefault="00EF1380" w:rsidP="009B400B">
            <w:pPr>
              <w:rPr>
                <w:rFonts w:eastAsia="Times New Roman" w:cs="Times New Roman"/>
                <w:b w:val="0"/>
                <w:color w:val="000000"/>
                <w:sz w:val="16"/>
                <w:szCs w:val="16"/>
                <w:lang w:val="es-MX" w:eastAsia="es-MX"/>
              </w:rPr>
            </w:pPr>
            <w:r w:rsidRPr="008433D5">
              <w:rPr>
                <w:rFonts w:eastAsia="Times New Roman" w:cs="Times New Roman"/>
                <w:b w:val="0"/>
                <w:color w:val="000000"/>
                <w:sz w:val="16"/>
                <w:szCs w:val="16"/>
                <w:lang w:val="es-MX" w:eastAsia="es-MX"/>
              </w:rPr>
              <w:t xml:space="preserve">Dihazi </w:t>
            </w:r>
            <w:r w:rsidRPr="008433D5">
              <w:rPr>
                <w:rFonts w:eastAsia="Times New Roman" w:cs="Times New Roman"/>
                <w:b w:val="0"/>
                <w:i/>
                <w:iCs/>
                <w:color w:val="000000"/>
                <w:sz w:val="16"/>
                <w:szCs w:val="16"/>
                <w:lang w:val="es-MX" w:eastAsia="es-MX"/>
              </w:rPr>
              <w:t xml:space="preserve">et al., </w:t>
            </w:r>
            <w:r w:rsidRPr="008433D5">
              <w:rPr>
                <w:rFonts w:eastAsia="Times New Roman" w:cs="Times New Roman"/>
                <w:b w:val="0"/>
                <w:color w:val="000000"/>
                <w:sz w:val="16"/>
                <w:szCs w:val="16"/>
                <w:lang w:val="es-MX" w:eastAsia="es-MX"/>
              </w:rPr>
              <w:t>2005</w:t>
            </w:r>
          </w:p>
        </w:tc>
        <w:tc>
          <w:tcPr>
            <w:tcW w:w="2195" w:type="dxa"/>
            <w:noWrap/>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MALDI-TOF</w:t>
            </w:r>
          </w:p>
        </w:tc>
        <w:tc>
          <w:tcPr>
            <w:tcW w:w="5722" w:type="dxa"/>
            <w:noWrap/>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Pr>
                <w:rFonts w:eastAsia="Times New Roman" w:cs="Arial"/>
                <w:color w:val="000000"/>
                <w:sz w:val="16"/>
                <w:szCs w:val="16"/>
                <w:lang w:eastAsia="es-MX"/>
              </w:rPr>
              <w:t>Found</w:t>
            </w:r>
            <w:r w:rsidRPr="008433D5">
              <w:rPr>
                <w:rFonts w:eastAsia="Times New Roman" w:cs="Arial"/>
                <w:color w:val="000000"/>
                <w:sz w:val="16"/>
                <w:szCs w:val="16"/>
                <w:lang w:eastAsia="es-MX"/>
              </w:rPr>
              <w:t xml:space="preserve"> </w:t>
            </w:r>
            <w:r>
              <w:rPr>
                <w:rFonts w:eastAsia="Times New Roman" w:cs="Arial"/>
                <w:color w:val="000000"/>
                <w:sz w:val="16"/>
                <w:szCs w:val="16"/>
                <w:lang w:eastAsia="es-MX"/>
              </w:rPr>
              <w:t>one acetylation site on lysine residue 3 in phosphofruc</w:t>
            </w:r>
            <w:r w:rsidRPr="008433D5">
              <w:rPr>
                <w:rFonts w:eastAsia="Times New Roman" w:cs="Arial"/>
                <w:color w:val="000000"/>
                <w:sz w:val="16"/>
                <w:szCs w:val="16"/>
                <w:lang w:eastAsia="es-MX"/>
              </w:rPr>
              <w:t>t</w:t>
            </w:r>
            <w:r>
              <w:rPr>
                <w:rFonts w:eastAsia="Times New Roman" w:cs="Arial"/>
                <w:color w:val="000000"/>
                <w:sz w:val="16"/>
                <w:szCs w:val="16"/>
                <w:lang w:eastAsia="es-MX"/>
              </w:rPr>
              <w:t>o</w:t>
            </w:r>
            <w:r w:rsidRPr="008433D5">
              <w:rPr>
                <w:rFonts w:eastAsia="Times New Roman" w:cs="Arial"/>
                <w:color w:val="000000"/>
                <w:sz w:val="16"/>
                <w:szCs w:val="16"/>
                <w:lang w:eastAsia="es-MX"/>
              </w:rPr>
              <w:t>kinase</w:t>
            </w:r>
            <w:r>
              <w:rPr>
                <w:rFonts w:eastAsia="Times New Roman" w:cs="Arial"/>
                <w:color w:val="000000"/>
                <w:sz w:val="16"/>
                <w:szCs w:val="16"/>
                <w:lang w:eastAsia="es-MX"/>
              </w:rPr>
              <w:t>.</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Finkemei</w:t>
            </w:r>
            <w:r>
              <w:rPr>
                <w:rFonts w:eastAsia="Times New Roman" w:cs="Arial"/>
                <w:b w:val="0"/>
                <w:color w:val="000000"/>
                <w:sz w:val="16"/>
                <w:szCs w:val="16"/>
                <w:lang w:eastAsia="es-MX"/>
              </w:rPr>
              <w:t>e</w:t>
            </w:r>
            <w:r w:rsidRPr="008433D5">
              <w:rPr>
                <w:rFonts w:eastAsia="Times New Roman" w:cs="Arial"/>
                <w:b w:val="0"/>
                <w:color w:val="000000"/>
                <w:sz w:val="16"/>
                <w:szCs w:val="16"/>
                <w:lang w:eastAsia="es-MX"/>
              </w:rPr>
              <w:t xml:space="preserve">r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 xml:space="preserve">2011 </w:t>
            </w:r>
          </w:p>
        </w:tc>
        <w:tc>
          <w:tcPr>
            <w:tcW w:w="2195" w:type="dxa"/>
            <w:noWrap/>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LC-MS/MS</w:t>
            </w:r>
          </w:p>
        </w:tc>
        <w:tc>
          <w:tcPr>
            <w:tcW w:w="5722" w:type="dxa"/>
            <w:noWrap/>
          </w:tcPr>
          <w:p w:rsidR="00EF1380" w:rsidRPr="007116B6"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Pr>
                <w:rFonts w:eastAsia="Times New Roman" w:cs="Arial"/>
                <w:color w:val="000000"/>
                <w:sz w:val="16"/>
                <w:szCs w:val="16"/>
                <w:lang w:eastAsia="es-MX"/>
              </w:rPr>
              <w:t>I</w:t>
            </w:r>
            <w:r w:rsidRPr="008433D5">
              <w:rPr>
                <w:rFonts w:eastAsia="Times New Roman" w:cs="Arial"/>
                <w:color w:val="000000"/>
                <w:sz w:val="16"/>
                <w:szCs w:val="16"/>
                <w:lang w:eastAsia="es-MX"/>
              </w:rPr>
              <w:t xml:space="preserve">dentified </w:t>
            </w:r>
            <w:r>
              <w:rPr>
                <w:rFonts w:eastAsia="Times New Roman" w:cs="Arial"/>
                <w:color w:val="000000"/>
                <w:sz w:val="16"/>
                <w:szCs w:val="16"/>
                <w:lang w:eastAsia="es-MX"/>
              </w:rPr>
              <w:t xml:space="preserve">91 lysine acetylation sites on 74 organellar and cytosolic proteins in </w:t>
            </w:r>
            <w:r w:rsidRPr="008433D5">
              <w:rPr>
                <w:rFonts w:eastAsia="Times New Roman" w:cs="Arial"/>
                <w:i/>
                <w:iCs/>
                <w:color w:val="000000"/>
                <w:sz w:val="16"/>
                <w:szCs w:val="16"/>
                <w:lang w:eastAsia="es-MX"/>
              </w:rPr>
              <w:t>Arabidopsis thaliana</w:t>
            </w:r>
            <w:r>
              <w:rPr>
                <w:rFonts w:eastAsia="Times New Roman" w:cs="Arial"/>
                <w:iCs/>
                <w:color w:val="000000"/>
                <w:sz w:val="16"/>
                <w:szCs w:val="16"/>
                <w:lang w:eastAsia="es-MX"/>
              </w:rPr>
              <w:t>.</w:t>
            </w:r>
            <w:r w:rsidRPr="008433D5">
              <w:rPr>
                <w:rFonts w:eastAsia="Times New Roman" w:cs="Arial"/>
                <w:color w:val="000000"/>
                <w:sz w:val="16"/>
                <w:szCs w:val="16"/>
                <w:lang w:eastAsia="es-MX"/>
              </w:rPr>
              <w:t xml:space="preserve"> </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177D11" w:rsidRDefault="00EF1380" w:rsidP="009B400B">
            <w:pPr>
              <w:rPr>
                <w:rFonts w:eastAsia="Times New Roman" w:cs="Arial"/>
                <w:b w:val="0"/>
                <w:sz w:val="16"/>
                <w:szCs w:val="16"/>
                <w:lang w:val="es-MX" w:eastAsia="es-MX"/>
              </w:rPr>
            </w:pPr>
            <w:r w:rsidRPr="00177D11">
              <w:rPr>
                <w:rFonts w:eastAsia="Times New Roman" w:cs="Arial"/>
                <w:b w:val="0"/>
                <w:sz w:val="16"/>
                <w:szCs w:val="16"/>
                <w:lang w:eastAsia="es-MX"/>
              </w:rPr>
              <w:t xml:space="preserve">Finley </w:t>
            </w:r>
            <w:r w:rsidRPr="00177D11">
              <w:rPr>
                <w:rFonts w:eastAsia="Times New Roman" w:cs="Arial"/>
                <w:b w:val="0"/>
                <w:i/>
                <w:iCs/>
                <w:sz w:val="16"/>
                <w:szCs w:val="16"/>
                <w:lang w:eastAsia="es-MX"/>
              </w:rPr>
              <w:t xml:space="preserve">et al., </w:t>
            </w:r>
            <w:r w:rsidRPr="00177D11">
              <w:rPr>
                <w:rFonts w:eastAsia="Times New Roman" w:cs="Arial"/>
                <w:b w:val="0"/>
                <w:sz w:val="16"/>
                <w:szCs w:val="16"/>
                <w:lang w:eastAsia="es-MX"/>
              </w:rPr>
              <w:t>2011</w:t>
            </w:r>
          </w:p>
        </w:tc>
        <w:tc>
          <w:tcPr>
            <w:tcW w:w="2195" w:type="dxa"/>
            <w:noWrap/>
            <w:hideMark/>
          </w:tcPr>
          <w:p w:rsidR="00EF1380" w:rsidRPr="00177D11"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val="es-MX" w:eastAsia="es-MX"/>
              </w:rPr>
            </w:pPr>
            <w:r w:rsidRPr="00177D11">
              <w:rPr>
                <w:rFonts w:eastAsia="Times New Roman" w:cs="Times New Roman"/>
                <w:sz w:val="16"/>
                <w:szCs w:val="16"/>
                <w:lang w:val="es-MX" w:eastAsia="es-MX"/>
              </w:rPr>
              <w:t>MS/MS</w:t>
            </w:r>
          </w:p>
        </w:tc>
        <w:tc>
          <w:tcPr>
            <w:tcW w:w="5722" w:type="dxa"/>
            <w:noWrap/>
            <w:hideMark/>
          </w:tcPr>
          <w:p w:rsidR="00EF1380" w:rsidRPr="00177D11"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US" w:eastAsia="es-MX"/>
              </w:rPr>
            </w:pPr>
            <w:r>
              <w:rPr>
                <w:rFonts w:eastAsia="Times New Roman" w:cs="Arial"/>
                <w:sz w:val="16"/>
                <w:szCs w:val="16"/>
                <w:lang w:eastAsia="es-MX"/>
              </w:rPr>
              <w:t xml:space="preserve">Identified </w:t>
            </w:r>
            <w:r w:rsidRPr="00177D11">
              <w:rPr>
                <w:rFonts w:eastAsia="Times New Roman" w:cs="Arial"/>
                <w:sz w:val="16"/>
                <w:szCs w:val="16"/>
                <w:lang w:eastAsia="es-MX"/>
              </w:rPr>
              <w:t>13 acetylation sites on succinate dehydrogenase, six of which are residues reported to be acetylated for the first time</w:t>
            </w:r>
            <w:r>
              <w:rPr>
                <w:rFonts w:eastAsia="Times New Roman" w:cs="Arial"/>
                <w:sz w:val="16"/>
                <w:szCs w:val="16"/>
                <w:lang w:eastAsia="es-MX"/>
              </w:rPr>
              <w:t>.</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 xml:space="preserve">Kim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2006</w:t>
            </w:r>
          </w:p>
        </w:tc>
        <w:tc>
          <w:tcPr>
            <w:tcW w:w="2195"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MS</w:t>
            </w:r>
          </w:p>
        </w:tc>
        <w:tc>
          <w:tcPr>
            <w:tcW w:w="5722"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Pr>
                <w:rFonts w:eastAsia="Times New Roman" w:cs="Arial"/>
                <w:color w:val="000000"/>
                <w:sz w:val="16"/>
                <w:szCs w:val="16"/>
                <w:lang w:eastAsia="es-MX"/>
              </w:rPr>
              <w:t xml:space="preserve">Identified 388 acetylation sites in 195 proteins. </w:t>
            </w:r>
            <w:r w:rsidRPr="008433D5">
              <w:rPr>
                <w:rFonts w:eastAsia="Times New Roman" w:cs="Arial"/>
                <w:color w:val="000000"/>
                <w:sz w:val="16"/>
                <w:szCs w:val="16"/>
                <w:lang w:eastAsia="es-MX"/>
              </w:rPr>
              <w:t>Acetylation of isocitrate dehydrogenase at lysine residues 75 and 241</w:t>
            </w:r>
            <w:r>
              <w:rPr>
                <w:rFonts w:eastAsia="Times New Roman" w:cs="Arial"/>
                <w:color w:val="000000"/>
                <w:sz w:val="16"/>
                <w:szCs w:val="16"/>
                <w:lang w:eastAsia="es-MX"/>
              </w:rPr>
              <w:t>.</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tcPr>
          <w:p w:rsidR="00EF1380" w:rsidRPr="00AA0877" w:rsidRDefault="00EF1380" w:rsidP="009B400B">
            <w:pPr>
              <w:rPr>
                <w:rFonts w:eastAsia="Times New Roman" w:cs="Arial"/>
                <w:b w:val="0"/>
                <w:color w:val="000000"/>
                <w:sz w:val="16"/>
                <w:szCs w:val="16"/>
                <w:lang w:eastAsia="es-MX"/>
              </w:rPr>
            </w:pPr>
            <w:r w:rsidRPr="008433D5">
              <w:rPr>
                <w:rFonts w:eastAsia="Times New Roman" w:cs="Arial"/>
                <w:b w:val="0"/>
                <w:color w:val="000000"/>
                <w:sz w:val="16"/>
                <w:szCs w:val="16"/>
                <w:lang w:eastAsia="es-MX"/>
              </w:rPr>
              <w:t xml:space="preserve">Kim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2012</w:t>
            </w:r>
          </w:p>
        </w:tc>
        <w:tc>
          <w:tcPr>
            <w:tcW w:w="2195" w:type="dxa"/>
            <w:noWrap/>
          </w:tcPr>
          <w:p w:rsidR="00EF1380" w:rsidRPr="00AA0877"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s-MX"/>
              </w:rPr>
            </w:pPr>
            <w:r w:rsidRPr="00AA0877">
              <w:rPr>
                <w:rFonts w:eastAsia="Times New Roman" w:cs="Times New Roman"/>
                <w:color w:val="000000"/>
                <w:sz w:val="16"/>
                <w:szCs w:val="16"/>
                <w:lang w:eastAsia="es-MX"/>
              </w:rPr>
              <w:t>LC-MS/MS</w:t>
            </w:r>
          </w:p>
        </w:tc>
        <w:tc>
          <w:tcPr>
            <w:tcW w:w="5722" w:type="dxa"/>
            <w:noWrap/>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8433D5">
              <w:rPr>
                <w:rFonts w:eastAsia="Times New Roman" w:cs="Arial"/>
                <w:color w:val="000000"/>
                <w:sz w:val="16"/>
                <w:szCs w:val="16"/>
                <w:lang w:eastAsia="es-MX"/>
              </w:rPr>
              <w:t xml:space="preserve">Identified </w:t>
            </w:r>
            <w:r>
              <w:rPr>
                <w:rFonts w:eastAsia="Times New Roman" w:cs="Arial"/>
                <w:color w:val="000000"/>
                <w:sz w:val="16"/>
                <w:szCs w:val="16"/>
                <w:lang w:eastAsia="es-MX"/>
              </w:rPr>
              <w:t xml:space="preserve">several </w:t>
            </w:r>
            <w:r w:rsidRPr="008433D5">
              <w:rPr>
                <w:rFonts w:eastAsia="Times New Roman" w:cs="Arial"/>
                <w:color w:val="000000"/>
                <w:sz w:val="16"/>
                <w:szCs w:val="16"/>
                <w:lang w:eastAsia="es-MX"/>
              </w:rPr>
              <w:t>proteins showing significant quantitat</w:t>
            </w:r>
            <w:r>
              <w:rPr>
                <w:rFonts w:eastAsia="Times New Roman" w:cs="Arial"/>
                <w:color w:val="000000"/>
                <w:sz w:val="16"/>
                <w:szCs w:val="16"/>
                <w:lang w:eastAsia="es-MX"/>
              </w:rPr>
              <w:t>ive changes during adipogenesis, including malate dehydrogenase.</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val="en-US" w:eastAsia="es-MX"/>
              </w:rPr>
              <w:t xml:space="preserve">Lin </w:t>
            </w:r>
            <w:r w:rsidRPr="008433D5">
              <w:rPr>
                <w:rFonts w:eastAsia="Times New Roman" w:cs="Arial"/>
                <w:b w:val="0"/>
                <w:i/>
                <w:iCs/>
                <w:color w:val="000000"/>
                <w:sz w:val="16"/>
                <w:szCs w:val="16"/>
                <w:lang w:val="en-US" w:eastAsia="es-MX"/>
              </w:rPr>
              <w:t xml:space="preserve">et al., </w:t>
            </w:r>
            <w:r w:rsidRPr="008433D5">
              <w:rPr>
                <w:rFonts w:eastAsia="Times New Roman" w:cs="Arial"/>
                <w:b w:val="0"/>
                <w:color w:val="000000"/>
                <w:sz w:val="16"/>
                <w:szCs w:val="16"/>
                <w:lang w:val="en-US" w:eastAsia="es-MX"/>
              </w:rPr>
              <w:t xml:space="preserve">2009 </w:t>
            </w:r>
          </w:p>
        </w:tc>
        <w:tc>
          <w:tcPr>
            <w:tcW w:w="2195"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MS/MS</w:t>
            </w:r>
          </w:p>
        </w:tc>
        <w:tc>
          <w:tcPr>
            <w:tcW w:w="5722"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8433D5">
              <w:rPr>
                <w:rFonts w:eastAsia="Times New Roman" w:cs="Arial"/>
                <w:color w:val="000000"/>
                <w:sz w:val="16"/>
                <w:szCs w:val="16"/>
                <w:lang w:val="en-US" w:eastAsia="es-MX"/>
              </w:rPr>
              <w:t>Validated and identified many non</w:t>
            </w:r>
            <w:r>
              <w:rPr>
                <w:rFonts w:eastAsia="Times New Roman" w:cs="Arial"/>
                <w:color w:val="000000"/>
                <w:sz w:val="16"/>
                <w:szCs w:val="16"/>
                <w:lang w:val="en-US" w:eastAsia="es-MX"/>
              </w:rPr>
              <w:t>-</w:t>
            </w:r>
            <w:r w:rsidRPr="008433D5">
              <w:rPr>
                <w:rFonts w:eastAsia="Times New Roman" w:cs="Arial"/>
                <w:color w:val="000000"/>
                <w:sz w:val="16"/>
                <w:szCs w:val="16"/>
                <w:lang w:val="en-US" w:eastAsia="es-MX"/>
              </w:rPr>
              <w:t xml:space="preserve">chromatin substrates of the NuA4 complex </w:t>
            </w:r>
            <w:r>
              <w:rPr>
                <w:rFonts w:eastAsia="Times New Roman" w:cs="Arial"/>
                <w:color w:val="000000"/>
                <w:sz w:val="16"/>
                <w:szCs w:val="16"/>
                <w:lang w:val="en-US" w:eastAsia="es-MX"/>
              </w:rPr>
              <w:t>and d</w:t>
            </w:r>
            <w:r w:rsidRPr="008433D5">
              <w:rPr>
                <w:rFonts w:eastAsia="Times New Roman" w:cs="Arial"/>
                <w:color w:val="000000"/>
                <w:sz w:val="16"/>
                <w:szCs w:val="16"/>
                <w:lang w:val="en-US" w:eastAsia="es-MX"/>
              </w:rPr>
              <w:t>etermined two acetylation sites in phosphoenolpyruvate carboxykinase, at lysine residues 19 and 514</w:t>
            </w:r>
            <w:r>
              <w:rPr>
                <w:rFonts w:eastAsia="Times New Roman" w:cs="Arial"/>
                <w:color w:val="000000"/>
                <w:sz w:val="16"/>
                <w:szCs w:val="16"/>
                <w:lang w:val="en-US" w:eastAsia="es-MX"/>
              </w:rPr>
              <w:t>.</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 xml:space="preserve">Lundby </w:t>
            </w:r>
            <w:r w:rsidRPr="008433D5">
              <w:rPr>
                <w:rFonts w:eastAsia="Times New Roman" w:cs="Arial"/>
                <w:b w:val="0"/>
                <w:i/>
                <w:iCs/>
                <w:color w:val="000000"/>
                <w:sz w:val="16"/>
                <w:szCs w:val="16"/>
                <w:lang w:eastAsia="es-MX"/>
              </w:rPr>
              <w:t>et al.</w:t>
            </w:r>
            <w:r w:rsidRPr="008433D5">
              <w:rPr>
                <w:rFonts w:eastAsia="Times New Roman" w:cs="Arial"/>
                <w:b w:val="0"/>
                <w:color w:val="000000"/>
                <w:sz w:val="16"/>
                <w:szCs w:val="16"/>
                <w:lang w:eastAsia="es-MX"/>
              </w:rPr>
              <w:t>, 2012</w:t>
            </w:r>
          </w:p>
        </w:tc>
        <w:tc>
          <w:tcPr>
            <w:tcW w:w="2195" w:type="dxa"/>
            <w:noWrap/>
            <w:hideMark/>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MS/MS</w:t>
            </w:r>
          </w:p>
        </w:tc>
        <w:tc>
          <w:tcPr>
            <w:tcW w:w="5722" w:type="dxa"/>
            <w:noWrap/>
            <w:hideMark/>
          </w:tcPr>
          <w:p w:rsidR="00EF1380"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Pr>
                <w:rFonts w:eastAsia="Times New Roman" w:cs="Arial"/>
                <w:color w:val="000000"/>
                <w:sz w:val="16"/>
                <w:szCs w:val="16"/>
                <w:lang w:eastAsia="es-MX"/>
              </w:rPr>
              <w:t xml:space="preserve">Provided a map of acetylation sites from rat tissues. </w:t>
            </w:r>
          </w:p>
          <w:p w:rsidR="00EF1380" w:rsidRPr="00F72F2B"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 xml:space="preserve">Lv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 xml:space="preserve">2011 </w:t>
            </w:r>
          </w:p>
        </w:tc>
        <w:tc>
          <w:tcPr>
            <w:tcW w:w="2195"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LC-MS/MS</w:t>
            </w:r>
          </w:p>
        </w:tc>
        <w:tc>
          <w:tcPr>
            <w:tcW w:w="5722"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Pr>
                <w:rFonts w:eastAsia="Times New Roman" w:cs="Arial"/>
                <w:color w:val="000000"/>
                <w:sz w:val="16"/>
                <w:szCs w:val="16"/>
                <w:lang w:eastAsia="es-MX"/>
              </w:rPr>
              <w:t xml:space="preserve">Showed the acetylation of pyruvate kinase on lysine residue 305. </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 xml:space="preserve">Schlicker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 xml:space="preserve">2008 </w:t>
            </w:r>
          </w:p>
        </w:tc>
        <w:tc>
          <w:tcPr>
            <w:tcW w:w="2195" w:type="dxa"/>
            <w:noWrap/>
            <w:hideMark/>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s-MX"/>
              </w:rPr>
            </w:pPr>
            <w:r w:rsidRPr="008433D5">
              <w:rPr>
                <w:rFonts w:eastAsia="Times New Roman" w:cs="Times New Roman"/>
                <w:color w:val="000000"/>
                <w:sz w:val="16"/>
                <w:szCs w:val="16"/>
                <w:lang w:val="es-MX" w:eastAsia="es-MX"/>
              </w:rPr>
              <w:t>MS</w:t>
            </w:r>
          </w:p>
        </w:tc>
        <w:tc>
          <w:tcPr>
            <w:tcW w:w="5722" w:type="dxa"/>
            <w:noWrap/>
            <w:hideMark/>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sidRPr="008433D5">
              <w:rPr>
                <w:rFonts w:eastAsia="Times New Roman" w:cs="Arial"/>
                <w:color w:val="000000"/>
                <w:sz w:val="16"/>
                <w:szCs w:val="16"/>
                <w:lang w:eastAsia="es-MX"/>
              </w:rPr>
              <w:t>Identified lysine residue 241 as the site where isocitrate dehydrogenase is deacetylated via Sirt3</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 xml:space="preserve">Schwer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2009</w:t>
            </w:r>
          </w:p>
        </w:tc>
        <w:tc>
          <w:tcPr>
            <w:tcW w:w="2195"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s-MX"/>
              </w:rPr>
            </w:pPr>
            <w:r w:rsidRPr="008433D5">
              <w:rPr>
                <w:rFonts w:eastAsia="Times New Roman" w:cs="Times New Roman"/>
                <w:color w:val="000000"/>
                <w:sz w:val="16"/>
                <w:szCs w:val="16"/>
                <w:lang w:eastAsia="es-MX"/>
              </w:rPr>
              <w:t xml:space="preserve">LFQ </w:t>
            </w:r>
          </w:p>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eastAsia="es-MX"/>
              </w:rPr>
              <w:t>MS</w:t>
            </w:r>
          </w:p>
        </w:tc>
        <w:tc>
          <w:tcPr>
            <w:tcW w:w="5722" w:type="dxa"/>
            <w:noWrap/>
            <w:hideMark/>
          </w:tcPr>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r w:rsidRPr="008433D5">
              <w:rPr>
                <w:rFonts w:eastAsia="Times New Roman" w:cs="Arial"/>
                <w:color w:val="000000"/>
                <w:sz w:val="16"/>
                <w:szCs w:val="16"/>
                <w:lang w:eastAsia="es-MX"/>
              </w:rPr>
              <w:t>Identified 72 proteins involved in a wide range of metabolic pathways with altered</w:t>
            </w:r>
            <w:r>
              <w:rPr>
                <w:rFonts w:eastAsia="Times New Roman" w:cs="Arial"/>
                <w:color w:val="000000"/>
                <w:sz w:val="16"/>
                <w:szCs w:val="16"/>
                <w:lang w:eastAsia="es-MX"/>
              </w:rPr>
              <w:t xml:space="preserve"> acetylation patterns due to CR.</w:t>
            </w: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Times New Roman"/>
                <w:b w:val="0"/>
                <w:color w:val="000000"/>
                <w:sz w:val="16"/>
                <w:szCs w:val="16"/>
                <w:lang w:val="es-MX" w:eastAsia="es-MX"/>
              </w:rPr>
            </w:pPr>
            <w:r w:rsidRPr="008433D5">
              <w:rPr>
                <w:rFonts w:eastAsia="Times New Roman" w:cs="Arial"/>
                <w:b w:val="0"/>
                <w:color w:val="000000"/>
                <w:sz w:val="16"/>
                <w:szCs w:val="16"/>
                <w:lang w:eastAsia="es-MX"/>
              </w:rPr>
              <w:t xml:space="preserve">Shevade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 xml:space="preserve">2013 </w:t>
            </w:r>
          </w:p>
        </w:tc>
        <w:tc>
          <w:tcPr>
            <w:tcW w:w="2195" w:type="dxa"/>
            <w:noWrap/>
            <w:hideMark/>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MS/MS</w:t>
            </w:r>
          </w:p>
        </w:tc>
        <w:tc>
          <w:tcPr>
            <w:tcW w:w="5722" w:type="dxa"/>
            <w:noWrap/>
            <w:hideMark/>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Pr>
                <w:rFonts w:eastAsia="Times New Roman" w:cs="Arial"/>
                <w:color w:val="000000"/>
                <w:sz w:val="16"/>
                <w:szCs w:val="16"/>
                <w:lang w:eastAsia="es-MX"/>
              </w:rPr>
              <w:t xml:space="preserve">Showed </w:t>
            </w:r>
            <w:r w:rsidRPr="008433D5">
              <w:rPr>
                <w:rFonts w:eastAsia="Times New Roman" w:cs="Arial"/>
                <w:color w:val="000000"/>
                <w:sz w:val="16"/>
                <w:szCs w:val="16"/>
                <w:lang w:eastAsia="es-MX"/>
              </w:rPr>
              <w:t xml:space="preserve">acetylation </w:t>
            </w:r>
            <w:r>
              <w:rPr>
                <w:rFonts w:eastAsia="Times New Roman" w:cs="Arial"/>
                <w:color w:val="000000"/>
                <w:sz w:val="16"/>
                <w:szCs w:val="16"/>
                <w:lang w:eastAsia="es-MX"/>
              </w:rPr>
              <w:t xml:space="preserve">of </w:t>
            </w:r>
            <w:r w:rsidRPr="008433D5">
              <w:rPr>
                <w:rFonts w:eastAsia="Times New Roman" w:cs="Arial"/>
                <w:color w:val="000000"/>
                <w:sz w:val="16"/>
                <w:szCs w:val="16"/>
                <w:lang w:eastAsia="es-MX"/>
              </w:rPr>
              <w:t>enolase</w:t>
            </w:r>
            <w:r>
              <w:rPr>
                <w:rFonts w:eastAsia="Times New Roman" w:cs="Arial"/>
                <w:color w:val="000000"/>
                <w:sz w:val="16"/>
                <w:szCs w:val="16"/>
                <w:lang w:eastAsia="es-MX"/>
              </w:rPr>
              <w:t xml:space="preserve"> on lysine residue 142 and 384.</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8433D5" w:rsidRDefault="00EF1380" w:rsidP="009B400B">
            <w:pPr>
              <w:rPr>
                <w:rFonts w:eastAsia="Times New Roman" w:cs="Arial"/>
                <w:b w:val="0"/>
                <w:color w:val="000000"/>
                <w:sz w:val="16"/>
                <w:szCs w:val="16"/>
                <w:lang w:val="es-MX" w:eastAsia="es-MX"/>
              </w:rPr>
            </w:pPr>
            <w:r w:rsidRPr="008433D5">
              <w:rPr>
                <w:rFonts w:eastAsia="Times New Roman" w:cs="Arial"/>
                <w:b w:val="0"/>
                <w:color w:val="000000"/>
                <w:sz w:val="16"/>
                <w:szCs w:val="16"/>
                <w:lang w:eastAsia="es-MX"/>
              </w:rPr>
              <w:t xml:space="preserve">Wang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2010</w:t>
            </w:r>
          </w:p>
        </w:tc>
        <w:tc>
          <w:tcPr>
            <w:tcW w:w="2195" w:type="dxa"/>
            <w:noWrap/>
            <w:hideMark/>
          </w:tcPr>
          <w:p w:rsidR="00EF1380"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MS</w:t>
            </w:r>
          </w:p>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MX" w:eastAsia="es-MX"/>
              </w:rPr>
            </w:pPr>
            <w:r w:rsidRPr="008433D5">
              <w:rPr>
                <w:rFonts w:eastAsia="Times New Roman" w:cs="Times New Roman"/>
                <w:color w:val="000000"/>
                <w:sz w:val="16"/>
                <w:szCs w:val="16"/>
                <w:lang w:val="es-MX" w:eastAsia="es-MX"/>
              </w:rPr>
              <w:t>SILAC</w:t>
            </w:r>
          </w:p>
        </w:tc>
        <w:tc>
          <w:tcPr>
            <w:tcW w:w="5722" w:type="dxa"/>
            <w:noWrap/>
            <w:hideMark/>
          </w:tcPr>
          <w:p w:rsidR="00EF1380"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Pr>
                <w:rFonts w:eastAsia="Times New Roman" w:cs="Arial"/>
                <w:color w:val="000000"/>
                <w:sz w:val="16"/>
                <w:szCs w:val="16"/>
                <w:lang w:eastAsia="es-MX"/>
              </w:rPr>
              <w:t>D</w:t>
            </w:r>
            <w:r w:rsidRPr="00F72A83">
              <w:rPr>
                <w:rFonts w:eastAsia="Times New Roman" w:cs="Arial"/>
                <w:color w:val="000000"/>
                <w:sz w:val="16"/>
                <w:szCs w:val="16"/>
                <w:lang w:eastAsia="es-MX"/>
              </w:rPr>
              <w:t xml:space="preserve">emonstrated </w:t>
            </w:r>
            <w:r>
              <w:rPr>
                <w:rFonts w:eastAsia="Times New Roman" w:cs="Arial"/>
                <w:color w:val="000000"/>
                <w:sz w:val="16"/>
                <w:szCs w:val="16"/>
                <w:lang w:eastAsia="es-MX"/>
              </w:rPr>
              <w:t>the acetylation of central metabolism enzymes.</w:t>
            </w:r>
          </w:p>
          <w:p w:rsidR="00EF1380" w:rsidRPr="008433D5"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es-MX"/>
              </w:rPr>
            </w:pPr>
          </w:p>
        </w:tc>
      </w:tr>
      <w:tr w:rsidR="00EF1380" w:rsidRPr="00631FD8"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hideMark/>
          </w:tcPr>
          <w:p w:rsidR="00EF1380" w:rsidRPr="00177D11" w:rsidRDefault="00EF1380" w:rsidP="009B400B">
            <w:pPr>
              <w:rPr>
                <w:rFonts w:eastAsia="Times New Roman" w:cs="Arial"/>
                <w:b w:val="0"/>
                <w:color w:val="000000"/>
                <w:sz w:val="16"/>
                <w:szCs w:val="16"/>
                <w:lang w:eastAsia="es-MX"/>
              </w:rPr>
            </w:pPr>
            <w:r w:rsidRPr="008433D5">
              <w:rPr>
                <w:rFonts w:eastAsia="Times New Roman" w:cs="Arial"/>
                <w:b w:val="0"/>
                <w:color w:val="000000"/>
                <w:sz w:val="16"/>
                <w:szCs w:val="16"/>
                <w:lang w:eastAsia="es-MX"/>
              </w:rPr>
              <w:t>Wirt</w:t>
            </w:r>
            <w:r>
              <w:rPr>
                <w:rFonts w:eastAsia="Times New Roman" w:cs="Arial"/>
                <w:b w:val="0"/>
                <w:color w:val="000000"/>
                <w:sz w:val="16"/>
                <w:szCs w:val="16"/>
                <w:lang w:eastAsia="es-MX"/>
              </w:rPr>
              <w:t>h</w:t>
            </w:r>
            <w:r w:rsidRPr="008433D5">
              <w:rPr>
                <w:rFonts w:eastAsia="Times New Roman" w:cs="Arial"/>
                <w:b w:val="0"/>
                <w:color w:val="000000"/>
                <w:sz w:val="16"/>
                <w:szCs w:val="16"/>
                <w:lang w:eastAsia="es-MX"/>
              </w:rPr>
              <w:t xml:space="preserve"> </w:t>
            </w:r>
            <w:r w:rsidRPr="008433D5">
              <w:rPr>
                <w:rFonts w:eastAsia="Times New Roman" w:cs="Arial"/>
                <w:b w:val="0"/>
                <w:i/>
                <w:iCs/>
                <w:color w:val="000000"/>
                <w:sz w:val="16"/>
                <w:szCs w:val="16"/>
                <w:lang w:eastAsia="es-MX"/>
              </w:rPr>
              <w:t xml:space="preserve">et al., </w:t>
            </w:r>
            <w:r w:rsidRPr="008433D5">
              <w:rPr>
                <w:rFonts w:eastAsia="Times New Roman" w:cs="Arial"/>
                <w:b w:val="0"/>
                <w:color w:val="000000"/>
                <w:sz w:val="16"/>
                <w:szCs w:val="16"/>
                <w:lang w:eastAsia="es-MX"/>
              </w:rPr>
              <w:t xml:space="preserve">2013 </w:t>
            </w:r>
          </w:p>
        </w:tc>
        <w:tc>
          <w:tcPr>
            <w:tcW w:w="2195" w:type="dxa"/>
            <w:noWrap/>
            <w:hideMark/>
          </w:tcPr>
          <w:p w:rsidR="00EF1380" w:rsidRPr="00177D11"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s-MX"/>
              </w:rPr>
            </w:pPr>
            <w:r w:rsidRPr="00177D11">
              <w:rPr>
                <w:rFonts w:eastAsia="Times New Roman" w:cs="Times New Roman"/>
                <w:color w:val="000000"/>
                <w:sz w:val="16"/>
                <w:szCs w:val="16"/>
                <w:lang w:eastAsia="es-MX"/>
              </w:rPr>
              <w:t xml:space="preserve">SILAC </w:t>
            </w:r>
          </w:p>
          <w:p w:rsidR="00EF1380" w:rsidRPr="00177D11"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s-MX"/>
              </w:rPr>
            </w:pPr>
            <w:r w:rsidRPr="00177D11">
              <w:rPr>
                <w:rFonts w:eastAsia="Times New Roman" w:cs="Times New Roman"/>
                <w:color w:val="000000"/>
                <w:sz w:val="16"/>
                <w:szCs w:val="16"/>
                <w:lang w:eastAsia="es-MX"/>
              </w:rPr>
              <w:t>MS/MS</w:t>
            </w:r>
          </w:p>
        </w:tc>
        <w:tc>
          <w:tcPr>
            <w:tcW w:w="5722" w:type="dxa"/>
            <w:noWrap/>
            <w:hideMark/>
          </w:tcPr>
          <w:p w:rsidR="00EF1380" w:rsidRPr="008433D5" w:rsidRDefault="00EF1380" w:rsidP="009B400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es-MX"/>
              </w:rPr>
            </w:pPr>
            <w:r>
              <w:rPr>
                <w:rFonts w:eastAsia="Times New Roman" w:cs="Arial"/>
                <w:color w:val="000000"/>
                <w:sz w:val="16"/>
                <w:szCs w:val="16"/>
                <w:lang w:eastAsia="es-MX"/>
              </w:rPr>
              <w:t>Found that the a</w:t>
            </w:r>
            <w:r w:rsidRPr="008433D5">
              <w:rPr>
                <w:rFonts w:eastAsia="Times New Roman" w:cs="Arial"/>
                <w:color w:val="000000"/>
                <w:sz w:val="16"/>
                <w:szCs w:val="16"/>
                <w:lang w:eastAsia="es-MX"/>
              </w:rPr>
              <w:t>cetylat</w:t>
            </w:r>
            <w:r>
              <w:rPr>
                <w:rFonts w:eastAsia="Times New Roman" w:cs="Arial"/>
                <w:color w:val="000000"/>
                <w:sz w:val="16"/>
                <w:szCs w:val="16"/>
                <w:lang w:eastAsia="es-MX"/>
              </w:rPr>
              <w:t>ion</w:t>
            </w:r>
            <w:r w:rsidRPr="008433D5">
              <w:rPr>
                <w:rFonts w:eastAsia="Times New Roman" w:cs="Arial"/>
                <w:color w:val="000000"/>
                <w:sz w:val="16"/>
                <w:szCs w:val="16"/>
                <w:lang w:eastAsia="es-MX"/>
              </w:rPr>
              <w:t xml:space="preserve"> </w:t>
            </w:r>
            <w:r>
              <w:rPr>
                <w:rFonts w:eastAsia="Times New Roman" w:cs="Arial"/>
                <w:color w:val="000000"/>
                <w:sz w:val="16"/>
                <w:szCs w:val="16"/>
                <w:lang w:eastAsia="es-MX"/>
              </w:rPr>
              <w:t xml:space="preserve">of </w:t>
            </w:r>
            <w:r w:rsidRPr="008433D5">
              <w:rPr>
                <w:rFonts w:eastAsia="Times New Roman" w:cs="Arial"/>
                <w:color w:val="000000"/>
                <w:sz w:val="16"/>
                <w:szCs w:val="16"/>
                <w:lang w:eastAsia="es-MX"/>
              </w:rPr>
              <w:t xml:space="preserve">lysine residue 748 </w:t>
            </w:r>
            <w:r>
              <w:rPr>
                <w:rFonts w:eastAsia="Times New Roman" w:cs="Arial"/>
                <w:color w:val="000000"/>
                <w:sz w:val="16"/>
                <w:szCs w:val="16"/>
                <w:lang w:eastAsia="es-MX"/>
              </w:rPr>
              <w:t xml:space="preserve">in </w:t>
            </w:r>
            <w:r w:rsidRPr="008433D5">
              <w:rPr>
                <w:rFonts w:eastAsia="Times New Roman" w:cs="Arial"/>
                <w:color w:val="000000"/>
                <w:sz w:val="16"/>
                <w:szCs w:val="16"/>
                <w:lang w:eastAsia="es-MX"/>
              </w:rPr>
              <w:t>pyruvate carboxylase</w:t>
            </w:r>
            <w:r>
              <w:rPr>
                <w:rFonts w:eastAsia="Times New Roman" w:cs="Arial"/>
                <w:color w:val="000000"/>
                <w:sz w:val="16"/>
                <w:szCs w:val="16"/>
                <w:lang w:eastAsia="es-MX"/>
              </w:rPr>
              <w:t xml:space="preserve"> regulates its activity.</w:t>
            </w:r>
          </w:p>
        </w:tc>
      </w:tr>
      <w:tr w:rsidR="00EF1380" w:rsidRPr="00631FD8"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943" w:type="dxa"/>
            <w:noWrap/>
          </w:tcPr>
          <w:p w:rsidR="00EF1380" w:rsidRPr="00177D11" w:rsidRDefault="00EF1380" w:rsidP="009B400B">
            <w:pPr>
              <w:rPr>
                <w:rFonts w:eastAsia="Times New Roman" w:cs="Times New Roman"/>
                <w:b w:val="0"/>
                <w:sz w:val="16"/>
                <w:szCs w:val="16"/>
                <w:lang w:val="es-MX" w:eastAsia="es-MX"/>
              </w:rPr>
            </w:pPr>
            <w:r w:rsidRPr="00177D11">
              <w:rPr>
                <w:rFonts w:eastAsia="Times New Roman" w:cs="Times New Roman"/>
                <w:b w:val="0"/>
                <w:sz w:val="16"/>
                <w:szCs w:val="16"/>
                <w:lang w:val="es-MX" w:eastAsia="es-MX"/>
              </w:rPr>
              <w:t xml:space="preserve">Zhao </w:t>
            </w:r>
            <w:r w:rsidRPr="00177D11">
              <w:rPr>
                <w:rFonts w:eastAsia="Times New Roman" w:cs="Times New Roman"/>
                <w:b w:val="0"/>
                <w:i/>
                <w:iCs/>
                <w:sz w:val="16"/>
                <w:szCs w:val="16"/>
                <w:lang w:val="es-MX" w:eastAsia="es-MX"/>
              </w:rPr>
              <w:t xml:space="preserve">et al., </w:t>
            </w:r>
            <w:r w:rsidRPr="00177D11">
              <w:rPr>
                <w:rFonts w:eastAsia="Times New Roman" w:cs="Times New Roman"/>
                <w:b w:val="0"/>
                <w:sz w:val="16"/>
                <w:szCs w:val="16"/>
                <w:lang w:val="es-MX" w:eastAsia="es-MX"/>
              </w:rPr>
              <w:t>2010</w:t>
            </w:r>
          </w:p>
        </w:tc>
        <w:tc>
          <w:tcPr>
            <w:tcW w:w="2195" w:type="dxa"/>
            <w:noWrap/>
          </w:tcPr>
          <w:p w:rsidR="00EF1380" w:rsidRPr="00177D11"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s-MX" w:eastAsia="es-MX"/>
              </w:rPr>
            </w:pPr>
            <w:r w:rsidRPr="00177D11">
              <w:rPr>
                <w:rFonts w:eastAsia="Times New Roman" w:cs="Times New Roman"/>
                <w:sz w:val="16"/>
                <w:szCs w:val="16"/>
                <w:lang w:val="es-MX" w:eastAsia="es-MX"/>
              </w:rPr>
              <w:t xml:space="preserve">MS </w:t>
            </w:r>
          </w:p>
          <w:p w:rsidR="00EF1380" w:rsidRPr="00177D11"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s-MX" w:eastAsia="es-MX"/>
              </w:rPr>
            </w:pPr>
            <w:r w:rsidRPr="00177D11">
              <w:rPr>
                <w:rFonts w:eastAsia="Times New Roman" w:cs="Times New Roman"/>
                <w:sz w:val="16"/>
                <w:szCs w:val="16"/>
                <w:lang w:val="es-MX" w:eastAsia="es-MX"/>
              </w:rPr>
              <w:t>iTRAQ</w:t>
            </w:r>
          </w:p>
        </w:tc>
        <w:tc>
          <w:tcPr>
            <w:tcW w:w="5722" w:type="dxa"/>
            <w:noWrap/>
          </w:tcPr>
          <w:p w:rsidR="00EF1380" w:rsidRPr="00177D11"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eastAsia="es-MX"/>
              </w:rPr>
            </w:pPr>
            <w:r>
              <w:rPr>
                <w:rFonts w:eastAsia="Times New Roman" w:cs="Arial"/>
                <w:sz w:val="16"/>
                <w:szCs w:val="16"/>
                <w:lang w:val="en-US" w:eastAsia="es-MX"/>
              </w:rPr>
              <w:t>Discovered that acetylation plays a major role in the regulation of metabolism.</w:t>
            </w:r>
          </w:p>
        </w:tc>
      </w:tr>
    </w:tbl>
    <w:p w:rsidR="008E5723" w:rsidRDefault="00EF1380" w:rsidP="00DD6198">
      <w:pPr>
        <w:pStyle w:val="Caption"/>
        <w:rPr>
          <w:rFonts w:ascii="Arial" w:hAnsi="Arial" w:cs="Arial"/>
          <w:color w:val="auto"/>
          <w:sz w:val="16"/>
        </w:rPr>
      </w:pPr>
      <w:bookmarkStart w:id="48" w:name="_Toc413666994"/>
      <w:proofErr w:type="gramStart"/>
      <w:r w:rsidRPr="00D91895">
        <w:rPr>
          <w:rFonts w:ascii="Arial" w:hAnsi="Arial" w:cs="Arial"/>
          <w:color w:val="auto"/>
          <w:sz w:val="16"/>
        </w:rPr>
        <w:t xml:space="preserve">Table </w:t>
      </w:r>
      <w:r w:rsidR="006C2756" w:rsidRPr="00D91895">
        <w:rPr>
          <w:rFonts w:ascii="Arial" w:hAnsi="Arial" w:cs="Arial"/>
          <w:color w:val="auto"/>
          <w:sz w:val="16"/>
        </w:rPr>
        <w:fldChar w:fldCharType="begin"/>
      </w:r>
      <w:r w:rsidRPr="00D91895">
        <w:rPr>
          <w:rFonts w:ascii="Arial" w:hAnsi="Arial" w:cs="Arial"/>
          <w:color w:val="auto"/>
          <w:sz w:val="16"/>
        </w:rPr>
        <w:instrText xml:space="preserve"> SEQ Table \* ARABIC </w:instrText>
      </w:r>
      <w:r w:rsidR="006C2756" w:rsidRPr="00D91895">
        <w:rPr>
          <w:rFonts w:ascii="Arial" w:hAnsi="Arial" w:cs="Arial"/>
          <w:color w:val="auto"/>
          <w:sz w:val="16"/>
        </w:rPr>
        <w:fldChar w:fldCharType="separate"/>
      </w:r>
      <w:r w:rsidR="00DC0376">
        <w:rPr>
          <w:rFonts w:ascii="Arial" w:hAnsi="Arial" w:cs="Arial"/>
          <w:noProof/>
          <w:color w:val="auto"/>
          <w:sz w:val="16"/>
        </w:rPr>
        <w:t>7</w:t>
      </w:r>
      <w:r w:rsidR="006C2756" w:rsidRPr="00D91895">
        <w:rPr>
          <w:rFonts w:ascii="Arial" w:hAnsi="Arial" w:cs="Arial"/>
          <w:color w:val="auto"/>
          <w:sz w:val="16"/>
        </w:rPr>
        <w:fldChar w:fldCharType="end"/>
      </w:r>
      <w:r w:rsidRPr="00D91895">
        <w:rPr>
          <w:rFonts w:ascii="Arial" w:hAnsi="Arial" w:cs="Arial"/>
          <w:color w:val="auto"/>
          <w:sz w:val="16"/>
        </w:rPr>
        <w:t>.</w:t>
      </w:r>
      <w:proofErr w:type="gramEnd"/>
      <w:r w:rsidRPr="00D91895">
        <w:rPr>
          <w:rFonts w:ascii="Arial" w:hAnsi="Arial" w:cs="Arial"/>
          <w:color w:val="auto"/>
          <w:sz w:val="16"/>
        </w:rPr>
        <w:t xml:space="preserve"> </w:t>
      </w:r>
      <w:r w:rsidR="001868E0">
        <w:rPr>
          <w:rFonts w:ascii="Arial" w:hAnsi="Arial" w:cs="Arial"/>
          <w:color w:val="auto"/>
          <w:sz w:val="16"/>
        </w:rPr>
        <w:t>Summary of f</w:t>
      </w:r>
      <w:r>
        <w:rPr>
          <w:rFonts w:ascii="Arial" w:hAnsi="Arial" w:cs="Arial"/>
          <w:color w:val="auto"/>
          <w:sz w:val="16"/>
        </w:rPr>
        <w:t>indings made using protein profiling techniques.</w:t>
      </w:r>
      <w:bookmarkEnd w:id="48"/>
    </w:p>
    <w:p w:rsidR="00DD6198" w:rsidRDefault="00DD6198">
      <w:pPr>
        <w:rPr>
          <w:lang w:eastAsia="es-MX"/>
        </w:rPr>
      </w:pPr>
      <w:r>
        <w:rPr>
          <w:lang w:eastAsia="es-MX"/>
        </w:rPr>
        <w:br w:type="page"/>
      </w:r>
    </w:p>
    <w:p w:rsidR="00EF1380" w:rsidRPr="00FF2DD3" w:rsidRDefault="00EF1380" w:rsidP="001E52CA">
      <w:pPr>
        <w:pStyle w:val="Heading1"/>
        <w:numPr>
          <w:ilvl w:val="0"/>
          <w:numId w:val="4"/>
        </w:numPr>
        <w:ind w:left="0" w:firstLine="0"/>
        <w:rPr>
          <w:rStyle w:val="hps"/>
          <w:rFonts w:ascii="Arial" w:hAnsi="Arial" w:cs="Arial"/>
          <w:sz w:val="28"/>
          <w:szCs w:val="28"/>
          <w:lang w:val="en-US"/>
        </w:rPr>
      </w:pPr>
      <w:bookmarkStart w:id="49" w:name="_Toc413753752"/>
      <w:r w:rsidRPr="00FF2DD3">
        <w:rPr>
          <w:rStyle w:val="hps"/>
          <w:rFonts w:ascii="Arial" w:hAnsi="Arial" w:cs="Arial"/>
          <w:sz w:val="28"/>
          <w:szCs w:val="28"/>
          <w:lang w:val="en-US"/>
        </w:rPr>
        <w:lastRenderedPageBreak/>
        <w:t>Mode</w:t>
      </w:r>
      <w:r>
        <w:rPr>
          <w:rStyle w:val="hps"/>
          <w:rFonts w:ascii="Arial" w:hAnsi="Arial" w:cs="Arial"/>
          <w:sz w:val="28"/>
          <w:szCs w:val="28"/>
          <w:lang w:val="en-US"/>
        </w:rPr>
        <w:t>l</w:t>
      </w:r>
      <w:r w:rsidRPr="00FF2DD3">
        <w:rPr>
          <w:rStyle w:val="hps"/>
          <w:rFonts w:ascii="Arial" w:hAnsi="Arial" w:cs="Arial"/>
          <w:sz w:val="28"/>
          <w:szCs w:val="28"/>
          <w:lang w:val="en-US"/>
        </w:rPr>
        <w:t>ling overview</w:t>
      </w:r>
      <w:bookmarkEnd w:id="49"/>
    </w:p>
    <w:p w:rsidR="00694A58" w:rsidRPr="000A1A11" w:rsidRDefault="00694A58" w:rsidP="00694A58">
      <w:pPr>
        <w:autoSpaceDE w:val="0"/>
        <w:autoSpaceDN w:val="0"/>
        <w:adjustRightInd w:val="0"/>
        <w:spacing w:line="360" w:lineRule="auto"/>
        <w:ind w:firstLine="720"/>
        <w:jc w:val="both"/>
        <w:rPr>
          <w:rStyle w:val="hps"/>
          <w:rFonts w:ascii="Arial" w:hAnsi="Arial" w:cs="Arial"/>
          <w:color w:val="000000"/>
          <w:sz w:val="24"/>
          <w:szCs w:val="24"/>
          <w:shd w:val="clear" w:color="auto" w:fill="FFFFFF"/>
        </w:rPr>
      </w:pPr>
      <w:r>
        <w:rPr>
          <w:rStyle w:val="hps"/>
          <w:rFonts w:ascii="Arial" w:hAnsi="Arial" w:cs="Arial"/>
          <w:sz w:val="24"/>
          <w:szCs w:val="24"/>
          <w:lang w:val="en-US"/>
        </w:rPr>
        <w:t>Modelling is used to predict complex systems, processes and networks based on mathematical approaches</w:t>
      </w:r>
      <w:r w:rsidR="00BB3AA5">
        <w:rPr>
          <w:rStyle w:val="hps"/>
          <w:rFonts w:ascii="Arial" w:hAnsi="Arial" w:cs="Arial"/>
          <w:sz w:val="24"/>
          <w:szCs w:val="24"/>
          <w:lang w:val="en-US"/>
        </w:rPr>
        <w:t xml:space="preserve"> taking into account the scope and limitations of the model(s)</w:t>
      </w:r>
      <w:r>
        <w:rPr>
          <w:rStyle w:val="hps"/>
          <w:rFonts w:ascii="Arial" w:hAnsi="Arial" w:cs="Arial"/>
          <w:sz w:val="24"/>
          <w:szCs w:val="24"/>
          <w:lang w:val="en-US"/>
        </w:rPr>
        <w:t>. The modelling of these systems, processes and networks is very important</w:t>
      </w:r>
      <w:r w:rsidR="0043425D">
        <w:rPr>
          <w:rStyle w:val="hps"/>
          <w:rFonts w:ascii="Arial" w:hAnsi="Arial" w:cs="Arial"/>
          <w:sz w:val="24"/>
          <w:szCs w:val="24"/>
          <w:lang w:val="en-US"/>
        </w:rPr>
        <w:t xml:space="preserve"> </w:t>
      </w:r>
      <w:r w:rsidR="00BB3AA5">
        <w:rPr>
          <w:rStyle w:val="hps"/>
          <w:rFonts w:ascii="Arial" w:hAnsi="Arial" w:cs="Arial"/>
          <w:sz w:val="24"/>
          <w:szCs w:val="24"/>
          <w:lang w:val="en-US"/>
        </w:rPr>
        <w:t xml:space="preserve">because it contributes to </w:t>
      </w:r>
      <w:r w:rsidR="0043425D">
        <w:rPr>
          <w:rStyle w:val="hps"/>
          <w:rFonts w:ascii="Arial" w:hAnsi="Arial" w:cs="Arial"/>
          <w:sz w:val="24"/>
          <w:szCs w:val="24"/>
          <w:lang w:val="en-US"/>
        </w:rPr>
        <w:t xml:space="preserve">the understanding </w:t>
      </w:r>
      <w:r w:rsidR="00BB3AA5">
        <w:rPr>
          <w:rStyle w:val="hps"/>
          <w:rFonts w:ascii="Arial" w:hAnsi="Arial" w:cs="Arial"/>
          <w:sz w:val="24"/>
          <w:szCs w:val="24"/>
          <w:lang w:val="en-US"/>
        </w:rPr>
        <w:t>of different phenomena. S</w:t>
      </w:r>
      <w:r>
        <w:rPr>
          <w:rStyle w:val="hps"/>
          <w:rFonts w:ascii="Arial" w:hAnsi="Arial" w:cs="Arial"/>
          <w:sz w:val="24"/>
          <w:szCs w:val="24"/>
          <w:lang w:val="en-US"/>
        </w:rPr>
        <w:t>imulations, the interpretation of the model, can be done based on biological data</w:t>
      </w:r>
      <w:r w:rsidR="00BB3AA5" w:rsidRPr="00BB3AA5">
        <w:rPr>
          <w:rStyle w:val="hps"/>
          <w:rFonts w:ascii="Arial" w:hAnsi="Arial" w:cs="Arial"/>
          <w:sz w:val="24"/>
          <w:szCs w:val="24"/>
          <w:lang w:val="en-US"/>
        </w:rPr>
        <w:t xml:space="preserve"> </w:t>
      </w:r>
      <w:r w:rsidR="00BB3AA5">
        <w:rPr>
          <w:rStyle w:val="hps"/>
          <w:rFonts w:ascii="Arial" w:hAnsi="Arial" w:cs="Arial"/>
          <w:sz w:val="24"/>
          <w:szCs w:val="24"/>
          <w:lang w:val="en-US"/>
        </w:rPr>
        <w:t>in order to understand these different phenomena</w:t>
      </w:r>
      <w:r>
        <w:rPr>
          <w:rStyle w:val="hps"/>
          <w:rFonts w:ascii="Arial" w:hAnsi="Arial" w:cs="Arial"/>
          <w:sz w:val="24"/>
          <w:szCs w:val="24"/>
          <w:lang w:val="en-US"/>
        </w:rPr>
        <w:t xml:space="preserve">. From all the models available, there are models able to simulate </w:t>
      </w:r>
      <w:r w:rsidRPr="00E24838">
        <w:rPr>
          <w:rStyle w:val="hps"/>
          <w:rFonts w:ascii="Arial" w:hAnsi="Arial" w:cs="Arial"/>
          <w:sz w:val="24"/>
          <w:szCs w:val="24"/>
          <w:lang w:val="en-US"/>
        </w:rPr>
        <w:t>β</w:t>
      </w:r>
      <w:r>
        <w:rPr>
          <w:rStyle w:val="hps"/>
          <w:rFonts w:ascii="Arial" w:hAnsi="Arial" w:cs="Arial"/>
          <w:sz w:val="24"/>
          <w:szCs w:val="24"/>
          <w:lang w:val="en-US"/>
        </w:rPr>
        <w:t xml:space="preserve">-oxidation and the action of SCFAs on acetyl-CoA and CoA levels, like the ones developed by Bernard Corfe </w:t>
      </w:r>
      <w:r w:rsidR="00ED2224">
        <w:rPr>
          <w:rStyle w:val="hps"/>
          <w:rFonts w:ascii="Arial" w:hAnsi="Arial" w:cs="Arial"/>
          <w:sz w:val="24"/>
          <w:szCs w:val="24"/>
          <w:lang w:val="en-US"/>
        </w:rPr>
        <w:t xml:space="preserve">(BC) </w:t>
      </w:r>
      <w:r>
        <w:rPr>
          <w:rStyle w:val="hps"/>
          <w:rFonts w:ascii="Arial" w:hAnsi="Arial" w:cs="Arial"/>
          <w:sz w:val="24"/>
          <w:szCs w:val="24"/>
          <w:lang w:val="en-US"/>
        </w:rPr>
        <w:t>(unpublished). All these models have SCFAs (acetate,</w:t>
      </w:r>
      <w:r>
        <w:rPr>
          <w:rStyle w:val="highlight"/>
          <w:rFonts w:ascii="Arial" w:hAnsi="Arial" w:cs="Arial"/>
          <w:color w:val="000000"/>
          <w:sz w:val="24"/>
          <w:szCs w:val="24"/>
          <w:shd w:val="clear" w:color="auto" w:fill="FFFFFF"/>
          <w:lang w:val="en-US"/>
        </w:rPr>
        <w:t xml:space="preserve"> </w:t>
      </w:r>
      <w:r>
        <w:rPr>
          <w:rStyle w:val="hps"/>
          <w:rFonts w:ascii="Arial" w:hAnsi="Arial" w:cs="Arial"/>
          <w:sz w:val="24"/>
          <w:szCs w:val="24"/>
          <w:lang w:val="en-US"/>
        </w:rPr>
        <w:t>butyrate and propionate) defined as species, which is a key feature to simulate β-oxidation, since SCFAs are oxidized to CO</w:t>
      </w:r>
      <w:r>
        <w:rPr>
          <w:rStyle w:val="hps"/>
          <w:rFonts w:ascii="Arial" w:hAnsi="Arial" w:cs="Arial"/>
          <w:sz w:val="24"/>
          <w:szCs w:val="24"/>
          <w:vertAlign w:val="subscript"/>
          <w:lang w:val="en-US"/>
        </w:rPr>
        <w:t>2</w:t>
      </w:r>
      <w:r>
        <w:rPr>
          <w:rStyle w:val="hps"/>
          <w:rFonts w:ascii="Arial" w:hAnsi="Arial" w:cs="Arial"/>
          <w:sz w:val="24"/>
          <w:szCs w:val="24"/>
          <w:lang w:val="en-US"/>
        </w:rPr>
        <w:t xml:space="preserve"> and ketone bodies </w:t>
      </w:r>
      <w:r w:rsidR="006C2756">
        <w:rPr>
          <w:rStyle w:val="hps"/>
          <w:rFonts w:ascii="Arial" w:hAnsi="Arial" w:cs="Arial"/>
          <w:sz w:val="24"/>
          <w:szCs w:val="24"/>
          <w:lang w:val="en-US"/>
        </w:rPr>
        <w:fldChar w:fldCharType="begin"/>
      </w:r>
      <w:r w:rsidR="00FC3C1A">
        <w:rPr>
          <w:rStyle w:val="hps"/>
          <w:rFonts w:ascii="Arial" w:hAnsi="Arial" w:cs="Arial"/>
          <w:sz w:val="24"/>
          <w:szCs w:val="24"/>
          <w:lang w:val="en-US"/>
        </w:rPr>
        <w:instrText xml:space="preserve"> ADDIN EN.CITE &lt;EndNote&gt;&lt;Cite&gt;&lt;Author&gt;Ardawi M&lt;/Author&gt;&lt;Year&gt;1985&lt;/Year&gt;&lt;RecNum&gt;394&lt;/RecNum&gt;&lt;DisplayText&gt;(48)&lt;/DisplayText&gt;&lt;record&gt;&lt;rec-number&gt;394&lt;/rec-number&gt;&lt;foreign-keys&gt;&lt;key app="EN" db-id="zxp9w5sa30aeafes0xox2eem00dz2z2aswad"&gt;394&lt;/key&gt;&lt;/foreign-keys&gt;&lt;ref-type name="Journal Article"&gt;17&lt;/ref-type&gt;&lt;contributors&gt;&lt;authors&gt;&lt;author&gt;Ardawi M,&lt;/author&gt;&lt;author&gt;Newsholme E,&lt;/author&gt;&lt;/authors&gt;&lt;/contributors&gt;&lt;titles&gt;&lt;title&gt;Fuel utilization in colonocytes of the rat&lt;/title&gt;&lt;secondary-title&gt;Biochem J&lt;/secondary-title&gt;&lt;/titles&gt;&lt;periodical&gt;&lt;full-title&gt;Biochem J&lt;/full-title&gt;&lt;/periodical&gt;&lt;pages&gt;713-719&lt;/pages&gt;&lt;volume&gt;231&lt;/volume&gt;&lt;number&gt;3&lt;/number&gt;&lt;dates&gt;&lt;year&gt;1985&lt;/year&gt;&lt;/dates&gt;&lt;urls&gt;&lt;/urls&gt;&lt;/record&gt;&lt;/Cite&gt;&lt;/EndNote&gt;</w:instrText>
      </w:r>
      <w:r w:rsidR="006C2756">
        <w:rPr>
          <w:rStyle w:val="hps"/>
          <w:rFonts w:ascii="Arial" w:hAnsi="Arial" w:cs="Arial"/>
          <w:sz w:val="24"/>
          <w:szCs w:val="24"/>
          <w:lang w:val="en-US"/>
        </w:rPr>
        <w:fldChar w:fldCharType="separate"/>
      </w:r>
      <w:r w:rsidR="00FC3C1A">
        <w:rPr>
          <w:rStyle w:val="hps"/>
          <w:rFonts w:ascii="Arial" w:hAnsi="Arial" w:cs="Arial"/>
          <w:noProof/>
          <w:sz w:val="24"/>
          <w:szCs w:val="24"/>
          <w:lang w:val="en-US"/>
        </w:rPr>
        <w:t>(</w:t>
      </w:r>
      <w:hyperlink w:anchor="_ENREF_48" w:tooltip="Ardawi M, 1985 #394" w:history="1">
        <w:r w:rsidR="00AB7E17">
          <w:rPr>
            <w:rStyle w:val="hps"/>
            <w:rFonts w:ascii="Arial" w:hAnsi="Arial" w:cs="Arial"/>
            <w:noProof/>
            <w:sz w:val="24"/>
            <w:szCs w:val="24"/>
            <w:lang w:val="en-US"/>
          </w:rPr>
          <w:t>48</w:t>
        </w:r>
      </w:hyperlink>
      <w:r w:rsidR="00FC3C1A">
        <w:rPr>
          <w:rStyle w:val="hps"/>
          <w:rFonts w:ascii="Arial" w:hAnsi="Arial" w:cs="Arial"/>
          <w:noProof/>
          <w:sz w:val="24"/>
          <w:szCs w:val="24"/>
          <w:lang w:val="en-US"/>
        </w:rPr>
        <w:t>)</w:t>
      </w:r>
      <w:r w:rsidR="006C2756">
        <w:rPr>
          <w:rStyle w:val="hps"/>
          <w:rFonts w:ascii="Arial" w:hAnsi="Arial" w:cs="Arial"/>
          <w:sz w:val="24"/>
          <w:szCs w:val="24"/>
          <w:lang w:val="en-US"/>
        </w:rPr>
        <w:fldChar w:fldCharType="end"/>
      </w:r>
      <w:r w:rsidR="007A0D08">
        <w:rPr>
          <w:rStyle w:val="hps"/>
          <w:rFonts w:ascii="Arial" w:hAnsi="Arial" w:cs="Arial"/>
          <w:sz w:val="24"/>
          <w:szCs w:val="24"/>
          <w:lang w:val="en-US"/>
        </w:rPr>
        <w:t xml:space="preserve"> and metabolis</w:t>
      </w:r>
      <w:r>
        <w:rPr>
          <w:rStyle w:val="hps"/>
          <w:rFonts w:ascii="Arial" w:hAnsi="Arial" w:cs="Arial"/>
          <w:sz w:val="24"/>
          <w:szCs w:val="24"/>
          <w:lang w:val="en-US"/>
        </w:rPr>
        <w:t>ed in this pathway to produce acetyl-CoA. Another important aspect to be considered in these models is CoA</w:t>
      </w:r>
      <w:r w:rsidR="002C46EF">
        <w:rPr>
          <w:rStyle w:val="hps"/>
          <w:rFonts w:ascii="Arial" w:hAnsi="Arial" w:cs="Arial"/>
          <w:sz w:val="24"/>
          <w:szCs w:val="24"/>
          <w:lang w:val="en-US"/>
        </w:rPr>
        <w:t>-</w:t>
      </w:r>
      <w:r>
        <w:rPr>
          <w:rStyle w:val="hps"/>
          <w:rFonts w:ascii="Arial" w:hAnsi="Arial" w:cs="Arial"/>
          <w:sz w:val="24"/>
          <w:szCs w:val="24"/>
          <w:lang w:val="en-US"/>
        </w:rPr>
        <w:t>ligation, since this reaction could affect the levels of both CoA and acetyl-CoA. The mechanism by which this could occur is when CoA attaches to the end of butyrate, propionate and acetate to produce a transient compound, their acyl forms, butyryl-CoA and propionyl-CoA. These acyl f</w:t>
      </w:r>
      <w:r w:rsidR="007A0D08">
        <w:rPr>
          <w:rStyle w:val="hps"/>
          <w:rFonts w:ascii="Arial" w:hAnsi="Arial" w:cs="Arial"/>
          <w:sz w:val="24"/>
          <w:szCs w:val="24"/>
          <w:lang w:val="en-US"/>
        </w:rPr>
        <w:t>orms will be, in turn, metabolis</w:t>
      </w:r>
      <w:r>
        <w:rPr>
          <w:rStyle w:val="hps"/>
          <w:rFonts w:ascii="Arial" w:hAnsi="Arial" w:cs="Arial"/>
          <w:sz w:val="24"/>
          <w:szCs w:val="24"/>
          <w:lang w:val="en-US"/>
        </w:rPr>
        <w:t>ed to acetyl-CoA in β-oxidation and then enter the TCA cycle. CoA</w:t>
      </w:r>
      <w:r w:rsidR="002C46EF">
        <w:rPr>
          <w:rStyle w:val="hps"/>
          <w:rFonts w:ascii="Arial" w:hAnsi="Arial" w:cs="Arial"/>
          <w:sz w:val="24"/>
          <w:szCs w:val="24"/>
          <w:lang w:val="en-US"/>
        </w:rPr>
        <w:t>-</w:t>
      </w:r>
      <w:r>
        <w:rPr>
          <w:rStyle w:val="hps"/>
          <w:rFonts w:ascii="Arial" w:hAnsi="Arial" w:cs="Arial"/>
          <w:sz w:val="24"/>
          <w:szCs w:val="24"/>
          <w:lang w:val="en-US"/>
        </w:rPr>
        <w:t>sink is another essential feature that should be included in the model. This process involves butyryl-CoA, propionyl-CoA, and acetyl-CoA detachment which potentially could increase CoA levels, due to the release of free CoA from these acyl forms (CoA</w:t>
      </w:r>
      <w:r w:rsidR="002C46EF">
        <w:rPr>
          <w:rStyle w:val="hps"/>
          <w:rFonts w:ascii="Arial" w:hAnsi="Arial" w:cs="Arial"/>
          <w:sz w:val="24"/>
          <w:szCs w:val="24"/>
          <w:lang w:val="en-US"/>
        </w:rPr>
        <w:t>-</w:t>
      </w:r>
      <w:r>
        <w:rPr>
          <w:rStyle w:val="hps"/>
          <w:rFonts w:ascii="Arial" w:hAnsi="Arial" w:cs="Arial"/>
          <w:sz w:val="24"/>
          <w:szCs w:val="24"/>
          <w:lang w:val="en-US"/>
        </w:rPr>
        <w:t xml:space="preserve">sink) </w:t>
      </w:r>
    </w:p>
    <w:p w:rsidR="00694A58" w:rsidRDefault="00694A58" w:rsidP="00694A58">
      <w:pPr>
        <w:autoSpaceDE w:val="0"/>
        <w:autoSpaceDN w:val="0"/>
        <w:adjustRightInd w:val="0"/>
        <w:spacing w:after="0" w:line="360" w:lineRule="auto"/>
        <w:ind w:firstLine="720"/>
        <w:jc w:val="both"/>
        <w:rPr>
          <w:rStyle w:val="hps"/>
          <w:rFonts w:ascii="Arial" w:hAnsi="Arial" w:cs="Arial"/>
          <w:sz w:val="24"/>
          <w:szCs w:val="24"/>
          <w:lang w:val="en-US"/>
        </w:rPr>
      </w:pPr>
      <w:r>
        <w:rPr>
          <w:rStyle w:val="hps"/>
          <w:rFonts w:ascii="Arial" w:hAnsi="Arial" w:cs="Arial"/>
          <w:sz w:val="24"/>
          <w:szCs w:val="24"/>
          <w:lang w:val="en-US"/>
        </w:rPr>
        <w:t>Models can be developed by using specialized software, like the complex pathway simulator (COPASI). This is the case of the models butyrate_v3-1 and SCFA uptake and oxidation v4 developed by B</w:t>
      </w:r>
      <w:r w:rsidR="00ED2224">
        <w:rPr>
          <w:rStyle w:val="hps"/>
          <w:rFonts w:ascii="Arial" w:hAnsi="Arial" w:cs="Arial"/>
          <w:sz w:val="24"/>
          <w:szCs w:val="24"/>
          <w:lang w:val="en-US"/>
        </w:rPr>
        <w:t>C</w:t>
      </w:r>
      <w:r>
        <w:rPr>
          <w:rStyle w:val="hps"/>
          <w:rFonts w:ascii="Arial" w:hAnsi="Arial" w:cs="Arial"/>
          <w:sz w:val="24"/>
          <w:szCs w:val="24"/>
          <w:lang w:val="en-US"/>
        </w:rPr>
        <w:t xml:space="preserve"> (unpublished).  Butyrate_v3-1 model was developed to simulate butyrate uptake and oxidation. Although this model was developed for the aforementioned SCFA, propionate, acetate, and glucose as well as acetyl-CoA a</w:t>
      </w:r>
      <w:r w:rsidR="0035478C">
        <w:rPr>
          <w:rStyle w:val="hps"/>
          <w:rFonts w:ascii="Arial" w:hAnsi="Arial" w:cs="Arial"/>
          <w:sz w:val="24"/>
          <w:szCs w:val="24"/>
          <w:lang w:val="en-US"/>
        </w:rPr>
        <w:t xml:space="preserve">nd CoA were defined as species, </w:t>
      </w:r>
      <w:r>
        <w:rPr>
          <w:rStyle w:val="hps"/>
          <w:rFonts w:ascii="Arial" w:hAnsi="Arial" w:cs="Arial"/>
          <w:sz w:val="24"/>
          <w:szCs w:val="24"/>
          <w:lang w:val="en-US"/>
        </w:rPr>
        <w:t>whereas</w:t>
      </w:r>
      <w:r w:rsidR="0035478C">
        <w:rPr>
          <w:rStyle w:val="hps"/>
          <w:rFonts w:ascii="Arial" w:hAnsi="Arial" w:cs="Arial"/>
          <w:sz w:val="24"/>
          <w:szCs w:val="24"/>
          <w:lang w:val="en-US"/>
        </w:rPr>
        <w:t xml:space="preserve"> </w:t>
      </w:r>
      <w:r>
        <w:rPr>
          <w:rStyle w:val="hps"/>
          <w:rFonts w:ascii="Arial" w:hAnsi="Arial" w:cs="Arial"/>
          <w:sz w:val="24"/>
          <w:szCs w:val="24"/>
          <w:lang w:val="en-US"/>
        </w:rPr>
        <w:t>SCFAs uptake and CoA</w:t>
      </w:r>
      <w:r w:rsidR="002C46EF">
        <w:rPr>
          <w:rStyle w:val="hps"/>
          <w:rFonts w:ascii="Arial" w:hAnsi="Arial" w:cs="Arial"/>
          <w:sz w:val="24"/>
          <w:szCs w:val="24"/>
          <w:lang w:val="en-US"/>
        </w:rPr>
        <w:t>-</w:t>
      </w:r>
      <w:r>
        <w:rPr>
          <w:rStyle w:val="hps"/>
          <w:rFonts w:ascii="Arial" w:hAnsi="Arial" w:cs="Arial"/>
          <w:sz w:val="24"/>
          <w:szCs w:val="24"/>
          <w:lang w:val="en-US"/>
        </w:rPr>
        <w:t xml:space="preserve">ligation were defined as reactions in this model as well (Figure 9). </w:t>
      </w:r>
    </w:p>
    <w:p w:rsidR="00694A58" w:rsidRDefault="00694A58" w:rsidP="00694A58">
      <w:pPr>
        <w:autoSpaceDE w:val="0"/>
        <w:autoSpaceDN w:val="0"/>
        <w:adjustRightInd w:val="0"/>
        <w:spacing w:after="0" w:line="360" w:lineRule="auto"/>
        <w:jc w:val="both"/>
        <w:rPr>
          <w:rStyle w:val="hps"/>
          <w:rFonts w:ascii="Arial" w:hAnsi="Arial" w:cs="Arial"/>
          <w:sz w:val="24"/>
          <w:szCs w:val="24"/>
          <w:lang w:val="en-US"/>
        </w:rPr>
      </w:pPr>
    </w:p>
    <w:p w:rsidR="00694A58" w:rsidRDefault="00694A58" w:rsidP="00694A58">
      <w:pPr>
        <w:autoSpaceDE w:val="0"/>
        <w:autoSpaceDN w:val="0"/>
        <w:adjustRightInd w:val="0"/>
        <w:spacing w:after="0" w:line="360" w:lineRule="auto"/>
        <w:jc w:val="center"/>
        <w:rPr>
          <w:rStyle w:val="hps"/>
          <w:rFonts w:ascii="Arial" w:hAnsi="Arial" w:cs="Arial"/>
          <w:sz w:val="24"/>
          <w:szCs w:val="24"/>
          <w:lang w:val="en-US"/>
        </w:rPr>
      </w:pPr>
    </w:p>
    <w:p w:rsidR="00694A58" w:rsidRDefault="00694A58" w:rsidP="00694A58">
      <w:pPr>
        <w:autoSpaceDE w:val="0"/>
        <w:autoSpaceDN w:val="0"/>
        <w:adjustRightInd w:val="0"/>
        <w:spacing w:after="0" w:line="360" w:lineRule="auto"/>
        <w:jc w:val="center"/>
        <w:rPr>
          <w:rStyle w:val="hps"/>
          <w:rFonts w:ascii="Arial" w:hAnsi="Arial" w:cs="Arial"/>
          <w:sz w:val="24"/>
          <w:szCs w:val="24"/>
          <w:lang w:val="en-US"/>
        </w:rPr>
      </w:pPr>
      <w:r>
        <w:rPr>
          <w:rFonts w:ascii="Arial" w:hAnsi="Arial" w:cs="Arial"/>
          <w:noProof/>
          <w:sz w:val="24"/>
          <w:szCs w:val="24"/>
        </w:rPr>
        <w:drawing>
          <wp:inline distT="0" distB="0" distL="0" distR="0" wp14:anchorId="63C365D5" wp14:editId="5A267C5C">
            <wp:extent cx="5573864" cy="5398936"/>
            <wp:effectExtent l="38100" t="38100" r="46355" b="304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yrate_v3-1.graphml.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574962" cy="5400000"/>
                    </a:xfrm>
                    <a:prstGeom prst="rect">
                      <a:avLst/>
                    </a:prstGeom>
                    <a:ln w="28575">
                      <a:solidFill>
                        <a:schemeClr val="tx1"/>
                      </a:solidFill>
                    </a:ln>
                  </pic:spPr>
                </pic:pic>
              </a:graphicData>
            </a:graphic>
          </wp:inline>
        </w:drawing>
      </w:r>
    </w:p>
    <w:p w:rsidR="00694A58" w:rsidRPr="008A0DB7" w:rsidRDefault="00A34CDA" w:rsidP="00A34CDA">
      <w:pPr>
        <w:pStyle w:val="Caption"/>
        <w:rPr>
          <w:rFonts w:ascii="Arial" w:hAnsi="Arial" w:cs="Arial"/>
          <w:i/>
          <w:color w:val="auto"/>
          <w:sz w:val="16"/>
          <w:szCs w:val="16"/>
        </w:rPr>
      </w:pPr>
      <w:bookmarkStart w:id="50" w:name="_Toc412194970"/>
      <w:bookmarkStart w:id="51" w:name="_Toc413419269"/>
      <w:proofErr w:type="gramStart"/>
      <w:r w:rsidRPr="00A34CDA">
        <w:rPr>
          <w:color w:val="auto"/>
        </w:rPr>
        <w:t xml:space="preserve">Figure </w:t>
      </w:r>
      <w:r w:rsidRPr="00A34CDA">
        <w:rPr>
          <w:color w:val="auto"/>
        </w:rPr>
        <w:fldChar w:fldCharType="begin"/>
      </w:r>
      <w:r w:rsidRPr="00A34CDA">
        <w:rPr>
          <w:color w:val="auto"/>
        </w:rPr>
        <w:instrText xml:space="preserve"> SEQ Figure \* ARABIC </w:instrText>
      </w:r>
      <w:r w:rsidRPr="00A34CDA">
        <w:rPr>
          <w:color w:val="auto"/>
        </w:rPr>
        <w:fldChar w:fldCharType="separate"/>
      </w:r>
      <w:r w:rsidR="00DC0376">
        <w:rPr>
          <w:noProof/>
          <w:color w:val="auto"/>
        </w:rPr>
        <w:t>9</w:t>
      </w:r>
      <w:r w:rsidRPr="00A34CDA">
        <w:rPr>
          <w:color w:val="auto"/>
        </w:rPr>
        <w:fldChar w:fldCharType="end"/>
      </w:r>
      <w:r w:rsidR="00694A58" w:rsidRPr="007E6F3F">
        <w:rPr>
          <w:rFonts w:ascii="Arial" w:hAnsi="Arial" w:cs="Arial"/>
          <w:color w:val="auto"/>
          <w:sz w:val="16"/>
        </w:rPr>
        <w:t>.</w:t>
      </w:r>
      <w:proofErr w:type="gramEnd"/>
      <w:r w:rsidR="00694A58" w:rsidRPr="007E6F3F">
        <w:rPr>
          <w:rFonts w:ascii="Arial" w:hAnsi="Arial" w:cs="Arial"/>
          <w:color w:val="auto"/>
          <w:sz w:val="16"/>
        </w:rPr>
        <w:t xml:space="preserve"> </w:t>
      </w:r>
      <w:proofErr w:type="gramStart"/>
      <w:r w:rsidR="00694A58" w:rsidRPr="008A0DB7">
        <w:rPr>
          <w:rFonts w:ascii="Arial" w:hAnsi="Arial" w:cs="Arial"/>
          <w:color w:val="auto"/>
          <w:sz w:val="16"/>
          <w:szCs w:val="16"/>
        </w:rPr>
        <w:t>Butyrate_v3-1 model.</w:t>
      </w:r>
      <w:proofErr w:type="gramEnd"/>
      <w:r w:rsidR="00694A58" w:rsidRPr="008A0DB7">
        <w:rPr>
          <w:rFonts w:ascii="Arial" w:hAnsi="Arial" w:cs="Arial"/>
          <w:color w:val="auto"/>
          <w:sz w:val="16"/>
          <w:szCs w:val="16"/>
        </w:rPr>
        <w:t xml:space="preserve"> </w:t>
      </w:r>
      <w:r w:rsidR="00694A58" w:rsidRPr="008A0DB7">
        <w:rPr>
          <w:rFonts w:ascii="Arial" w:hAnsi="Arial" w:cs="Arial"/>
          <w:i/>
          <w:color w:val="auto"/>
          <w:sz w:val="16"/>
          <w:szCs w:val="16"/>
        </w:rPr>
        <w:t>Blue bubbles show the different species defined in the model</w:t>
      </w:r>
      <w:r w:rsidR="00694A58">
        <w:rPr>
          <w:rFonts w:ascii="Arial" w:hAnsi="Arial" w:cs="Arial"/>
          <w:i/>
          <w:color w:val="auto"/>
          <w:sz w:val="16"/>
          <w:szCs w:val="16"/>
        </w:rPr>
        <w:t xml:space="preserve"> (e.g. butyrate);</w:t>
      </w:r>
      <w:r w:rsidR="00694A58" w:rsidRPr="001868E0">
        <w:rPr>
          <w:rFonts w:ascii="Arial" w:hAnsi="Arial" w:cs="Arial"/>
          <w:i/>
          <w:color w:val="auto"/>
          <w:sz w:val="16"/>
          <w:szCs w:val="16"/>
        </w:rPr>
        <w:t xml:space="preserve"> </w:t>
      </w:r>
      <w:r w:rsidR="00694A58">
        <w:rPr>
          <w:rFonts w:ascii="Arial" w:hAnsi="Arial" w:cs="Arial"/>
          <w:i/>
          <w:color w:val="auto"/>
          <w:sz w:val="16"/>
          <w:szCs w:val="16"/>
        </w:rPr>
        <w:t>the size of the bubbles does not indicate the concentration of each species</w:t>
      </w:r>
      <w:r w:rsidR="00694A58" w:rsidRPr="008A0DB7">
        <w:rPr>
          <w:rFonts w:ascii="Arial" w:hAnsi="Arial" w:cs="Arial"/>
          <w:i/>
          <w:color w:val="auto"/>
          <w:sz w:val="16"/>
          <w:szCs w:val="16"/>
        </w:rPr>
        <w:t>. Blue arrows show two species needed to form a third specie</w:t>
      </w:r>
      <w:r w:rsidR="00694A58">
        <w:rPr>
          <w:rFonts w:ascii="Arial" w:hAnsi="Arial" w:cs="Arial"/>
          <w:i/>
          <w:color w:val="auto"/>
          <w:sz w:val="16"/>
          <w:szCs w:val="16"/>
        </w:rPr>
        <w:t>s (e.g. butyrate + coenzyme A)</w:t>
      </w:r>
      <w:r w:rsidR="00694A58" w:rsidRPr="008A0DB7">
        <w:rPr>
          <w:rFonts w:ascii="Arial" w:hAnsi="Arial" w:cs="Arial"/>
          <w:i/>
          <w:color w:val="auto"/>
          <w:sz w:val="16"/>
          <w:szCs w:val="16"/>
        </w:rPr>
        <w:t>. Grey arrows show the product of two species ligation</w:t>
      </w:r>
      <w:r w:rsidR="00694A58">
        <w:rPr>
          <w:rFonts w:ascii="Arial" w:hAnsi="Arial" w:cs="Arial"/>
          <w:i/>
          <w:color w:val="auto"/>
          <w:sz w:val="16"/>
          <w:szCs w:val="16"/>
        </w:rPr>
        <w:t xml:space="preserve"> (e.g. butyrate + coenzyme A = butyryl-CoA)</w:t>
      </w:r>
      <w:r w:rsidR="00694A58" w:rsidRPr="008A0DB7">
        <w:rPr>
          <w:rFonts w:ascii="Arial" w:hAnsi="Arial" w:cs="Arial"/>
          <w:i/>
          <w:color w:val="auto"/>
          <w:sz w:val="16"/>
          <w:szCs w:val="16"/>
        </w:rPr>
        <w:t>. Red boxes show a reaction. Two compartments are defined in the model, Extracellular and Cell (intracellular).</w:t>
      </w:r>
      <w:bookmarkEnd w:id="50"/>
      <w:bookmarkEnd w:id="51"/>
    </w:p>
    <w:p w:rsidR="00694A58" w:rsidRDefault="00694A58" w:rsidP="00694A58">
      <w:pPr>
        <w:autoSpaceDE w:val="0"/>
        <w:autoSpaceDN w:val="0"/>
        <w:adjustRightInd w:val="0"/>
        <w:spacing w:after="0" w:line="360" w:lineRule="auto"/>
        <w:ind w:firstLine="720"/>
        <w:jc w:val="both"/>
        <w:rPr>
          <w:rStyle w:val="hps"/>
          <w:rFonts w:ascii="Arial" w:hAnsi="Arial" w:cs="Arial"/>
          <w:sz w:val="24"/>
          <w:szCs w:val="24"/>
          <w:lang w:val="en-US"/>
        </w:rPr>
      </w:pPr>
      <w:r>
        <w:rPr>
          <w:rStyle w:val="hps"/>
          <w:rFonts w:ascii="Arial" w:hAnsi="Arial" w:cs="Arial"/>
          <w:sz w:val="24"/>
          <w:szCs w:val="24"/>
          <w:lang w:val="en-US"/>
        </w:rPr>
        <w:t xml:space="preserve">SCFA Uptake and Oxidation v4 </w:t>
      </w:r>
      <w:r w:rsidR="00006DFE">
        <w:rPr>
          <w:rStyle w:val="hps"/>
          <w:rFonts w:ascii="Arial" w:hAnsi="Arial" w:cs="Arial"/>
          <w:sz w:val="24"/>
          <w:szCs w:val="24"/>
          <w:lang w:val="en-US"/>
        </w:rPr>
        <w:t>was developed to simulate SCFAs uptake and oxidation,</w:t>
      </w:r>
      <w:r w:rsidR="002C46EF">
        <w:rPr>
          <w:rStyle w:val="hps"/>
          <w:rFonts w:ascii="Arial" w:hAnsi="Arial" w:cs="Arial"/>
          <w:sz w:val="24"/>
          <w:szCs w:val="24"/>
          <w:lang w:val="en-US"/>
        </w:rPr>
        <w:t xml:space="preserve"> </w:t>
      </w:r>
      <w:r w:rsidR="00006DFE">
        <w:rPr>
          <w:rStyle w:val="hps"/>
          <w:rFonts w:ascii="Arial" w:hAnsi="Arial" w:cs="Arial"/>
          <w:sz w:val="24"/>
          <w:szCs w:val="24"/>
          <w:lang w:val="en-US"/>
        </w:rPr>
        <w:t xml:space="preserve">and hence </w:t>
      </w:r>
      <w:r>
        <w:rPr>
          <w:rStyle w:val="hps"/>
          <w:rFonts w:ascii="Arial" w:hAnsi="Arial" w:cs="Arial"/>
          <w:sz w:val="24"/>
          <w:szCs w:val="24"/>
          <w:lang w:val="en-US"/>
        </w:rPr>
        <w:t>has butyrate, propionate, acetate CoA and acetyl-CoA (mitochondrial) defined as species; SCFAs uptake and CoA</w:t>
      </w:r>
      <w:r w:rsidR="002C46EF">
        <w:rPr>
          <w:rStyle w:val="hps"/>
          <w:rFonts w:ascii="Arial" w:hAnsi="Arial" w:cs="Arial"/>
          <w:sz w:val="24"/>
          <w:szCs w:val="24"/>
          <w:lang w:val="en-US"/>
        </w:rPr>
        <w:t>-</w:t>
      </w:r>
      <w:r>
        <w:rPr>
          <w:rStyle w:val="hps"/>
          <w:rFonts w:ascii="Arial" w:hAnsi="Arial" w:cs="Arial"/>
          <w:sz w:val="24"/>
          <w:szCs w:val="24"/>
          <w:lang w:val="en-US"/>
        </w:rPr>
        <w:t xml:space="preserve">ligation (only in the mitochondria) were defined as </w:t>
      </w:r>
      <w:r w:rsidR="00006DFE">
        <w:rPr>
          <w:rStyle w:val="hps"/>
          <w:rFonts w:ascii="Arial" w:hAnsi="Arial" w:cs="Arial"/>
          <w:sz w:val="24"/>
          <w:szCs w:val="24"/>
          <w:lang w:val="en-US"/>
        </w:rPr>
        <w:t>reactions</w:t>
      </w:r>
      <w:r>
        <w:rPr>
          <w:rStyle w:val="hps"/>
          <w:rFonts w:ascii="Arial" w:hAnsi="Arial" w:cs="Arial"/>
          <w:sz w:val="24"/>
          <w:szCs w:val="24"/>
          <w:lang w:val="en-US"/>
        </w:rPr>
        <w:t xml:space="preserve"> in this model (Figure 10). </w:t>
      </w:r>
    </w:p>
    <w:p w:rsidR="00694A58" w:rsidRDefault="00694A58" w:rsidP="00694A58">
      <w:pPr>
        <w:autoSpaceDE w:val="0"/>
        <w:autoSpaceDN w:val="0"/>
        <w:adjustRightInd w:val="0"/>
        <w:spacing w:after="0" w:line="360" w:lineRule="auto"/>
        <w:jc w:val="center"/>
        <w:rPr>
          <w:rStyle w:val="hps"/>
          <w:rFonts w:ascii="Arial" w:hAnsi="Arial" w:cs="Arial"/>
          <w:sz w:val="24"/>
          <w:szCs w:val="24"/>
          <w:lang w:val="en-US"/>
        </w:rPr>
      </w:pPr>
      <w:r>
        <w:rPr>
          <w:rFonts w:ascii="Arial" w:hAnsi="Arial" w:cs="Arial"/>
          <w:noProof/>
          <w:sz w:val="24"/>
          <w:szCs w:val="24"/>
        </w:rPr>
        <w:lastRenderedPageBreak/>
        <w:drawing>
          <wp:inline distT="0" distB="0" distL="0" distR="0" wp14:anchorId="117DC96A" wp14:editId="21A4A1E1">
            <wp:extent cx="5493167" cy="5390984"/>
            <wp:effectExtent l="38100" t="38100" r="31750"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FA Uptake and Oxidation v4.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5502354" cy="5400000"/>
                    </a:xfrm>
                    <a:prstGeom prst="rect">
                      <a:avLst/>
                    </a:prstGeom>
                    <a:ln w="28575">
                      <a:solidFill>
                        <a:schemeClr val="tx1"/>
                      </a:solidFill>
                    </a:ln>
                  </pic:spPr>
                </pic:pic>
              </a:graphicData>
            </a:graphic>
          </wp:inline>
        </w:drawing>
      </w:r>
    </w:p>
    <w:p w:rsidR="00694A58" w:rsidRPr="00C40038" w:rsidRDefault="00694A58" w:rsidP="00694A58">
      <w:pPr>
        <w:pStyle w:val="Caption"/>
        <w:jc w:val="both"/>
        <w:rPr>
          <w:rFonts w:ascii="Arial" w:hAnsi="Arial" w:cs="Arial"/>
          <w:i/>
          <w:color w:val="auto"/>
          <w:sz w:val="16"/>
          <w:szCs w:val="16"/>
        </w:rPr>
      </w:pPr>
      <w:bookmarkStart w:id="52" w:name="_Toc412194971"/>
      <w:bookmarkStart w:id="53" w:name="_Toc413419270"/>
      <w:proofErr w:type="gramStart"/>
      <w:r w:rsidRPr="007E6F3F">
        <w:rPr>
          <w:rFonts w:ascii="Arial" w:hAnsi="Arial" w:cs="Arial"/>
          <w:color w:val="auto"/>
          <w:sz w:val="16"/>
        </w:rPr>
        <w:t xml:space="preserve">Figure </w:t>
      </w:r>
      <w:r w:rsidR="006C2756" w:rsidRPr="007E6F3F">
        <w:rPr>
          <w:rFonts w:ascii="Arial" w:hAnsi="Arial" w:cs="Arial"/>
          <w:color w:val="auto"/>
          <w:sz w:val="16"/>
        </w:rPr>
        <w:fldChar w:fldCharType="begin"/>
      </w:r>
      <w:r w:rsidRPr="007E6F3F">
        <w:rPr>
          <w:rFonts w:ascii="Arial" w:hAnsi="Arial" w:cs="Arial"/>
          <w:color w:val="auto"/>
          <w:sz w:val="16"/>
        </w:rPr>
        <w:instrText xml:space="preserve"> SEQ Figure \* ARABIC </w:instrText>
      </w:r>
      <w:r w:rsidR="006C2756" w:rsidRPr="007E6F3F">
        <w:rPr>
          <w:rFonts w:ascii="Arial" w:hAnsi="Arial" w:cs="Arial"/>
          <w:color w:val="auto"/>
          <w:sz w:val="16"/>
        </w:rPr>
        <w:fldChar w:fldCharType="separate"/>
      </w:r>
      <w:r w:rsidR="00DC0376">
        <w:rPr>
          <w:rFonts w:ascii="Arial" w:hAnsi="Arial" w:cs="Arial"/>
          <w:noProof/>
          <w:color w:val="auto"/>
          <w:sz w:val="16"/>
        </w:rPr>
        <w:t>10</w:t>
      </w:r>
      <w:r w:rsidR="006C2756" w:rsidRPr="007E6F3F">
        <w:rPr>
          <w:rFonts w:ascii="Arial" w:hAnsi="Arial" w:cs="Arial"/>
          <w:color w:val="auto"/>
          <w:sz w:val="16"/>
        </w:rPr>
        <w:fldChar w:fldCharType="end"/>
      </w:r>
      <w:r w:rsidRPr="007E6F3F">
        <w:rPr>
          <w:rFonts w:ascii="Arial" w:hAnsi="Arial" w:cs="Arial"/>
          <w:color w:val="auto"/>
          <w:sz w:val="16"/>
        </w:rPr>
        <w:t>.</w:t>
      </w:r>
      <w:proofErr w:type="gramEnd"/>
      <w:r w:rsidRPr="007E6F3F">
        <w:rPr>
          <w:rFonts w:ascii="Arial" w:hAnsi="Arial" w:cs="Arial"/>
          <w:color w:val="auto"/>
          <w:sz w:val="16"/>
        </w:rPr>
        <w:t xml:space="preserve"> </w:t>
      </w:r>
      <w:proofErr w:type="gramStart"/>
      <w:r w:rsidRPr="00C40038">
        <w:rPr>
          <w:rFonts w:ascii="Arial" w:hAnsi="Arial" w:cs="Arial"/>
          <w:color w:val="auto"/>
          <w:sz w:val="16"/>
          <w:szCs w:val="16"/>
        </w:rPr>
        <w:t xml:space="preserve">SCFA Uptake and Oxidation </w:t>
      </w:r>
      <w:r>
        <w:rPr>
          <w:rFonts w:ascii="Arial" w:hAnsi="Arial" w:cs="Arial"/>
          <w:color w:val="auto"/>
          <w:sz w:val="16"/>
          <w:szCs w:val="16"/>
        </w:rPr>
        <w:t xml:space="preserve">v4 </w:t>
      </w:r>
      <w:r w:rsidRPr="00C40038">
        <w:rPr>
          <w:rFonts w:ascii="Arial" w:hAnsi="Arial" w:cs="Arial"/>
          <w:color w:val="auto"/>
          <w:sz w:val="16"/>
          <w:szCs w:val="16"/>
        </w:rPr>
        <w:t>model.</w:t>
      </w:r>
      <w:proofErr w:type="gramEnd"/>
      <w:r w:rsidRPr="00C40038">
        <w:rPr>
          <w:rFonts w:ascii="Arial" w:hAnsi="Arial" w:cs="Arial"/>
          <w:color w:val="auto"/>
          <w:sz w:val="16"/>
          <w:szCs w:val="16"/>
        </w:rPr>
        <w:t xml:space="preserve"> </w:t>
      </w:r>
      <w:r w:rsidRPr="008A0DB7">
        <w:rPr>
          <w:rFonts w:ascii="Arial" w:hAnsi="Arial" w:cs="Arial"/>
          <w:i/>
          <w:color w:val="auto"/>
          <w:sz w:val="16"/>
          <w:szCs w:val="16"/>
        </w:rPr>
        <w:t>Blue bubbles show the different species defined in the model</w:t>
      </w:r>
      <w:r>
        <w:rPr>
          <w:rFonts w:ascii="Arial" w:hAnsi="Arial" w:cs="Arial"/>
          <w:i/>
          <w:color w:val="auto"/>
          <w:sz w:val="16"/>
          <w:szCs w:val="16"/>
        </w:rPr>
        <w:t xml:space="preserve"> (e.g. butyrate);</w:t>
      </w:r>
      <w:r w:rsidRPr="001868E0">
        <w:rPr>
          <w:rFonts w:ascii="Arial" w:hAnsi="Arial" w:cs="Arial"/>
          <w:i/>
          <w:color w:val="auto"/>
          <w:sz w:val="16"/>
          <w:szCs w:val="16"/>
        </w:rPr>
        <w:t xml:space="preserve"> </w:t>
      </w:r>
      <w:r>
        <w:rPr>
          <w:rFonts w:ascii="Arial" w:hAnsi="Arial" w:cs="Arial"/>
          <w:i/>
          <w:color w:val="auto"/>
          <w:sz w:val="16"/>
          <w:szCs w:val="16"/>
        </w:rPr>
        <w:t>the size of the bubbles does not indicate the concentration of each species</w:t>
      </w:r>
      <w:r w:rsidRPr="008A0DB7">
        <w:rPr>
          <w:rFonts w:ascii="Arial" w:hAnsi="Arial" w:cs="Arial"/>
          <w:i/>
          <w:color w:val="auto"/>
          <w:sz w:val="16"/>
          <w:szCs w:val="16"/>
        </w:rPr>
        <w:t>. Blue arrows show two species needed to form a third specie</w:t>
      </w:r>
      <w:r>
        <w:rPr>
          <w:rFonts w:ascii="Arial" w:hAnsi="Arial" w:cs="Arial"/>
          <w:i/>
          <w:color w:val="auto"/>
          <w:sz w:val="16"/>
          <w:szCs w:val="16"/>
        </w:rPr>
        <w:t>s (e.g. butyrate + coenzyme A)</w:t>
      </w:r>
      <w:r w:rsidRPr="008A0DB7">
        <w:rPr>
          <w:rFonts w:ascii="Arial" w:hAnsi="Arial" w:cs="Arial"/>
          <w:i/>
          <w:color w:val="auto"/>
          <w:sz w:val="16"/>
          <w:szCs w:val="16"/>
        </w:rPr>
        <w:t>. Grey arrows show the product of two species ligation</w:t>
      </w:r>
      <w:r>
        <w:rPr>
          <w:rFonts w:ascii="Arial" w:hAnsi="Arial" w:cs="Arial"/>
          <w:i/>
          <w:color w:val="auto"/>
          <w:sz w:val="16"/>
          <w:szCs w:val="16"/>
        </w:rPr>
        <w:t xml:space="preserve"> (e.g. butyrate + coenzyme A = butyryl-CoA)</w:t>
      </w:r>
      <w:r w:rsidRPr="008A0DB7">
        <w:rPr>
          <w:rFonts w:ascii="Arial" w:hAnsi="Arial" w:cs="Arial"/>
          <w:i/>
          <w:color w:val="auto"/>
          <w:sz w:val="16"/>
          <w:szCs w:val="16"/>
        </w:rPr>
        <w:t xml:space="preserve">. Red boxes show a reaction. </w:t>
      </w:r>
      <w:r w:rsidRPr="00C40038">
        <w:rPr>
          <w:rFonts w:ascii="Arial" w:hAnsi="Arial" w:cs="Arial"/>
          <w:i/>
          <w:color w:val="auto"/>
          <w:sz w:val="16"/>
          <w:szCs w:val="16"/>
        </w:rPr>
        <w:t>T</w:t>
      </w:r>
      <w:r>
        <w:rPr>
          <w:rFonts w:ascii="Arial" w:hAnsi="Arial" w:cs="Arial"/>
          <w:i/>
          <w:color w:val="auto"/>
          <w:sz w:val="16"/>
          <w:szCs w:val="16"/>
        </w:rPr>
        <w:t>hree</w:t>
      </w:r>
      <w:r w:rsidRPr="00C40038">
        <w:rPr>
          <w:rFonts w:ascii="Arial" w:hAnsi="Arial" w:cs="Arial"/>
          <w:i/>
          <w:color w:val="auto"/>
          <w:sz w:val="16"/>
          <w:szCs w:val="16"/>
        </w:rPr>
        <w:t xml:space="preserve"> compartments are defined in the model, Extracellular</w:t>
      </w:r>
      <w:r>
        <w:rPr>
          <w:rFonts w:ascii="Arial" w:hAnsi="Arial" w:cs="Arial"/>
          <w:i/>
          <w:color w:val="auto"/>
          <w:sz w:val="16"/>
          <w:szCs w:val="16"/>
        </w:rPr>
        <w:t>,</w:t>
      </w:r>
      <w:r w:rsidRPr="00C40038">
        <w:rPr>
          <w:rFonts w:ascii="Arial" w:hAnsi="Arial" w:cs="Arial"/>
          <w:i/>
          <w:color w:val="auto"/>
          <w:sz w:val="16"/>
          <w:szCs w:val="16"/>
        </w:rPr>
        <w:t xml:space="preserve"> Cell (intracellular)</w:t>
      </w:r>
      <w:r>
        <w:rPr>
          <w:rFonts w:ascii="Arial" w:hAnsi="Arial" w:cs="Arial"/>
          <w:i/>
          <w:color w:val="auto"/>
          <w:sz w:val="16"/>
          <w:szCs w:val="16"/>
        </w:rPr>
        <w:t xml:space="preserve"> and Mitochondria</w:t>
      </w:r>
      <w:r w:rsidRPr="00C40038">
        <w:rPr>
          <w:rFonts w:ascii="Arial" w:hAnsi="Arial" w:cs="Arial"/>
          <w:i/>
          <w:color w:val="auto"/>
          <w:sz w:val="16"/>
          <w:szCs w:val="16"/>
        </w:rPr>
        <w:t>.</w:t>
      </w:r>
      <w:bookmarkEnd w:id="52"/>
      <w:bookmarkEnd w:id="53"/>
    </w:p>
    <w:p w:rsidR="00694A58" w:rsidRDefault="00694A58" w:rsidP="00694A58">
      <w:pPr>
        <w:spacing w:line="360" w:lineRule="auto"/>
        <w:ind w:firstLine="720"/>
        <w:jc w:val="both"/>
        <w:rPr>
          <w:rStyle w:val="sectionname"/>
          <w:rFonts w:ascii="Arial" w:hAnsi="Arial" w:cs="Arial"/>
          <w:sz w:val="24"/>
          <w:szCs w:val="24"/>
        </w:rPr>
      </w:pPr>
      <w:r>
        <w:rPr>
          <w:rStyle w:val="sectionname"/>
          <w:rFonts w:ascii="Arial" w:hAnsi="Arial" w:cs="Arial"/>
          <w:sz w:val="24"/>
          <w:szCs w:val="24"/>
        </w:rPr>
        <w:t>Butyrate_v3-1</w:t>
      </w:r>
      <w:r w:rsidRPr="008A0DB7">
        <w:rPr>
          <w:rStyle w:val="sectionname"/>
          <w:rFonts w:ascii="Arial" w:hAnsi="Arial" w:cs="Arial"/>
          <w:sz w:val="24"/>
          <w:szCs w:val="24"/>
        </w:rPr>
        <w:t xml:space="preserve"> </w:t>
      </w:r>
      <w:r>
        <w:rPr>
          <w:rStyle w:val="sectionname"/>
          <w:rFonts w:ascii="Arial" w:hAnsi="Arial" w:cs="Arial"/>
          <w:sz w:val="24"/>
          <w:szCs w:val="24"/>
        </w:rPr>
        <w:t xml:space="preserve">and SCFA Uptake and oxidation v4 </w:t>
      </w:r>
      <w:r w:rsidRPr="008A0DB7">
        <w:rPr>
          <w:rStyle w:val="sectionname"/>
          <w:rFonts w:ascii="Arial" w:hAnsi="Arial" w:cs="Arial"/>
          <w:sz w:val="24"/>
          <w:szCs w:val="24"/>
        </w:rPr>
        <w:t>model</w:t>
      </w:r>
      <w:r>
        <w:rPr>
          <w:rStyle w:val="sectionname"/>
          <w:rFonts w:ascii="Arial" w:hAnsi="Arial" w:cs="Arial"/>
          <w:sz w:val="24"/>
          <w:szCs w:val="24"/>
        </w:rPr>
        <w:t>s have</w:t>
      </w:r>
      <w:r w:rsidRPr="008A0DB7">
        <w:rPr>
          <w:rStyle w:val="sectionname"/>
          <w:rFonts w:ascii="Arial" w:hAnsi="Arial" w:cs="Arial"/>
          <w:sz w:val="24"/>
          <w:szCs w:val="24"/>
        </w:rPr>
        <w:t xml:space="preserve"> </w:t>
      </w:r>
      <w:r>
        <w:rPr>
          <w:rStyle w:val="sectionname"/>
          <w:rFonts w:ascii="Arial" w:hAnsi="Arial" w:cs="Arial"/>
          <w:sz w:val="24"/>
          <w:szCs w:val="24"/>
        </w:rPr>
        <w:t xml:space="preserve">several advantages. They have </w:t>
      </w:r>
      <w:r w:rsidRPr="008A0DB7">
        <w:rPr>
          <w:rStyle w:val="sectionname"/>
          <w:rFonts w:ascii="Arial" w:hAnsi="Arial" w:cs="Arial"/>
          <w:sz w:val="24"/>
          <w:szCs w:val="24"/>
        </w:rPr>
        <w:t>defined the three main SCFAs, butyrate, propionate</w:t>
      </w:r>
      <w:r>
        <w:rPr>
          <w:rStyle w:val="sectionname"/>
          <w:rFonts w:ascii="Arial" w:hAnsi="Arial" w:cs="Arial"/>
          <w:sz w:val="24"/>
          <w:szCs w:val="24"/>
        </w:rPr>
        <w:t>,</w:t>
      </w:r>
      <w:r w:rsidRPr="008A0DB7">
        <w:rPr>
          <w:rStyle w:val="sectionname"/>
          <w:rFonts w:ascii="Arial" w:hAnsi="Arial" w:cs="Arial"/>
          <w:sz w:val="24"/>
          <w:szCs w:val="24"/>
        </w:rPr>
        <w:t xml:space="preserve"> </w:t>
      </w:r>
      <w:r>
        <w:rPr>
          <w:rStyle w:val="sectionname"/>
          <w:rFonts w:ascii="Arial" w:hAnsi="Arial" w:cs="Arial"/>
          <w:sz w:val="24"/>
          <w:szCs w:val="24"/>
        </w:rPr>
        <w:t xml:space="preserve">and </w:t>
      </w:r>
      <w:r w:rsidRPr="008A0DB7">
        <w:rPr>
          <w:rStyle w:val="sectionname"/>
          <w:rFonts w:ascii="Arial" w:hAnsi="Arial" w:cs="Arial"/>
          <w:sz w:val="24"/>
          <w:szCs w:val="24"/>
        </w:rPr>
        <w:t>acetate</w:t>
      </w:r>
      <w:r>
        <w:rPr>
          <w:rStyle w:val="sectionname"/>
          <w:rFonts w:ascii="Arial" w:hAnsi="Arial" w:cs="Arial"/>
          <w:sz w:val="24"/>
          <w:szCs w:val="24"/>
        </w:rPr>
        <w:t>, besides glucose (just butyrate_v3-1 model)</w:t>
      </w:r>
      <w:r w:rsidRPr="008A0DB7">
        <w:rPr>
          <w:rStyle w:val="sectionname"/>
          <w:rFonts w:ascii="Arial" w:hAnsi="Arial" w:cs="Arial"/>
          <w:sz w:val="24"/>
          <w:szCs w:val="24"/>
        </w:rPr>
        <w:t>, acetyl-CoA and CoA as species (</w:t>
      </w:r>
      <w:r>
        <w:rPr>
          <w:rStyle w:val="sectionname"/>
          <w:rFonts w:ascii="Arial" w:hAnsi="Arial" w:cs="Arial"/>
          <w:sz w:val="24"/>
          <w:szCs w:val="24"/>
        </w:rPr>
        <w:t>F</w:t>
      </w:r>
      <w:r w:rsidRPr="008A0DB7">
        <w:rPr>
          <w:rStyle w:val="sectionname"/>
          <w:rFonts w:ascii="Arial" w:hAnsi="Arial" w:cs="Arial"/>
          <w:sz w:val="24"/>
          <w:szCs w:val="24"/>
        </w:rPr>
        <w:t xml:space="preserve">igure </w:t>
      </w:r>
      <w:r>
        <w:rPr>
          <w:rStyle w:val="sectionname"/>
          <w:rFonts w:ascii="Arial" w:hAnsi="Arial" w:cs="Arial"/>
          <w:sz w:val="24"/>
          <w:szCs w:val="24"/>
        </w:rPr>
        <w:t xml:space="preserve">9 and 10, Table </w:t>
      </w:r>
      <w:r w:rsidR="00806F63">
        <w:rPr>
          <w:rStyle w:val="sectionname"/>
          <w:rFonts w:ascii="Arial" w:hAnsi="Arial" w:cs="Arial"/>
          <w:sz w:val="24"/>
          <w:szCs w:val="24"/>
        </w:rPr>
        <w:t>8</w:t>
      </w:r>
      <w:r w:rsidRPr="008A0DB7">
        <w:rPr>
          <w:rStyle w:val="sectionname"/>
          <w:rFonts w:ascii="Arial" w:hAnsi="Arial" w:cs="Arial"/>
          <w:sz w:val="24"/>
          <w:szCs w:val="24"/>
        </w:rPr>
        <w:t xml:space="preserve">). </w:t>
      </w:r>
      <w:r w:rsidR="00006DFE">
        <w:rPr>
          <w:rStyle w:val="sectionname"/>
          <w:rFonts w:ascii="Arial" w:hAnsi="Arial" w:cs="Arial"/>
          <w:sz w:val="24"/>
          <w:szCs w:val="24"/>
        </w:rPr>
        <w:t>Acetate, b</w:t>
      </w:r>
      <w:r w:rsidRPr="008A0DB7">
        <w:rPr>
          <w:rStyle w:val="sectionname"/>
          <w:rFonts w:ascii="Arial" w:hAnsi="Arial" w:cs="Arial"/>
          <w:sz w:val="24"/>
          <w:szCs w:val="24"/>
        </w:rPr>
        <w:t xml:space="preserve">utyrate, propionate, and glucose </w:t>
      </w:r>
      <w:r>
        <w:rPr>
          <w:rStyle w:val="sectionname"/>
          <w:rFonts w:ascii="Arial" w:hAnsi="Arial" w:cs="Arial"/>
          <w:sz w:val="24"/>
          <w:szCs w:val="24"/>
        </w:rPr>
        <w:t xml:space="preserve">(just butyrate_v3-1 model) </w:t>
      </w:r>
      <w:r w:rsidRPr="008A0DB7">
        <w:rPr>
          <w:rStyle w:val="sectionname"/>
          <w:rFonts w:ascii="Arial" w:hAnsi="Arial" w:cs="Arial"/>
          <w:sz w:val="24"/>
          <w:szCs w:val="24"/>
        </w:rPr>
        <w:t>uptake</w:t>
      </w:r>
      <w:r>
        <w:rPr>
          <w:rStyle w:val="sectionname"/>
          <w:rFonts w:ascii="Arial" w:hAnsi="Arial" w:cs="Arial"/>
          <w:sz w:val="24"/>
          <w:szCs w:val="24"/>
        </w:rPr>
        <w:t xml:space="preserve"> is a reaction defined in </w:t>
      </w:r>
      <w:proofErr w:type="gramStart"/>
      <w:r>
        <w:rPr>
          <w:rStyle w:val="sectionname"/>
          <w:rFonts w:ascii="Arial" w:hAnsi="Arial" w:cs="Arial"/>
          <w:sz w:val="24"/>
          <w:szCs w:val="24"/>
        </w:rPr>
        <w:t>both models</w:t>
      </w:r>
      <w:proofErr w:type="gramEnd"/>
      <w:r w:rsidRPr="008A0DB7">
        <w:rPr>
          <w:rStyle w:val="sectionname"/>
          <w:rFonts w:ascii="Arial" w:hAnsi="Arial" w:cs="Arial"/>
          <w:sz w:val="24"/>
          <w:szCs w:val="24"/>
        </w:rPr>
        <w:t xml:space="preserve">, </w:t>
      </w:r>
      <w:r>
        <w:rPr>
          <w:rStyle w:val="sectionname"/>
          <w:rFonts w:ascii="Arial" w:hAnsi="Arial" w:cs="Arial"/>
          <w:sz w:val="24"/>
          <w:szCs w:val="24"/>
        </w:rPr>
        <w:t xml:space="preserve">as well as </w:t>
      </w:r>
      <w:r w:rsidRPr="008A0DB7">
        <w:rPr>
          <w:rStyle w:val="sectionname"/>
          <w:rFonts w:ascii="Arial" w:hAnsi="Arial" w:cs="Arial"/>
          <w:sz w:val="24"/>
          <w:szCs w:val="24"/>
        </w:rPr>
        <w:t>CoA-ligation, and CoA</w:t>
      </w:r>
      <w:r w:rsidR="002C46EF">
        <w:rPr>
          <w:rStyle w:val="sectionname"/>
          <w:rFonts w:ascii="Arial" w:hAnsi="Arial" w:cs="Arial"/>
          <w:sz w:val="24"/>
          <w:szCs w:val="24"/>
        </w:rPr>
        <w:t>-</w:t>
      </w:r>
      <w:r w:rsidRPr="008A0DB7">
        <w:rPr>
          <w:rStyle w:val="sectionname"/>
          <w:rFonts w:ascii="Arial" w:hAnsi="Arial" w:cs="Arial"/>
          <w:sz w:val="24"/>
          <w:szCs w:val="24"/>
        </w:rPr>
        <w:t>sink reactions</w:t>
      </w:r>
      <w:r>
        <w:rPr>
          <w:rStyle w:val="sectionname"/>
          <w:rFonts w:ascii="Arial" w:hAnsi="Arial" w:cs="Arial"/>
          <w:sz w:val="24"/>
          <w:szCs w:val="24"/>
        </w:rPr>
        <w:t xml:space="preserve"> (Figure 9 and 10, Table </w:t>
      </w:r>
      <w:r w:rsidR="00806F63">
        <w:rPr>
          <w:rStyle w:val="sectionname"/>
          <w:rFonts w:ascii="Arial" w:hAnsi="Arial" w:cs="Arial"/>
          <w:sz w:val="24"/>
          <w:szCs w:val="24"/>
        </w:rPr>
        <w:t>8</w:t>
      </w:r>
      <w:r w:rsidRPr="008A0DB7">
        <w:rPr>
          <w:rStyle w:val="sectionname"/>
          <w:rFonts w:ascii="Arial" w:hAnsi="Arial" w:cs="Arial"/>
          <w:sz w:val="24"/>
          <w:szCs w:val="24"/>
        </w:rPr>
        <w:t xml:space="preserve">). It is important </w:t>
      </w:r>
      <w:r>
        <w:rPr>
          <w:rStyle w:val="sectionname"/>
          <w:rFonts w:ascii="Arial" w:hAnsi="Arial" w:cs="Arial"/>
          <w:sz w:val="24"/>
          <w:szCs w:val="24"/>
        </w:rPr>
        <w:t xml:space="preserve">that </w:t>
      </w:r>
      <w:r w:rsidRPr="008A0DB7">
        <w:rPr>
          <w:rStyle w:val="sectionname"/>
          <w:rFonts w:ascii="Arial" w:hAnsi="Arial" w:cs="Arial"/>
          <w:sz w:val="24"/>
          <w:szCs w:val="24"/>
        </w:rPr>
        <w:t xml:space="preserve">these reactions </w:t>
      </w:r>
      <w:r>
        <w:rPr>
          <w:rStyle w:val="sectionname"/>
          <w:rFonts w:ascii="Arial" w:hAnsi="Arial" w:cs="Arial"/>
          <w:sz w:val="24"/>
          <w:szCs w:val="24"/>
        </w:rPr>
        <w:t xml:space="preserve">are </w:t>
      </w:r>
      <w:r w:rsidRPr="008A0DB7">
        <w:rPr>
          <w:rStyle w:val="sectionname"/>
          <w:rFonts w:ascii="Arial" w:hAnsi="Arial" w:cs="Arial"/>
          <w:sz w:val="24"/>
          <w:szCs w:val="24"/>
        </w:rPr>
        <w:t>defined in the model</w:t>
      </w:r>
      <w:r>
        <w:rPr>
          <w:rStyle w:val="sectionname"/>
          <w:rFonts w:ascii="Arial" w:hAnsi="Arial" w:cs="Arial"/>
          <w:sz w:val="24"/>
          <w:szCs w:val="24"/>
        </w:rPr>
        <w:t>s</w:t>
      </w:r>
      <w:r w:rsidRPr="008A0DB7">
        <w:rPr>
          <w:rStyle w:val="sectionname"/>
          <w:rFonts w:ascii="Arial" w:hAnsi="Arial" w:cs="Arial"/>
          <w:sz w:val="24"/>
          <w:szCs w:val="24"/>
        </w:rPr>
        <w:t xml:space="preserve">, since the transport of butyrate, </w:t>
      </w:r>
      <w:r w:rsidRPr="008A0DB7">
        <w:rPr>
          <w:rStyle w:val="sectionname"/>
          <w:rFonts w:ascii="Arial" w:hAnsi="Arial" w:cs="Arial"/>
          <w:sz w:val="24"/>
          <w:szCs w:val="24"/>
        </w:rPr>
        <w:lastRenderedPageBreak/>
        <w:t xml:space="preserve">propionate, acetate and glucose from the extracellular to the intracellular milieu </w:t>
      </w:r>
      <w:r>
        <w:rPr>
          <w:rStyle w:val="sectionname"/>
          <w:rFonts w:ascii="Arial" w:hAnsi="Arial" w:cs="Arial"/>
          <w:sz w:val="24"/>
          <w:szCs w:val="24"/>
        </w:rPr>
        <w:t xml:space="preserve">is considered </w:t>
      </w:r>
      <w:r w:rsidRPr="008A0DB7">
        <w:rPr>
          <w:rStyle w:val="sectionname"/>
          <w:rFonts w:ascii="Arial" w:hAnsi="Arial" w:cs="Arial"/>
          <w:sz w:val="24"/>
          <w:szCs w:val="24"/>
        </w:rPr>
        <w:t xml:space="preserve">(SCFAs and glucose uptake), </w:t>
      </w:r>
      <w:r>
        <w:rPr>
          <w:rStyle w:val="sectionname"/>
          <w:rFonts w:ascii="Arial" w:hAnsi="Arial" w:cs="Arial"/>
          <w:sz w:val="24"/>
          <w:szCs w:val="24"/>
        </w:rPr>
        <w:t xml:space="preserve">as well as </w:t>
      </w:r>
      <w:r w:rsidRPr="008A0DB7">
        <w:rPr>
          <w:rStyle w:val="sectionname"/>
          <w:rFonts w:ascii="Arial" w:hAnsi="Arial" w:cs="Arial"/>
          <w:sz w:val="24"/>
          <w:szCs w:val="24"/>
        </w:rPr>
        <w:t xml:space="preserve">the ligation of </w:t>
      </w:r>
      <w:r>
        <w:rPr>
          <w:rStyle w:val="sectionname"/>
          <w:rFonts w:ascii="Arial" w:hAnsi="Arial" w:cs="Arial"/>
          <w:sz w:val="24"/>
          <w:szCs w:val="24"/>
        </w:rPr>
        <w:t>butyrate, propionate</w:t>
      </w:r>
      <w:r w:rsidRPr="008A0DB7">
        <w:rPr>
          <w:rStyle w:val="sectionname"/>
          <w:rFonts w:ascii="Arial" w:hAnsi="Arial" w:cs="Arial"/>
          <w:sz w:val="24"/>
          <w:szCs w:val="24"/>
        </w:rPr>
        <w:t xml:space="preserve"> </w:t>
      </w:r>
      <w:r>
        <w:rPr>
          <w:rStyle w:val="sectionname"/>
          <w:rFonts w:ascii="Arial" w:hAnsi="Arial" w:cs="Arial"/>
          <w:sz w:val="24"/>
          <w:szCs w:val="24"/>
        </w:rPr>
        <w:t xml:space="preserve">and </w:t>
      </w:r>
      <w:r w:rsidRPr="008A0DB7">
        <w:rPr>
          <w:rStyle w:val="sectionname"/>
          <w:rFonts w:ascii="Arial" w:hAnsi="Arial" w:cs="Arial"/>
          <w:sz w:val="24"/>
          <w:szCs w:val="24"/>
        </w:rPr>
        <w:t>acetate with CoA to form their acyl forms (CoA-ligation), and the release of free CoA from these acyl forms (CoA</w:t>
      </w:r>
      <w:r w:rsidR="002C46EF">
        <w:rPr>
          <w:rStyle w:val="sectionname"/>
          <w:rFonts w:ascii="Arial" w:hAnsi="Arial" w:cs="Arial"/>
          <w:sz w:val="24"/>
          <w:szCs w:val="24"/>
        </w:rPr>
        <w:t>-</w:t>
      </w:r>
      <w:r w:rsidRPr="008A0DB7">
        <w:rPr>
          <w:rStyle w:val="sectionname"/>
          <w:rFonts w:ascii="Arial" w:hAnsi="Arial" w:cs="Arial"/>
          <w:sz w:val="24"/>
          <w:szCs w:val="24"/>
        </w:rPr>
        <w:t>sink). Th</w:t>
      </w:r>
      <w:r>
        <w:rPr>
          <w:rStyle w:val="sectionname"/>
          <w:rFonts w:ascii="Arial" w:hAnsi="Arial" w:cs="Arial"/>
          <w:sz w:val="24"/>
          <w:szCs w:val="24"/>
        </w:rPr>
        <w:t>e</w:t>
      </w:r>
      <w:r w:rsidRPr="008A0DB7">
        <w:rPr>
          <w:rStyle w:val="sectionname"/>
          <w:rFonts w:ascii="Arial" w:hAnsi="Arial" w:cs="Arial"/>
          <w:sz w:val="24"/>
          <w:szCs w:val="24"/>
        </w:rPr>
        <w:t>s</w:t>
      </w:r>
      <w:r>
        <w:rPr>
          <w:rStyle w:val="sectionname"/>
          <w:rFonts w:ascii="Arial" w:hAnsi="Arial" w:cs="Arial"/>
          <w:sz w:val="24"/>
          <w:szCs w:val="24"/>
        </w:rPr>
        <w:t>e</w:t>
      </w:r>
      <w:r w:rsidRPr="008A0DB7">
        <w:rPr>
          <w:rStyle w:val="sectionname"/>
          <w:rFonts w:ascii="Arial" w:hAnsi="Arial" w:cs="Arial"/>
          <w:sz w:val="24"/>
          <w:szCs w:val="24"/>
        </w:rPr>
        <w:t xml:space="preserve"> model</w:t>
      </w:r>
      <w:r>
        <w:rPr>
          <w:rStyle w:val="sectionname"/>
          <w:rFonts w:ascii="Arial" w:hAnsi="Arial" w:cs="Arial"/>
          <w:sz w:val="24"/>
          <w:szCs w:val="24"/>
        </w:rPr>
        <w:t>s</w:t>
      </w:r>
      <w:r w:rsidRPr="008A0DB7">
        <w:rPr>
          <w:rStyle w:val="sectionname"/>
          <w:rFonts w:ascii="Arial" w:hAnsi="Arial" w:cs="Arial"/>
          <w:sz w:val="24"/>
          <w:szCs w:val="24"/>
        </w:rPr>
        <w:t xml:space="preserve"> also consider the production of acetyl-CoA from glucose and CoA</w:t>
      </w:r>
      <w:r w:rsidR="002C46EF">
        <w:rPr>
          <w:rStyle w:val="sectionname"/>
          <w:rFonts w:ascii="Arial" w:hAnsi="Arial" w:cs="Arial"/>
          <w:sz w:val="24"/>
          <w:szCs w:val="24"/>
        </w:rPr>
        <w:t>-</w:t>
      </w:r>
      <w:r w:rsidRPr="008A0DB7">
        <w:rPr>
          <w:rStyle w:val="sectionname"/>
          <w:rFonts w:ascii="Arial" w:hAnsi="Arial" w:cs="Arial"/>
          <w:sz w:val="24"/>
          <w:szCs w:val="24"/>
        </w:rPr>
        <w:t>ligation (</w:t>
      </w:r>
      <w:r>
        <w:rPr>
          <w:rStyle w:val="sectionname"/>
          <w:rFonts w:ascii="Arial" w:hAnsi="Arial" w:cs="Arial"/>
          <w:sz w:val="24"/>
          <w:szCs w:val="24"/>
        </w:rPr>
        <w:t>F</w:t>
      </w:r>
      <w:r w:rsidRPr="008A0DB7">
        <w:rPr>
          <w:rStyle w:val="sectionname"/>
          <w:rFonts w:ascii="Arial" w:hAnsi="Arial" w:cs="Arial"/>
          <w:sz w:val="24"/>
          <w:szCs w:val="24"/>
        </w:rPr>
        <w:t xml:space="preserve">igure </w:t>
      </w:r>
      <w:r>
        <w:rPr>
          <w:rStyle w:val="sectionname"/>
          <w:rFonts w:ascii="Arial" w:hAnsi="Arial" w:cs="Arial"/>
          <w:sz w:val="24"/>
          <w:szCs w:val="24"/>
        </w:rPr>
        <w:t xml:space="preserve">9 and 10, Table </w:t>
      </w:r>
      <w:r w:rsidR="00806F63">
        <w:rPr>
          <w:rStyle w:val="sectionname"/>
          <w:rFonts w:ascii="Arial" w:hAnsi="Arial" w:cs="Arial"/>
          <w:sz w:val="24"/>
          <w:szCs w:val="24"/>
        </w:rPr>
        <w:t>8</w:t>
      </w:r>
      <w:r w:rsidRPr="008A0DB7">
        <w:rPr>
          <w:rStyle w:val="sectionname"/>
          <w:rFonts w:ascii="Arial" w:hAnsi="Arial" w:cs="Arial"/>
          <w:sz w:val="24"/>
          <w:szCs w:val="24"/>
        </w:rPr>
        <w:t xml:space="preserve">), which is important since there could be a competition between SCFAs and glucose for CoA as a substrate to either produce acyl forms (SCFAs) or acetyl-CoA (glucose). </w:t>
      </w:r>
      <w:r>
        <w:rPr>
          <w:rStyle w:val="sectionname"/>
          <w:rFonts w:ascii="Arial" w:hAnsi="Arial" w:cs="Arial"/>
          <w:sz w:val="24"/>
          <w:szCs w:val="24"/>
        </w:rPr>
        <w:t>The main disadvantages of these two models are that they have not been published, and therefore have not been tested and criticised by more users, and they still need to be validated. The lack of complexity and the restriction of compartments is another disadvantage of these models, since just basic aspects of SCFA</w:t>
      </w:r>
      <w:r w:rsidRPr="007447FB">
        <w:rPr>
          <w:rStyle w:val="sectionname"/>
          <w:rFonts w:ascii="Arial" w:hAnsi="Arial" w:cs="Arial"/>
          <w:sz w:val="24"/>
          <w:szCs w:val="24"/>
        </w:rPr>
        <w:t>s and glucose metabolism (Uptake, CoA</w:t>
      </w:r>
      <w:r w:rsidR="002C46EF">
        <w:rPr>
          <w:rStyle w:val="sectionname"/>
          <w:rFonts w:ascii="Arial" w:hAnsi="Arial" w:cs="Arial"/>
          <w:sz w:val="24"/>
          <w:szCs w:val="24"/>
        </w:rPr>
        <w:t>-</w:t>
      </w:r>
      <w:r w:rsidRPr="007447FB">
        <w:rPr>
          <w:rStyle w:val="sectionname"/>
          <w:rFonts w:ascii="Arial" w:hAnsi="Arial" w:cs="Arial"/>
          <w:sz w:val="24"/>
          <w:szCs w:val="24"/>
        </w:rPr>
        <w:t>ligation, and CoA</w:t>
      </w:r>
      <w:r w:rsidR="002C46EF">
        <w:rPr>
          <w:rStyle w:val="sectionname"/>
          <w:rFonts w:ascii="Arial" w:hAnsi="Arial" w:cs="Arial"/>
          <w:sz w:val="24"/>
          <w:szCs w:val="24"/>
        </w:rPr>
        <w:t>-</w:t>
      </w:r>
      <w:r w:rsidRPr="007447FB">
        <w:rPr>
          <w:rStyle w:val="sectionname"/>
          <w:rFonts w:ascii="Arial" w:hAnsi="Arial" w:cs="Arial"/>
          <w:sz w:val="24"/>
          <w:szCs w:val="24"/>
        </w:rPr>
        <w:t>sink) through β-oxidation</w:t>
      </w:r>
      <w:r>
        <w:rPr>
          <w:rStyle w:val="sectionname"/>
          <w:rFonts w:ascii="Arial" w:hAnsi="Arial" w:cs="Arial"/>
          <w:sz w:val="24"/>
          <w:szCs w:val="24"/>
        </w:rPr>
        <w:t xml:space="preserve"> can be simulated </w:t>
      </w:r>
      <w:r w:rsidR="00006DFE">
        <w:rPr>
          <w:rStyle w:val="sectionname"/>
          <w:rFonts w:ascii="Arial" w:hAnsi="Arial" w:cs="Arial"/>
          <w:sz w:val="24"/>
          <w:szCs w:val="24"/>
        </w:rPr>
        <w:t xml:space="preserve">using </w:t>
      </w:r>
      <w:r>
        <w:rPr>
          <w:rStyle w:val="sectionname"/>
          <w:rFonts w:ascii="Arial" w:hAnsi="Arial" w:cs="Arial"/>
          <w:sz w:val="24"/>
          <w:szCs w:val="24"/>
        </w:rPr>
        <w:t xml:space="preserve">these models. </w:t>
      </w:r>
    </w:p>
    <w:bookmarkEnd w:id="18"/>
    <w:p w:rsidR="00EF1380" w:rsidRDefault="00EF1380" w:rsidP="00EF1380">
      <w:pPr>
        <w:pStyle w:val="Heading1"/>
        <w:rPr>
          <w:rStyle w:val="highlight"/>
          <w:rFonts w:ascii="Arial" w:hAnsi="Arial" w:cs="Arial"/>
          <w:sz w:val="28"/>
          <w:szCs w:val="28"/>
        </w:rPr>
      </w:pPr>
    </w:p>
    <w:p w:rsidR="00EF1380" w:rsidRDefault="00EF1380" w:rsidP="00EF1380">
      <w:pPr>
        <w:pStyle w:val="Heading1"/>
        <w:rPr>
          <w:rStyle w:val="highlight"/>
          <w:rFonts w:ascii="Arial" w:hAnsi="Arial" w:cs="Arial"/>
          <w:sz w:val="28"/>
          <w:szCs w:val="28"/>
        </w:rPr>
      </w:pPr>
    </w:p>
    <w:p w:rsidR="00EF1380" w:rsidRDefault="00EF1380" w:rsidP="00EF1380">
      <w:pPr>
        <w:pStyle w:val="Heading1"/>
        <w:rPr>
          <w:rStyle w:val="highlight"/>
          <w:rFonts w:ascii="Arial" w:hAnsi="Arial" w:cs="Arial"/>
          <w:sz w:val="28"/>
          <w:szCs w:val="28"/>
        </w:rPr>
      </w:pPr>
    </w:p>
    <w:p w:rsidR="00EF1380" w:rsidRDefault="00EF1380" w:rsidP="00EF1380">
      <w:pPr>
        <w:pStyle w:val="Heading1"/>
        <w:rPr>
          <w:rStyle w:val="highlight"/>
          <w:rFonts w:ascii="Arial" w:hAnsi="Arial" w:cs="Arial"/>
          <w:sz w:val="28"/>
          <w:szCs w:val="28"/>
        </w:rPr>
      </w:pPr>
    </w:p>
    <w:p w:rsidR="008F33E4" w:rsidRDefault="008F33E4">
      <w:pPr>
        <w:rPr>
          <w:rStyle w:val="highlight"/>
          <w:rFonts w:ascii="Arial" w:eastAsia="Times New Roman" w:hAnsi="Arial" w:cs="Arial"/>
          <w:b/>
          <w:bCs/>
          <w:kern w:val="36"/>
          <w:sz w:val="28"/>
          <w:szCs w:val="28"/>
        </w:rPr>
      </w:pPr>
      <w:r>
        <w:rPr>
          <w:rStyle w:val="highlight"/>
          <w:rFonts w:ascii="Arial" w:hAnsi="Arial" w:cs="Arial"/>
          <w:sz w:val="28"/>
          <w:szCs w:val="28"/>
        </w:rPr>
        <w:br w:type="page"/>
      </w:r>
    </w:p>
    <w:p w:rsidR="00EF1380" w:rsidRPr="00BE04C9" w:rsidRDefault="00EF1380" w:rsidP="00EF1380">
      <w:pPr>
        <w:pStyle w:val="Heading1"/>
        <w:rPr>
          <w:rStyle w:val="highlight"/>
          <w:rFonts w:ascii="Arial" w:hAnsi="Arial" w:cs="Arial"/>
          <w:sz w:val="28"/>
          <w:szCs w:val="28"/>
        </w:rPr>
      </w:pPr>
      <w:bookmarkStart w:id="54" w:name="_Toc413753753"/>
      <w:r>
        <w:rPr>
          <w:rStyle w:val="highlight"/>
          <w:rFonts w:ascii="Arial" w:hAnsi="Arial" w:cs="Arial"/>
          <w:sz w:val="28"/>
          <w:szCs w:val="28"/>
        </w:rPr>
        <w:lastRenderedPageBreak/>
        <w:t>AIMS</w:t>
      </w:r>
      <w:bookmarkEnd w:id="54"/>
    </w:p>
    <w:p w:rsidR="00EF1380" w:rsidRPr="00FF2DD3" w:rsidRDefault="00EF1380" w:rsidP="00EF1380">
      <w:pPr>
        <w:spacing w:line="360" w:lineRule="auto"/>
        <w:ind w:firstLine="284"/>
        <w:jc w:val="both"/>
        <w:rPr>
          <w:rStyle w:val="highlight"/>
          <w:rFonts w:ascii="Arial" w:hAnsi="Arial" w:cs="Arial"/>
          <w:sz w:val="24"/>
          <w:szCs w:val="24"/>
        </w:rPr>
      </w:pPr>
      <w:r w:rsidRPr="00FF2DD3">
        <w:rPr>
          <w:rStyle w:val="highlight"/>
          <w:rFonts w:ascii="Arial" w:hAnsi="Arial" w:cs="Arial"/>
          <w:sz w:val="24"/>
          <w:szCs w:val="24"/>
        </w:rPr>
        <w:t xml:space="preserve">Based on the findings that </w:t>
      </w:r>
    </w:p>
    <w:p w:rsidR="00EF1380" w:rsidRPr="00FF2DD3" w:rsidRDefault="00EF1380" w:rsidP="001E52CA">
      <w:pPr>
        <w:pStyle w:val="ListParagraph"/>
        <w:numPr>
          <w:ilvl w:val="0"/>
          <w:numId w:val="2"/>
        </w:numPr>
        <w:spacing w:line="360" w:lineRule="auto"/>
        <w:jc w:val="both"/>
        <w:rPr>
          <w:rStyle w:val="highlight"/>
          <w:rFonts w:ascii="Arial" w:hAnsi="Arial" w:cs="Arial"/>
          <w:lang w:val="en-US"/>
        </w:rPr>
      </w:pPr>
      <w:r w:rsidRPr="00FF2DD3">
        <w:rPr>
          <w:rStyle w:val="highlight"/>
          <w:rFonts w:ascii="Arial" w:hAnsi="Arial" w:cs="Arial"/>
          <w:lang w:val="en-US"/>
        </w:rPr>
        <w:t>Acetylation patterns of metabolic enzymes can be controlled by acetyl-CoA levels and SCFAs</w:t>
      </w:r>
    </w:p>
    <w:p w:rsidR="00EF1380" w:rsidRPr="00FF2DD3" w:rsidRDefault="00EF1380" w:rsidP="001E52CA">
      <w:pPr>
        <w:pStyle w:val="ListParagraph"/>
        <w:numPr>
          <w:ilvl w:val="0"/>
          <w:numId w:val="2"/>
        </w:numPr>
        <w:spacing w:line="360" w:lineRule="auto"/>
        <w:jc w:val="both"/>
        <w:rPr>
          <w:rStyle w:val="highlight"/>
          <w:rFonts w:ascii="Arial" w:hAnsi="Arial" w:cs="Arial"/>
          <w:lang w:val="en-US"/>
        </w:rPr>
      </w:pPr>
      <w:r w:rsidRPr="00FF2DD3">
        <w:rPr>
          <w:rStyle w:val="highlight"/>
          <w:rFonts w:ascii="Arial" w:hAnsi="Arial" w:cs="Arial"/>
          <w:lang w:val="en-US"/>
        </w:rPr>
        <w:t xml:space="preserve">A shift in the acetylated state </w:t>
      </w:r>
      <w:r>
        <w:rPr>
          <w:rStyle w:val="highlight"/>
          <w:rFonts w:ascii="Arial" w:hAnsi="Arial" w:cs="Arial"/>
          <w:lang w:val="en-US"/>
        </w:rPr>
        <w:t xml:space="preserve">of metabolic enzymes </w:t>
      </w:r>
      <w:r w:rsidRPr="00FF2DD3">
        <w:rPr>
          <w:rStyle w:val="highlight"/>
          <w:rFonts w:ascii="Arial" w:hAnsi="Arial" w:cs="Arial"/>
          <w:lang w:val="en-US"/>
        </w:rPr>
        <w:t xml:space="preserve">can </w:t>
      </w:r>
      <w:r>
        <w:rPr>
          <w:rStyle w:val="highlight"/>
          <w:rFonts w:ascii="Arial" w:hAnsi="Arial" w:cs="Arial"/>
          <w:lang w:val="en-US"/>
        </w:rPr>
        <w:t xml:space="preserve">be </w:t>
      </w:r>
      <w:r w:rsidRPr="00FF2DD3">
        <w:rPr>
          <w:rStyle w:val="highlight"/>
          <w:rFonts w:ascii="Arial" w:hAnsi="Arial" w:cs="Arial"/>
          <w:lang w:val="en-US"/>
        </w:rPr>
        <w:t>produced by a product inhibition of deacetyl</w:t>
      </w:r>
      <w:r>
        <w:rPr>
          <w:rStyle w:val="highlight"/>
          <w:rFonts w:ascii="Arial" w:hAnsi="Arial" w:cs="Arial"/>
          <w:lang w:val="en-US"/>
        </w:rPr>
        <w:t>a</w:t>
      </w:r>
      <w:r w:rsidRPr="00FF2DD3">
        <w:rPr>
          <w:rStyle w:val="highlight"/>
          <w:rFonts w:ascii="Arial" w:hAnsi="Arial" w:cs="Arial"/>
          <w:lang w:val="en-US"/>
        </w:rPr>
        <w:t>tion</w:t>
      </w:r>
    </w:p>
    <w:p w:rsidR="00EF1380" w:rsidRPr="00FF2DD3" w:rsidRDefault="00EF1380" w:rsidP="001E52CA">
      <w:pPr>
        <w:pStyle w:val="ListParagraph"/>
        <w:numPr>
          <w:ilvl w:val="0"/>
          <w:numId w:val="2"/>
        </w:numPr>
        <w:spacing w:line="360" w:lineRule="auto"/>
        <w:jc w:val="both"/>
        <w:rPr>
          <w:rFonts w:ascii="Arial" w:hAnsi="Arial" w:cs="Arial"/>
          <w:lang w:val="en-US"/>
        </w:rPr>
      </w:pPr>
      <w:r w:rsidRPr="00FF2DD3">
        <w:rPr>
          <w:rFonts w:ascii="Arial" w:hAnsi="Arial" w:cs="Arial"/>
          <w:lang w:val="en-US"/>
        </w:rPr>
        <w:t xml:space="preserve">High levels of </w:t>
      </w:r>
      <w:r>
        <w:rPr>
          <w:rFonts w:ascii="Arial" w:hAnsi="Arial" w:cs="Arial"/>
          <w:lang w:val="en-US"/>
        </w:rPr>
        <w:t>butyrate</w:t>
      </w:r>
      <w:r w:rsidRPr="00FF2DD3">
        <w:rPr>
          <w:rFonts w:ascii="Arial" w:hAnsi="Arial" w:cs="Arial"/>
          <w:lang w:val="en-US"/>
        </w:rPr>
        <w:t xml:space="preserve"> and pyruvate could be related to enhanced acetylation patterns</w:t>
      </w:r>
    </w:p>
    <w:p w:rsidR="00EF1380" w:rsidRDefault="00EF1380" w:rsidP="00EF1380">
      <w:pPr>
        <w:spacing w:line="360" w:lineRule="auto"/>
        <w:jc w:val="both"/>
        <w:rPr>
          <w:rFonts w:ascii="Arial" w:eastAsia="Times New Roman" w:hAnsi="Arial" w:cs="Arial"/>
          <w:sz w:val="24"/>
          <w:szCs w:val="24"/>
          <w:lang w:val="en-US"/>
        </w:rPr>
      </w:pPr>
    </w:p>
    <w:p w:rsidR="00EF1380" w:rsidRPr="00FF2DD3" w:rsidRDefault="00EF1380" w:rsidP="00EF1380">
      <w:pPr>
        <w:spacing w:line="360" w:lineRule="auto"/>
        <w:jc w:val="both"/>
        <w:rPr>
          <w:rFonts w:ascii="Arial" w:eastAsia="Times New Roman" w:hAnsi="Arial" w:cs="Arial"/>
          <w:sz w:val="24"/>
          <w:szCs w:val="24"/>
          <w:lang w:val="en-US"/>
        </w:rPr>
      </w:pPr>
      <w:r w:rsidRPr="00FF2DD3">
        <w:rPr>
          <w:rFonts w:ascii="Arial" w:eastAsia="Times New Roman" w:hAnsi="Arial" w:cs="Arial"/>
          <w:sz w:val="24"/>
          <w:szCs w:val="24"/>
          <w:lang w:val="en-US"/>
        </w:rPr>
        <w:t xml:space="preserve">The aim of this project is to model the action of SCFAs using a mitochondrial proteomic dataset as a start point. An existing mitochondrial proteomic dataset generated by BC and Caroline Evans </w:t>
      </w:r>
      <w:r w:rsidR="00ED2224">
        <w:rPr>
          <w:rFonts w:ascii="Arial" w:eastAsia="Times New Roman" w:hAnsi="Arial" w:cs="Arial"/>
          <w:sz w:val="24"/>
          <w:szCs w:val="24"/>
          <w:lang w:val="en-US"/>
        </w:rPr>
        <w:t xml:space="preserve">(CE) </w:t>
      </w:r>
      <w:r w:rsidRPr="00FF2DD3">
        <w:rPr>
          <w:rFonts w:ascii="Arial" w:eastAsia="Times New Roman" w:hAnsi="Arial" w:cs="Arial"/>
          <w:sz w:val="24"/>
          <w:szCs w:val="24"/>
          <w:lang w:val="en-US"/>
        </w:rPr>
        <w:t xml:space="preserve">in collaboration with Joanne Connolly </w:t>
      </w:r>
      <w:r w:rsidR="00ED2224">
        <w:rPr>
          <w:rFonts w:ascii="Arial" w:eastAsia="Times New Roman" w:hAnsi="Arial" w:cs="Arial"/>
          <w:sz w:val="24"/>
          <w:szCs w:val="24"/>
          <w:lang w:val="en-US"/>
        </w:rPr>
        <w:t xml:space="preserve">(JC) </w:t>
      </w:r>
      <w:r w:rsidRPr="00FF2DD3">
        <w:rPr>
          <w:rFonts w:ascii="Arial" w:eastAsia="Times New Roman" w:hAnsi="Arial" w:cs="Arial"/>
          <w:sz w:val="24"/>
          <w:szCs w:val="24"/>
          <w:lang w:val="en-US"/>
        </w:rPr>
        <w:t xml:space="preserve">of Waters Corporation (Manchester, </w:t>
      </w:r>
      <w:r>
        <w:rPr>
          <w:rFonts w:ascii="Arial" w:eastAsia="Times New Roman" w:hAnsi="Arial" w:cs="Arial"/>
          <w:sz w:val="24"/>
          <w:szCs w:val="24"/>
          <w:lang w:val="en-US"/>
        </w:rPr>
        <w:t xml:space="preserve">United Kingdom, </w:t>
      </w:r>
      <w:r w:rsidRPr="00FF2DD3">
        <w:rPr>
          <w:rFonts w:ascii="Arial" w:eastAsia="Times New Roman" w:hAnsi="Arial" w:cs="Arial"/>
          <w:sz w:val="24"/>
          <w:szCs w:val="24"/>
          <w:lang w:val="en-US"/>
        </w:rPr>
        <w:t xml:space="preserve">UK) will be used to model SCFAs action. The data will be mined in terms of which </w:t>
      </w:r>
      <w:r>
        <w:rPr>
          <w:rFonts w:ascii="Arial" w:eastAsia="Times New Roman" w:hAnsi="Arial" w:cs="Arial"/>
          <w:sz w:val="24"/>
          <w:szCs w:val="24"/>
          <w:lang w:val="en-US"/>
        </w:rPr>
        <w:t>detected proteins are a</w:t>
      </w:r>
      <w:r w:rsidRPr="00FF2DD3">
        <w:rPr>
          <w:rFonts w:ascii="Arial" w:eastAsia="Times New Roman" w:hAnsi="Arial" w:cs="Arial"/>
          <w:sz w:val="24"/>
          <w:szCs w:val="24"/>
          <w:lang w:val="en-US"/>
        </w:rPr>
        <w:t>cetylated by qua</w:t>
      </w:r>
      <w:r>
        <w:rPr>
          <w:rFonts w:ascii="Arial" w:eastAsia="Times New Roman" w:hAnsi="Arial" w:cs="Arial"/>
          <w:sz w:val="24"/>
          <w:szCs w:val="24"/>
          <w:lang w:val="en-US"/>
        </w:rPr>
        <w:t>ntitatively</w:t>
      </w:r>
      <w:r w:rsidRPr="00FF2DD3">
        <w:rPr>
          <w:rFonts w:ascii="Arial" w:eastAsia="Times New Roman" w:hAnsi="Arial" w:cs="Arial"/>
          <w:sz w:val="24"/>
          <w:szCs w:val="24"/>
          <w:lang w:val="en-US"/>
        </w:rPr>
        <w:t xml:space="preserve"> examining the data. </w:t>
      </w:r>
    </w:p>
    <w:p w:rsidR="00EF1380" w:rsidRDefault="00EF1380" w:rsidP="00EF1380">
      <w:pPr>
        <w:pStyle w:val="Heading1"/>
        <w:rPr>
          <w:rFonts w:ascii="Arial" w:hAnsi="Arial" w:cs="Arial"/>
          <w:sz w:val="28"/>
          <w:szCs w:val="28"/>
          <w:lang w:val="en-US"/>
        </w:rPr>
      </w:pPr>
      <w:bookmarkStart w:id="55" w:name="_Toc364682850"/>
    </w:p>
    <w:p w:rsidR="00EF1380" w:rsidRPr="00FF2DD3" w:rsidRDefault="00EF1380" w:rsidP="00EF1380">
      <w:pPr>
        <w:pStyle w:val="Heading1"/>
        <w:rPr>
          <w:rFonts w:ascii="Arial" w:hAnsi="Arial" w:cs="Arial"/>
          <w:sz w:val="28"/>
          <w:szCs w:val="28"/>
          <w:lang w:val="en-US"/>
        </w:rPr>
      </w:pPr>
      <w:bookmarkStart w:id="56" w:name="_Toc413753754"/>
      <w:r w:rsidRPr="00FF2DD3">
        <w:rPr>
          <w:rFonts w:ascii="Arial" w:hAnsi="Arial" w:cs="Arial"/>
          <w:sz w:val="28"/>
          <w:szCs w:val="28"/>
          <w:lang w:val="en-US"/>
        </w:rPr>
        <w:t>O</w:t>
      </w:r>
      <w:r>
        <w:rPr>
          <w:rFonts w:ascii="Arial" w:hAnsi="Arial" w:cs="Arial"/>
          <w:sz w:val="28"/>
          <w:szCs w:val="28"/>
          <w:lang w:val="en-US"/>
        </w:rPr>
        <w:t>BJECTIVES</w:t>
      </w:r>
      <w:bookmarkEnd w:id="55"/>
      <w:bookmarkEnd w:id="56"/>
    </w:p>
    <w:p w:rsidR="00EF1380" w:rsidRPr="004B0034" w:rsidRDefault="00EF1380" w:rsidP="001E52CA">
      <w:pPr>
        <w:pStyle w:val="ListParagraph"/>
        <w:numPr>
          <w:ilvl w:val="0"/>
          <w:numId w:val="1"/>
        </w:numPr>
        <w:autoSpaceDE w:val="0"/>
        <w:autoSpaceDN w:val="0"/>
        <w:adjustRightInd w:val="0"/>
        <w:spacing w:line="360" w:lineRule="auto"/>
        <w:jc w:val="both"/>
        <w:rPr>
          <w:rFonts w:ascii="Arial" w:hAnsi="Arial" w:cs="Arial"/>
          <w:lang w:val="en-US"/>
        </w:rPr>
      </w:pPr>
      <w:r w:rsidRPr="004B0034">
        <w:rPr>
          <w:rFonts w:ascii="Arial" w:hAnsi="Arial" w:cs="Arial"/>
          <w:lang w:val="en-US"/>
        </w:rPr>
        <w:t xml:space="preserve">Determine which enzymes for major metabolic pathways involving acetyl-CoA as a component (glycolysis, </w:t>
      </w:r>
      <w:r>
        <w:rPr>
          <w:rFonts w:ascii="Arial" w:hAnsi="Arial" w:cs="Arial"/>
          <w:lang w:val="en-US"/>
        </w:rPr>
        <w:t xml:space="preserve">the </w:t>
      </w:r>
      <w:r w:rsidRPr="004B0034">
        <w:rPr>
          <w:rFonts w:ascii="Arial" w:hAnsi="Arial" w:cs="Arial"/>
          <w:lang w:val="en-US"/>
        </w:rPr>
        <w:t>TCA</w:t>
      </w:r>
      <w:r>
        <w:rPr>
          <w:rFonts w:ascii="Arial" w:hAnsi="Arial" w:cs="Arial"/>
          <w:lang w:val="en-US"/>
        </w:rPr>
        <w:t xml:space="preserve"> cycle</w:t>
      </w:r>
      <w:r w:rsidRPr="004B0034">
        <w:rPr>
          <w:rFonts w:ascii="Arial" w:hAnsi="Arial" w:cs="Arial"/>
          <w:lang w:val="en-US"/>
        </w:rPr>
        <w:t>, pyruvate metabolism and β-oxidation) are substrates of acetylation.</w:t>
      </w:r>
    </w:p>
    <w:p w:rsidR="00EF1380" w:rsidRPr="004B0034" w:rsidRDefault="00EF1380" w:rsidP="001E52CA">
      <w:pPr>
        <w:pStyle w:val="ListParagraph"/>
        <w:numPr>
          <w:ilvl w:val="0"/>
          <w:numId w:val="1"/>
        </w:numPr>
        <w:autoSpaceDE w:val="0"/>
        <w:autoSpaceDN w:val="0"/>
        <w:adjustRightInd w:val="0"/>
        <w:spacing w:line="360" w:lineRule="auto"/>
        <w:jc w:val="both"/>
        <w:rPr>
          <w:rFonts w:ascii="Arial" w:hAnsi="Arial" w:cs="Arial"/>
        </w:rPr>
      </w:pPr>
      <w:r w:rsidRPr="004B0034">
        <w:rPr>
          <w:rFonts w:ascii="Arial" w:hAnsi="Arial" w:cs="Arial"/>
          <w:lang w:val="en-US"/>
        </w:rPr>
        <w:t xml:space="preserve">Compare the enrichment scores of different functional annotations and their respective </w:t>
      </w:r>
      <w:r>
        <w:rPr>
          <w:rFonts w:ascii="Arial" w:hAnsi="Arial" w:cs="Arial"/>
          <w:lang w:val="en-US"/>
        </w:rPr>
        <w:t>gene ontology (</w:t>
      </w:r>
      <w:r w:rsidRPr="004B0034">
        <w:rPr>
          <w:rFonts w:ascii="Arial" w:hAnsi="Arial" w:cs="Arial"/>
          <w:lang w:val="en-US"/>
        </w:rPr>
        <w:t>GO</w:t>
      </w:r>
      <w:r>
        <w:rPr>
          <w:rFonts w:ascii="Arial" w:hAnsi="Arial" w:cs="Arial"/>
          <w:lang w:val="en-US"/>
        </w:rPr>
        <w:t>)</w:t>
      </w:r>
      <w:r w:rsidRPr="004B0034">
        <w:rPr>
          <w:rFonts w:ascii="Arial" w:hAnsi="Arial" w:cs="Arial"/>
          <w:lang w:val="en-US"/>
        </w:rPr>
        <w:t xml:space="preserve"> terms.</w:t>
      </w:r>
    </w:p>
    <w:p w:rsidR="00EF1380" w:rsidRPr="004B0034" w:rsidRDefault="00EF1380" w:rsidP="001E52CA">
      <w:pPr>
        <w:pStyle w:val="ListParagraph"/>
        <w:numPr>
          <w:ilvl w:val="0"/>
          <w:numId w:val="1"/>
        </w:numPr>
        <w:autoSpaceDE w:val="0"/>
        <w:autoSpaceDN w:val="0"/>
        <w:adjustRightInd w:val="0"/>
        <w:spacing w:line="360" w:lineRule="auto"/>
        <w:jc w:val="both"/>
        <w:rPr>
          <w:rFonts w:ascii="Arial" w:hAnsi="Arial" w:cs="Arial"/>
        </w:rPr>
      </w:pPr>
      <w:r w:rsidRPr="004B0034">
        <w:rPr>
          <w:rFonts w:ascii="Arial" w:hAnsi="Arial" w:cs="Arial"/>
        </w:rPr>
        <w:t>Establish the value of the percentage coverage of pathways.</w:t>
      </w:r>
    </w:p>
    <w:p w:rsidR="00EF1380" w:rsidRDefault="00EF1380" w:rsidP="001E52CA">
      <w:pPr>
        <w:pStyle w:val="ListParagraph"/>
        <w:numPr>
          <w:ilvl w:val="0"/>
          <w:numId w:val="1"/>
        </w:numPr>
        <w:autoSpaceDE w:val="0"/>
        <w:autoSpaceDN w:val="0"/>
        <w:adjustRightInd w:val="0"/>
        <w:spacing w:line="360" w:lineRule="auto"/>
        <w:jc w:val="both"/>
        <w:rPr>
          <w:rFonts w:ascii="Arial" w:hAnsi="Arial" w:cs="Arial"/>
        </w:rPr>
      </w:pPr>
      <w:r w:rsidRPr="004B0034">
        <w:rPr>
          <w:rFonts w:ascii="Arial" w:hAnsi="Arial" w:cs="Arial"/>
        </w:rPr>
        <w:t xml:space="preserve">Analyse different pathways by developing a matching pathway representation. </w:t>
      </w:r>
    </w:p>
    <w:p w:rsidR="00EF1380" w:rsidRDefault="00EF1380" w:rsidP="001E52CA">
      <w:pPr>
        <w:pStyle w:val="ListParagraph"/>
        <w:numPr>
          <w:ilvl w:val="0"/>
          <w:numId w:val="1"/>
        </w:numPr>
        <w:autoSpaceDE w:val="0"/>
        <w:autoSpaceDN w:val="0"/>
        <w:adjustRightInd w:val="0"/>
        <w:spacing w:line="360" w:lineRule="auto"/>
        <w:jc w:val="both"/>
        <w:rPr>
          <w:rFonts w:ascii="Arial" w:hAnsi="Arial" w:cs="Arial"/>
        </w:rPr>
      </w:pPr>
      <w:r>
        <w:rPr>
          <w:rFonts w:ascii="Arial" w:hAnsi="Arial" w:cs="Arial"/>
        </w:rPr>
        <w:t>Map position of acetylations.</w:t>
      </w:r>
    </w:p>
    <w:p w:rsidR="00EF1380" w:rsidRDefault="00EF1380" w:rsidP="001E52CA">
      <w:pPr>
        <w:pStyle w:val="ListParagraph"/>
        <w:numPr>
          <w:ilvl w:val="0"/>
          <w:numId w:val="1"/>
        </w:numPr>
        <w:autoSpaceDE w:val="0"/>
        <w:autoSpaceDN w:val="0"/>
        <w:adjustRightInd w:val="0"/>
        <w:spacing w:line="360" w:lineRule="auto"/>
        <w:jc w:val="both"/>
        <w:rPr>
          <w:rFonts w:ascii="Arial" w:hAnsi="Arial" w:cs="Arial"/>
        </w:rPr>
      </w:pPr>
      <w:r>
        <w:rPr>
          <w:rFonts w:ascii="Arial" w:hAnsi="Arial" w:cs="Arial"/>
        </w:rPr>
        <w:t>Model feedback loop</w:t>
      </w:r>
    </w:p>
    <w:p w:rsidR="00EF1380" w:rsidRDefault="00EF1380" w:rsidP="00EF1380">
      <w:pPr>
        <w:pStyle w:val="Heading1"/>
        <w:rPr>
          <w:rFonts w:ascii="Arial" w:hAnsi="Arial" w:cs="Arial"/>
          <w:sz w:val="28"/>
          <w:szCs w:val="28"/>
        </w:rPr>
      </w:pPr>
      <w:bookmarkStart w:id="57" w:name="_Toc364682851"/>
      <w:bookmarkStart w:id="58" w:name="_Toc413753755"/>
      <w:r w:rsidRPr="00296C08">
        <w:rPr>
          <w:rFonts w:ascii="Arial" w:hAnsi="Arial" w:cs="Arial"/>
          <w:sz w:val="28"/>
          <w:szCs w:val="28"/>
        </w:rPr>
        <w:lastRenderedPageBreak/>
        <w:t>M</w:t>
      </w:r>
      <w:r>
        <w:rPr>
          <w:rFonts w:ascii="Arial" w:hAnsi="Arial" w:cs="Arial"/>
          <w:sz w:val="28"/>
          <w:szCs w:val="28"/>
        </w:rPr>
        <w:t>ETHODS</w:t>
      </w:r>
      <w:bookmarkStart w:id="59" w:name="_Toc363210237"/>
      <w:bookmarkStart w:id="60" w:name="_Toc364682852"/>
      <w:bookmarkEnd w:id="57"/>
      <w:bookmarkEnd w:id="58"/>
    </w:p>
    <w:p w:rsidR="00EF1380" w:rsidRPr="00735400" w:rsidRDefault="00EF1380" w:rsidP="00EF1380">
      <w:pPr>
        <w:pStyle w:val="Heading1"/>
        <w:rPr>
          <w:rFonts w:ascii="Arial" w:hAnsi="Arial" w:cs="Arial"/>
          <w:sz w:val="24"/>
          <w:szCs w:val="28"/>
        </w:rPr>
      </w:pPr>
      <w:bookmarkStart w:id="61" w:name="_Toc413753756"/>
      <w:r w:rsidRPr="00735400">
        <w:rPr>
          <w:rFonts w:ascii="Arial" w:hAnsi="Arial" w:cs="Arial"/>
          <w:sz w:val="24"/>
          <w:szCs w:val="28"/>
        </w:rPr>
        <w:t>Mitochondrially enriched fractions</w:t>
      </w:r>
      <w:bookmarkEnd w:id="59"/>
      <w:bookmarkEnd w:id="60"/>
      <w:bookmarkEnd w:id="61"/>
    </w:p>
    <w:p w:rsidR="00CE39F6" w:rsidRPr="00CE39F6" w:rsidRDefault="00CE39F6" w:rsidP="0067704B">
      <w:pPr>
        <w:jc w:val="both"/>
        <w:rPr>
          <w:rFonts w:ascii="Arial" w:hAnsi="Arial" w:cs="Arial"/>
          <w:sz w:val="24"/>
          <w:szCs w:val="24"/>
        </w:rPr>
      </w:pPr>
      <w:r w:rsidRPr="00CE39F6">
        <w:rPr>
          <w:rFonts w:ascii="Arial" w:eastAsia="Times New Roman" w:hAnsi="Arial" w:cs="Arial"/>
          <w:sz w:val="24"/>
          <w:szCs w:val="24"/>
          <w:lang w:val="en-US"/>
        </w:rPr>
        <w:t>A mitochondrial proteomic da</w:t>
      </w:r>
      <w:r w:rsidR="00FE4708">
        <w:rPr>
          <w:rFonts w:ascii="Arial" w:eastAsia="Times New Roman" w:hAnsi="Arial" w:cs="Arial"/>
          <w:sz w:val="24"/>
          <w:szCs w:val="24"/>
          <w:lang w:val="en-US"/>
        </w:rPr>
        <w:t xml:space="preserve">taset was generated by BC </w:t>
      </w:r>
      <w:r w:rsidRPr="00CE39F6">
        <w:rPr>
          <w:rFonts w:ascii="Arial" w:eastAsia="Times New Roman" w:hAnsi="Arial" w:cs="Arial"/>
          <w:sz w:val="24"/>
          <w:szCs w:val="24"/>
          <w:lang w:val="en-US"/>
        </w:rPr>
        <w:t>and C</w:t>
      </w:r>
      <w:r w:rsidR="006F4644">
        <w:rPr>
          <w:rFonts w:ascii="Arial" w:eastAsia="Times New Roman" w:hAnsi="Arial" w:cs="Arial"/>
          <w:sz w:val="24"/>
          <w:szCs w:val="24"/>
          <w:lang w:val="en-US"/>
        </w:rPr>
        <w:t>E</w:t>
      </w:r>
      <w:r w:rsidR="00FE4708">
        <w:rPr>
          <w:rFonts w:ascii="Arial" w:eastAsia="Times New Roman" w:hAnsi="Arial" w:cs="Arial"/>
          <w:sz w:val="24"/>
          <w:szCs w:val="24"/>
          <w:lang w:val="en-US"/>
        </w:rPr>
        <w:t xml:space="preserve"> </w:t>
      </w:r>
      <w:r w:rsidRPr="00CE39F6">
        <w:rPr>
          <w:rFonts w:ascii="Arial" w:eastAsia="Times New Roman" w:hAnsi="Arial" w:cs="Arial"/>
          <w:sz w:val="24"/>
          <w:szCs w:val="24"/>
          <w:lang w:val="en-US"/>
        </w:rPr>
        <w:t>in collaboration with J</w:t>
      </w:r>
      <w:r w:rsidR="006F4644">
        <w:rPr>
          <w:rFonts w:ascii="Arial" w:eastAsia="Times New Roman" w:hAnsi="Arial" w:cs="Arial"/>
          <w:sz w:val="24"/>
          <w:szCs w:val="24"/>
          <w:lang w:val="en-US"/>
        </w:rPr>
        <w:t>C</w:t>
      </w:r>
      <w:r w:rsidR="00FE4708">
        <w:rPr>
          <w:rFonts w:ascii="Arial" w:eastAsia="Times New Roman" w:hAnsi="Arial" w:cs="Arial"/>
          <w:sz w:val="24"/>
          <w:szCs w:val="24"/>
          <w:lang w:val="en-US"/>
        </w:rPr>
        <w:t xml:space="preserve"> </w:t>
      </w:r>
      <w:r w:rsidRPr="00CE39F6">
        <w:rPr>
          <w:rFonts w:ascii="Arial" w:eastAsia="Times New Roman" w:hAnsi="Arial" w:cs="Arial"/>
          <w:sz w:val="24"/>
          <w:szCs w:val="24"/>
          <w:lang w:val="en-US"/>
        </w:rPr>
        <w:t xml:space="preserve">of Waters Corporation (Manchester, UK) after </w:t>
      </w:r>
      <w:r w:rsidRPr="00CE39F6">
        <w:rPr>
          <w:rFonts w:ascii="Arial" w:hAnsi="Arial" w:cs="Arial"/>
          <w:sz w:val="24"/>
          <w:szCs w:val="24"/>
        </w:rPr>
        <w:t>HCT116 colon cancer cells were stimulated for 6 hours with 10mM propionate and/or butyrate in a 2x2 factorial design with two independent repeats. The cells were lysate and the mitochondrially enriched fractions were extracted and then analysed by using a label-free workflow with a nanoACQUITY and SYNAPT G2S system solution to perform HDMS</w:t>
      </w:r>
      <w:r w:rsidRPr="00CE39F6">
        <w:rPr>
          <w:rFonts w:ascii="Arial" w:hAnsi="Arial" w:cs="Arial"/>
          <w:sz w:val="24"/>
          <w:szCs w:val="24"/>
          <w:vertAlign w:val="superscript"/>
        </w:rPr>
        <w:t>E</w:t>
      </w:r>
      <w:r w:rsidR="006F4644">
        <w:rPr>
          <w:rFonts w:ascii="Arial" w:hAnsi="Arial" w:cs="Arial"/>
          <w:sz w:val="24"/>
          <w:szCs w:val="24"/>
        </w:rPr>
        <w:t xml:space="preserve"> (elevated HDMS) </w:t>
      </w:r>
      <w:r w:rsidRPr="00CE39F6">
        <w:rPr>
          <w:rFonts w:ascii="Arial" w:hAnsi="Arial" w:cs="Arial"/>
          <w:sz w:val="24"/>
          <w:szCs w:val="24"/>
        </w:rPr>
        <w:t xml:space="preserve">experiments. For further details and full methodology please see Patel </w:t>
      </w:r>
      <w:r w:rsidRPr="00CE39F6">
        <w:rPr>
          <w:rFonts w:ascii="Arial" w:hAnsi="Arial" w:cs="Arial"/>
          <w:i/>
          <w:sz w:val="24"/>
          <w:szCs w:val="24"/>
        </w:rPr>
        <w:t xml:space="preserve">et al, </w:t>
      </w:r>
      <w:r w:rsidRPr="00CE39F6">
        <w:rPr>
          <w:rFonts w:ascii="Arial" w:hAnsi="Arial" w:cs="Arial"/>
          <w:sz w:val="24"/>
          <w:szCs w:val="24"/>
        </w:rPr>
        <w:t xml:space="preserve">2009 </w:t>
      </w:r>
      <w:r w:rsidR="006C2756" w:rsidRPr="00CE39F6">
        <w:rPr>
          <w:rFonts w:ascii="Arial" w:hAnsi="Arial" w:cs="Arial"/>
          <w:sz w:val="24"/>
          <w:szCs w:val="24"/>
        </w:rPr>
        <w:fldChar w:fldCharType="begin"/>
      </w:r>
      <w:r w:rsidR="00FC3C1A">
        <w:rPr>
          <w:rFonts w:ascii="Arial" w:hAnsi="Arial" w:cs="Arial"/>
          <w:sz w:val="24"/>
          <w:szCs w:val="24"/>
        </w:rPr>
        <w:instrText xml:space="preserve"> ADDIN EN.CITE &lt;EndNote&gt;&lt;Cite&gt;&lt;Author&gt;Patel V&lt;/Author&gt;&lt;Year&gt;2009&lt;/Year&gt;&lt;RecNum&gt;201&lt;/RecNum&gt;&lt;IDText&gt;A Comparison of Labeling and Label-Free Mass Spectrometry-Based Proteomics Approaches &lt;/IDText&gt;&lt;DisplayText&gt;(85)&lt;/DisplayText&gt;&lt;record&gt;&lt;rec-number&gt;201&lt;/rec-number&gt;&lt;foreign-keys&gt;&lt;key app="EN" db-id="zxp9w5sa30aeafes0xox2eem00dz2z2aswad"&gt;201&lt;/key&gt;&lt;key app="ENWeb" db-id="UG1-3grtqigAAEqvEt0"&gt;205&lt;/key&gt;&lt;/foreign-keys&gt;&lt;ref-type name="Journal Article"&gt;17&lt;/ref-type&gt;&lt;contributors&gt;&lt;authors&gt;&lt;author&gt;Patel V,&lt;/author&gt;&lt;author&gt;Thalassinos K,&lt;/author&gt;&lt;author&gt;Slade S,&lt;/author&gt;&lt;author&gt;Connolly J,&lt;/author&gt;&lt;author&gt;Crombie A,&lt;/author&gt;&lt;author&gt;Murrell J,&lt;/author&gt;&lt;author&gt;Scrivens J,&lt;/author&gt;&lt;/authors&gt;&lt;/contributors&gt;&lt;titles&gt;&lt;title&gt;A Comparison of Labeling and Label-Free Mass Spectrometry-Based Proteomics Approaches &lt;/title&gt;&lt;secondary-title&gt;Journal of Proteome Research&lt;/secondary-title&gt;&lt;/titles&gt;&lt;periodical&gt;&lt;full-title&gt;Journal of Proteome Research&lt;/full-title&gt;&lt;/periodical&gt;&lt;pages&gt;3752–3759&lt;/pages&gt;&lt;volume&gt;8&lt;/volume&gt;&lt;dates&gt;&lt;year&gt;2009&lt;/year&gt;&lt;/dates&gt;&lt;urls&gt;&lt;/urls&gt;&lt;/record&gt;&lt;/Cite&gt;&lt;/EndNote&gt;</w:instrText>
      </w:r>
      <w:r w:rsidR="006C2756" w:rsidRPr="00CE39F6">
        <w:rPr>
          <w:rFonts w:ascii="Arial" w:hAnsi="Arial" w:cs="Arial"/>
          <w:sz w:val="24"/>
          <w:szCs w:val="24"/>
        </w:rPr>
        <w:fldChar w:fldCharType="separate"/>
      </w:r>
      <w:r w:rsidR="00FC3C1A">
        <w:rPr>
          <w:rFonts w:ascii="Arial" w:hAnsi="Arial" w:cs="Arial"/>
          <w:noProof/>
          <w:sz w:val="24"/>
          <w:szCs w:val="24"/>
        </w:rPr>
        <w:t>(</w:t>
      </w:r>
      <w:hyperlink w:anchor="_ENREF_85" w:tooltip="Patel V, 2009 #201" w:history="1">
        <w:r w:rsidR="00AB7E17">
          <w:rPr>
            <w:rFonts w:ascii="Arial" w:hAnsi="Arial" w:cs="Arial"/>
            <w:noProof/>
            <w:sz w:val="24"/>
            <w:szCs w:val="24"/>
          </w:rPr>
          <w:t>85</w:t>
        </w:r>
      </w:hyperlink>
      <w:r w:rsidR="00FC3C1A">
        <w:rPr>
          <w:rFonts w:ascii="Arial" w:hAnsi="Arial" w:cs="Arial"/>
          <w:noProof/>
          <w:sz w:val="24"/>
          <w:szCs w:val="24"/>
        </w:rPr>
        <w:t>)</w:t>
      </w:r>
      <w:r w:rsidR="006C2756" w:rsidRPr="00CE39F6">
        <w:rPr>
          <w:rFonts w:ascii="Arial" w:hAnsi="Arial" w:cs="Arial"/>
          <w:sz w:val="24"/>
          <w:szCs w:val="24"/>
        </w:rPr>
        <w:fldChar w:fldCharType="end"/>
      </w:r>
      <w:r w:rsidRPr="00CE39F6">
        <w:rPr>
          <w:rFonts w:ascii="Arial" w:hAnsi="Arial" w:cs="Arial"/>
          <w:sz w:val="24"/>
          <w:szCs w:val="24"/>
        </w:rPr>
        <w:t>.</w:t>
      </w:r>
      <w:bookmarkStart w:id="62" w:name="_Toc363210238"/>
      <w:bookmarkStart w:id="63" w:name="_Toc363210240"/>
      <w:bookmarkStart w:id="64" w:name="_Toc363210241"/>
      <w:bookmarkStart w:id="65" w:name="_Toc363210242"/>
      <w:bookmarkEnd w:id="62"/>
      <w:bookmarkEnd w:id="63"/>
      <w:bookmarkEnd w:id="64"/>
      <w:bookmarkEnd w:id="65"/>
      <w:r w:rsidRPr="00CE39F6">
        <w:rPr>
          <w:rFonts w:ascii="Arial" w:hAnsi="Arial" w:cs="Arial"/>
          <w:sz w:val="24"/>
          <w:szCs w:val="24"/>
        </w:rPr>
        <w:t xml:space="preserve"> </w:t>
      </w:r>
      <w:r w:rsidRPr="00CE39F6">
        <w:rPr>
          <w:rFonts w:ascii="Arial" w:eastAsia="Times New Roman" w:hAnsi="Arial" w:cs="Arial"/>
          <w:sz w:val="24"/>
          <w:szCs w:val="24"/>
          <w:lang w:val="en-US"/>
        </w:rPr>
        <w:t xml:space="preserve">The mitochondrial proteomic dataset was divided in two subsets, global and acetylated proteome. The global proteome dataset consisted of 3963 hits (accession numbers), this is the whole proteome extracted from the mitochondrial fractions of HCT116 cells. On the other hand, the acetylated proteome dataset consisted of 686 hits (accession numbers), gathering all the acetylated proteins extracted from the mitochondrially enriched fractions after the treatment with propionate and/or butyrate. </w:t>
      </w:r>
      <w:r w:rsidRPr="00CE39F6">
        <w:rPr>
          <w:rFonts w:ascii="Arial" w:hAnsi="Arial" w:cs="Arial"/>
          <w:sz w:val="24"/>
          <w:szCs w:val="24"/>
        </w:rPr>
        <w:t>The existing mitochondrial proteomic dataset generated</w:t>
      </w:r>
      <w:r w:rsidRPr="00CE39F6">
        <w:rPr>
          <w:rFonts w:ascii="Arial" w:eastAsia="Times New Roman" w:hAnsi="Arial" w:cs="Arial"/>
          <w:sz w:val="24"/>
          <w:szCs w:val="24"/>
          <w:lang w:val="en-US"/>
        </w:rPr>
        <w:t>, as explained above,</w:t>
      </w:r>
      <w:r w:rsidRPr="00CE39F6">
        <w:rPr>
          <w:rFonts w:ascii="Arial" w:hAnsi="Arial" w:cs="Arial"/>
          <w:sz w:val="24"/>
          <w:szCs w:val="24"/>
        </w:rPr>
        <w:t xml:space="preserve"> by </w:t>
      </w:r>
      <w:r w:rsidRPr="00CE39F6">
        <w:rPr>
          <w:rFonts w:ascii="Arial" w:eastAsia="Times New Roman" w:hAnsi="Arial" w:cs="Arial"/>
          <w:sz w:val="24"/>
          <w:szCs w:val="24"/>
          <w:lang w:val="en-US"/>
        </w:rPr>
        <w:t xml:space="preserve">BC and CE in collaboration with JC of Waters Corporation (Manchester, UK) was mined in terms of which proteins are detected to be acetylated by qualitatively examining the data. By qualitatively examining the data, </w:t>
      </w:r>
      <w:r w:rsidRPr="00CE39F6">
        <w:rPr>
          <w:rFonts w:ascii="Arial" w:hAnsi="Arial" w:cs="Arial"/>
          <w:sz w:val="24"/>
          <w:szCs w:val="24"/>
        </w:rPr>
        <w:t>the metabolic pathways acetylation</w:t>
      </w:r>
      <w:r w:rsidR="006F4644">
        <w:rPr>
          <w:rFonts w:ascii="Arial" w:hAnsi="Arial" w:cs="Arial"/>
          <w:sz w:val="24"/>
          <w:szCs w:val="24"/>
        </w:rPr>
        <w:t xml:space="preserve"> </w:t>
      </w:r>
      <w:r w:rsidRPr="00CE39F6">
        <w:rPr>
          <w:rFonts w:ascii="Arial" w:hAnsi="Arial" w:cs="Arial"/>
          <w:sz w:val="24"/>
          <w:szCs w:val="24"/>
        </w:rPr>
        <w:t>(</w:t>
      </w:r>
      <w:r w:rsidR="006F4644" w:rsidRPr="00251513">
        <w:rPr>
          <w:rStyle w:val="Emphasis"/>
          <w:rFonts w:ascii="Arial" w:hAnsi="Arial" w:cs="Arial"/>
          <w:i w:val="0"/>
          <w:sz w:val="24"/>
          <w:szCs w:val="24"/>
        </w:rPr>
        <w:t>Database for Annotation, Visualization and Integrated Discovery</w:t>
      </w:r>
      <w:r w:rsidR="006F4644">
        <w:rPr>
          <w:rStyle w:val="Emphasis"/>
          <w:rFonts w:ascii="Arial" w:hAnsi="Arial" w:cs="Arial"/>
          <w:i w:val="0"/>
          <w:sz w:val="24"/>
          <w:szCs w:val="24"/>
        </w:rPr>
        <w:t xml:space="preserve">, </w:t>
      </w:r>
      <w:r w:rsidRPr="00CE39F6">
        <w:rPr>
          <w:rFonts w:ascii="Arial" w:hAnsi="Arial" w:cs="Arial"/>
          <w:sz w:val="24"/>
          <w:szCs w:val="24"/>
        </w:rPr>
        <w:t>DAVID), functional annotations (DAVID), pathways coverage (</w:t>
      </w:r>
      <w:r w:rsidR="006F4644" w:rsidRPr="00981B95">
        <w:rPr>
          <w:rFonts w:ascii="Arial" w:hAnsi="Arial" w:cs="Arial"/>
          <w:sz w:val="24"/>
          <w:szCs w:val="24"/>
        </w:rPr>
        <w:t>Kyoto Encyclopaedia of Genes and Genome</w:t>
      </w:r>
      <w:r w:rsidR="006F4644">
        <w:rPr>
          <w:rFonts w:ascii="Arial" w:hAnsi="Arial" w:cs="Arial"/>
          <w:sz w:val="24"/>
          <w:szCs w:val="24"/>
        </w:rPr>
        <w:t xml:space="preserve">, </w:t>
      </w:r>
      <w:r w:rsidRPr="00CE39F6">
        <w:rPr>
          <w:rFonts w:ascii="Arial" w:hAnsi="Arial" w:cs="Arial"/>
          <w:sz w:val="24"/>
          <w:szCs w:val="24"/>
        </w:rPr>
        <w:t>KEGG) and matching pathways representation (Reactome) were determined. Specific quantifications of the mitochondrial proteomic dataset were not possible due to discrepancies in the magnitude of the units between the global and the acetylated proteome datasets</w:t>
      </w:r>
      <w:r w:rsidR="00FE4708">
        <w:rPr>
          <w:rFonts w:ascii="Arial" w:hAnsi="Arial" w:cs="Arial"/>
          <w:sz w:val="24"/>
          <w:szCs w:val="24"/>
        </w:rPr>
        <w:t>.</w:t>
      </w:r>
    </w:p>
    <w:p w:rsidR="00EF1380" w:rsidRPr="00735400" w:rsidRDefault="004B5A56" w:rsidP="00EF1380">
      <w:pPr>
        <w:pStyle w:val="Heading1"/>
        <w:jc w:val="both"/>
        <w:rPr>
          <w:rFonts w:ascii="Arial" w:hAnsi="Arial" w:cs="Arial"/>
          <w:color w:val="222222"/>
          <w:sz w:val="24"/>
          <w:szCs w:val="24"/>
          <w:shd w:val="clear" w:color="auto" w:fill="FFFFFF"/>
        </w:rPr>
      </w:pPr>
      <w:bookmarkStart w:id="66" w:name="_Toc364682853"/>
      <w:bookmarkStart w:id="67" w:name="_Toc413753757"/>
      <w:r>
        <w:rPr>
          <w:rFonts w:ascii="Arial" w:hAnsi="Arial" w:cs="Arial"/>
          <w:color w:val="222222"/>
          <w:sz w:val="24"/>
          <w:szCs w:val="24"/>
          <w:shd w:val="clear" w:color="auto" w:fill="FFFFFF"/>
        </w:rPr>
        <w:t>Acetylation of metabolic pathways</w:t>
      </w:r>
      <w:bookmarkEnd w:id="66"/>
      <w:bookmarkEnd w:id="67"/>
    </w:p>
    <w:p w:rsidR="00EF1380" w:rsidRPr="004F72F4" w:rsidRDefault="00EF1380" w:rsidP="00EF1380">
      <w:pPr>
        <w:jc w:val="both"/>
        <w:rPr>
          <w:rStyle w:val="Hyperlink"/>
          <w:rFonts w:ascii="Arial" w:hAnsi="Arial" w:cs="Arial"/>
          <w:color w:val="auto"/>
          <w:sz w:val="24"/>
          <w:szCs w:val="24"/>
          <w:u w:val="none"/>
          <w:lang w:val="en-US"/>
        </w:rPr>
      </w:pPr>
      <w:r w:rsidRPr="004F72F4">
        <w:rPr>
          <w:rFonts w:ascii="Arial" w:hAnsi="Arial" w:cs="Arial"/>
          <w:sz w:val="24"/>
          <w:szCs w:val="24"/>
          <w:shd w:val="clear" w:color="auto" w:fill="FFFFFF"/>
        </w:rPr>
        <w:t>An existing proteom</w:t>
      </w:r>
      <w:r w:rsidR="00FE4708">
        <w:rPr>
          <w:rFonts w:ascii="Arial" w:hAnsi="Arial" w:cs="Arial"/>
          <w:sz w:val="24"/>
          <w:szCs w:val="24"/>
          <w:shd w:val="clear" w:color="auto" w:fill="FFFFFF"/>
        </w:rPr>
        <w:t>ic dataset generated by B</w:t>
      </w:r>
      <w:r w:rsidRPr="004F72F4">
        <w:rPr>
          <w:rFonts w:ascii="Arial" w:hAnsi="Arial" w:cs="Arial"/>
          <w:sz w:val="24"/>
          <w:szCs w:val="24"/>
          <w:shd w:val="clear" w:color="auto" w:fill="FFFFFF"/>
        </w:rPr>
        <w:t xml:space="preserve">C and CE in collaboration with JC of Waters Corporation (Manchester, UK) was used to determine the </w:t>
      </w:r>
      <w:r w:rsidR="004B5A56">
        <w:rPr>
          <w:rFonts w:ascii="Arial" w:hAnsi="Arial" w:cs="Arial"/>
          <w:sz w:val="24"/>
          <w:szCs w:val="24"/>
          <w:shd w:val="clear" w:color="auto" w:fill="FFFFFF"/>
        </w:rPr>
        <w:t>acetylation of metabolic pathways</w:t>
      </w:r>
      <w:r w:rsidRPr="004F72F4">
        <w:rPr>
          <w:rFonts w:ascii="Arial" w:hAnsi="Arial" w:cs="Arial"/>
          <w:sz w:val="24"/>
          <w:szCs w:val="24"/>
          <w:shd w:val="clear" w:color="auto" w:fill="FFFFFF"/>
        </w:rPr>
        <w:t xml:space="preserve">. </w:t>
      </w:r>
      <w:r w:rsidRPr="004F72F4">
        <w:rPr>
          <w:rFonts w:ascii="Arial" w:hAnsi="Arial" w:cs="Arial"/>
          <w:sz w:val="24"/>
          <w:szCs w:val="24"/>
        </w:rPr>
        <w:t>Representation analysis of the existing proteomic dataset (acetylated and g</w:t>
      </w:r>
      <w:r>
        <w:rPr>
          <w:rFonts w:ascii="Arial" w:hAnsi="Arial" w:cs="Arial"/>
          <w:sz w:val="24"/>
          <w:szCs w:val="24"/>
        </w:rPr>
        <w:t>l</w:t>
      </w:r>
      <w:r w:rsidRPr="004F72F4">
        <w:rPr>
          <w:rFonts w:ascii="Arial" w:hAnsi="Arial" w:cs="Arial"/>
          <w:sz w:val="24"/>
          <w:szCs w:val="24"/>
        </w:rPr>
        <w:t>obal proteome) from mitochondrially enriched fractions was undertaken DAVID (</w:t>
      </w:r>
      <w:hyperlink r:id="rId28" w:history="1">
        <w:r w:rsidRPr="008152FF">
          <w:rPr>
            <w:rStyle w:val="Hyperlink"/>
            <w:rFonts w:ascii="Arial" w:hAnsi="Arial" w:cs="Arial"/>
            <w:color w:val="auto"/>
            <w:sz w:val="24"/>
            <w:szCs w:val="24"/>
          </w:rPr>
          <w:t>http://david.abcc.ncifcrf.gov/</w:t>
        </w:r>
      </w:hyperlink>
      <w:r w:rsidRPr="004F72F4">
        <w:rPr>
          <w:rFonts w:ascii="Arial" w:hAnsi="Arial" w:cs="Arial"/>
          <w:sz w:val="24"/>
          <w:szCs w:val="24"/>
        </w:rPr>
        <w:t>)</w:t>
      </w:r>
      <w:r>
        <w:rPr>
          <w:rFonts w:ascii="Arial" w:hAnsi="Arial" w:cs="Arial"/>
          <w:sz w:val="24"/>
          <w:szCs w:val="24"/>
        </w:rPr>
        <w:t xml:space="preserve">, and </w:t>
      </w:r>
      <w:r w:rsidRPr="004F72F4">
        <w:rPr>
          <w:rFonts w:ascii="Arial" w:hAnsi="Arial" w:cs="Arial"/>
          <w:sz w:val="24"/>
          <w:szCs w:val="24"/>
        </w:rPr>
        <w:t>Reactome (</w:t>
      </w:r>
      <w:hyperlink r:id="rId29" w:history="1">
        <w:r w:rsidRPr="008152FF">
          <w:rPr>
            <w:rStyle w:val="Hyperlink"/>
            <w:rFonts w:ascii="Arial" w:hAnsi="Arial" w:cs="Arial"/>
            <w:color w:val="auto"/>
            <w:sz w:val="24"/>
            <w:szCs w:val="24"/>
          </w:rPr>
          <w:t>http://www.reactome.org/</w:t>
        </w:r>
      </w:hyperlink>
      <w:r w:rsidRPr="004F72F4">
        <w:rPr>
          <w:rStyle w:val="Hyperlink"/>
          <w:rFonts w:ascii="Arial" w:hAnsi="Arial" w:cs="Arial"/>
          <w:color w:val="000000" w:themeColor="text1"/>
          <w:sz w:val="24"/>
          <w:szCs w:val="24"/>
        </w:rPr>
        <w:t>)</w:t>
      </w:r>
      <w:r>
        <w:rPr>
          <w:rStyle w:val="Hyperlink"/>
          <w:rFonts w:ascii="Arial" w:hAnsi="Arial" w:cs="Arial"/>
          <w:color w:val="000000" w:themeColor="text1"/>
          <w:sz w:val="24"/>
          <w:szCs w:val="24"/>
          <w:u w:val="none"/>
        </w:rPr>
        <w:t xml:space="preserve"> an open-source curated peer reviewed pathway database</w:t>
      </w:r>
      <w:r w:rsidRPr="00251513">
        <w:rPr>
          <w:rStyle w:val="Hyperlink"/>
          <w:rFonts w:ascii="Arial" w:hAnsi="Arial" w:cs="Arial"/>
          <w:color w:val="000000" w:themeColor="text1"/>
          <w:sz w:val="24"/>
          <w:szCs w:val="24"/>
          <w:u w:val="none"/>
        </w:rPr>
        <w:t>.</w:t>
      </w:r>
      <w:r w:rsidRPr="00251513">
        <w:rPr>
          <w:rStyle w:val="Hyperlink"/>
          <w:rFonts w:ascii="Arial" w:hAnsi="Arial" w:cs="Arial"/>
          <w:color w:val="auto"/>
          <w:sz w:val="24"/>
          <w:szCs w:val="24"/>
          <w:u w:val="none"/>
        </w:rPr>
        <w:t xml:space="preserve"> </w:t>
      </w:r>
      <w:r w:rsidRPr="004F72F4">
        <w:rPr>
          <w:rStyle w:val="Hyperlink"/>
          <w:rFonts w:ascii="Arial" w:hAnsi="Arial" w:cs="Arial"/>
          <w:color w:val="auto"/>
          <w:sz w:val="24"/>
          <w:szCs w:val="24"/>
          <w:u w:val="none"/>
        </w:rPr>
        <w:t xml:space="preserve">Enzymes for major metabolic pathways involving acetyl-CoA as a component (glycolysis, </w:t>
      </w:r>
      <w:r>
        <w:rPr>
          <w:rStyle w:val="Hyperlink"/>
          <w:rFonts w:ascii="Arial" w:hAnsi="Arial" w:cs="Arial"/>
          <w:color w:val="auto"/>
          <w:sz w:val="24"/>
          <w:szCs w:val="24"/>
          <w:u w:val="none"/>
        </w:rPr>
        <w:t>the TCA cycle</w:t>
      </w:r>
      <w:r w:rsidRPr="004F72F4">
        <w:rPr>
          <w:rStyle w:val="Hyperlink"/>
          <w:rFonts w:ascii="Arial" w:hAnsi="Arial" w:cs="Arial"/>
          <w:color w:val="auto"/>
          <w:sz w:val="24"/>
          <w:szCs w:val="24"/>
          <w:u w:val="none"/>
        </w:rPr>
        <w:t xml:space="preserve">, pyruvate metabolism and β-oxidation) were searched for by </w:t>
      </w:r>
      <w:r>
        <w:rPr>
          <w:rStyle w:val="Hyperlink"/>
          <w:rFonts w:ascii="Arial" w:hAnsi="Arial" w:cs="Arial"/>
          <w:color w:val="auto"/>
          <w:sz w:val="24"/>
          <w:szCs w:val="24"/>
          <w:u w:val="none"/>
        </w:rPr>
        <w:t xml:space="preserve">the </w:t>
      </w:r>
      <w:r w:rsidRPr="00251513">
        <w:rPr>
          <w:rStyle w:val="st"/>
          <w:rFonts w:ascii="Arial" w:hAnsi="Arial" w:cs="Arial"/>
          <w:sz w:val="24"/>
          <w:szCs w:val="24"/>
        </w:rPr>
        <w:t>Universal Protein Resource</w:t>
      </w:r>
      <w:r>
        <w:rPr>
          <w:rStyle w:val="st"/>
        </w:rPr>
        <w:t xml:space="preserve"> (</w:t>
      </w:r>
      <w:r w:rsidRPr="004F72F4">
        <w:rPr>
          <w:rStyle w:val="Hyperlink"/>
          <w:rFonts w:ascii="Arial" w:hAnsi="Arial" w:cs="Arial"/>
          <w:color w:val="auto"/>
          <w:sz w:val="24"/>
          <w:szCs w:val="24"/>
          <w:u w:val="none"/>
        </w:rPr>
        <w:t>Uniprot</w:t>
      </w:r>
      <w:r>
        <w:rPr>
          <w:rStyle w:val="Hyperlink"/>
          <w:rFonts w:ascii="Arial" w:hAnsi="Arial" w:cs="Arial"/>
          <w:color w:val="auto"/>
          <w:sz w:val="24"/>
          <w:szCs w:val="24"/>
          <w:u w:val="none"/>
        </w:rPr>
        <w:t>)</w:t>
      </w:r>
      <w:r w:rsidRPr="004F72F4">
        <w:rPr>
          <w:rStyle w:val="Hyperlink"/>
          <w:rFonts w:ascii="Arial" w:hAnsi="Arial" w:cs="Arial"/>
          <w:color w:val="auto"/>
          <w:sz w:val="24"/>
          <w:szCs w:val="24"/>
          <w:u w:val="none"/>
        </w:rPr>
        <w:t xml:space="preserve"> identifier </w:t>
      </w:r>
      <w:r w:rsidRPr="008152FF">
        <w:rPr>
          <w:rStyle w:val="Hyperlink"/>
          <w:rFonts w:ascii="Arial" w:hAnsi="Arial" w:cs="Arial"/>
          <w:color w:val="auto"/>
          <w:sz w:val="24"/>
          <w:szCs w:val="24"/>
          <w:u w:val="none"/>
        </w:rPr>
        <w:t>(</w:t>
      </w:r>
      <w:hyperlink r:id="rId30" w:history="1">
        <w:r w:rsidRPr="008152FF">
          <w:rPr>
            <w:rStyle w:val="Hyperlink"/>
            <w:rFonts w:ascii="Arial" w:hAnsi="Arial" w:cs="Arial"/>
            <w:color w:val="auto"/>
            <w:sz w:val="24"/>
            <w:szCs w:val="24"/>
            <w:u w:val="none"/>
          </w:rPr>
          <w:t>http://www.uniprot.org/</w:t>
        </w:r>
      </w:hyperlink>
      <w:r w:rsidRPr="008152FF">
        <w:rPr>
          <w:rStyle w:val="Hyperlink"/>
          <w:rFonts w:ascii="Arial" w:hAnsi="Arial" w:cs="Arial"/>
          <w:color w:val="auto"/>
          <w:sz w:val="24"/>
          <w:szCs w:val="24"/>
          <w:u w:val="none"/>
        </w:rPr>
        <w:t xml:space="preserve">), </w:t>
      </w:r>
      <w:r w:rsidRPr="005C62EA">
        <w:rPr>
          <w:rStyle w:val="Hyperlink"/>
          <w:rFonts w:ascii="Arial" w:hAnsi="Arial" w:cs="Arial"/>
          <w:color w:val="auto"/>
          <w:sz w:val="24"/>
          <w:szCs w:val="24"/>
          <w:u w:val="none"/>
        </w:rPr>
        <w:t>a catalogue of information on proteins</w:t>
      </w:r>
      <w:r w:rsidRPr="004F72F4">
        <w:rPr>
          <w:rStyle w:val="Hyperlink"/>
          <w:rFonts w:ascii="Arial" w:hAnsi="Arial" w:cs="Arial"/>
          <w:sz w:val="24"/>
          <w:szCs w:val="24"/>
          <w:u w:val="none"/>
        </w:rPr>
        <w:t xml:space="preserve">, </w:t>
      </w:r>
      <w:r w:rsidRPr="004F72F4">
        <w:rPr>
          <w:rStyle w:val="Hyperlink"/>
          <w:rFonts w:ascii="Arial" w:hAnsi="Arial" w:cs="Arial"/>
          <w:color w:val="auto"/>
          <w:sz w:val="24"/>
          <w:szCs w:val="24"/>
          <w:u w:val="none"/>
        </w:rPr>
        <w:t xml:space="preserve">and a map of </w:t>
      </w:r>
      <w:r w:rsidRPr="004F72F4">
        <w:rPr>
          <w:rStyle w:val="Hyperlink"/>
          <w:rFonts w:ascii="Arial" w:hAnsi="Arial" w:cs="Arial"/>
          <w:color w:val="auto"/>
          <w:sz w:val="24"/>
          <w:szCs w:val="24"/>
          <w:u w:val="none"/>
        </w:rPr>
        <w:lastRenderedPageBreak/>
        <w:t>these metabolic pathways was made.</w:t>
      </w:r>
      <w:r w:rsidRPr="004F72F4">
        <w:rPr>
          <w:rStyle w:val="Hyperlink"/>
          <w:rFonts w:ascii="Arial" w:hAnsi="Arial" w:cs="Arial"/>
          <w:sz w:val="24"/>
          <w:szCs w:val="24"/>
          <w:u w:val="none"/>
        </w:rPr>
        <w:t xml:space="preserve"> </w:t>
      </w:r>
      <w:r w:rsidRPr="004F72F4">
        <w:rPr>
          <w:rFonts w:ascii="Arial" w:hAnsi="Arial" w:cs="Arial"/>
          <w:sz w:val="24"/>
          <w:szCs w:val="24"/>
        </w:rPr>
        <w:t xml:space="preserve">The list of enzymes from the </w:t>
      </w:r>
      <w:r>
        <w:rPr>
          <w:rFonts w:ascii="Arial" w:hAnsi="Arial" w:cs="Arial"/>
          <w:sz w:val="24"/>
          <w:szCs w:val="24"/>
        </w:rPr>
        <w:t>total</w:t>
      </w:r>
      <w:r w:rsidRPr="004F72F4">
        <w:rPr>
          <w:rFonts w:ascii="Arial" w:hAnsi="Arial" w:cs="Arial"/>
          <w:sz w:val="24"/>
          <w:szCs w:val="24"/>
        </w:rPr>
        <w:t xml:space="preserve"> proteome data set obtained from Uniprot identifier was then compared with the </w:t>
      </w:r>
      <w:r>
        <w:rPr>
          <w:rFonts w:ascii="Arial" w:hAnsi="Arial" w:cs="Arial"/>
          <w:sz w:val="24"/>
          <w:szCs w:val="24"/>
        </w:rPr>
        <w:t>global</w:t>
      </w:r>
      <w:r w:rsidRPr="004F72F4">
        <w:rPr>
          <w:rFonts w:ascii="Arial" w:hAnsi="Arial" w:cs="Arial"/>
          <w:sz w:val="24"/>
          <w:szCs w:val="24"/>
        </w:rPr>
        <w:t xml:space="preserve"> and acetylated proteome dataset to find which enzymes were acetylated. This comparison was made in order to elucidate the acetylation patterns in enzymes for these major metabolic pathways involving acetyl-CoA as a component. The enzymes found in the acetylated data set were then compared with the manually curated database, PhosphoSitePlus</w:t>
      </w:r>
      <w:r w:rsidRPr="004F72F4">
        <w:rPr>
          <w:rFonts w:ascii="Arial" w:hAnsi="Arial" w:cs="Arial"/>
          <w:i/>
          <w:sz w:val="24"/>
          <w:szCs w:val="24"/>
        </w:rPr>
        <w:t xml:space="preserve"> (</w:t>
      </w:r>
      <w:hyperlink r:id="rId31" w:history="1">
        <w:r w:rsidRPr="008152FF">
          <w:rPr>
            <w:rStyle w:val="Hyperlink"/>
            <w:rFonts w:ascii="Arial" w:hAnsi="Arial" w:cs="Arial"/>
            <w:color w:val="auto"/>
            <w:sz w:val="24"/>
            <w:szCs w:val="24"/>
            <w:lang w:val="en-US"/>
          </w:rPr>
          <w:t>www.phosphosite.org</w:t>
        </w:r>
      </w:hyperlink>
      <w:r w:rsidRPr="008152FF">
        <w:rPr>
          <w:rStyle w:val="Hyperlink"/>
          <w:rFonts w:ascii="Arial" w:hAnsi="Arial" w:cs="Arial"/>
          <w:color w:val="auto"/>
          <w:sz w:val="24"/>
          <w:szCs w:val="24"/>
          <w:u w:val="none"/>
          <w:lang w:val="en-US"/>
        </w:rPr>
        <w:t>)</w:t>
      </w:r>
      <w:r w:rsidRPr="004F72F4">
        <w:rPr>
          <w:rStyle w:val="Hyperlink"/>
          <w:rFonts w:ascii="Arial" w:hAnsi="Arial" w:cs="Arial"/>
          <w:sz w:val="24"/>
          <w:szCs w:val="24"/>
          <w:u w:val="none"/>
          <w:lang w:val="en-US"/>
        </w:rPr>
        <w:t xml:space="preserve"> </w:t>
      </w:r>
      <w:r w:rsidRPr="004F72F4">
        <w:rPr>
          <w:rStyle w:val="Hyperlink"/>
          <w:rFonts w:ascii="Arial" w:hAnsi="Arial" w:cs="Arial"/>
          <w:color w:val="auto"/>
          <w:sz w:val="24"/>
          <w:szCs w:val="24"/>
          <w:u w:val="none"/>
          <w:lang w:val="en-US"/>
        </w:rPr>
        <w:t>in order to have an accurate representation of the acetylated proteome. Once these enzymes were compared, a map of the acetylated proteome was made.</w:t>
      </w:r>
      <w:r w:rsidRPr="004F72F4" w:rsidDel="00AA3AE8">
        <w:rPr>
          <w:rStyle w:val="Hyperlink"/>
          <w:rFonts w:ascii="Arial" w:hAnsi="Arial" w:cs="Arial"/>
          <w:color w:val="auto"/>
          <w:sz w:val="24"/>
          <w:szCs w:val="24"/>
          <w:u w:val="none"/>
          <w:lang w:val="en-US"/>
        </w:rPr>
        <w:t xml:space="preserve"> </w:t>
      </w:r>
    </w:p>
    <w:p w:rsidR="00EF1380" w:rsidRPr="00333672" w:rsidRDefault="00EF1380" w:rsidP="00EF1380">
      <w:pPr>
        <w:pStyle w:val="Heading1"/>
        <w:rPr>
          <w:rFonts w:ascii="Arial" w:hAnsi="Arial" w:cs="Arial"/>
          <w:sz w:val="24"/>
          <w:szCs w:val="24"/>
        </w:rPr>
      </w:pPr>
      <w:bookmarkStart w:id="68" w:name="_Toc363210244"/>
      <w:bookmarkStart w:id="69" w:name="_Toc363210245"/>
      <w:bookmarkStart w:id="70" w:name="_Toc364682854"/>
      <w:bookmarkStart w:id="71" w:name="_Toc413753758"/>
      <w:bookmarkEnd w:id="68"/>
      <w:r w:rsidRPr="00333672">
        <w:rPr>
          <w:rFonts w:ascii="Arial" w:hAnsi="Arial" w:cs="Arial"/>
          <w:sz w:val="24"/>
          <w:szCs w:val="24"/>
        </w:rPr>
        <w:t>Functional annotations</w:t>
      </w:r>
      <w:bookmarkEnd w:id="69"/>
      <w:bookmarkEnd w:id="70"/>
      <w:bookmarkEnd w:id="71"/>
    </w:p>
    <w:p w:rsidR="00BF474E" w:rsidRPr="00FE4708" w:rsidRDefault="00DD3865" w:rsidP="00FE4708">
      <w:pPr>
        <w:jc w:val="both"/>
        <w:rPr>
          <w:rFonts w:ascii="Arial" w:hAnsi="Arial" w:cs="Arial"/>
          <w:sz w:val="24"/>
          <w:szCs w:val="24"/>
        </w:rPr>
      </w:pPr>
      <w:r>
        <w:rPr>
          <w:rFonts w:ascii="Arial" w:hAnsi="Arial" w:cs="Arial"/>
          <w:sz w:val="24"/>
          <w:szCs w:val="24"/>
        </w:rPr>
        <w:t>Functional annotations are the attach</w:t>
      </w:r>
      <w:r w:rsidR="00557EE9">
        <w:rPr>
          <w:rFonts w:ascii="Arial" w:hAnsi="Arial" w:cs="Arial"/>
          <w:sz w:val="24"/>
          <w:szCs w:val="24"/>
        </w:rPr>
        <w:t xml:space="preserve">ment </w:t>
      </w:r>
      <w:r>
        <w:rPr>
          <w:rFonts w:ascii="Arial" w:hAnsi="Arial" w:cs="Arial"/>
          <w:sz w:val="24"/>
          <w:szCs w:val="24"/>
        </w:rPr>
        <w:t xml:space="preserve">of biological data to elements related to the genome. The functional annotations </w:t>
      </w:r>
      <w:r w:rsidR="00EF1380">
        <w:rPr>
          <w:rFonts w:ascii="Arial" w:hAnsi="Arial" w:cs="Arial"/>
          <w:sz w:val="24"/>
          <w:szCs w:val="24"/>
        </w:rPr>
        <w:t>of the global and acetylated proteome data</w:t>
      </w:r>
      <w:r w:rsidR="00EF1380" w:rsidRPr="00981B95">
        <w:rPr>
          <w:rFonts w:ascii="Arial" w:hAnsi="Arial" w:cs="Arial"/>
          <w:sz w:val="24"/>
          <w:szCs w:val="24"/>
        </w:rPr>
        <w:t>set</w:t>
      </w:r>
      <w:r w:rsidR="00EF1380">
        <w:rPr>
          <w:rFonts w:ascii="Arial" w:hAnsi="Arial" w:cs="Arial"/>
          <w:sz w:val="24"/>
          <w:szCs w:val="24"/>
        </w:rPr>
        <w:t>s</w:t>
      </w:r>
      <w:r>
        <w:rPr>
          <w:rFonts w:ascii="Arial" w:hAnsi="Arial" w:cs="Arial"/>
          <w:sz w:val="24"/>
          <w:szCs w:val="24"/>
        </w:rPr>
        <w:t xml:space="preserve">, </w:t>
      </w:r>
      <w:r w:rsidR="00EF1380">
        <w:rPr>
          <w:rFonts w:ascii="Arial" w:hAnsi="Arial" w:cs="Arial"/>
          <w:sz w:val="24"/>
          <w:szCs w:val="24"/>
        </w:rPr>
        <w:t xml:space="preserve">generated </w:t>
      </w:r>
      <w:r w:rsidR="00EF1380" w:rsidRPr="004F72F4">
        <w:rPr>
          <w:rFonts w:ascii="Arial" w:hAnsi="Arial" w:cs="Arial"/>
          <w:sz w:val="24"/>
          <w:szCs w:val="24"/>
          <w:shd w:val="clear" w:color="auto" w:fill="FFFFFF"/>
        </w:rPr>
        <w:t>by BC and CE in collaboration with JC of Waters Corporation (Manchester, UK)</w:t>
      </w:r>
      <w:r>
        <w:rPr>
          <w:rFonts w:ascii="Arial" w:hAnsi="Arial" w:cs="Arial"/>
          <w:sz w:val="24"/>
          <w:szCs w:val="24"/>
          <w:shd w:val="clear" w:color="auto" w:fill="FFFFFF"/>
        </w:rPr>
        <w:t>,</w:t>
      </w:r>
      <w:r w:rsidR="00EF1380">
        <w:rPr>
          <w:rFonts w:ascii="Arial" w:hAnsi="Arial" w:cs="Arial"/>
          <w:sz w:val="24"/>
          <w:szCs w:val="24"/>
          <w:shd w:val="clear" w:color="auto" w:fill="FFFFFF"/>
        </w:rPr>
        <w:t xml:space="preserve"> </w:t>
      </w:r>
      <w:r w:rsidR="00EF1380" w:rsidRPr="00981B95">
        <w:rPr>
          <w:rFonts w:ascii="Arial" w:hAnsi="Arial" w:cs="Arial"/>
          <w:sz w:val="24"/>
          <w:szCs w:val="24"/>
        </w:rPr>
        <w:t>were taken from DAVID (</w:t>
      </w:r>
      <w:hyperlink r:id="rId32" w:history="1">
        <w:r w:rsidR="00EF1380" w:rsidRPr="008152FF">
          <w:rPr>
            <w:rStyle w:val="Hyperlink"/>
            <w:rFonts w:ascii="Arial" w:hAnsi="Arial" w:cs="Arial"/>
            <w:color w:val="auto"/>
            <w:sz w:val="24"/>
          </w:rPr>
          <w:t>http://david.abcc.ncifcrf.gov/</w:t>
        </w:r>
      </w:hyperlink>
      <w:r w:rsidR="00EF1380" w:rsidRPr="00981B95">
        <w:rPr>
          <w:rFonts w:ascii="Arial" w:hAnsi="Arial" w:cs="Arial"/>
          <w:sz w:val="24"/>
          <w:szCs w:val="24"/>
        </w:rPr>
        <w:t xml:space="preserve">). The </w:t>
      </w:r>
      <w:r w:rsidR="00EF1380">
        <w:rPr>
          <w:rFonts w:ascii="Arial" w:hAnsi="Arial" w:cs="Arial"/>
          <w:sz w:val="24"/>
          <w:szCs w:val="24"/>
        </w:rPr>
        <w:t>GO terms</w:t>
      </w:r>
      <w:r>
        <w:rPr>
          <w:rFonts w:ascii="Arial" w:hAnsi="Arial" w:cs="Arial"/>
          <w:sz w:val="24"/>
          <w:szCs w:val="24"/>
        </w:rPr>
        <w:t>, a standard set of terms to resolve all information of different names in a conserved vocabulary,</w:t>
      </w:r>
      <w:r w:rsidR="00EF1380">
        <w:rPr>
          <w:rFonts w:ascii="Arial" w:hAnsi="Arial" w:cs="Arial"/>
          <w:sz w:val="24"/>
          <w:szCs w:val="24"/>
        </w:rPr>
        <w:t xml:space="preserve"> </w:t>
      </w:r>
      <w:r w:rsidR="00EF1380" w:rsidRPr="00981B95">
        <w:rPr>
          <w:rFonts w:ascii="Arial" w:hAnsi="Arial" w:cs="Arial"/>
          <w:sz w:val="24"/>
          <w:szCs w:val="24"/>
        </w:rPr>
        <w:t>were selected according to the aim</w:t>
      </w:r>
      <w:r>
        <w:rPr>
          <w:rFonts w:ascii="Arial" w:hAnsi="Arial" w:cs="Arial"/>
          <w:sz w:val="24"/>
          <w:szCs w:val="24"/>
        </w:rPr>
        <w:t>s</w:t>
      </w:r>
      <w:r w:rsidR="00EF1380" w:rsidRPr="00981B95">
        <w:rPr>
          <w:rFonts w:ascii="Arial" w:hAnsi="Arial" w:cs="Arial"/>
          <w:sz w:val="24"/>
          <w:szCs w:val="24"/>
        </w:rPr>
        <w:t xml:space="preserve"> of this work. These </w:t>
      </w:r>
      <w:r w:rsidR="00EF1380">
        <w:rPr>
          <w:rFonts w:ascii="Arial" w:hAnsi="Arial" w:cs="Arial"/>
          <w:sz w:val="24"/>
          <w:szCs w:val="24"/>
        </w:rPr>
        <w:t xml:space="preserve">GO terms </w:t>
      </w:r>
      <w:r>
        <w:rPr>
          <w:rFonts w:ascii="Arial" w:hAnsi="Arial" w:cs="Arial"/>
          <w:sz w:val="24"/>
          <w:szCs w:val="24"/>
        </w:rPr>
        <w:t>were Biological P</w:t>
      </w:r>
      <w:r w:rsidR="00EF1380" w:rsidRPr="00981B95">
        <w:rPr>
          <w:rFonts w:ascii="Arial" w:hAnsi="Arial" w:cs="Arial"/>
          <w:sz w:val="24"/>
          <w:szCs w:val="24"/>
        </w:rPr>
        <w:t>rocess (BP)</w:t>
      </w:r>
      <w:r w:rsidR="00F723AE">
        <w:rPr>
          <w:rFonts w:ascii="Arial" w:hAnsi="Arial" w:cs="Arial"/>
          <w:sz w:val="24"/>
          <w:szCs w:val="24"/>
        </w:rPr>
        <w:t>,</w:t>
      </w:r>
      <w:r>
        <w:rPr>
          <w:rFonts w:ascii="Arial" w:hAnsi="Arial" w:cs="Arial"/>
          <w:sz w:val="24"/>
          <w:szCs w:val="24"/>
        </w:rPr>
        <w:t xml:space="preserve"> extensive biological fields accomplished by a systemic gathering of various molecular functions</w:t>
      </w:r>
      <w:r w:rsidR="00F723AE">
        <w:rPr>
          <w:rFonts w:ascii="Arial" w:hAnsi="Arial" w:cs="Arial"/>
          <w:sz w:val="24"/>
          <w:szCs w:val="24"/>
        </w:rPr>
        <w:t>;</w:t>
      </w:r>
      <w:r>
        <w:rPr>
          <w:rFonts w:ascii="Arial" w:hAnsi="Arial" w:cs="Arial"/>
          <w:sz w:val="24"/>
          <w:szCs w:val="24"/>
        </w:rPr>
        <w:t xml:space="preserve"> Cellular C</w:t>
      </w:r>
      <w:r w:rsidR="00EF1380" w:rsidRPr="00981B95">
        <w:rPr>
          <w:rFonts w:ascii="Arial" w:hAnsi="Arial" w:cs="Arial"/>
          <w:sz w:val="24"/>
          <w:szCs w:val="24"/>
        </w:rPr>
        <w:t>ompartment (CC)</w:t>
      </w:r>
      <w:r w:rsidR="00F723AE">
        <w:rPr>
          <w:rFonts w:ascii="Arial" w:hAnsi="Arial" w:cs="Arial"/>
          <w:sz w:val="24"/>
          <w:szCs w:val="24"/>
        </w:rPr>
        <w:t>,</w:t>
      </w:r>
      <w:r w:rsidR="00EF1380" w:rsidRPr="00981B95">
        <w:rPr>
          <w:rFonts w:ascii="Arial" w:hAnsi="Arial" w:cs="Arial"/>
          <w:sz w:val="24"/>
          <w:szCs w:val="24"/>
        </w:rPr>
        <w:t xml:space="preserve"> </w:t>
      </w:r>
      <w:r>
        <w:rPr>
          <w:rFonts w:ascii="Arial" w:hAnsi="Arial" w:cs="Arial"/>
          <w:sz w:val="24"/>
          <w:szCs w:val="24"/>
        </w:rPr>
        <w:t>different subcellular macromolecular complexes, structures and locations</w:t>
      </w:r>
      <w:r w:rsidR="00F723AE">
        <w:rPr>
          <w:rFonts w:ascii="Arial" w:hAnsi="Arial" w:cs="Arial"/>
          <w:sz w:val="24"/>
          <w:szCs w:val="24"/>
        </w:rPr>
        <w:t>;</w:t>
      </w:r>
      <w:r>
        <w:rPr>
          <w:rFonts w:ascii="Arial" w:hAnsi="Arial" w:cs="Arial"/>
          <w:sz w:val="24"/>
          <w:szCs w:val="24"/>
        </w:rPr>
        <w:t xml:space="preserve"> </w:t>
      </w:r>
      <w:r w:rsidR="00EF1380" w:rsidRPr="00981B95">
        <w:rPr>
          <w:rFonts w:ascii="Arial" w:hAnsi="Arial" w:cs="Arial"/>
          <w:sz w:val="24"/>
          <w:szCs w:val="24"/>
        </w:rPr>
        <w:t>and Molecular Function (MF)</w:t>
      </w:r>
      <w:r w:rsidR="00F723AE">
        <w:rPr>
          <w:rFonts w:ascii="Arial" w:hAnsi="Arial" w:cs="Arial"/>
          <w:sz w:val="24"/>
          <w:szCs w:val="24"/>
        </w:rPr>
        <w:t>, tasks made by individual gene products</w:t>
      </w:r>
      <w:r w:rsidR="00EF1380" w:rsidRPr="00981B95">
        <w:rPr>
          <w:rFonts w:ascii="Arial" w:hAnsi="Arial" w:cs="Arial"/>
          <w:sz w:val="24"/>
          <w:szCs w:val="24"/>
        </w:rPr>
        <w:t xml:space="preserve">. </w:t>
      </w:r>
      <w:r w:rsidR="00EF1380">
        <w:rPr>
          <w:rFonts w:ascii="Arial" w:hAnsi="Arial" w:cs="Arial"/>
          <w:sz w:val="24"/>
          <w:szCs w:val="24"/>
        </w:rPr>
        <w:t xml:space="preserve">The fifth level of GO </w:t>
      </w:r>
      <w:r w:rsidR="00F723AE">
        <w:rPr>
          <w:rFonts w:ascii="Arial" w:hAnsi="Arial" w:cs="Arial"/>
          <w:sz w:val="24"/>
          <w:szCs w:val="24"/>
        </w:rPr>
        <w:t xml:space="preserve">of the </w:t>
      </w:r>
      <w:r w:rsidR="00EF1380">
        <w:rPr>
          <w:rFonts w:ascii="Arial" w:hAnsi="Arial" w:cs="Arial"/>
          <w:sz w:val="24"/>
          <w:szCs w:val="24"/>
        </w:rPr>
        <w:t>functional annotation</w:t>
      </w:r>
      <w:r w:rsidR="007E650A">
        <w:rPr>
          <w:rFonts w:ascii="Arial" w:hAnsi="Arial" w:cs="Arial"/>
          <w:sz w:val="24"/>
          <w:szCs w:val="24"/>
        </w:rPr>
        <w:t>s</w:t>
      </w:r>
      <w:r w:rsidR="00EF1380">
        <w:rPr>
          <w:rFonts w:ascii="Arial" w:hAnsi="Arial" w:cs="Arial"/>
          <w:sz w:val="24"/>
          <w:szCs w:val="24"/>
        </w:rPr>
        <w:t xml:space="preserve"> was chosen over the other levels (1-4), since the first level</w:t>
      </w:r>
      <w:r w:rsidR="00F723AE">
        <w:rPr>
          <w:rFonts w:ascii="Arial" w:hAnsi="Arial" w:cs="Arial"/>
          <w:sz w:val="24"/>
          <w:szCs w:val="24"/>
        </w:rPr>
        <w:t>s</w:t>
      </w:r>
      <w:r w:rsidR="00EF1380">
        <w:rPr>
          <w:rFonts w:ascii="Arial" w:hAnsi="Arial" w:cs="Arial"/>
          <w:sz w:val="24"/>
          <w:szCs w:val="24"/>
        </w:rPr>
        <w:t xml:space="preserve"> </w:t>
      </w:r>
      <w:r w:rsidR="00DE7937">
        <w:rPr>
          <w:rFonts w:ascii="Arial" w:hAnsi="Arial" w:cs="Arial"/>
          <w:sz w:val="24"/>
          <w:szCs w:val="24"/>
        </w:rPr>
        <w:t xml:space="preserve">of GO </w:t>
      </w:r>
      <w:r w:rsidR="00EF1380">
        <w:rPr>
          <w:rFonts w:ascii="Arial" w:hAnsi="Arial" w:cs="Arial"/>
          <w:sz w:val="24"/>
          <w:szCs w:val="24"/>
        </w:rPr>
        <w:t xml:space="preserve">represent the most general </w:t>
      </w:r>
      <w:r w:rsidR="000B0C1F">
        <w:rPr>
          <w:rFonts w:ascii="Arial" w:hAnsi="Arial" w:cs="Arial"/>
          <w:sz w:val="24"/>
          <w:szCs w:val="24"/>
        </w:rPr>
        <w:t>functional annotations</w:t>
      </w:r>
      <w:r w:rsidR="00EF1380">
        <w:rPr>
          <w:rFonts w:ascii="Arial" w:hAnsi="Arial" w:cs="Arial"/>
          <w:sz w:val="24"/>
          <w:szCs w:val="24"/>
        </w:rPr>
        <w:t xml:space="preserve">, </w:t>
      </w:r>
      <w:r w:rsidR="00DE7937">
        <w:rPr>
          <w:rFonts w:ascii="Arial" w:hAnsi="Arial" w:cs="Arial"/>
          <w:sz w:val="24"/>
          <w:szCs w:val="24"/>
        </w:rPr>
        <w:t>lacking specificity</w:t>
      </w:r>
      <w:r w:rsidR="00EF1380">
        <w:rPr>
          <w:rFonts w:ascii="Arial" w:hAnsi="Arial" w:cs="Arial"/>
          <w:sz w:val="24"/>
          <w:szCs w:val="24"/>
        </w:rPr>
        <w:t xml:space="preserve">, whereas the </w:t>
      </w:r>
      <w:r w:rsidR="00F723AE">
        <w:rPr>
          <w:rFonts w:ascii="Arial" w:hAnsi="Arial" w:cs="Arial"/>
          <w:sz w:val="24"/>
          <w:szCs w:val="24"/>
        </w:rPr>
        <w:t xml:space="preserve">latest levels </w:t>
      </w:r>
      <w:r w:rsidR="00DE7937">
        <w:rPr>
          <w:rFonts w:ascii="Arial" w:hAnsi="Arial" w:cs="Arial"/>
          <w:sz w:val="24"/>
          <w:szCs w:val="24"/>
        </w:rPr>
        <w:t xml:space="preserve">of GO </w:t>
      </w:r>
      <w:r w:rsidR="00F723AE">
        <w:rPr>
          <w:rFonts w:ascii="Arial" w:hAnsi="Arial" w:cs="Arial"/>
          <w:sz w:val="24"/>
          <w:szCs w:val="24"/>
        </w:rPr>
        <w:t xml:space="preserve">cover more specific </w:t>
      </w:r>
      <w:r w:rsidR="000B0C1F">
        <w:rPr>
          <w:rFonts w:ascii="Arial" w:hAnsi="Arial" w:cs="Arial"/>
          <w:sz w:val="24"/>
          <w:szCs w:val="24"/>
        </w:rPr>
        <w:t>functional annotations</w:t>
      </w:r>
      <w:r w:rsidR="00F723AE">
        <w:rPr>
          <w:rFonts w:ascii="Arial" w:hAnsi="Arial" w:cs="Arial"/>
          <w:sz w:val="24"/>
          <w:szCs w:val="24"/>
        </w:rPr>
        <w:t xml:space="preserve">. The </w:t>
      </w:r>
      <w:r w:rsidR="00EF1380">
        <w:rPr>
          <w:rFonts w:ascii="Arial" w:hAnsi="Arial" w:cs="Arial"/>
          <w:sz w:val="24"/>
          <w:szCs w:val="24"/>
        </w:rPr>
        <w:t xml:space="preserve">fifth level </w:t>
      </w:r>
      <w:r w:rsidR="00F723AE">
        <w:rPr>
          <w:rFonts w:ascii="Arial" w:hAnsi="Arial" w:cs="Arial"/>
          <w:sz w:val="24"/>
          <w:szCs w:val="24"/>
        </w:rPr>
        <w:t xml:space="preserve">of GO was chosen </w:t>
      </w:r>
      <w:r w:rsidR="00FE4708">
        <w:rPr>
          <w:rFonts w:ascii="Arial" w:hAnsi="Arial" w:cs="Arial"/>
          <w:sz w:val="24"/>
          <w:szCs w:val="24"/>
        </w:rPr>
        <w:t>because a</w:t>
      </w:r>
      <w:r w:rsidR="00755EF7">
        <w:rPr>
          <w:rFonts w:ascii="Arial" w:hAnsi="Arial" w:cs="Arial"/>
          <w:sz w:val="24"/>
          <w:szCs w:val="24"/>
        </w:rPr>
        <w:t xml:space="preserve"> wider range of specific functional annotations fulfils better the aims of this project. Besides, this level of GO </w:t>
      </w:r>
      <w:r w:rsidR="00F723AE">
        <w:rPr>
          <w:rFonts w:ascii="Arial" w:hAnsi="Arial" w:cs="Arial"/>
          <w:sz w:val="24"/>
          <w:szCs w:val="24"/>
        </w:rPr>
        <w:t xml:space="preserve">has the right balance in between general </w:t>
      </w:r>
      <w:r w:rsidR="00DE7937">
        <w:rPr>
          <w:rFonts w:ascii="Arial" w:hAnsi="Arial" w:cs="Arial"/>
          <w:sz w:val="24"/>
          <w:szCs w:val="24"/>
        </w:rPr>
        <w:t xml:space="preserve">functional annotations </w:t>
      </w:r>
      <w:r w:rsidR="00F723AE">
        <w:rPr>
          <w:rFonts w:ascii="Arial" w:hAnsi="Arial" w:cs="Arial"/>
          <w:sz w:val="24"/>
          <w:szCs w:val="24"/>
        </w:rPr>
        <w:t xml:space="preserve">and </w:t>
      </w:r>
      <w:r w:rsidR="00DE7937">
        <w:rPr>
          <w:rFonts w:ascii="Arial" w:hAnsi="Arial" w:cs="Arial"/>
          <w:sz w:val="24"/>
          <w:szCs w:val="24"/>
        </w:rPr>
        <w:t>specific functional annotations</w:t>
      </w:r>
      <w:r w:rsidR="00EF1380">
        <w:rPr>
          <w:rFonts w:ascii="Arial" w:hAnsi="Arial" w:cs="Arial"/>
          <w:sz w:val="24"/>
          <w:szCs w:val="24"/>
        </w:rPr>
        <w:t xml:space="preserve">. </w:t>
      </w:r>
      <w:r w:rsidR="00EF1380" w:rsidRPr="00981B95">
        <w:rPr>
          <w:rFonts w:ascii="Arial" w:hAnsi="Arial" w:cs="Arial"/>
          <w:sz w:val="24"/>
          <w:szCs w:val="24"/>
        </w:rPr>
        <w:t xml:space="preserve">The </w:t>
      </w:r>
      <w:r w:rsidR="00755EF7">
        <w:rPr>
          <w:rFonts w:ascii="Arial" w:hAnsi="Arial" w:cs="Arial"/>
          <w:sz w:val="24"/>
          <w:szCs w:val="24"/>
        </w:rPr>
        <w:t xml:space="preserve">enrichment scores of the </w:t>
      </w:r>
      <w:r w:rsidR="00EF1380" w:rsidRPr="00981B95">
        <w:rPr>
          <w:rFonts w:ascii="Arial" w:hAnsi="Arial" w:cs="Arial"/>
          <w:sz w:val="24"/>
          <w:szCs w:val="24"/>
        </w:rPr>
        <w:t xml:space="preserve">top 10 </w:t>
      </w:r>
      <w:r w:rsidR="00DE7937">
        <w:rPr>
          <w:rFonts w:ascii="Arial" w:hAnsi="Arial" w:cs="Arial"/>
          <w:sz w:val="24"/>
          <w:szCs w:val="24"/>
        </w:rPr>
        <w:t xml:space="preserve">general </w:t>
      </w:r>
      <w:r w:rsidR="00F723AE">
        <w:rPr>
          <w:rFonts w:ascii="Arial" w:hAnsi="Arial" w:cs="Arial"/>
          <w:sz w:val="24"/>
          <w:szCs w:val="24"/>
        </w:rPr>
        <w:t xml:space="preserve">functional annotations </w:t>
      </w:r>
      <w:r w:rsidR="00DE7937">
        <w:rPr>
          <w:rFonts w:ascii="Arial" w:hAnsi="Arial" w:cs="Arial"/>
          <w:sz w:val="24"/>
          <w:szCs w:val="24"/>
        </w:rPr>
        <w:t xml:space="preserve">and the top 10 metabolism-related functional annotations </w:t>
      </w:r>
      <w:r w:rsidR="00F723AE">
        <w:rPr>
          <w:rFonts w:ascii="Arial" w:hAnsi="Arial" w:cs="Arial"/>
          <w:sz w:val="24"/>
          <w:szCs w:val="24"/>
        </w:rPr>
        <w:t xml:space="preserve">of </w:t>
      </w:r>
      <w:r w:rsidR="00EF1380" w:rsidRPr="00981B95">
        <w:rPr>
          <w:rFonts w:ascii="Arial" w:hAnsi="Arial" w:cs="Arial"/>
          <w:sz w:val="24"/>
          <w:szCs w:val="24"/>
        </w:rPr>
        <w:t xml:space="preserve">the fifth level </w:t>
      </w:r>
      <w:r w:rsidR="00F723AE">
        <w:rPr>
          <w:rFonts w:ascii="Arial" w:hAnsi="Arial" w:cs="Arial"/>
          <w:sz w:val="24"/>
          <w:szCs w:val="24"/>
        </w:rPr>
        <w:t xml:space="preserve">of GO </w:t>
      </w:r>
      <w:r w:rsidR="00EF1380" w:rsidRPr="00981B95">
        <w:rPr>
          <w:rFonts w:ascii="Arial" w:hAnsi="Arial" w:cs="Arial"/>
          <w:sz w:val="24"/>
          <w:szCs w:val="24"/>
        </w:rPr>
        <w:t xml:space="preserve">were ranked and </w:t>
      </w:r>
      <w:r w:rsidR="00755EF7">
        <w:rPr>
          <w:rFonts w:ascii="Arial" w:hAnsi="Arial" w:cs="Arial"/>
          <w:sz w:val="24"/>
          <w:szCs w:val="24"/>
        </w:rPr>
        <w:t>plotted</w:t>
      </w:r>
      <w:r w:rsidR="00EF1380" w:rsidRPr="00981B95">
        <w:rPr>
          <w:rFonts w:ascii="Arial" w:hAnsi="Arial" w:cs="Arial"/>
          <w:sz w:val="24"/>
          <w:szCs w:val="24"/>
        </w:rPr>
        <w:t xml:space="preserve">. </w:t>
      </w:r>
      <w:r w:rsidR="006073C9">
        <w:rPr>
          <w:rFonts w:ascii="Arial" w:hAnsi="Arial" w:cs="Arial"/>
          <w:sz w:val="24"/>
          <w:szCs w:val="24"/>
        </w:rPr>
        <w:t>The enrichments scores</w:t>
      </w:r>
      <w:r w:rsidR="006073C9" w:rsidRPr="00557EE9">
        <w:rPr>
          <w:rFonts w:ascii="Arial" w:hAnsi="Arial" w:cs="Arial"/>
          <w:sz w:val="24"/>
          <w:szCs w:val="24"/>
        </w:rPr>
        <w:t xml:space="preserve"> </w:t>
      </w:r>
      <w:r w:rsidR="006073C9">
        <w:rPr>
          <w:rFonts w:ascii="Arial" w:hAnsi="Arial" w:cs="Arial"/>
          <w:sz w:val="24"/>
          <w:szCs w:val="24"/>
        </w:rPr>
        <w:t>of every GO functional annotation showed by DAVID are a rank of biological significance of a group of proteins evidencing a change in the expression of a specific pathway protein set revealing the degree to which a protein set is overrepresented in an expression dataset indicating the percentage of proteins contributing to the enrichment score in every functio</w:t>
      </w:r>
      <w:r w:rsidR="00755EF7">
        <w:rPr>
          <w:rFonts w:ascii="Arial" w:hAnsi="Arial" w:cs="Arial"/>
          <w:sz w:val="24"/>
          <w:szCs w:val="24"/>
        </w:rPr>
        <w:t xml:space="preserve">nal annotation of each Go term. </w:t>
      </w:r>
      <w:r w:rsidR="00557EE9">
        <w:rPr>
          <w:rFonts w:ascii="Arial" w:hAnsi="Arial" w:cs="Arial"/>
          <w:sz w:val="24"/>
          <w:szCs w:val="24"/>
        </w:rPr>
        <w:t xml:space="preserve">These enrichment scores are calculated by </w:t>
      </w:r>
      <w:r w:rsidR="00EF1380">
        <w:rPr>
          <w:rFonts w:ascii="Arial" w:hAnsi="Arial" w:cs="Arial"/>
          <w:sz w:val="24"/>
          <w:szCs w:val="24"/>
        </w:rPr>
        <w:t>cluster</w:t>
      </w:r>
      <w:r w:rsidR="00557EE9">
        <w:rPr>
          <w:rFonts w:ascii="Arial" w:hAnsi="Arial" w:cs="Arial"/>
          <w:sz w:val="24"/>
          <w:szCs w:val="24"/>
        </w:rPr>
        <w:t>ing</w:t>
      </w:r>
      <w:r w:rsidR="00EF1380">
        <w:rPr>
          <w:rFonts w:ascii="Arial" w:hAnsi="Arial" w:cs="Arial"/>
          <w:sz w:val="24"/>
          <w:szCs w:val="24"/>
        </w:rPr>
        <w:t xml:space="preserve"> an overall EASE score (Fisher Exact modified </w:t>
      </w:r>
      <w:r w:rsidR="00EF1380">
        <w:rPr>
          <w:rFonts w:ascii="Arial" w:hAnsi="Arial" w:cs="Arial"/>
          <w:i/>
          <w:sz w:val="24"/>
          <w:szCs w:val="24"/>
        </w:rPr>
        <w:t>p-</w:t>
      </w:r>
      <w:r w:rsidR="00EF1380">
        <w:rPr>
          <w:rFonts w:ascii="Arial" w:hAnsi="Arial" w:cs="Arial"/>
          <w:sz w:val="24"/>
          <w:szCs w:val="24"/>
        </w:rPr>
        <w:t xml:space="preserve">values) of all the enrichment annotation terms, where the lower the </w:t>
      </w:r>
      <w:r w:rsidR="00EF1380">
        <w:rPr>
          <w:rFonts w:ascii="Arial" w:hAnsi="Arial" w:cs="Arial"/>
          <w:i/>
          <w:sz w:val="24"/>
          <w:szCs w:val="24"/>
        </w:rPr>
        <w:t>p</w:t>
      </w:r>
      <w:r w:rsidR="00EF1380">
        <w:rPr>
          <w:rFonts w:ascii="Arial" w:hAnsi="Arial" w:cs="Arial"/>
          <w:i/>
          <w:sz w:val="24"/>
          <w:szCs w:val="24"/>
        </w:rPr>
        <w:softHyphen/>
      </w:r>
      <w:r w:rsidR="00EF1380">
        <w:rPr>
          <w:rFonts w:ascii="Arial" w:hAnsi="Arial" w:cs="Arial"/>
          <w:sz w:val="24"/>
          <w:szCs w:val="24"/>
        </w:rPr>
        <w:t>-value is, the higher the enrichment</w:t>
      </w:r>
      <w:r w:rsidR="00963A03">
        <w:rPr>
          <w:rFonts w:ascii="Arial" w:hAnsi="Arial" w:cs="Arial"/>
          <w:sz w:val="24"/>
          <w:szCs w:val="24"/>
        </w:rPr>
        <w:t xml:space="preserve"> (see Appendix 3 for the </w:t>
      </w:r>
      <w:r w:rsidR="00963A03">
        <w:rPr>
          <w:rFonts w:ascii="Arial" w:hAnsi="Arial" w:cs="Arial"/>
          <w:i/>
          <w:sz w:val="24"/>
          <w:szCs w:val="24"/>
        </w:rPr>
        <w:t>p</w:t>
      </w:r>
      <w:r w:rsidR="00963A03">
        <w:rPr>
          <w:rFonts w:ascii="Arial" w:hAnsi="Arial" w:cs="Arial"/>
          <w:sz w:val="24"/>
          <w:szCs w:val="24"/>
        </w:rPr>
        <w:t>-values of every functional annotation in each GO term for the global and acetylated proteome datasets)</w:t>
      </w:r>
      <w:r w:rsidR="00EF1380">
        <w:rPr>
          <w:rFonts w:ascii="Arial" w:hAnsi="Arial" w:cs="Arial"/>
          <w:sz w:val="24"/>
          <w:szCs w:val="24"/>
        </w:rPr>
        <w:t xml:space="preserve">. The enrichments scores show multiple proteins evidencing a shift in the </w:t>
      </w:r>
      <w:r w:rsidR="00EF1380">
        <w:rPr>
          <w:rFonts w:ascii="Arial" w:hAnsi="Arial" w:cs="Arial"/>
          <w:sz w:val="24"/>
          <w:szCs w:val="24"/>
        </w:rPr>
        <w:lastRenderedPageBreak/>
        <w:t xml:space="preserve">expression of a specific pathway protein set, where the main result of </w:t>
      </w:r>
      <w:r w:rsidR="00557EE9">
        <w:rPr>
          <w:rFonts w:ascii="Arial" w:hAnsi="Arial" w:cs="Arial"/>
          <w:sz w:val="24"/>
          <w:szCs w:val="24"/>
        </w:rPr>
        <w:t xml:space="preserve">the </w:t>
      </w:r>
      <w:r w:rsidR="00EF1380">
        <w:rPr>
          <w:rFonts w:ascii="Arial" w:hAnsi="Arial" w:cs="Arial"/>
          <w:sz w:val="24"/>
          <w:szCs w:val="24"/>
        </w:rPr>
        <w:t>protein analysis reveals the degree to which a protein set is overrepresented at the top or bottom of a ranked list of proteins in the expression dataset. The results of this analysis indicate the percentage of proteins contributing to the enrichment score in every functional annotation of each GO term.</w:t>
      </w:r>
      <w:r w:rsidR="00FE4708">
        <w:rPr>
          <w:rFonts w:ascii="Arial" w:hAnsi="Arial" w:cs="Arial"/>
          <w:sz w:val="24"/>
          <w:szCs w:val="24"/>
        </w:rPr>
        <w:t xml:space="preserve"> To determine if the distributions of the data are not significantly different from a normal distribution, a Shapiro-Wilk test was done in R. If the </w:t>
      </w:r>
      <w:r w:rsidR="00FE4708">
        <w:rPr>
          <w:rFonts w:ascii="Arial" w:hAnsi="Arial" w:cs="Arial"/>
          <w:i/>
          <w:sz w:val="24"/>
          <w:szCs w:val="24"/>
        </w:rPr>
        <w:t>p</w:t>
      </w:r>
      <w:r w:rsidR="00FE4708">
        <w:rPr>
          <w:rFonts w:ascii="Arial" w:hAnsi="Arial" w:cs="Arial"/>
          <w:sz w:val="24"/>
          <w:szCs w:val="24"/>
        </w:rPr>
        <w:t xml:space="preserve">-value in this test is &gt;0.05, the distribution does not significantly differ from the normal distribution at a five percent significance level, so the Student’s test (Welch Two Sample t-test) was used; if the </w:t>
      </w:r>
      <w:r w:rsidR="00FE4708">
        <w:rPr>
          <w:rFonts w:ascii="Arial" w:hAnsi="Arial" w:cs="Arial"/>
          <w:i/>
          <w:sz w:val="24"/>
          <w:szCs w:val="24"/>
        </w:rPr>
        <w:t>p</w:t>
      </w:r>
      <w:r w:rsidR="00FE4708">
        <w:rPr>
          <w:rFonts w:ascii="Arial" w:hAnsi="Arial" w:cs="Arial"/>
          <w:sz w:val="24"/>
          <w:szCs w:val="24"/>
        </w:rPr>
        <w:t>-value is &lt;0.05, the distribution significantly differs from the normal distribution at a five percent significance level, so Wilcoxon ran sum test was used.</w:t>
      </w:r>
    </w:p>
    <w:p w:rsidR="00EF1380" w:rsidRPr="00333672" w:rsidRDefault="00EF1380" w:rsidP="00EF1380">
      <w:pPr>
        <w:pStyle w:val="Heading1"/>
        <w:jc w:val="both"/>
        <w:rPr>
          <w:rFonts w:ascii="Arial" w:hAnsi="Arial" w:cs="Arial"/>
          <w:sz w:val="24"/>
          <w:szCs w:val="24"/>
        </w:rPr>
      </w:pPr>
      <w:bookmarkStart w:id="72" w:name="_Toc363210246"/>
      <w:bookmarkStart w:id="73" w:name="_Toc363210247"/>
      <w:bookmarkStart w:id="74" w:name="_Toc364682855"/>
      <w:bookmarkStart w:id="75" w:name="_Toc413753759"/>
      <w:bookmarkEnd w:id="72"/>
      <w:r w:rsidRPr="00333672">
        <w:rPr>
          <w:rFonts w:ascii="Arial" w:hAnsi="Arial" w:cs="Arial"/>
          <w:sz w:val="24"/>
          <w:szCs w:val="24"/>
        </w:rPr>
        <w:t>Pathways coverage</w:t>
      </w:r>
      <w:bookmarkEnd w:id="73"/>
      <w:bookmarkEnd w:id="74"/>
      <w:bookmarkEnd w:id="75"/>
    </w:p>
    <w:p w:rsidR="00EF1380" w:rsidRPr="008152FF" w:rsidRDefault="00EF1380" w:rsidP="00EF1380">
      <w:pPr>
        <w:jc w:val="both"/>
        <w:rPr>
          <w:rFonts w:ascii="Arial" w:hAnsi="Arial" w:cs="Arial"/>
          <w:sz w:val="24"/>
          <w:szCs w:val="24"/>
        </w:rPr>
      </w:pPr>
      <w:r w:rsidRPr="00981B95">
        <w:rPr>
          <w:rFonts w:ascii="Arial" w:hAnsi="Arial" w:cs="Arial"/>
          <w:sz w:val="24"/>
          <w:szCs w:val="24"/>
        </w:rPr>
        <w:t xml:space="preserve">The total number of </w:t>
      </w:r>
      <w:r>
        <w:rPr>
          <w:rFonts w:ascii="Arial" w:hAnsi="Arial" w:cs="Arial"/>
          <w:sz w:val="24"/>
          <w:szCs w:val="24"/>
        </w:rPr>
        <w:t>proteins</w:t>
      </w:r>
      <w:r w:rsidRPr="00981B95">
        <w:rPr>
          <w:rFonts w:ascii="Arial" w:hAnsi="Arial" w:cs="Arial"/>
          <w:sz w:val="24"/>
          <w:szCs w:val="24"/>
        </w:rPr>
        <w:t xml:space="preserve"> in each pathway (All pathway </w:t>
      </w:r>
      <w:r>
        <w:rPr>
          <w:rFonts w:ascii="Arial" w:hAnsi="Arial" w:cs="Arial"/>
          <w:sz w:val="24"/>
          <w:szCs w:val="24"/>
        </w:rPr>
        <w:t>proteins</w:t>
      </w:r>
      <w:r w:rsidRPr="00981B95">
        <w:rPr>
          <w:rFonts w:ascii="Arial" w:hAnsi="Arial" w:cs="Arial"/>
          <w:sz w:val="24"/>
          <w:szCs w:val="24"/>
        </w:rPr>
        <w:t xml:space="preserve">), as well as the total number of </w:t>
      </w:r>
      <w:r>
        <w:rPr>
          <w:rFonts w:ascii="Arial" w:hAnsi="Arial" w:cs="Arial"/>
          <w:sz w:val="24"/>
          <w:szCs w:val="24"/>
        </w:rPr>
        <w:t>proteins in the global and a</w:t>
      </w:r>
      <w:r w:rsidRPr="00981B95">
        <w:rPr>
          <w:rFonts w:ascii="Arial" w:hAnsi="Arial" w:cs="Arial"/>
          <w:sz w:val="24"/>
          <w:szCs w:val="24"/>
        </w:rPr>
        <w:t xml:space="preserve">cetylated proteome </w:t>
      </w:r>
      <w:r>
        <w:rPr>
          <w:rFonts w:ascii="Arial" w:hAnsi="Arial" w:cs="Arial"/>
          <w:sz w:val="24"/>
          <w:szCs w:val="24"/>
        </w:rPr>
        <w:t xml:space="preserve">datasets </w:t>
      </w:r>
      <w:r w:rsidRPr="00981B95">
        <w:rPr>
          <w:rFonts w:ascii="Arial" w:hAnsi="Arial" w:cs="Arial"/>
          <w:sz w:val="24"/>
          <w:szCs w:val="24"/>
        </w:rPr>
        <w:t xml:space="preserve">(All list </w:t>
      </w:r>
      <w:r>
        <w:rPr>
          <w:rFonts w:ascii="Arial" w:hAnsi="Arial" w:cs="Arial"/>
          <w:sz w:val="24"/>
          <w:szCs w:val="24"/>
        </w:rPr>
        <w:t>proteins</w:t>
      </w:r>
      <w:r w:rsidRPr="00981B95">
        <w:rPr>
          <w:rFonts w:ascii="Arial" w:hAnsi="Arial" w:cs="Arial"/>
          <w:sz w:val="24"/>
          <w:szCs w:val="24"/>
        </w:rPr>
        <w:t xml:space="preserve">) </w:t>
      </w:r>
      <w:r>
        <w:rPr>
          <w:rFonts w:ascii="Arial" w:hAnsi="Arial" w:cs="Arial"/>
          <w:sz w:val="24"/>
          <w:szCs w:val="24"/>
        </w:rPr>
        <w:t xml:space="preserve">generated </w:t>
      </w:r>
      <w:r w:rsidRPr="004F72F4">
        <w:rPr>
          <w:rFonts w:ascii="Arial" w:hAnsi="Arial" w:cs="Arial"/>
          <w:sz w:val="24"/>
          <w:szCs w:val="24"/>
          <w:shd w:val="clear" w:color="auto" w:fill="FFFFFF"/>
        </w:rPr>
        <w:t>by BC and CE in collaboration with JC of Waters Corporation (Manchester, UK)</w:t>
      </w:r>
      <w:r>
        <w:rPr>
          <w:rFonts w:ascii="Arial" w:hAnsi="Arial" w:cs="Arial"/>
          <w:sz w:val="24"/>
          <w:szCs w:val="24"/>
          <w:shd w:val="clear" w:color="auto" w:fill="FFFFFF"/>
        </w:rPr>
        <w:t xml:space="preserve"> </w:t>
      </w:r>
      <w:r w:rsidRPr="00981B95">
        <w:rPr>
          <w:rFonts w:ascii="Arial" w:hAnsi="Arial" w:cs="Arial"/>
          <w:sz w:val="24"/>
          <w:szCs w:val="24"/>
        </w:rPr>
        <w:t xml:space="preserve">were taken </w:t>
      </w:r>
      <w:r>
        <w:rPr>
          <w:rFonts w:ascii="Arial" w:hAnsi="Arial" w:cs="Arial"/>
          <w:sz w:val="24"/>
          <w:szCs w:val="24"/>
        </w:rPr>
        <w:t xml:space="preserve">from </w:t>
      </w:r>
      <w:r w:rsidR="008C3CDA">
        <w:rPr>
          <w:rFonts w:ascii="Arial" w:hAnsi="Arial" w:cs="Arial"/>
          <w:sz w:val="24"/>
          <w:szCs w:val="24"/>
        </w:rPr>
        <w:t>KEGG</w:t>
      </w:r>
      <w:r>
        <w:rPr>
          <w:rFonts w:ascii="Arial" w:hAnsi="Arial" w:cs="Arial"/>
          <w:sz w:val="24"/>
          <w:szCs w:val="24"/>
        </w:rPr>
        <w:t xml:space="preserve"> (</w:t>
      </w:r>
      <w:hyperlink r:id="rId33" w:history="1">
        <w:r w:rsidRPr="008152FF">
          <w:rPr>
            <w:rStyle w:val="Hyperlink"/>
            <w:rFonts w:ascii="Arial" w:hAnsi="Arial" w:cs="Arial"/>
            <w:color w:val="auto"/>
            <w:sz w:val="24"/>
            <w:szCs w:val="24"/>
          </w:rPr>
          <w:t>http://www.genome.jp/kegg/</w:t>
        </w:r>
      </w:hyperlink>
      <w:r w:rsidRPr="008152FF">
        <w:rPr>
          <w:rFonts w:ascii="Arial" w:hAnsi="Arial" w:cs="Arial"/>
          <w:sz w:val="24"/>
          <w:szCs w:val="24"/>
        </w:rPr>
        <w:t>), a database for the understanding of the functions and utilities of biological systems, through DAVID (</w:t>
      </w:r>
      <w:hyperlink r:id="rId34" w:history="1">
        <w:r w:rsidRPr="008152FF">
          <w:rPr>
            <w:rStyle w:val="Hyperlink"/>
            <w:rFonts w:ascii="Arial" w:hAnsi="Arial" w:cs="Arial"/>
            <w:color w:val="auto"/>
            <w:sz w:val="24"/>
            <w:szCs w:val="24"/>
          </w:rPr>
          <w:t>http://david.abcc.ncifcrf.gov/</w:t>
        </w:r>
      </w:hyperlink>
      <w:r w:rsidRPr="008152FF">
        <w:rPr>
          <w:rFonts w:ascii="Arial" w:hAnsi="Arial" w:cs="Arial"/>
          <w:sz w:val="24"/>
          <w:szCs w:val="24"/>
        </w:rPr>
        <w:t>, accessed on 24/05/14). The value of the percentage coverage of pathways was taken dividing the total number of enzymes (All pathway enzymes) in each pathway by the number of proteins found in the global or acetylated proteome (All list enzymes)</w:t>
      </w:r>
      <w:r w:rsidR="00FE4708">
        <w:rPr>
          <w:rFonts w:ascii="Arial" w:hAnsi="Arial" w:cs="Arial"/>
          <w:sz w:val="24"/>
          <w:szCs w:val="24"/>
        </w:rPr>
        <w:t xml:space="preserve"> in order to establish diferences in the number of enzymes participating in each metabolic pathway in the global and acetylated proteome dataets</w:t>
      </w:r>
      <w:r w:rsidRPr="008152FF">
        <w:rPr>
          <w:rFonts w:ascii="Arial" w:hAnsi="Arial" w:cs="Arial"/>
          <w:sz w:val="24"/>
          <w:szCs w:val="24"/>
        </w:rPr>
        <w:t>.</w:t>
      </w:r>
      <w:r w:rsidR="00FE4708">
        <w:rPr>
          <w:rFonts w:ascii="Arial" w:hAnsi="Arial" w:cs="Arial"/>
          <w:sz w:val="24"/>
          <w:szCs w:val="24"/>
        </w:rPr>
        <w:t xml:space="preserve"> </w:t>
      </w:r>
    </w:p>
    <w:p w:rsidR="00EF1380" w:rsidRPr="00333672" w:rsidRDefault="00EF1380" w:rsidP="00EF1380">
      <w:pPr>
        <w:pStyle w:val="Heading1"/>
        <w:rPr>
          <w:rFonts w:ascii="Arial" w:hAnsi="Arial" w:cs="Arial"/>
          <w:sz w:val="24"/>
          <w:szCs w:val="24"/>
        </w:rPr>
      </w:pPr>
      <w:bookmarkStart w:id="76" w:name="_Toc363210248"/>
      <w:bookmarkStart w:id="77" w:name="_Toc363210249"/>
      <w:bookmarkStart w:id="78" w:name="_Toc364682856"/>
      <w:bookmarkStart w:id="79" w:name="_Toc413753760"/>
      <w:bookmarkEnd w:id="76"/>
      <w:r w:rsidRPr="00333672">
        <w:rPr>
          <w:rFonts w:ascii="Arial" w:hAnsi="Arial" w:cs="Arial"/>
          <w:sz w:val="24"/>
          <w:szCs w:val="24"/>
        </w:rPr>
        <w:t>Matching pathways representation</w:t>
      </w:r>
      <w:bookmarkEnd w:id="77"/>
      <w:bookmarkEnd w:id="78"/>
      <w:bookmarkEnd w:id="79"/>
    </w:p>
    <w:p w:rsidR="00EF1380" w:rsidRDefault="00EF1380" w:rsidP="00EF1380">
      <w:pPr>
        <w:jc w:val="both"/>
        <w:rPr>
          <w:rStyle w:val="sectionname"/>
          <w:rFonts w:ascii="Arial" w:hAnsi="Arial" w:cs="Arial"/>
          <w:sz w:val="24"/>
          <w:szCs w:val="24"/>
        </w:rPr>
      </w:pPr>
      <w:r w:rsidRPr="008A0DB7">
        <w:rPr>
          <w:rStyle w:val="sectionname"/>
          <w:rFonts w:ascii="Arial" w:hAnsi="Arial" w:cs="Arial"/>
          <w:sz w:val="24"/>
          <w:szCs w:val="24"/>
        </w:rPr>
        <w:t xml:space="preserve">The open access software Reactome </w:t>
      </w:r>
      <w:r w:rsidRPr="008B6B05">
        <w:rPr>
          <w:rStyle w:val="sectionname"/>
          <w:rFonts w:ascii="Arial" w:hAnsi="Arial" w:cs="Arial"/>
          <w:sz w:val="24"/>
          <w:szCs w:val="24"/>
        </w:rPr>
        <w:t>(</w:t>
      </w:r>
      <w:hyperlink r:id="rId35" w:history="1">
        <w:r w:rsidRPr="008152FF">
          <w:rPr>
            <w:rStyle w:val="Hyperlink"/>
            <w:rFonts w:ascii="Arial" w:hAnsi="Arial" w:cs="Arial"/>
            <w:color w:val="auto"/>
            <w:sz w:val="24"/>
            <w:szCs w:val="24"/>
          </w:rPr>
          <w:t>http://www.reactome.org/</w:t>
        </w:r>
      </w:hyperlink>
      <w:r w:rsidRPr="008152FF">
        <w:rPr>
          <w:rStyle w:val="sectionname"/>
          <w:rFonts w:ascii="Arial" w:hAnsi="Arial" w:cs="Arial"/>
          <w:sz w:val="24"/>
          <w:szCs w:val="24"/>
        </w:rPr>
        <w:t>, accessed on 06/08/14), a precise manually curated and peer-reviewed pathway database that denotes huma</w:t>
      </w:r>
      <w:r w:rsidR="00FE4708">
        <w:rPr>
          <w:rStyle w:val="sectionname"/>
          <w:rFonts w:ascii="Arial" w:hAnsi="Arial" w:cs="Arial"/>
          <w:sz w:val="24"/>
          <w:szCs w:val="24"/>
        </w:rPr>
        <w:t>n biological processes as inter-</w:t>
      </w:r>
      <w:r w:rsidRPr="008152FF">
        <w:rPr>
          <w:rStyle w:val="sectionname"/>
          <w:rFonts w:ascii="Arial" w:hAnsi="Arial" w:cs="Arial"/>
          <w:sz w:val="24"/>
          <w:szCs w:val="24"/>
        </w:rPr>
        <w:t>connected molecular events or reactions, was used to do an overrepresentation a</w:t>
      </w:r>
      <w:r w:rsidRPr="008A0DB7">
        <w:rPr>
          <w:rStyle w:val="sectionname"/>
          <w:rFonts w:ascii="Arial" w:hAnsi="Arial" w:cs="Arial"/>
          <w:sz w:val="24"/>
          <w:szCs w:val="24"/>
        </w:rPr>
        <w:t>nalysis of the global and the acetylated proteome dataset</w:t>
      </w:r>
      <w:r>
        <w:rPr>
          <w:rStyle w:val="sectionname"/>
          <w:rFonts w:ascii="Arial" w:hAnsi="Arial" w:cs="Arial"/>
          <w:sz w:val="24"/>
          <w:szCs w:val="24"/>
        </w:rPr>
        <w:t xml:space="preserve">s generated </w:t>
      </w:r>
      <w:r w:rsidRPr="004F72F4">
        <w:rPr>
          <w:rFonts w:ascii="Arial" w:hAnsi="Arial" w:cs="Arial"/>
          <w:sz w:val="24"/>
          <w:szCs w:val="24"/>
          <w:shd w:val="clear" w:color="auto" w:fill="FFFFFF"/>
        </w:rPr>
        <w:t>by B</w:t>
      </w:r>
      <w:r w:rsidR="008C3CDA">
        <w:rPr>
          <w:rFonts w:ascii="Arial" w:hAnsi="Arial" w:cs="Arial"/>
          <w:sz w:val="24"/>
          <w:szCs w:val="24"/>
          <w:shd w:val="clear" w:color="auto" w:fill="FFFFFF"/>
        </w:rPr>
        <w:t>C</w:t>
      </w:r>
      <w:r w:rsidRPr="004F72F4">
        <w:rPr>
          <w:rFonts w:ascii="Arial" w:hAnsi="Arial" w:cs="Arial"/>
          <w:sz w:val="24"/>
          <w:szCs w:val="24"/>
          <w:shd w:val="clear" w:color="auto" w:fill="FFFFFF"/>
        </w:rPr>
        <w:t xml:space="preserve"> and C</w:t>
      </w:r>
      <w:r w:rsidR="008C3CDA">
        <w:rPr>
          <w:rFonts w:ascii="Arial" w:hAnsi="Arial" w:cs="Arial"/>
          <w:sz w:val="24"/>
          <w:szCs w:val="24"/>
          <w:shd w:val="clear" w:color="auto" w:fill="FFFFFF"/>
        </w:rPr>
        <w:t>E</w:t>
      </w:r>
      <w:r w:rsidRPr="004F72F4">
        <w:rPr>
          <w:rFonts w:ascii="Arial" w:hAnsi="Arial" w:cs="Arial"/>
          <w:sz w:val="24"/>
          <w:szCs w:val="24"/>
          <w:shd w:val="clear" w:color="auto" w:fill="FFFFFF"/>
        </w:rPr>
        <w:t xml:space="preserve"> in collaboration with J</w:t>
      </w:r>
      <w:r w:rsidR="008C3CDA">
        <w:rPr>
          <w:rFonts w:ascii="Arial" w:hAnsi="Arial" w:cs="Arial"/>
          <w:sz w:val="24"/>
          <w:szCs w:val="24"/>
          <w:shd w:val="clear" w:color="auto" w:fill="FFFFFF"/>
        </w:rPr>
        <w:t>C</w:t>
      </w:r>
      <w:r w:rsidRPr="004F72F4">
        <w:rPr>
          <w:rFonts w:ascii="Arial" w:hAnsi="Arial" w:cs="Arial"/>
          <w:sz w:val="24"/>
          <w:szCs w:val="24"/>
          <w:shd w:val="clear" w:color="auto" w:fill="FFFFFF"/>
        </w:rPr>
        <w:t xml:space="preserve"> of Waters Corporation (Manchester, UK)</w:t>
      </w:r>
      <w:r w:rsidRPr="008A0DB7">
        <w:rPr>
          <w:rStyle w:val="sectionname"/>
          <w:rFonts w:ascii="Arial" w:hAnsi="Arial" w:cs="Arial"/>
          <w:sz w:val="24"/>
          <w:szCs w:val="24"/>
        </w:rPr>
        <w:t xml:space="preserve">. By using Reactome, different pathways matching with the global and acetylated proteome datasets were found. </w:t>
      </w:r>
      <w:r>
        <w:rPr>
          <w:rFonts w:ascii="Arial" w:hAnsi="Arial" w:cs="Arial"/>
          <w:sz w:val="24"/>
          <w:szCs w:val="24"/>
        </w:rPr>
        <w:t>F</w:t>
      </w:r>
      <w:r w:rsidRPr="007E785D">
        <w:rPr>
          <w:rFonts w:ascii="Arial" w:hAnsi="Arial" w:cs="Arial"/>
          <w:sz w:val="24"/>
          <w:szCs w:val="24"/>
        </w:rPr>
        <w:t xml:space="preserve">rom all the different pathways analysed and </w:t>
      </w:r>
      <w:r>
        <w:rPr>
          <w:rFonts w:ascii="Arial" w:hAnsi="Arial" w:cs="Arial"/>
          <w:sz w:val="24"/>
          <w:szCs w:val="24"/>
        </w:rPr>
        <w:t>found to match the global</w:t>
      </w:r>
      <w:r w:rsidRPr="007E785D">
        <w:rPr>
          <w:rFonts w:ascii="Arial" w:hAnsi="Arial" w:cs="Arial"/>
          <w:sz w:val="24"/>
          <w:szCs w:val="24"/>
        </w:rPr>
        <w:t xml:space="preserve"> proteome dataset, the most representative for this project</w:t>
      </w:r>
      <w:r>
        <w:rPr>
          <w:rFonts w:ascii="Arial" w:hAnsi="Arial" w:cs="Arial"/>
          <w:sz w:val="24"/>
          <w:szCs w:val="24"/>
        </w:rPr>
        <w:t>, Metabolism,</w:t>
      </w:r>
      <w:r w:rsidRPr="007E785D">
        <w:rPr>
          <w:rFonts w:ascii="Arial" w:hAnsi="Arial" w:cs="Arial"/>
          <w:sz w:val="24"/>
          <w:szCs w:val="24"/>
        </w:rPr>
        <w:t xml:space="preserve"> w</w:t>
      </w:r>
      <w:r>
        <w:rPr>
          <w:rFonts w:ascii="Arial" w:hAnsi="Arial" w:cs="Arial"/>
          <w:sz w:val="24"/>
          <w:szCs w:val="24"/>
        </w:rPr>
        <w:t xml:space="preserve">as </w:t>
      </w:r>
      <w:r w:rsidRPr="007E785D">
        <w:rPr>
          <w:rFonts w:ascii="Arial" w:hAnsi="Arial" w:cs="Arial"/>
          <w:sz w:val="24"/>
          <w:szCs w:val="24"/>
        </w:rPr>
        <w:t>selected. Th</w:t>
      </w:r>
      <w:r>
        <w:rPr>
          <w:rFonts w:ascii="Arial" w:hAnsi="Arial" w:cs="Arial"/>
          <w:sz w:val="24"/>
          <w:szCs w:val="24"/>
        </w:rPr>
        <w:t>is</w:t>
      </w:r>
      <w:r w:rsidRPr="007E785D">
        <w:rPr>
          <w:rFonts w:ascii="Arial" w:hAnsi="Arial" w:cs="Arial"/>
          <w:sz w:val="24"/>
          <w:szCs w:val="24"/>
        </w:rPr>
        <w:t xml:space="preserve"> </w:t>
      </w:r>
      <w:r>
        <w:rPr>
          <w:rFonts w:ascii="Arial" w:hAnsi="Arial" w:cs="Arial"/>
          <w:sz w:val="24"/>
          <w:szCs w:val="24"/>
        </w:rPr>
        <w:t>same pathway selected for the global p</w:t>
      </w:r>
      <w:r w:rsidRPr="007E785D">
        <w:rPr>
          <w:rFonts w:ascii="Arial" w:hAnsi="Arial" w:cs="Arial"/>
          <w:sz w:val="24"/>
          <w:szCs w:val="24"/>
        </w:rPr>
        <w:t xml:space="preserve">roteome </w:t>
      </w:r>
      <w:r>
        <w:rPr>
          <w:rFonts w:ascii="Arial" w:hAnsi="Arial" w:cs="Arial"/>
          <w:sz w:val="24"/>
          <w:szCs w:val="24"/>
        </w:rPr>
        <w:t xml:space="preserve">dataset </w:t>
      </w:r>
      <w:r w:rsidRPr="007E785D">
        <w:rPr>
          <w:rFonts w:ascii="Arial" w:hAnsi="Arial" w:cs="Arial"/>
          <w:sz w:val="24"/>
          <w:szCs w:val="24"/>
        </w:rPr>
        <w:t>w</w:t>
      </w:r>
      <w:r>
        <w:rPr>
          <w:rFonts w:ascii="Arial" w:hAnsi="Arial" w:cs="Arial"/>
          <w:sz w:val="24"/>
          <w:szCs w:val="24"/>
        </w:rPr>
        <w:t>as</w:t>
      </w:r>
      <w:r w:rsidRPr="007E785D">
        <w:rPr>
          <w:rFonts w:ascii="Arial" w:hAnsi="Arial" w:cs="Arial"/>
          <w:sz w:val="24"/>
          <w:szCs w:val="24"/>
        </w:rPr>
        <w:t xml:space="preserve"> analysed and searched for </w:t>
      </w:r>
      <w:r>
        <w:rPr>
          <w:rFonts w:ascii="Arial" w:hAnsi="Arial" w:cs="Arial"/>
          <w:sz w:val="24"/>
          <w:szCs w:val="24"/>
        </w:rPr>
        <w:t>the a</w:t>
      </w:r>
      <w:r w:rsidRPr="007E785D">
        <w:rPr>
          <w:rFonts w:ascii="Arial" w:hAnsi="Arial" w:cs="Arial"/>
          <w:sz w:val="24"/>
          <w:szCs w:val="24"/>
        </w:rPr>
        <w:t xml:space="preserve">cetylated proteome </w:t>
      </w:r>
      <w:r>
        <w:rPr>
          <w:rFonts w:ascii="Arial" w:hAnsi="Arial" w:cs="Arial"/>
          <w:sz w:val="24"/>
          <w:szCs w:val="24"/>
        </w:rPr>
        <w:t xml:space="preserve">dataset </w:t>
      </w:r>
      <w:r w:rsidRPr="007E785D">
        <w:rPr>
          <w:rFonts w:ascii="Arial" w:hAnsi="Arial" w:cs="Arial"/>
          <w:sz w:val="24"/>
          <w:szCs w:val="24"/>
        </w:rPr>
        <w:t>through Reactome.</w:t>
      </w:r>
      <w:r w:rsidRPr="008A0DB7">
        <w:rPr>
          <w:rStyle w:val="sectionname"/>
          <w:rFonts w:ascii="Arial" w:hAnsi="Arial" w:cs="Arial"/>
          <w:sz w:val="24"/>
          <w:szCs w:val="24"/>
        </w:rPr>
        <w:t xml:space="preserve"> </w:t>
      </w:r>
    </w:p>
    <w:p w:rsidR="00DD6198" w:rsidRDefault="00DD6198" w:rsidP="00EF1380">
      <w:pPr>
        <w:pStyle w:val="Heading1"/>
        <w:rPr>
          <w:rStyle w:val="sectionname"/>
          <w:rFonts w:ascii="Arial" w:hAnsi="Arial" w:cs="Arial"/>
          <w:sz w:val="24"/>
          <w:szCs w:val="24"/>
        </w:rPr>
      </w:pPr>
    </w:p>
    <w:p w:rsidR="00EF1380" w:rsidRPr="00C84713" w:rsidRDefault="00EF1380" w:rsidP="00EF1380">
      <w:pPr>
        <w:pStyle w:val="Heading1"/>
        <w:rPr>
          <w:rStyle w:val="sectionname"/>
          <w:rFonts w:ascii="Arial" w:hAnsi="Arial" w:cs="Arial"/>
          <w:sz w:val="24"/>
          <w:szCs w:val="24"/>
        </w:rPr>
      </w:pPr>
      <w:bookmarkStart w:id="80" w:name="_Toc413753761"/>
      <w:r w:rsidRPr="00C84713">
        <w:rPr>
          <w:rStyle w:val="sectionname"/>
          <w:rFonts w:ascii="Arial" w:hAnsi="Arial" w:cs="Arial"/>
          <w:sz w:val="24"/>
          <w:szCs w:val="24"/>
        </w:rPr>
        <w:lastRenderedPageBreak/>
        <w:t>Modelling</w:t>
      </w:r>
      <w:bookmarkEnd w:id="80"/>
    </w:p>
    <w:p w:rsidR="00EF1380" w:rsidRDefault="00EF1380" w:rsidP="00EF1380">
      <w:pPr>
        <w:jc w:val="both"/>
        <w:rPr>
          <w:rStyle w:val="sectionname"/>
          <w:rFonts w:ascii="Arial" w:hAnsi="Arial" w:cs="Arial"/>
          <w:sz w:val="24"/>
          <w:szCs w:val="24"/>
        </w:rPr>
      </w:pPr>
      <w:r w:rsidRPr="008A0DB7">
        <w:rPr>
          <w:rStyle w:val="sectionname"/>
          <w:rFonts w:ascii="Arial" w:hAnsi="Arial" w:cs="Arial"/>
          <w:sz w:val="24"/>
          <w:szCs w:val="24"/>
        </w:rPr>
        <w:t>COPASI, a software application designed to simulate and analyse the dynamics of biochemical networks, was used to simulate the action of butyrate, propionate</w:t>
      </w:r>
      <w:r>
        <w:rPr>
          <w:rStyle w:val="sectionname"/>
          <w:rFonts w:ascii="Arial" w:hAnsi="Arial" w:cs="Arial"/>
          <w:sz w:val="24"/>
          <w:szCs w:val="24"/>
        </w:rPr>
        <w:t>, acetate and glucose</w:t>
      </w:r>
      <w:r w:rsidRPr="008A0DB7">
        <w:rPr>
          <w:rStyle w:val="sectionname"/>
          <w:rFonts w:ascii="Arial" w:hAnsi="Arial" w:cs="Arial"/>
          <w:sz w:val="24"/>
          <w:szCs w:val="24"/>
        </w:rPr>
        <w:t xml:space="preserve"> increasing concentration on CoA and acetyl-CoA</w:t>
      </w:r>
      <w:r>
        <w:rPr>
          <w:rStyle w:val="sectionname"/>
          <w:rFonts w:ascii="Arial" w:hAnsi="Arial" w:cs="Arial"/>
          <w:sz w:val="24"/>
          <w:szCs w:val="24"/>
        </w:rPr>
        <w:t xml:space="preserve"> levels</w:t>
      </w:r>
      <w:r w:rsidRPr="008A0DB7">
        <w:rPr>
          <w:rStyle w:val="sectionname"/>
          <w:rFonts w:ascii="Arial" w:hAnsi="Arial" w:cs="Arial"/>
          <w:sz w:val="24"/>
          <w:szCs w:val="24"/>
        </w:rPr>
        <w:t xml:space="preserve">. From </w:t>
      </w:r>
      <w:r w:rsidR="009C0CA0">
        <w:rPr>
          <w:rStyle w:val="sectionname"/>
          <w:rFonts w:ascii="Arial" w:hAnsi="Arial" w:cs="Arial"/>
          <w:sz w:val="24"/>
          <w:szCs w:val="24"/>
        </w:rPr>
        <w:t>several</w:t>
      </w:r>
      <w:r w:rsidRPr="008A0DB7">
        <w:rPr>
          <w:rStyle w:val="sectionname"/>
          <w:rFonts w:ascii="Arial" w:hAnsi="Arial" w:cs="Arial"/>
          <w:sz w:val="24"/>
          <w:szCs w:val="24"/>
        </w:rPr>
        <w:t xml:space="preserve"> models </w:t>
      </w:r>
      <w:r w:rsidR="00A76E64">
        <w:rPr>
          <w:rStyle w:val="sectionname"/>
          <w:rFonts w:ascii="Arial" w:hAnsi="Arial" w:cs="Arial"/>
          <w:sz w:val="24"/>
          <w:szCs w:val="24"/>
        </w:rPr>
        <w:t>explored</w:t>
      </w:r>
      <w:r w:rsidRPr="008A0DB7">
        <w:rPr>
          <w:rStyle w:val="sectionname"/>
          <w:rFonts w:ascii="Arial" w:hAnsi="Arial" w:cs="Arial"/>
          <w:sz w:val="24"/>
          <w:szCs w:val="24"/>
        </w:rPr>
        <w:t xml:space="preserve"> </w:t>
      </w:r>
      <w:r w:rsidR="009C0CA0">
        <w:rPr>
          <w:rStyle w:val="sectionname"/>
          <w:rFonts w:ascii="Arial" w:hAnsi="Arial" w:cs="Arial"/>
          <w:sz w:val="24"/>
          <w:szCs w:val="24"/>
        </w:rPr>
        <w:t>to simulate the oxidation of SCFAs</w:t>
      </w:r>
      <w:r w:rsidRPr="008A0DB7">
        <w:rPr>
          <w:rStyle w:val="sectionname"/>
          <w:rFonts w:ascii="Arial" w:hAnsi="Arial" w:cs="Arial"/>
          <w:sz w:val="24"/>
          <w:szCs w:val="24"/>
        </w:rPr>
        <w:t xml:space="preserve"> and after describing them, as well as analysing their merits and l</w:t>
      </w:r>
      <w:r>
        <w:rPr>
          <w:rStyle w:val="sectionname"/>
          <w:rFonts w:ascii="Arial" w:hAnsi="Arial" w:cs="Arial"/>
          <w:sz w:val="24"/>
          <w:szCs w:val="24"/>
        </w:rPr>
        <w:t xml:space="preserve">imitations (see Modelling overview sub-heading, where all these aspects are discussed), butyrate_v3-1 and SCFA Uptake and Oxidation v4 models were </w:t>
      </w:r>
      <w:r w:rsidR="00A76E64">
        <w:rPr>
          <w:rStyle w:val="sectionname"/>
          <w:rFonts w:ascii="Arial" w:hAnsi="Arial" w:cs="Arial"/>
          <w:sz w:val="24"/>
          <w:szCs w:val="24"/>
        </w:rPr>
        <w:t>selected</w:t>
      </w:r>
      <w:r>
        <w:rPr>
          <w:rStyle w:val="sectionname"/>
          <w:rFonts w:ascii="Arial" w:hAnsi="Arial" w:cs="Arial"/>
          <w:sz w:val="24"/>
          <w:szCs w:val="24"/>
        </w:rPr>
        <w:t xml:space="preserve"> to run simulations on </w:t>
      </w:r>
      <w:r w:rsidR="002C3C03" w:rsidRPr="002C3C03">
        <w:rPr>
          <w:rFonts w:ascii="Arial" w:hAnsi="Arial" w:cs="Arial"/>
          <w:sz w:val="24"/>
          <w:szCs w:val="24"/>
          <w:lang w:val="en-US"/>
        </w:rPr>
        <w:t xml:space="preserve">the action of increasing concentrations of SCFAs and glucose on acetyl-CoA and CoA and to simulate the effect of </w:t>
      </w:r>
      <w:r w:rsidR="002C3C03" w:rsidRPr="002C3C03">
        <w:rPr>
          <w:rFonts w:ascii="Arial" w:hAnsi="Arial" w:cs="Arial"/>
          <w:sz w:val="24"/>
          <w:szCs w:val="24"/>
        </w:rPr>
        <w:t xml:space="preserve">physiological ranges of butyrate, propionate and acetate on </w:t>
      </w:r>
      <w:r w:rsidR="002C3C03" w:rsidRPr="002C3C03">
        <w:rPr>
          <w:rFonts w:ascii="Arial" w:hAnsi="Arial" w:cs="Arial"/>
          <w:sz w:val="24"/>
          <w:szCs w:val="24"/>
          <w:lang w:val="en-US"/>
        </w:rPr>
        <w:t>a time course</w:t>
      </w:r>
      <w:r w:rsidR="00A76E64">
        <w:rPr>
          <w:rStyle w:val="sectionname"/>
          <w:rFonts w:ascii="Arial" w:hAnsi="Arial" w:cs="Arial"/>
          <w:sz w:val="24"/>
          <w:szCs w:val="24"/>
        </w:rPr>
        <w:t xml:space="preserve">. </w:t>
      </w:r>
      <w:r>
        <w:rPr>
          <w:rStyle w:val="sectionname"/>
          <w:rFonts w:ascii="Arial" w:hAnsi="Arial" w:cs="Arial"/>
          <w:sz w:val="24"/>
          <w:szCs w:val="24"/>
        </w:rPr>
        <w:t xml:space="preserve">These models were chosen because they </w:t>
      </w:r>
      <w:r w:rsidR="00A76E64">
        <w:rPr>
          <w:rStyle w:val="sectionname"/>
          <w:rFonts w:ascii="Arial" w:hAnsi="Arial" w:cs="Arial"/>
          <w:sz w:val="24"/>
          <w:szCs w:val="24"/>
        </w:rPr>
        <w:t>both meet the requirements searched in a model, which are: having acetate, butyrate, propionate, acetyl-CoA and CoA defined as</w:t>
      </w:r>
      <w:r w:rsidR="00FE4708">
        <w:rPr>
          <w:rStyle w:val="sectionname"/>
          <w:rFonts w:ascii="Arial" w:hAnsi="Arial" w:cs="Arial"/>
          <w:sz w:val="24"/>
          <w:szCs w:val="24"/>
        </w:rPr>
        <w:t xml:space="preserve"> species; acetate, butyrate, and </w:t>
      </w:r>
      <w:r w:rsidR="00A76E64">
        <w:rPr>
          <w:rStyle w:val="sectionname"/>
          <w:rFonts w:ascii="Arial" w:hAnsi="Arial" w:cs="Arial"/>
          <w:sz w:val="24"/>
          <w:szCs w:val="24"/>
        </w:rPr>
        <w:t>propionate uptake as well as CoA-ligation and CoA</w:t>
      </w:r>
      <w:r w:rsidR="002C46EF">
        <w:rPr>
          <w:rStyle w:val="sectionname"/>
          <w:rFonts w:ascii="Arial" w:hAnsi="Arial" w:cs="Arial"/>
          <w:sz w:val="24"/>
          <w:szCs w:val="24"/>
        </w:rPr>
        <w:t>-</w:t>
      </w:r>
      <w:r w:rsidR="00A76E64">
        <w:rPr>
          <w:rStyle w:val="sectionname"/>
          <w:rFonts w:ascii="Arial" w:hAnsi="Arial" w:cs="Arial"/>
          <w:sz w:val="24"/>
          <w:szCs w:val="24"/>
        </w:rPr>
        <w:t>sink defined as reactions</w:t>
      </w:r>
      <w:r w:rsidR="007C66F9">
        <w:rPr>
          <w:rStyle w:val="sectionname"/>
          <w:rFonts w:ascii="Arial" w:hAnsi="Arial" w:cs="Arial"/>
          <w:sz w:val="24"/>
          <w:szCs w:val="24"/>
        </w:rPr>
        <w:t xml:space="preserve"> (Figure 9 and 10, Table 8)</w:t>
      </w:r>
      <w:r w:rsidR="00A76E64">
        <w:rPr>
          <w:rStyle w:val="sectionname"/>
          <w:rFonts w:ascii="Arial" w:hAnsi="Arial" w:cs="Arial"/>
          <w:sz w:val="24"/>
          <w:szCs w:val="24"/>
        </w:rPr>
        <w:t xml:space="preserve">. Burytate_v3-1 and SCFA Uptake and Oxidation v4 models </w:t>
      </w:r>
      <w:r>
        <w:rPr>
          <w:rStyle w:val="sectionname"/>
          <w:rFonts w:ascii="Arial" w:hAnsi="Arial" w:cs="Arial"/>
          <w:sz w:val="24"/>
          <w:szCs w:val="24"/>
        </w:rPr>
        <w:t xml:space="preserve">are </w:t>
      </w:r>
      <w:r w:rsidRPr="008A0DB7">
        <w:rPr>
          <w:rStyle w:val="sectionname"/>
          <w:rFonts w:ascii="Arial" w:hAnsi="Arial" w:cs="Arial"/>
          <w:sz w:val="24"/>
          <w:szCs w:val="24"/>
        </w:rPr>
        <w:t>able to</w:t>
      </w:r>
      <w:r>
        <w:rPr>
          <w:rStyle w:val="sectionname"/>
          <w:rFonts w:ascii="Arial" w:hAnsi="Arial" w:cs="Arial"/>
          <w:sz w:val="24"/>
          <w:szCs w:val="24"/>
        </w:rPr>
        <w:t xml:space="preserve"> </w:t>
      </w:r>
      <w:r w:rsidRPr="008A0DB7">
        <w:rPr>
          <w:rStyle w:val="sectionname"/>
          <w:rFonts w:ascii="Arial" w:hAnsi="Arial" w:cs="Arial"/>
          <w:sz w:val="24"/>
          <w:szCs w:val="24"/>
        </w:rPr>
        <w:t>interrogate and simulate the oxidation of butyrate, propionate</w:t>
      </w:r>
      <w:r>
        <w:rPr>
          <w:rStyle w:val="sectionname"/>
          <w:rFonts w:ascii="Arial" w:hAnsi="Arial" w:cs="Arial"/>
          <w:sz w:val="24"/>
          <w:szCs w:val="24"/>
        </w:rPr>
        <w:t>,</w:t>
      </w:r>
      <w:r w:rsidRPr="008A0DB7">
        <w:rPr>
          <w:rStyle w:val="sectionname"/>
          <w:rFonts w:ascii="Arial" w:hAnsi="Arial" w:cs="Arial"/>
          <w:sz w:val="24"/>
          <w:szCs w:val="24"/>
        </w:rPr>
        <w:t xml:space="preserve"> acetate</w:t>
      </w:r>
      <w:r>
        <w:rPr>
          <w:rStyle w:val="sectionname"/>
          <w:rFonts w:ascii="Arial" w:hAnsi="Arial" w:cs="Arial"/>
          <w:sz w:val="24"/>
          <w:szCs w:val="24"/>
        </w:rPr>
        <w:t xml:space="preserve"> and glucose (just butyrate_v3-1 model</w:t>
      </w:r>
      <w:r w:rsidR="00DD0FDA">
        <w:rPr>
          <w:rStyle w:val="sectionname"/>
          <w:rFonts w:ascii="Arial" w:hAnsi="Arial" w:cs="Arial"/>
          <w:sz w:val="24"/>
          <w:szCs w:val="24"/>
        </w:rPr>
        <w:t>).</w:t>
      </w:r>
      <w:r w:rsidRPr="008A0DB7">
        <w:rPr>
          <w:rStyle w:val="sectionname"/>
          <w:rFonts w:ascii="Arial" w:hAnsi="Arial" w:cs="Arial"/>
          <w:sz w:val="24"/>
          <w:szCs w:val="24"/>
        </w:rPr>
        <w:t xml:space="preserve"> </w:t>
      </w:r>
      <w:r w:rsidR="00A76E64">
        <w:rPr>
          <w:rStyle w:val="sectionname"/>
          <w:rFonts w:ascii="Arial" w:hAnsi="Arial" w:cs="Arial"/>
          <w:sz w:val="24"/>
          <w:szCs w:val="24"/>
        </w:rPr>
        <w:t xml:space="preserve">As aforesaid, these </w:t>
      </w:r>
      <w:r w:rsidRPr="008A0DB7">
        <w:rPr>
          <w:rStyle w:val="sectionname"/>
          <w:rFonts w:ascii="Arial" w:hAnsi="Arial" w:cs="Arial"/>
          <w:sz w:val="24"/>
          <w:szCs w:val="24"/>
        </w:rPr>
        <w:t>model</w:t>
      </w:r>
      <w:r>
        <w:rPr>
          <w:rStyle w:val="sectionname"/>
          <w:rFonts w:ascii="Arial" w:hAnsi="Arial" w:cs="Arial"/>
          <w:sz w:val="24"/>
          <w:szCs w:val="24"/>
        </w:rPr>
        <w:t>s have</w:t>
      </w:r>
      <w:r w:rsidRPr="008A0DB7">
        <w:rPr>
          <w:rStyle w:val="sectionname"/>
          <w:rFonts w:ascii="Arial" w:hAnsi="Arial" w:cs="Arial"/>
          <w:sz w:val="24"/>
          <w:szCs w:val="24"/>
        </w:rPr>
        <w:t xml:space="preserve"> defined the three main SCFAs, butyrate, propionate</w:t>
      </w:r>
      <w:r>
        <w:rPr>
          <w:rStyle w:val="sectionname"/>
          <w:rFonts w:ascii="Arial" w:hAnsi="Arial" w:cs="Arial"/>
          <w:sz w:val="24"/>
          <w:szCs w:val="24"/>
        </w:rPr>
        <w:t>,</w:t>
      </w:r>
      <w:r w:rsidRPr="008A0DB7">
        <w:rPr>
          <w:rStyle w:val="sectionname"/>
          <w:rFonts w:ascii="Arial" w:hAnsi="Arial" w:cs="Arial"/>
          <w:sz w:val="24"/>
          <w:szCs w:val="24"/>
        </w:rPr>
        <w:t xml:space="preserve"> </w:t>
      </w:r>
      <w:r>
        <w:rPr>
          <w:rStyle w:val="sectionname"/>
          <w:rFonts w:ascii="Arial" w:hAnsi="Arial" w:cs="Arial"/>
          <w:sz w:val="24"/>
          <w:szCs w:val="24"/>
        </w:rPr>
        <w:t xml:space="preserve">and </w:t>
      </w:r>
      <w:r w:rsidRPr="008A0DB7">
        <w:rPr>
          <w:rStyle w:val="sectionname"/>
          <w:rFonts w:ascii="Arial" w:hAnsi="Arial" w:cs="Arial"/>
          <w:sz w:val="24"/>
          <w:szCs w:val="24"/>
        </w:rPr>
        <w:t>acetate</w:t>
      </w:r>
      <w:r>
        <w:rPr>
          <w:rStyle w:val="sectionname"/>
          <w:rFonts w:ascii="Arial" w:hAnsi="Arial" w:cs="Arial"/>
          <w:sz w:val="24"/>
          <w:szCs w:val="24"/>
        </w:rPr>
        <w:t>, besides glucose (just butyrate_v3-1 model)</w:t>
      </w:r>
      <w:r w:rsidRPr="008A0DB7">
        <w:rPr>
          <w:rStyle w:val="sectionname"/>
          <w:rFonts w:ascii="Arial" w:hAnsi="Arial" w:cs="Arial"/>
          <w:sz w:val="24"/>
          <w:szCs w:val="24"/>
        </w:rPr>
        <w:t xml:space="preserve">, </w:t>
      </w:r>
      <w:r>
        <w:rPr>
          <w:rStyle w:val="sectionname"/>
          <w:rFonts w:ascii="Arial" w:hAnsi="Arial" w:cs="Arial"/>
          <w:sz w:val="24"/>
          <w:szCs w:val="24"/>
        </w:rPr>
        <w:t xml:space="preserve">and </w:t>
      </w:r>
      <w:r w:rsidRPr="008A0DB7">
        <w:rPr>
          <w:rStyle w:val="sectionname"/>
          <w:rFonts w:ascii="Arial" w:hAnsi="Arial" w:cs="Arial"/>
          <w:sz w:val="24"/>
          <w:szCs w:val="24"/>
        </w:rPr>
        <w:t>acetyl-CoA and CoA as species (</w:t>
      </w:r>
      <w:r>
        <w:rPr>
          <w:rStyle w:val="sectionname"/>
          <w:rFonts w:ascii="Arial" w:hAnsi="Arial" w:cs="Arial"/>
          <w:sz w:val="24"/>
          <w:szCs w:val="24"/>
        </w:rPr>
        <w:t>F</w:t>
      </w:r>
      <w:r w:rsidRPr="008A0DB7">
        <w:rPr>
          <w:rStyle w:val="sectionname"/>
          <w:rFonts w:ascii="Arial" w:hAnsi="Arial" w:cs="Arial"/>
          <w:sz w:val="24"/>
          <w:szCs w:val="24"/>
        </w:rPr>
        <w:t xml:space="preserve">igure </w:t>
      </w:r>
      <w:r w:rsidR="00694A58">
        <w:rPr>
          <w:rStyle w:val="sectionname"/>
          <w:rFonts w:ascii="Arial" w:hAnsi="Arial" w:cs="Arial"/>
          <w:sz w:val="24"/>
          <w:szCs w:val="24"/>
        </w:rPr>
        <w:t>9</w:t>
      </w:r>
      <w:r>
        <w:rPr>
          <w:rStyle w:val="sectionname"/>
          <w:rFonts w:ascii="Arial" w:hAnsi="Arial" w:cs="Arial"/>
          <w:sz w:val="24"/>
          <w:szCs w:val="24"/>
        </w:rPr>
        <w:t xml:space="preserve"> and 1</w:t>
      </w:r>
      <w:r w:rsidR="00694A58">
        <w:rPr>
          <w:rStyle w:val="sectionname"/>
          <w:rFonts w:ascii="Arial" w:hAnsi="Arial" w:cs="Arial"/>
          <w:sz w:val="24"/>
          <w:szCs w:val="24"/>
        </w:rPr>
        <w:t>0</w:t>
      </w:r>
      <w:r>
        <w:rPr>
          <w:rStyle w:val="sectionname"/>
          <w:rFonts w:ascii="Arial" w:hAnsi="Arial" w:cs="Arial"/>
          <w:sz w:val="24"/>
          <w:szCs w:val="24"/>
        </w:rPr>
        <w:t xml:space="preserve">, Table </w:t>
      </w:r>
      <w:r w:rsidR="007C66F9">
        <w:rPr>
          <w:rStyle w:val="sectionname"/>
          <w:rFonts w:ascii="Arial" w:hAnsi="Arial" w:cs="Arial"/>
          <w:sz w:val="24"/>
          <w:szCs w:val="24"/>
        </w:rPr>
        <w:t>8</w:t>
      </w:r>
      <w:r w:rsidRPr="008A0DB7">
        <w:rPr>
          <w:rStyle w:val="sectionname"/>
          <w:rFonts w:ascii="Arial" w:hAnsi="Arial" w:cs="Arial"/>
          <w:sz w:val="24"/>
          <w:szCs w:val="24"/>
        </w:rPr>
        <w:t xml:space="preserve">). </w:t>
      </w:r>
      <w:r>
        <w:rPr>
          <w:rStyle w:val="sectionname"/>
          <w:rFonts w:ascii="Arial" w:hAnsi="Arial" w:cs="Arial"/>
          <w:sz w:val="24"/>
          <w:szCs w:val="24"/>
        </w:rPr>
        <w:t xml:space="preserve">They </w:t>
      </w:r>
      <w:r w:rsidRPr="008A0DB7">
        <w:rPr>
          <w:rStyle w:val="sectionname"/>
          <w:rFonts w:ascii="Arial" w:hAnsi="Arial" w:cs="Arial"/>
          <w:sz w:val="24"/>
          <w:szCs w:val="24"/>
        </w:rPr>
        <w:t xml:space="preserve">also </w:t>
      </w:r>
      <w:r w:rsidR="00694A58">
        <w:rPr>
          <w:rStyle w:val="sectionname"/>
          <w:rFonts w:ascii="Arial" w:hAnsi="Arial" w:cs="Arial"/>
          <w:sz w:val="24"/>
          <w:szCs w:val="24"/>
        </w:rPr>
        <w:t xml:space="preserve">have </w:t>
      </w:r>
      <w:r w:rsidRPr="008A0DB7">
        <w:rPr>
          <w:rStyle w:val="sectionname"/>
          <w:rFonts w:ascii="Arial" w:hAnsi="Arial" w:cs="Arial"/>
          <w:sz w:val="24"/>
          <w:szCs w:val="24"/>
        </w:rPr>
        <w:t xml:space="preserve">butyrate, propionate, acetate and glucose </w:t>
      </w:r>
      <w:r>
        <w:rPr>
          <w:rStyle w:val="sectionname"/>
          <w:rFonts w:ascii="Arial" w:hAnsi="Arial" w:cs="Arial"/>
          <w:sz w:val="24"/>
          <w:szCs w:val="24"/>
        </w:rPr>
        <w:t xml:space="preserve">(just butyrate_v3-1 model) </w:t>
      </w:r>
      <w:r w:rsidRPr="008A0DB7">
        <w:rPr>
          <w:rStyle w:val="sectionname"/>
          <w:rFonts w:ascii="Arial" w:hAnsi="Arial" w:cs="Arial"/>
          <w:sz w:val="24"/>
          <w:szCs w:val="24"/>
        </w:rPr>
        <w:t>uptake</w:t>
      </w:r>
      <w:r w:rsidR="00694A58">
        <w:rPr>
          <w:rStyle w:val="sectionname"/>
          <w:rFonts w:ascii="Arial" w:hAnsi="Arial" w:cs="Arial"/>
          <w:sz w:val="24"/>
          <w:szCs w:val="24"/>
        </w:rPr>
        <w:t xml:space="preserve"> </w:t>
      </w:r>
      <w:r w:rsidR="00694A58" w:rsidRPr="008A0DB7">
        <w:rPr>
          <w:rStyle w:val="sectionname"/>
          <w:rFonts w:ascii="Arial" w:hAnsi="Arial" w:cs="Arial"/>
          <w:sz w:val="24"/>
          <w:szCs w:val="24"/>
        </w:rPr>
        <w:t>defined</w:t>
      </w:r>
      <w:r w:rsidR="00694A58">
        <w:rPr>
          <w:rStyle w:val="sectionname"/>
          <w:rFonts w:ascii="Arial" w:hAnsi="Arial" w:cs="Arial"/>
          <w:sz w:val="24"/>
          <w:szCs w:val="24"/>
        </w:rPr>
        <w:t xml:space="preserve"> as reactions</w:t>
      </w:r>
      <w:r w:rsidRPr="008A0DB7">
        <w:rPr>
          <w:rStyle w:val="sectionname"/>
          <w:rFonts w:ascii="Arial" w:hAnsi="Arial" w:cs="Arial"/>
          <w:sz w:val="24"/>
          <w:szCs w:val="24"/>
        </w:rPr>
        <w:t xml:space="preserve">, </w:t>
      </w:r>
      <w:r>
        <w:rPr>
          <w:rStyle w:val="sectionname"/>
          <w:rFonts w:ascii="Arial" w:hAnsi="Arial" w:cs="Arial"/>
          <w:sz w:val="24"/>
          <w:szCs w:val="24"/>
        </w:rPr>
        <w:t xml:space="preserve">as well as </w:t>
      </w:r>
      <w:r w:rsidRPr="008A0DB7">
        <w:rPr>
          <w:rStyle w:val="sectionname"/>
          <w:rFonts w:ascii="Arial" w:hAnsi="Arial" w:cs="Arial"/>
          <w:sz w:val="24"/>
          <w:szCs w:val="24"/>
        </w:rPr>
        <w:t>CoA-ligation, and CoA</w:t>
      </w:r>
      <w:r w:rsidR="002C46EF">
        <w:rPr>
          <w:rStyle w:val="sectionname"/>
          <w:rFonts w:ascii="Arial" w:hAnsi="Arial" w:cs="Arial"/>
          <w:sz w:val="24"/>
          <w:szCs w:val="24"/>
        </w:rPr>
        <w:t>-</w:t>
      </w:r>
      <w:r w:rsidRPr="008A0DB7">
        <w:rPr>
          <w:rStyle w:val="sectionname"/>
          <w:rFonts w:ascii="Arial" w:hAnsi="Arial" w:cs="Arial"/>
          <w:sz w:val="24"/>
          <w:szCs w:val="24"/>
        </w:rPr>
        <w:t>sink</w:t>
      </w:r>
      <w:r>
        <w:rPr>
          <w:rStyle w:val="sectionname"/>
          <w:rFonts w:ascii="Arial" w:hAnsi="Arial" w:cs="Arial"/>
          <w:sz w:val="24"/>
          <w:szCs w:val="24"/>
        </w:rPr>
        <w:t xml:space="preserve"> (Figure </w:t>
      </w:r>
      <w:r w:rsidR="00694A58">
        <w:rPr>
          <w:rStyle w:val="sectionname"/>
          <w:rFonts w:ascii="Arial" w:hAnsi="Arial" w:cs="Arial"/>
          <w:sz w:val="24"/>
          <w:szCs w:val="24"/>
        </w:rPr>
        <w:t>9</w:t>
      </w:r>
      <w:r>
        <w:rPr>
          <w:rStyle w:val="sectionname"/>
          <w:rFonts w:ascii="Arial" w:hAnsi="Arial" w:cs="Arial"/>
          <w:sz w:val="24"/>
          <w:szCs w:val="24"/>
        </w:rPr>
        <w:t xml:space="preserve"> and 1</w:t>
      </w:r>
      <w:r w:rsidR="00694A58">
        <w:rPr>
          <w:rStyle w:val="sectionname"/>
          <w:rFonts w:ascii="Arial" w:hAnsi="Arial" w:cs="Arial"/>
          <w:sz w:val="24"/>
          <w:szCs w:val="24"/>
        </w:rPr>
        <w:t>0</w:t>
      </w:r>
      <w:r>
        <w:rPr>
          <w:rStyle w:val="sectionname"/>
          <w:rFonts w:ascii="Arial" w:hAnsi="Arial" w:cs="Arial"/>
          <w:sz w:val="24"/>
          <w:szCs w:val="24"/>
        </w:rPr>
        <w:t xml:space="preserve">, Table </w:t>
      </w:r>
      <w:r w:rsidR="007C66F9">
        <w:rPr>
          <w:rStyle w:val="sectionname"/>
          <w:rFonts w:ascii="Arial" w:hAnsi="Arial" w:cs="Arial"/>
          <w:sz w:val="24"/>
          <w:szCs w:val="24"/>
        </w:rPr>
        <w:t>8</w:t>
      </w:r>
      <w:r w:rsidRPr="008A0DB7">
        <w:rPr>
          <w:rStyle w:val="sectionname"/>
          <w:rFonts w:ascii="Arial" w:hAnsi="Arial" w:cs="Arial"/>
          <w:sz w:val="24"/>
          <w:szCs w:val="24"/>
        </w:rPr>
        <w:t>). Th</w:t>
      </w:r>
      <w:r>
        <w:rPr>
          <w:rStyle w:val="sectionname"/>
          <w:rFonts w:ascii="Arial" w:hAnsi="Arial" w:cs="Arial"/>
          <w:sz w:val="24"/>
          <w:szCs w:val="24"/>
        </w:rPr>
        <w:t>e</w:t>
      </w:r>
      <w:r w:rsidRPr="008A0DB7">
        <w:rPr>
          <w:rStyle w:val="sectionname"/>
          <w:rFonts w:ascii="Arial" w:hAnsi="Arial" w:cs="Arial"/>
          <w:sz w:val="24"/>
          <w:szCs w:val="24"/>
        </w:rPr>
        <w:t>s</w:t>
      </w:r>
      <w:r>
        <w:rPr>
          <w:rStyle w:val="sectionname"/>
          <w:rFonts w:ascii="Arial" w:hAnsi="Arial" w:cs="Arial"/>
          <w:sz w:val="24"/>
          <w:szCs w:val="24"/>
        </w:rPr>
        <w:t>e</w:t>
      </w:r>
      <w:r w:rsidRPr="008A0DB7">
        <w:rPr>
          <w:rStyle w:val="sectionname"/>
          <w:rFonts w:ascii="Arial" w:hAnsi="Arial" w:cs="Arial"/>
          <w:sz w:val="24"/>
          <w:szCs w:val="24"/>
        </w:rPr>
        <w:t xml:space="preserve"> model</w:t>
      </w:r>
      <w:r>
        <w:rPr>
          <w:rStyle w:val="sectionname"/>
          <w:rFonts w:ascii="Arial" w:hAnsi="Arial" w:cs="Arial"/>
          <w:sz w:val="24"/>
          <w:szCs w:val="24"/>
        </w:rPr>
        <w:t>s</w:t>
      </w:r>
      <w:r w:rsidRPr="008A0DB7">
        <w:rPr>
          <w:rStyle w:val="sectionname"/>
          <w:rFonts w:ascii="Arial" w:hAnsi="Arial" w:cs="Arial"/>
          <w:sz w:val="24"/>
          <w:szCs w:val="24"/>
        </w:rPr>
        <w:t xml:space="preserve"> also consider the production of acetyl-CoA from glucose and CoA</w:t>
      </w:r>
      <w:r w:rsidR="002C46EF">
        <w:rPr>
          <w:rStyle w:val="sectionname"/>
          <w:rFonts w:ascii="Arial" w:hAnsi="Arial" w:cs="Arial"/>
          <w:sz w:val="24"/>
          <w:szCs w:val="24"/>
        </w:rPr>
        <w:t>-</w:t>
      </w:r>
      <w:r w:rsidRPr="008A0DB7">
        <w:rPr>
          <w:rStyle w:val="sectionname"/>
          <w:rFonts w:ascii="Arial" w:hAnsi="Arial" w:cs="Arial"/>
          <w:sz w:val="24"/>
          <w:szCs w:val="24"/>
        </w:rPr>
        <w:t>ligation (</w:t>
      </w:r>
      <w:r>
        <w:rPr>
          <w:rStyle w:val="sectionname"/>
          <w:rFonts w:ascii="Arial" w:hAnsi="Arial" w:cs="Arial"/>
          <w:sz w:val="24"/>
          <w:szCs w:val="24"/>
        </w:rPr>
        <w:t>F</w:t>
      </w:r>
      <w:r w:rsidRPr="008A0DB7">
        <w:rPr>
          <w:rStyle w:val="sectionname"/>
          <w:rFonts w:ascii="Arial" w:hAnsi="Arial" w:cs="Arial"/>
          <w:sz w:val="24"/>
          <w:szCs w:val="24"/>
        </w:rPr>
        <w:t xml:space="preserve">igure </w:t>
      </w:r>
      <w:r w:rsidR="00694A58">
        <w:rPr>
          <w:rStyle w:val="sectionname"/>
          <w:rFonts w:ascii="Arial" w:hAnsi="Arial" w:cs="Arial"/>
          <w:sz w:val="24"/>
          <w:szCs w:val="24"/>
        </w:rPr>
        <w:t>9</w:t>
      </w:r>
      <w:r>
        <w:rPr>
          <w:rStyle w:val="sectionname"/>
          <w:rFonts w:ascii="Arial" w:hAnsi="Arial" w:cs="Arial"/>
          <w:sz w:val="24"/>
          <w:szCs w:val="24"/>
        </w:rPr>
        <w:t xml:space="preserve"> and 1</w:t>
      </w:r>
      <w:r w:rsidR="00694A58">
        <w:rPr>
          <w:rStyle w:val="sectionname"/>
          <w:rFonts w:ascii="Arial" w:hAnsi="Arial" w:cs="Arial"/>
          <w:sz w:val="24"/>
          <w:szCs w:val="24"/>
        </w:rPr>
        <w:t>0</w:t>
      </w:r>
      <w:r>
        <w:rPr>
          <w:rStyle w:val="sectionname"/>
          <w:rFonts w:ascii="Arial" w:hAnsi="Arial" w:cs="Arial"/>
          <w:sz w:val="24"/>
          <w:szCs w:val="24"/>
        </w:rPr>
        <w:t xml:space="preserve">, Table </w:t>
      </w:r>
      <w:r w:rsidR="007C66F9">
        <w:rPr>
          <w:rStyle w:val="sectionname"/>
          <w:rFonts w:ascii="Arial" w:hAnsi="Arial" w:cs="Arial"/>
          <w:sz w:val="24"/>
          <w:szCs w:val="24"/>
        </w:rPr>
        <w:t>8</w:t>
      </w:r>
      <w:r w:rsidR="0043424E">
        <w:rPr>
          <w:rStyle w:val="sectionname"/>
          <w:rFonts w:ascii="Arial" w:hAnsi="Arial" w:cs="Arial"/>
          <w:sz w:val="24"/>
          <w:szCs w:val="24"/>
        </w:rPr>
        <w:t>)</w:t>
      </w:r>
      <w:r w:rsidRPr="008A0DB7">
        <w:rPr>
          <w:rStyle w:val="sectionname"/>
          <w:rFonts w:ascii="Arial" w:hAnsi="Arial" w:cs="Arial"/>
          <w:sz w:val="24"/>
          <w:szCs w:val="24"/>
        </w:rPr>
        <w:t xml:space="preserve">. </w:t>
      </w:r>
    </w:p>
    <w:p w:rsidR="00DC0376" w:rsidRDefault="00DC0376" w:rsidP="00EF1380">
      <w:pPr>
        <w:jc w:val="both"/>
        <w:rPr>
          <w:rStyle w:val="sectionname"/>
          <w:rFonts w:ascii="Arial" w:hAnsi="Arial" w:cs="Arial"/>
          <w:sz w:val="24"/>
          <w:szCs w:val="24"/>
        </w:rPr>
      </w:pPr>
    </w:p>
    <w:tbl>
      <w:tblPr>
        <w:tblStyle w:val="LightList1"/>
        <w:tblW w:w="8789" w:type="dxa"/>
        <w:tblInd w:w="108" w:type="dxa"/>
        <w:tblLook w:val="04A0" w:firstRow="1" w:lastRow="0" w:firstColumn="1" w:lastColumn="0" w:noHBand="0" w:noVBand="1"/>
      </w:tblPr>
      <w:tblGrid>
        <w:gridCol w:w="2410"/>
        <w:gridCol w:w="2185"/>
        <w:gridCol w:w="1642"/>
        <w:gridCol w:w="1418"/>
        <w:gridCol w:w="1134"/>
      </w:tblGrid>
      <w:tr w:rsidR="00EF1380" w:rsidTr="009B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F1380" w:rsidRPr="00DE0A8B" w:rsidRDefault="00EF1380" w:rsidP="00694A58">
            <w:pPr>
              <w:autoSpaceDE w:val="0"/>
              <w:autoSpaceDN w:val="0"/>
              <w:adjustRightInd w:val="0"/>
              <w:spacing w:line="360" w:lineRule="auto"/>
              <w:jc w:val="center"/>
              <w:rPr>
                <w:rStyle w:val="hps"/>
                <w:rFonts w:cs="Arial"/>
                <w:sz w:val="20"/>
                <w:szCs w:val="20"/>
                <w:lang w:val="en-US"/>
              </w:rPr>
            </w:pPr>
            <w:r w:rsidRPr="00DE0A8B">
              <w:rPr>
                <w:rStyle w:val="hps"/>
                <w:rFonts w:cs="Arial"/>
                <w:sz w:val="20"/>
                <w:szCs w:val="20"/>
                <w:lang w:val="en-US"/>
              </w:rPr>
              <w:t>Model</w:t>
            </w:r>
          </w:p>
        </w:tc>
        <w:tc>
          <w:tcPr>
            <w:tcW w:w="2185" w:type="dxa"/>
          </w:tcPr>
          <w:p w:rsidR="00EF1380" w:rsidRPr="00DE0A8B" w:rsidRDefault="00EF1380" w:rsidP="00694A5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Style w:val="hps"/>
                <w:rFonts w:cs="Arial"/>
                <w:sz w:val="20"/>
                <w:szCs w:val="20"/>
                <w:lang w:val="en-US"/>
              </w:rPr>
            </w:pPr>
            <w:r w:rsidRPr="00DE0A8B">
              <w:rPr>
                <w:rStyle w:val="hps"/>
                <w:rFonts w:cs="Arial"/>
                <w:sz w:val="20"/>
                <w:szCs w:val="20"/>
                <w:lang w:val="en-US"/>
              </w:rPr>
              <w:t>Species in the model</w:t>
            </w:r>
          </w:p>
        </w:tc>
        <w:tc>
          <w:tcPr>
            <w:tcW w:w="1642" w:type="dxa"/>
          </w:tcPr>
          <w:p w:rsidR="00EF1380" w:rsidRPr="00DE0A8B" w:rsidRDefault="00EF1380" w:rsidP="00694A5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Style w:val="hps"/>
                <w:rFonts w:cs="Arial"/>
                <w:sz w:val="20"/>
                <w:szCs w:val="20"/>
                <w:lang w:val="en-US"/>
              </w:rPr>
            </w:pPr>
            <w:r w:rsidRPr="00DE0A8B">
              <w:rPr>
                <w:rStyle w:val="hps"/>
                <w:rFonts w:cs="Arial"/>
                <w:sz w:val="20"/>
                <w:szCs w:val="20"/>
                <w:lang w:val="en-US"/>
              </w:rPr>
              <w:t>SCFAs uptake</w:t>
            </w:r>
          </w:p>
        </w:tc>
        <w:tc>
          <w:tcPr>
            <w:tcW w:w="1418" w:type="dxa"/>
          </w:tcPr>
          <w:p w:rsidR="00EF1380" w:rsidRPr="00DE0A8B" w:rsidRDefault="00EF1380" w:rsidP="002C46EF">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Style w:val="hps"/>
                <w:rFonts w:cs="Arial"/>
                <w:sz w:val="20"/>
                <w:szCs w:val="20"/>
                <w:lang w:val="en-US"/>
              </w:rPr>
            </w:pPr>
            <w:r w:rsidRPr="00DE0A8B">
              <w:rPr>
                <w:rStyle w:val="hps"/>
                <w:rFonts w:cs="Arial"/>
                <w:sz w:val="20"/>
                <w:szCs w:val="20"/>
                <w:lang w:val="en-US"/>
              </w:rPr>
              <w:t>CoA</w:t>
            </w:r>
            <w:r w:rsidR="002C46EF">
              <w:rPr>
                <w:rStyle w:val="hps"/>
                <w:rFonts w:cs="Arial"/>
                <w:sz w:val="20"/>
                <w:szCs w:val="20"/>
                <w:lang w:val="en-US"/>
              </w:rPr>
              <w:t>-</w:t>
            </w:r>
            <w:r w:rsidRPr="00DE0A8B">
              <w:rPr>
                <w:rStyle w:val="hps"/>
                <w:rFonts w:cs="Arial"/>
                <w:sz w:val="20"/>
                <w:szCs w:val="20"/>
                <w:lang w:val="en-US"/>
              </w:rPr>
              <w:t>ligation</w:t>
            </w:r>
          </w:p>
        </w:tc>
        <w:tc>
          <w:tcPr>
            <w:tcW w:w="1134" w:type="dxa"/>
          </w:tcPr>
          <w:p w:rsidR="00EF1380" w:rsidRPr="00DE0A8B" w:rsidRDefault="00EF1380" w:rsidP="002C46EF">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Style w:val="hps"/>
                <w:rFonts w:cs="Arial"/>
                <w:sz w:val="20"/>
                <w:szCs w:val="20"/>
                <w:lang w:val="en-US"/>
              </w:rPr>
            </w:pPr>
            <w:r w:rsidRPr="00DE0A8B">
              <w:rPr>
                <w:rStyle w:val="hps"/>
                <w:rFonts w:cs="Arial"/>
                <w:sz w:val="20"/>
                <w:szCs w:val="20"/>
                <w:lang w:val="en-US"/>
              </w:rPr>
              <w:t>CoA</w:t>
            </w:r>
            <w:r w:rsidR="002C46EF">
              <w:rPr>
                <w:rStyle w:val="hps"/>
                <w:rFonts w:cs="Arial"/>
                <w:sz w:val="20"/>
                <w:szCs w:val="20"/>
                <w:lang w:val="en-US"/>
              </w:rPr>
              <w:t>-</w:t>
            </w:r>
            <w:r w:rsidRPr="00DE0A8B">
              <w:rPr>
                <w:rStyle w:val="hps"/>
                <w:rFonts w:cs="Arial"/>
                <w:sz w:val="20"/>
                <w:szCs w:val="20"/>
                <w:lang w:val="en-US"/>
              </w:rPr>
              <w:t>sink</w:t>
            </w:r>
          </w:p>
        </w:tc>
      </w:tr>
      <w:tr w:rsidR="00694A58" w:rsidTr="009B4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94A58" w:rsidRPr="00DE0A8B" w:rsidRDefault="00694A58" w:rsidP="008A30B1">
            <w:pPr>
              <w:autoSpaceDE w:val="0"/>
              <w:autoSpaceDN w:val="0"/>
              <w:adjustRightInd w:val="0"/>
              <w:spacing w:line="360" w:lineRule="auto"/>
              <w:jc w:val="center"/>
              <w:rPr>
                <w:rStyle w:val="hps"/>
                <w:rFonts w:cs="Arial"/>
                <w:b w:val="0"/>
                <w:sz w:val="16"/>
                <w:szCs w:val="16"/>
                <w:lang w:val="en-US"/>
              </w:rPr>
            </w:pPr>
            <w:r w:rsidRPr="00DE0A8B">
              <w:rPr>
                <w:rStyle w:val="hps"/>
                <w:rFonts w:cs="Arial"/>
                <w:b w:val="0"/>
                <w:sz w:val="16"/>
                <w:szCs w:val="16"/>
                <w:lang w:val="en-US"/>
              </w:rPr>
              <w:t>Butyrate_v3-1</w:t>
            </w:r>
          </w:p>
        </w:tc>
        <w:tc>
          <w:tcPr>
            <w:tcW w:w="2185" w:type="dxa"/>
          </w:tcPr>
          <w:p w:rsidR="00694A58" w:rsidRPr="00DE0A8B" w:rsidRDefault="00694A58" w:rsidP="00694A5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Butyrate, propionate, acetate, and glucose</w:t>
            </w:r>
          </w:p>
        </w:tc>
        <w:tc>
          <w:tcPr>
            <w:tcW w:w="1642" w:type="dxa"/>
          </w:tcPr>
          <w:p w:rsidR="00694A58" w:rsidRPr="00DE0A8B" w:rsidRDefault="00694A58" w:rsidP="00694A5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YES</w:t>
            </w:r>
          </w:p>
        </w:tc>
        <w:tc>
          <w:tcPr>
            <w:tcW w:w="1418" w:type="dxa"/>
          </w:tcPr>
          <w:p w:rsidR="00694A58" w:rsidRPr="00DE0A8B" w:rsidRDefault="00694A58" w:rsidP="00694A5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YES</w:t>
            </w:r>
          </w:p>
        </w:tc>
        <w:tc>
          <w:tcPr>
            <w:tcW w:w="1134" w:type="dxa"/>
          </w:tcPr>
          <w:p w:rsidR="00694A58" w:rsidRPr="00DE0A8B" w:rsidRDefault="00694A58" w:rsidP="00694A5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YES</w:t>
            </w:r>
          </w:p>
        </w:tc>
      </w:tr>
      <w:tr w:rsidR="00694A58" w:rsidTr="009B400B">
        <w:tc>
          <w:tcPr>
            <w:cnfStyle w:val="001000000000" w:firstRow="0" w:lastRow="0" w:firstColumn="1" w:lastColumn="0" w:oddVBand="0" w:evenVBand="0" w:oddHBand="0" w:evenHBand="0" w:firstRowFirstColumn="0" w:firstRowLastColumn="0" w:lastRowFirstColumn="0" w:lastRowLastColumn="0"/>
            <w:tcW w:w="2410" w:type="dxa"/>
          </w:tcPr>
          <w:p w:rsidR="00694A58" w:rsidRPr="00DE0A8B" w:rsidRDefault="00694A58" w:rsidP="008A30B1">
            <w:pPr>
              <w:autoSpaceDE w:val="0"/>
              <w:autoSpaceDN w:val="0"/>
              <w:adjustRightInd w:val="0"/>
              <w:spacing w:line="360" w:lineRule="auto"/>
              <w:jc w:val="center"/>
              <w:rPr>
                <w:rStyle w:val="hps"/>
                <w:rFonts w:cs="Arial"/>
                <w:b w:val="0"/>
                <w:sz w:val="16"/>
                <w:szCs w:val="16"/>
                <w:lang w:val="en-US"/>
              </w:rPr>
            </w:pPr>
            <w:r w:rsidRPr="00DE0A8B">
              <w:rPr>
                <w:rStyle w:val="hps"/>
                <w:rFonts w:cs="Arial"/>
                <w:b w:val="0"/>
                <w:sz w:val="16"/>
                <w:szCs w:val="16"/>
                <w:lang w:val="en-US"/>
              </w:rPr>
              <w:t>SCFA Uptake and Oxidation v4</w:t>
            </w:r>
          </w:p>
        </w:tc>
        <w:tc>
          <w:tcPr>
            <w:tcW w:w="2185" w:type="dxa"/>
          </w:tcPr>
          <w:p w:rsidR="00694A58" w:rsidRPr="00DE0A8B" w:rsidRDefault="00694A58" w:rsidP="00694A5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Butyrate, propionate and acetate</w:t>
            </w:r>
          </w:p>
        </w:tc>
        <w:tc>
          <w:tcPr>
            <w:tcW w:w="1642" w:type="dxa"/>
          </w:tcPr>
          <w:p w:rsidR="00694A58" w:rsidRPr="00DE0A8B" w:rsidRDefault="00694A58" w:rsidP="00694A5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YES</w:t>
            </w:r>
            <w:r w:rsidRPr="00C73D6D">
              <w:rPr>
                <w:rStyle w:val="hps"/>
                <w:rFonts w:cs="Arial"/>
                <w:b/>
                <w:sz w:val="16"/>
                <w:szCs w:val="16"/>
                <w:lang w:val="en-US"/>
              </w:rPr>
              <w:t>+</w:t>
            </w:r>
          </w:p>
        </w:tc>
        <w:tc>
          <w:tcPr>
            <w:tcW w:w="1418" w:type="dxa"/>
          </w:tcPr>
          <w:p w:rsidR="00694A58" w:rsidRPr="00DE0A8B" w:rsidRDefault="00694A58" w:rsidP="00694A5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hps"/>
                <w:rFonts w:cs="Arial"/>
                <w:sz w:val="16"/>
                <w:szCs w:val="16"/>
                <w:lang w:val="en-US"/>
              </w:rPr>
            </w:pPr>
            <w:r w:rsidRPr="00DE0A8B">
              <w:rPr>
                <w:rStyle w:val="hps"/>
                <w:rFonts w:cs="Arial"/>
                <w:sz w:val="16"/>
                <w:szCs w:val="16"/>
                <w:lang w:val="en-US"/>
              </w:rPr>
              <w:t>YES</w:t>
            </w:r>
            <w:r w:rsidRPr="00C73D6D">
              <w:rPr>
                <w:rStyle w:val="hps"/>
                <w:rFonts w:cs="Arial"/>
                <w:b/>
                <w:sz w:val="16"/>
                <w:szCs w:val="16"/>
                <w:lang w:val="en-US"/>
              </w:rPr>
              <w:t>‡</w:t>
            </w:r>
          </w:p>
        </w:tc>
        <w:tc>
          <w:tcPr>
            <w:tcW w:w="1134" w:type="dxa"/>
          </w:tcPr>
          <w:p w:rsidR="00694A58" w:rsidRPr="00DE0A8B" w:rsidRDefault="00C3286F" w:rsidP="00694A5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Style w:val="hps"/>
                <w:rFonts w:cs="Arial"/>
                <w:sz w:val="16"/>
                <w:szCs w:val="16"/>
                <w:lang w:val="en-US"/>
              </w:rPr>
            </w:pPr>
            <w:r>
              <w:rPr>
                <w:rStyle w:val="hps"/>
                <w:rFonts w:cs="Arial"/>
                <w:sz w:val="16"/>
                <w:szCs w:val="16"/>
                <w:lang w:val="en-US"/>
              </w:rPr>
              <w:t>NO</w:t>
            </w:r>
          </w:p>
        </w:tc>
      </w:tr>
    </w:tbl>
    <w:p w:rsidR="00EF1380" w:rsidRPr="00C84713" w:rsidRDefault="00EF1380" w:rsidP="00EF1380">
      <w:pPr>
        <w:pStyle w:val="Caption"/>
        <w:jc w:val="both"/>
        <w:rPr>
          <w:rStyle w:val="hps"/>
          <w:rFonts w:ascii="Arial" w:hAnsi="Arial" w:cs="Arial"/>
          <w:i/>
          <w:color w:val="auto"/>
          <w:sz w:val="16"/>
          <w:szCs w:val="16"/>
          <w:lang w:val="en-US"/>
        </w:rPr>
      </w:pPr>
      <w:bookmarkStart w:id="81" w:name="_Toc413666995"/>
      <w:proofErr w:type="gramStart"/>
      <w:r w:rsidRPr="00DE0A8B">
        <w:rPr>
          <w:rFonts w:ascii="Arial" w:hAnsi="Arial" w:cs="Arial"/>
          <w:color w:val="auto"/>
          <w:sz w:val="16"/>
        </w:rPr>
        <w:t xml:space="preserve">Table </w:t>
      </w:r>
      <w:r w:rsidR="006C2756" w:rsidRPr="00DE0A8B">
        <w:rPr>
          <w:rFonts w:ascii="Arial" w:hAnsi="Arial" w:cs="Arial"/>
          <w:color w:val="auto"/>
          <w:sz w:val="16"/>
        </w:rPr>
        <w:fldChar w:fldCharType="begin"/>
      </w:r>
      <w:r w:rsidRPr="00DE0A8B">
        <w:rPr>
          <w:rFonts w:ascii="Arial" w:hAnsi="Arial" w:cs="Arial"/>
          <w:color w:val="auto"/>
          <w:sz w:val="16"/>
        </w:rPr>
        <w:instrText xml:space="preserve"> SEQ Table \* ARABIC </w:instrText>
      </w:r>
      <w:r w:rsidR="006C2756" w:rsidRPr="00DE0A8B">
        <w:rPr>
          <w:rFonts w:ascii="Arial" w:hAnsi="Arial" w:cs="Arial"/>
          <w:color w:val="auto"/>
          <w:sz w:val="16"/>
        </w:rPr>
        <w:fldChar w:fldCharType="separate"/>
      </w:r>
      <w:r w:rsidR="00DC0376">
        <w:rPr>
          <w:rFonts w:ascii="Arial" w:hAnsi="Arial" w:cs="Arial"/>
          <w:noProof/>
          <w:color w:val="auto"/>
          <w:sz w:val="16"/>
        </w:rPr>
        <w:t>8</w:t>
      </w:r>
      <w:r w:rsidR="006C2756" w:rsidRPr="00DE0A8B">
        <w:rPr>
          <w:rFonts w:ascii="Arial" w:hAnsi="Arial" w:cs="Arial"/>
          <w:color w:val="auto"/>
          <w:sz w:val="16"/>
        </w:rPr>
        <w:fldChar w:fldCharType="end"/>
      </w:r>
      <w:r w:rsidRPr="00DE0A8B">
        <w:rPr>
          <w:rFonts w:ascii="Arial" w:hAnsi="Arial" w:cs="Arial"/>
          <w:color w:val="auto"/>
          <w:sz w:val="16"/>
        </w:rPr>
        <w:t>.</w:t>
      </w:r>
      <w:proofErr w:type="gramEnd"/>
      <w:r>
        <w:t xml:space="preserve"> </w:t>
      </w:r>
      <w:r w:rsidRPr="00C84713">
        <w:rPr>
          <w:rStyle w:val="hps"/>
          <w:rFonts w:ascii="Arial" w:hAnsi="Arial" w:cs="Arial"/>
          <w:color w:val="auto"/>
          <w:sz w:val="16"/>
          <w:szCs w:val="16"/>
          <w:lang w:val="en-US"/>
        </w:rPr>
        <w:t>Models developed by B</w:t>
      </w:r>
      <w:r w:rsidR="008C3CDA">
        <w:rPr>
          <w:rStyle w:val="hps"/>
          <w:rFonts w:ascii="Arial" w:hAnsi="Arial" w:cs="Arial"/>
          <w:color w:val="auto"/>
          <w:sz w:val="16"/>
          <w:szCs w:val="16"/>
          <w:lang w:val="en-US"/>
        </w:rPr>
        <w:t>C</w:t>
      </w:r>
      <w:r w:rsidRPr="00413279">
        <w:rPr>
          <w:rStyle w:val="hps"/>
          <w:rFonts w:ascii="Arial" w:hAnsi="Arial" w:cs="Arial"/>
          <w:color w:val="auto"/>
          <w:sz w:val="16"/>
          <w:szCs w:val="16"/>
          <w:lang w:val="en-US"/>
        </w:rPr>
        <w:t xml:space="preserve">. </w:t>
      </w:r>
      <w:r w:rsidRPr="00C84713">
        <w:rPr>
          <w:rStyle w:val="hps"/>
          <w:rFonts w:ascii="Arial" w:hAnsi="Arial" w:cs="Arial"/>
          <w:i/>
          <w:color w:val="auto"/>
          <w:sz w:val="16"/>
          <w:szCs w:val="16"/>
          <w:lang w:val="en-US"/>
        </w:rPr>
        <w:t>This table shows the species defined in each model, and the reactions defined</w:t>
      </w:r>
      <w:r>
        <w:rPr>
          <w:rStyle w:val="hps"/>
          <w:rFonts w:ascii="Arial" w:hAnsi="Arial" w:cs="Arial"/>
          <w:i/>
          <w:color w:val="auto"/>
          <w:sz w:val="16"/>
          <w:szCs w:val="16"/>
          <w:lang w:val="en-US"/>
        </w:rPr>
        <w:t xml:space="preserve"> (u</w:t>
      </w:r>
      <w:r w:rsidRPr="00C84713">
        <w:rPr>
          <w:rStyle w:val="hps"/>
          <w:rFonts w:ascii="Arial" w:hAnsi="Arial" w:cs="Arial"/>
          <w:i/>
          <w:color w:val="auto"/>
          <w:sz w:val="16"/>
          <w:szCs w:val="16"/>
          <w:lang w:val="en-US"/>
        </w:rPr>
        <w:t>ptake, CoA</w:t>
      </w:r>
      <w:r w:rsidR="002C46EF">
        <w:rPr>
          <w:rStyle w:val="hps"/>
          <w:rFonts w:ascii="Arial" w:hAnsi="Arial" w:cs="Arial"/>
          <w:i/>
          <w:color w:val="auto"/>
          <w:sz w:val="16"/>
          <w:szCs w:val="16"/>
          <w:lang w:val="en-US"/>
        </w:rPr>
        <w:t>-</w:t>
      </w:r>
      <w:r w:rsidRPr="00C84713">
        <w:rPr>
          <w:rStyle w:val="hps"/>
          <w:rFonts w:ascii="Arial" w:hAnsi="Arial" w:cs="Arial"/>
          <w:i/>
          <w:color w:val="auto"/>
          <w:sz w:val="16"/>
          <w:szCs w:val="16"/>
          <w:lang w:val="en-US"/>
        </w:rPr>
        <w:t>ligation and CoA</w:t>
      </w:r>
      <w:r w:rsidR="002C46EF">
        <w:rPr>
          <w:rStyle w:val="hps"/>
          <w:rFonts w:ascii="Arial" w:hAnsi="Arial" w:cs="Arial"/>
          <w:i/>
          <w:color w:val="auto"/>
          <w:sz w:val="16"/>
          <w:szCs w:val="16"/>
          <w:lang w:val="en-US"/>
        </w:rPr>
        <w:t>-</w:t>
      </w:r>
      <w:r w:rsidRPr="00C84713">
        <w:rPr>
          <w:rStyle w:val="hps"/>
          <w:rFonts w:ascii="Arial" w:hAnsi="Arial" w:cs="Arial"/>
          <w:i/>
          <w:color w:val="auto"/>
          <w:sz w:val="16"/>
          <w:szCs w:val="16"/>
          <w:lang w:val="en-US"/>
        </w:rPr>
        <w:t>sink</w:t>
      </w:r>
      <w:r>
        <w:rPr>
          <w:rStyle w:val="hps"/>
          <w:rFonts w:ascii="Arial" w:hAnsi="Arial" w:cs="Arial"/>
          <w:i/>
          <w:color w:val="auto"/>
          <w:sz w:val="16"/>
          <w:szCs w:val="16"/>
          <w:lang w:val="en-US"/>
        </w:rPr>
        <w:t xml:space="preserve"> </w:t>
      </w:r>
      <w:r w:rsidRPr="00C84713">
        <w:rPr>
          <w:rStyle w:val="hps"/>
          <w:rFonts w:ascii="Arial" w:hAnsi="Arial" w:cs="Arial"/>
          <w:i/>
          <w:color w:val="auto"/>
          <w:sz w:val="16"/>
          <w:szCs w:val="16"/>
          <w:lang w:val="en-US"/>
        </w:rPr>
        <w:t>of the species defined in the model</w:t>
      </w:r>
      <w:r>
        <w:rPr>
          <w:rStyle w:val="hps"/>
          <w:rFonts w:ascii="Arial" w:hAnsi="Arial" w:cs="Arial"/>
          <w:i/>
          <w:color w:val="auto"/>
          <w:sz w:val="16"/>
          <w:szCs w:val="16"/>
          <w:lang w:val="en-US"/>
        </w:rPr>
        <w:t>)</w:t>
      </w:r>
      <w:r w:rsidRPr="00C84713">
        <w:rPr>
          <w:rStyle w:val="hps"/>
          <w:rFonts w:ascii="Arial" w:hAnsi="Arial" w:cs="Arial"/>
          <w:i/>
          <w:color w:val="auto"/>
          <w:sz w:val="16"/>
          <w:szCs w:val="16"/>
          <w:lang w:val="en-US"/>
        </w:rPr>
        <w:t xml:space="preserve">. + indicates that glucose uptake is not defined in this model, since glucose is not a defined </w:t>
      </w:r>
      <w:r w:rsidR="00180432">
        <w:rPr>
          <w:rStyle w:val="hps"/>
          <w:rFonts w:ascii="Arial" w:hAnsi="Arial" w:cs="Arial"/>
          <w:i/>
          <w:color w:val="auto"/>
          <w:sz w:val="16"/>
          <w:szCs w:val="16"/>
          <w:lang w:val="en-US"/>
        </w:rPr>
        <w:t xml:space="preserve">species </w:t>
      </w:r>
      <w:r w:rsidRPr="00C84713">
        <w:rPr>
          <w:rStyle w:val="hps"/>
          <w:rFonts w:ascii="Arial" w:hAnsi="Arial" w:cs="Arial"/>
          <w:i/>
          <w:color w:val="auto"/>
          <w:sz w:val="16"/>
          <w:szCs w:val="16"/>
          <w:lang w:val="en-US"/>
        </w:rPr>
        <w:t>within it</w:t>
      </w:r>
      <w:r w:rsidR="00694A58">
        <w:rPr>
          <w:rStyle w:val="hps"/>
          <w:rFonts w:ascii="Arial" w:hAnsi="Arial" w:cs="Arial"/>
          <w:i/>
          <w:color w:val="auto"/>
          <w:sz w:val="16"/>
          <w:szCs w:val="16"/>
          <w:lang w:val="en-US"/>
        </w:rPr>
        <w:t xml:space="preserve">; </w:t>
      </w:r>
      <w:r w:rsidRPr="00C84713">
        <w:rPr>
          <w:rStyle w:val="hps"/>
          <w:rFonts w:ascii="Arial" w:hAnsi="Arial" w:cs="Arial"/>
          <w:i/>
          <w:color w:val="auto"/>
          <w:sz w:val="16"/>
          <w:szCs w:val="16"/>
          <w:lang w:val="en-US"/>
        </w:rPr>
        <w:t>‡ indicates that CoA</w:t>
      </w:r>
      <w:r w:rsidR="002C46EF">
        <w:rPr>
          <w:rStyle w:val="hps"/>
          <w:rFonts w:ascii="Arial" w:hAnsi="Arial" w:cs="Arial"/>
          <w:i/>
          <w:color w:val="auto"/>
          <w:sz w:val="16"/>
          <w:szCs w:val="16"/>
          <w:lang w:val="en-US"/>
        </w:rPr>
        <w:t>-</w:t>
      </w:r>
      <w:r w:rsidRPr="00C84713">
        <w:rPr>
          <w:rStyle w:val="hps"/>
          <w:rFonts w:ascii="Arial" w:hAnsi="Arial" w:cs="Arial"/>
          <w:i/>
          <w:color w:val="auto"/>
          <w:sz w:val="16"/>
          <w:szCs w:val="16"/>
          <w:lang w:val="en-US"/>
        </w:rPr>
        <w:t>ligation is only defined as a reaction in the mitochondria in this model.</w:t>
      </w:r>
      <w:bookmarkEnd w:id="81"/>
    </w:p>
    <w:p w:rsidR="00565864" w:rsidRDefault="0043424E" w:rsidP="00565864">
      <w:pPr>
        <w:spacing w:line="240" w:lineRule="auto"/>
        <w:jc w:val="both"/>
        <w:rPr>
          <w:rFonts w:ascii="Arial" w:hAnsi="Arial" w:cs="Arial"/>
          <w:sz w:val="24"/>
          <w:szCs w:val="24"/>
        </w:rPr>
      </w:pPr>
      <w:r w:rsidRPr="0043424E">
        <w:rPr>
          <w:rFonts w:ascii="Arial" w:hAnsi="Arial" w:cs="Arial"/>
          <w:sz w:val="24"/>
          <w:szCs w:val="24"/>
        </w:rPr>
        <w:t>The underlying kineti</w:t>
      </w:r>
      <w:r>
        <w:rPr>
          <w:rFonts w:ascii="Arial" w:hAnsi="Arial" w:cs="Arial"/>
          <w:sz w:val="24"/>
          <w:szCs w:val="24"/>
        </w:rPr>
        <w:t xml:space="preserve">cs that </w:t>
      </w:r>
      <w:proofErr w:type="gramStart"/>
      <w:r>
        <w:rPr>
          <w:rFonts w:ascii="Arial" w:hAnsi="Arial" w:cs="Arial"/>
          <w:sz w:val="24"/>
          <w:szCs w:val="24"/>
        </w:rPr>
        <w:t>control</w:t>
      </w:r>
      <w:proofErr w:type="gramEnd"/>
      <w:r>
        <w:rPr>
          <w:rFonts w:ascii="Arial" w:hAnsi="Arial" w:cs="Arial"/>
          <w:sz w:val="24"/>
          <w:szCs w:val="24"/>
        </w:rPr>
        <w:t xml:space="preserve"> the behaviour of the models</w:t>
      </w:r>
      <w:r w:rsidR="00BE1B28">
        <w:rPr>
          <w:rFonts w:ascii="Arial" w:hAnsi="Arial" w:cs="Arial"/>
          <w:sz w:val="24"/>
          <w:szCs w:val="24"/>
        </w:rPr>
        <w:t xml:space="preserve"> </w:t>
      </w:r>
      <w:r w:rsidR="00131B93">
        <w:rPr>
          <w:rFonts w:ascii="Arial" w:hAnsi="Arial" w:cs="Arial"/>
          <w:sz w:val="24"/>
          <w:szCs w:val="24"/>
        </w:rPr>
        <w:t>are various. I</w:t>
      </w:r>
      <w:r w:rsidR="00BE1B28">
        <w:rPr>
          <w:rFonts w:ascii="Arial" w:hAnsi="Arial" w:cs="Arial"/>
          <w:sz w:val="24"/>
          <w:szCs w:val="24"/>
        </w:rPr>
        <w:t xml:space="preserve">n the </w:t>
      </w:r>
      <w:r w:rsidR="00131B93">
        <w:rPr>
          <w:rFonts w:ascii="Arial" w:hAnsi="Arial" w:cs="Arial"/>
          <w:sz w:val="24"/>
          <w:szCs w:val="24"/>
        </w:rPr>
        <w:t xml:space="preserve">butyrate_v3-1 model </w:t>
      </w:r>
      <w:r w:rsidR="00DF062D">
        <w:rPr>
          <w:rFonts w:ascii="Arial" w:hAnsi="Arial" w:cs="Arial"/>
          <w:sz w:val="24"/>
          <w:szCs w:val="24"/>
        </w:rPr>
        <w:t>a</w:t>
      </w:r>
      <w:r w:rsidR="007C6946">
        <w:rPr>
          <w:rFonts w:ascii="Arial" w:hAnsi="Arial" w:cs="Arial"/>
          <w:sz w:val="24"/>
          <w:szCs w:val="24"/>
        </w:rPr>
        <w:t xml:space="preserve">cetate, butyrate and propionate initial concentrations </w:t>
      </w:r>
      <w:r w:rsidR="00131B93">
        <w:rPr>
          <w:rFonts w:ascii="Arial" w:hAnsi="Arial" w:cs="Arial"/>
          <w:sz w:val="24"/>
          <w:szCs w:val="24"/>
        </w:rPr>
        <w:t xml:space="preserve">in the </w:t>
      </w:r>
      <w:r w:rsidR="007C6946">
        <w:rPr>
          <w:rFonts w:ascii="Arial" w:hAnsi="Arial" w:cs="Arial"/>
          <w:sz w:val="24"/>
          <w:szCs w:val="24"/>
        </w:rPr>
        <w:t xml:space="preserve">cell </w:t>
      </w:r>
      <w:r w:rsidR="00131B93">
        <w:rPr>
          <w:rFonts w:ascii="Arial" w:hAnsi="Arial" w:cs="Arial"/>
          <w:sz w:val="24"/>
          <w:szCs w:val="24"/>
        </w:rPr>
        <w:t>are set a</w:t>
      </w:r>
      <w:r w:rsidR="00545079">
        <w:rPr>
          <w:rFonts w:ascii="Arial" w:hAnsi="Arial" w:cs="Arial"/>
          <w:sz w:val="24"/>
          <w:szCs w:val="24"/>
        </w:rPr>
        <w:t>t</w:t>
      </w:r>
      <w:r w:rsidR="00131B93">
        <w:rPr>
          <w:rFonts w:ascii="Arial" w:hAnsi="Arial" w:cs="Arial"/>
          <w:sz w:val="24"/>
          <w:szCs w:val="24"/>
        </w:rPr>
        <w:t xml:space="preserve"> </w:t>
      </w:r>
      <w:r w:rsidR="007C6946">
        <w:rPr>
          <w:rFonts w:ascii="Arial" w:hAnsi="Arial" w:cs="Arial"/>
          <w:sz w:val="24"/>
          <w:szCs w:val="24"/>
        </w:rPr>
        <w:t xml:space="preserve">0.1mmol/l, </w:t>
      </w:r>
      <w:r w:rsidR="00131B93">
        <w:rPr>
          <w:rFonts w:ascii="Arial" w:hAnsi="Arial" w:cs="Arial"/>
          <w:sz w:val="24"/>
          <w:szCs w:val="24"/>
        </w:rPr>
        <w:t xml:space="preserve">whereas </w:t>
      </w:r>
      <w:r w:rsidR="007C6946">
        <w:rPr>
          <w:rFonts w:ascii="Arial" w:hAnsi="Arial" w:cs="Arial"/>
          <w:sz w:val="24"/>
          <w:szCs w:val="24"/>
        </w:rPr>
        <w:t xml:space="preserve">acetyl-CoA </w:t>
      </w:r>
      <w:r w:rsidR="00131B93">
        <w:rPr>
          <w:rFonts w:ascii="Arial" w:hAnsi="Arial" w:cs="Arial"/>
          <w:sz w:val="24"/>
          <w:szCs w:val="24"/>
        </w:rPr>
        <w:t>concentration is set a</w:t>
      </w:r>
      <w:r w:rsidR="00545079">
        <w:rPr>
          <w:rFonts w:ascii="Arial" w:hAnsi="Arial" w:cs="Arial"/>
          <w:sz w:val="24"/>
          <w:szCs w:val="24"/>
        </w:rPr>
        <w:t>t</w:t>
      </w:r>
      <w:r w:rsidR="00131B93">
        <w:rPr>
          <w:rFonts w:ascii="Arial" w:hAnsi="Arial" w:cs="Arial"/>
          <w:sz w:val="24"/>
          <w:szCs w:val="24"/>
        </w:rPr>
        <w:t xml:space="preserve"> </w:t>
      </w:r>
      <w:r w:rsidR="007C6946">
        <w:rPr>
          <w:rFonts w:ascii="Arial" w:hAnsi="Arial" w:cs="Arial"/>
          <w:sz w:val="24"/>
          <w:szCs w:val="24"/>
        </w:rPr>
        <w:t xml:space="preserve">60mmol/l, CoA </w:t>
      </w:r>
      <w:r w:rsidR="00131B93">
        <w:rPr>
          <w:rFonts w:ascii="Arial" w:hAnsi="Arial" w:cs="Arial"/>
          <w:sz w:val="24"/>
          <w:szCs w:val="24"/>
        </w:rPr>
        <w:t>concentration set a</w:t>
      </w:r>
      <w:r w:rsidR="00545079">
        <w:rPr>
          <w:rFonts w:ascii="Arial" w:hAnsi="Arial" w:cs="Arial"/>
          <w:sz w:val="24"/>
          <w:szCs w:val="24"/>
        </w:rPr>
        <w:t>t</w:t>
      </w:r>
      <w:r w:rsidR="00131B93">
        <w:rPr>
          <w:rFonts w:ascii="Arial" w:hAnsi="Arial" w:cs="Arial"/>
          <w:sz w:val="24"/>
          <w:szCs w:val="24"/>
        </w:rPr>
        <w:t xml:space="preserve"> </w:t>
      </w:r>
      <w:r w:rsidR="007C6946">
        <w:rPr>
          <w:rFonts w:ascii="Arial" w:hAnsi="Arial" w:cs="Arial"/>
          <w:sz w:val="24"/>
          <w:szCs w:val="24"/>
        </w:rPr>
        <w:t xml:space="preserve">40mmol/l, </w:t>
      </w:r>
      <w:r w:rsidR="00131B93">
        <w:rPr>
          <w:rFonts w:ascii="Arial" w:hAnsi="Arial" w:cs="Arial"/>
          <w:sz w:val="24"/>
          <w:szCs w:val="24"/>
        </w:rPr>
        <w:t xml:space="preserve">and </w:t>
      </w:r>
      <w:r w:rsidR="007C6946">
        <w:rPr>
          <w:rFonts w:ascii="Arial" w:hAnsi="Arial" w:cs="Arial"/>
          <w:sz w:val="24"/>
          <w:szCs w:val="24"/>
        </w:rPr>
        <w:t xml:space="preserve">glucose </w:t>
      </w:r>
      <w:r w:rsidR="00545079">
        <w:rPr>
          <w:rFonts w:ascii="Arial" w:hAnsi="Arial" w:cs="Arial"/>
          <w:sz w:val="24"/>
          <w:szCs w:val="24"/>
        </w:rPr>
        <w:t>concentration set at</w:t>
      </w:r>
      <w:r w:rsidR="00131B93">
        <w:rPr>
          <w:rFonts w:ascii="Arial" w:hAnsi="Arial" w:cs="Arial"/>
          <w:sz w:val="24"/>
          <w:szCs w:val="24"/>
        </w:rPr>
        <w:t xml:space="preserve"> </w:t>
      </w:r>
      <w:r w:rsidR="007C6946">
        <w:rPr>
          <w:rFonts w:ascii="Arial" w:hAnsi="Arial" w:cs="Arial"/>
          <w:sz w:val="24"/>
          <w:szCs w:val="24"/>
        </w:rPr>
        <w:t>0.5mmol/l</w:t>
      </w:r>
      <w:r w:rsidR="00C73D6D">
        <w:rPr>
          <w:rFonts w:ascii="Arial" w:hAnsi="Arial" w:cs="Arial"/>
          <w:sz w:val="24"/>
          <w:szCs w:val="24"/>
        </w:rPr>
        <w:t xml:space="preserve"> (Table </w:t>
      </w:r>
      <w:r w:rsidR="00806F63">
        <w:rPr>
          <w:rFonts w:ascii="Arial" w:hAnsi="Arial" w:cs="Arial"/>
          <w:sz w:val="24"/>
          <w:szCs w:val="24"/>
        </w:rPr>
        <w:t>9</w:t>
      </w:r>
      <w:r w:rsidR="00C73D6D">
        <w:rPr>
          <w:rFonts w:ascii="Arial" w:hAnsi="Arial" w:cs="Arial"/>
          <w:sz w:val="24"/>
          <w:szCs w:val="24"/>
        </w:rPr>
        <w:t>)</w:t>
      </w:r>
      <w:r w:rsidR="00131B93">
        <w:rPr>
          <w:rFonts w:ascii="Arial" w:hAnsi="Arial" w:cs="Arial"/>
          <w:sz w:val="24"/>
          <w:szCs w:val="24"/>
        </w:rPr>
        <w:t>.</w:t>
      </w:r>
      <w:r w:rsidR="007C6946">
        <w:rPr>
          <w:rFonts w:ascii="Arial" w:hAnsi="Arial" w:cs="Arial"/>
          <w:sz w:val="24"/>
          <w:szCs w:val="24"/>
        </w:rPr>
        <w:t xml:space="preserve"> </w:t>
      </w:r>
      <w:r w:rsidR="00131B93">
        <w:rPr>
          <w:rFonts w:ascii="Arial" w:hAnsi="Arial" w:cs="Arial"/>
          <w:sz w:val="24"/>
          <w:szCs w:val="24"/>
        </w:rPr>
        <w:t>All these species type is defi</w:t>
      </w:r>
      <w:r w:rsidR="007C6946">
        <w:rPr>
          <w:rFonts w:ascii="Arial" w:hAnsi="Arial" w:cs="Arial"/>
          <w:sz w:val="24"/>
          <w:szCs w:val="24"/>
        </w:rPr>
        <w:t>n</w:t>
      </w:r>
      <w:r w:rsidR="00131B93">
        <w:rPr>
          <w:rFonts w:ascii="Arial" w:hAnsi="Arial" w:cs="Arial"/>
          <w:sz w:val="24"/>
          <w:szCs w:val="24"/>
        </w:rPr>
        <w:t>e</w:t>
      </w:r>
      <w:r w:rsidR="007C6946">
        <w:rPr>
          <w:rFonts w:ascii="Arial" w:hAnsi="Arial" w:cs="Arial"/>
          <w:sz w:val="24"/>
          <w:szCs w:val="24"/>
        </w:rPr>
        <w:t>d as reactions</w:t>
      </w:r>
      <w:r w:rsidR="00131B93">
        <w:rPr>
          <w:rFonts w:ascii="Arial" w:hAnsi="Arial" w:cs="Arial"/>
          <w:sz w:val="24"/>
          <w:szCs w:val="24"/>
        </w:rPr>
        <w:t xml:space="preserve"> in this model</w:t>
      </w:r>
      <w:r w:rsidR="007C6946">
        <w:rPr>
          <w:rFonts w:ascii="Arial" w:hAnsi="Arial" w:cs="Arial"/>
          <w:sz w:val="24"/>
          <w:szCs w:val="24"/>
        </w:rPr>
        <w:t xml:space="preserve">, which means that the </w:t>
      </w:r>
      <w:r w:rsidR="00131B93">
        <w:rPr>
          <w:rFonts w:ascii="Arial" w:hAnsi="Arial" w:cs="Arial"/>
          <w:sz w:val="24"/>
          <w:szCs w:val="24"/>
        </w:rPr>
        <w:t>kinetic l</w:t>
      </w:r>
      <w:r w:rsidR="007C6946">
        <w:rPr>
          <w:rFonts w:ascii="Arial" w:hAnsi="Arial" w:cs="Arial"/>
          <w:sz w:val="24"/>
          <w:szCs w:val="24"/>
        </w:rPr>
        <w:t>a</w:t>
      </w:r>
      <w:r w:rsidR="00131B93">
        <w:rPr>
          <w:rFonts w:ascii="Arial" w:hAnsi="Arial" w:cs="Arial"/>
          <w:sz w:val="24"/>
          <w:szCs w:val="24"/>
        </w:rPr>
        <w:t>w</w:t>
      </w:r>
      <w:r w:rsidR="007C6946">
        <w:rPr>
          <w:rFonts w:ascii="Arial" w:hAnsi="Arial" w:cs="Arial"/>
          <w:sz w:val="24"/>
          <w:szCs w:val="24"/>
        </w:rPr>
        <w:t>s of the reactions modify the amount</w:t>
      </w:r>
      <w:r w:rsidR="00AE45DA">
        <w:rPr>
          <w:rFonts w:ascii="Arial" w:hAnsi="Arial" w:cs="Arial"/>
          <w:sz w:val="24"/>
          <w:szCs w:val="24"/>
        </w:rPr>
        <w:t>/</w:t>
      </w:r>
      <w:r w:rsidR="007C6946">
        <w:rPr>
          <w:rFonts w:ascii="Arial" w:hAnsi="Arial" w:cs="Arial"/>
          <w:sz w:val="24"/>
          <w:szCs w:val="24"/>
        </w:rPr>
        <w:t xml:space="preserve">concentration of the species. </w:t>
      </w:r>
      <w:r w:rsidR="00131B93">
        <w:rPr>
          <w:rFonts w:ascii="Arial" w:hAnsi="Arial" w:cs="Arial"/>
          <w:sz w:val="24"/>
          <w:szCs w:val="24"/>
        </w:rPr>
        <w:t>The extracellular i</w:t>
      </w:r>
      <w:r w:rsidR="00AE45DA">
        <w:rPr>
          <w:rFonts w:ascii="Arial" w:hAnsi="Arial" w:cs="Arial"/>
          <w:sz w:val="24"/>
          <w:szCs w:val="24"/>
        </w:rPr>
        <w:t xml:space="preserve">nitial concentrations </w:t>
      </w:r>
      <w:r w:rsidR="00131B93">
        <w:rPr>
          <w:rFonts w:ascii="Arial" w:hAnsi="Arial" w:cs="Arial"/>
          <w:sz w:val="24"/>
          <w:szCs w:val="24"/>
        </w:rPr>
        <w:t xml:space="preserve">of </w:t>
      </w:r>
      <w:r w:rsidR="007C6946">
        <w:rPr>
          <w:rFonts w:ascii="Arial" w:hAnsi="Arial" w:cs="Arial"/>
          <w:sz w:val="24"/>
          <w:szCs w:val="24"/>
        </w:rPr>
        <w:t xml:space="preserve">acetate </w:t>
      </w:r>
      <w:r w:rsidR="00131B93">
        <w:rPr>
          <w:rFonts w:ascii="Arial" w:hAnsi="Arial" w:cs="Arial"/>
          <w:sz w:val="24"/>
          <w:szCs w:val="24"/>
        </w:rPr>
        <w:t xml:space="preserve">and </w:t>
      </w:r>
      <w:r w:rsidR="007C6946">
        <w:rPr>
          <w:rFonts w:ascii="Arial" w:hAnsi="Arial" w:cs="Arial"/>
          <w:sz w:val="24"/>
          <w:szCs w:val="24"/>
        </w:rPr>
        <w:t xml:space="preserve">butyrate </w:t>
      </w:r>
      <w:r w:rsidR="00131B93">
        <w:rPr>
          <w:rFonts w:ascii="Arial" w:hAnsi="Arial" w:cs="Arial"/>
          <w:sz w:val="24"/>
          <w:szCs w:val="24"/>
        </w:rPr>
        <w:t xml:space="preserve">are defined </w:t>
      </w:r>
      <w:r w:rsidR="00131B93">
        <w:rPr>
          <w:rFonts w:ascii="Arial" w:hAnsi="Arial" w:cs="Arial"/>
          <w:sz w:val="24"/>
          <w:szCs w:val="24"/>
        </w:rPr>
        <w:lastRenderedPageBreak/>
        <w:t>a</w:t>
      </w:r>
      <w:r w:rsidR="00545079">
        <w:rPr>
          <w:rFonts w:ascii="Arial" w:hAnsi="Arial" w:cs="Arial"/>
          <w:sz w:val="24"/>
          <w:szCs w:val="24"/>
        </w:rPr>
        <w:t>t</w:t>
      </w:r>
      <w:r w:rsidR="00131B93">
        <w:rPr>
          <w:rFonts w:ascii="Arial" w:hAnsi="Arial" w:cs="Arial"/>
          <w:sz w:val="24"/>
          <w:szCs w:val="24"/>
        </w:rPr>
        <w:t xml:space="preserve"> </w:t>
      </w:r>
      <w:r w:rsidR="007C6946">
        <w:rPr>
          <w:rFonts w:ascii="Arial" w:hAnsi="Arial" w:cs="Arial"/>
          <w:sz w:val="24"/>
          <w:szCs w:val="24"/>
        </w:rPr>
        <w:t>0mmol/</w:t>
      </w:r>
      <w:proofErr w:type="gramStart"/>
      <w:r w:rsidR="007C6946">
        <w:rPr>
          <w:rFonts w:ascii="Arial" w:hAnsi="Arial" w:cs="Arial"/>
          <w:sz w:val="24"/>
          <w:szCs w:val="24"/>
        </w:rPr>
        <w:t>l,</w:t>
      </w:r>
      <w:proofErr w:type="gramEnd"/>
      <w:r w:rsidR="007C6946">
        <w:rPr>
          <w:rFonts w:ascii="Arial" w:hAnsi="Arial" w:cs="Arial"/>
          <w:sz w:val="24"/>
          <w:szCs w:val="24"/>
        </w:rPr>
        <w:t xml:space="preserve"> propionate </w:t>
      </w:r>
      <w:r w:rsidR="00131B93">
        <w:rPr>
          <w:rFonts w:ascii="Arial" w:hAnsi="Arial" w:cs="Arial"/>
          <w:sz w:val="24"/>
          <w:szCs w:val="24"/>
        </w:rPr>
        <w:t>is defined a</w:t>
      </w:r>
      <w:r w:rsidR="00545079">
        <w:rPr>
          <w:rFonts w:ascii="Arial" w:hAnsi="Arial" w:cs="Arial"/>
          <w:sz w:val="24"/>
          <w:szCs w:val="24"/>
        </w:rPr>
        <w:t>t</w:t>
      </w:r>
      <w:r w:rsidR="00131B93">
        <w:rPr>
          <w:rFonts w:ascii="Arial" w:hAnsi="Arial" w:cs="Arial"/>
          <w:sz w:val="24"/>
          <w:szCs w:val="24"/>
        </w:rPr>
        <w:t xml:space="preserve"> </w:t>
      </w:r>
      <w:r w:rsidR="007C6946">
        <w:rPr>
          <w:rFonts w:ascii="Arial" w:hAnsi="Arial" w:cs="Arial"/>
          <w:sz w:val="24"/>
          <w:szCs w:val="24"/>
        </w:rPr>
        <w:t xml:space="preserve">10mmol/l, </w:t>
      </w:r>
      <w:r w:rsidR="00131B93">
        <w:rPr>
          <w:rFonts w:ascii="Arial" w:hAnsi="Arial" w:cs="Arial"/>
          <w:sz w:val="24"/>
          <w:szCs w:val="24"/>
        </w:rPr>
        <w:t xml:space="preserve">and </w:t>
      </w:r>
      <w:r w:rsidR="007C6946">
        <w:rPr>
          <w:rFonts w:ascii="Arial" w:hAnsi="Arial" w:cs="Arial"/>
          <w:sz w:val="24"/>
          <w:szCs w:val="24"/>
        </w:rPr>
        <w:t xml:space="preserve">glucose </w:t>
      </w:r>
      <w:r w:rsidR="00131B93">
        <w:rPr>
          <w:rFonts w:ascii="Arial" w:hAnsi="Arial" w:cs="Arial"/>
          <w:sz w:val="24"/>
          <w:szCs w:val="24"/>
        </w:rPr>
        <w:t>a</w:t>
      </w:r>
      <w:r w:rsidR="00545079">
        <w:rPr>
          <w:rFonts w:ascii="Arial" w:hAnsi="Arial" w:cs="Arial"/>
          <w:sz w:val="24"/>
          <w:szCs w:val="24"/>
        </w:rPr>
        <w:t>t</w:t>
      </w:r>
      <w:r w:rsidR="00131B93">
        <w:rPr>
          <w:rFonts w:ascii="Arial" w:hAnsi="Arial" w:cs="Arial"/>
          <w:sz w:val="24"/>
          <w:szCs w:val="24"/>
        </w:rPr>
        <w:t xml:space="preserve"> </w:t>
      </w:r>
      <w:r w:rsidR="007C6946">
        <w:rPr>
          <w:rFonts w:ascii="Arial" w:hAnsi="Arial" w:cs="Arial"/>
          <w:sz w:val="24"/>
          <w:szCs w:val="24"/>
        </w:rPr>
        <w:t>0.5mmol/l</w:t>
      </w:r>
      <w:r w:rsidR="00C73D6D">
        <w:rPr>
          <w:rFonts w:ascii="Arial" w:hAnsi="Arial" w:cs="Arial"/>
          <w:sz w:val="24"/>
          <w:szCs w:val="24"/>
        </w:rPr>
        <w:t xml:space="preserve"> (Table </w:t>
      </w:r>
      <w:r w:rsidR="00806F63">
        <w:rPr>
          <w:rFonts w:ascii="Arial" w:hAnsi="Arial" w:cs="Arial"/>
          <w:sz w:val="24"/>
          <w:szCs w:val="24"/>
        </w:rPr>
        <w:t>9</w:t>
      </w:r>
      <w:r w:rsidR="00C73D6D">
        <w:rPr>
          <w:rFonts w:ascii="Arial" w:hAnsi="Arial" w:cs="Arial"/>
          <w:sz w:val="24"/>
          <w:szCs w:val="24"/>
        </w:rPr>
        <w:t>).</w:t>
      </w:r>
      <w:r w:rsidR="00131B93">
        <w:rPr>
          <w:rFonts w:ascii="Arial" w:hAnsi="Arial" w:cs="Arial"/>
          <w:sz w:val="24"/>
          <w:szCs w:val="24"/>
        </w:rPr>
        <w:t xml:space="preserve"> All these species type is defined as </w:t>
      </w:r>
      <w:r w:rsidR="00AE45DA">
        <w:rPr>
          <w:rFonts w:ascii="Arial" w:hAnsi="Arial" w:cs="Arial"/>
          <w:sz w:val="24"/>
          <w:szCs w:val="24"/>
        </w:rPr>
        <w:t>fixed, which means that the species have a constant concentration/amount value corresponding to the</w:t>
      </w:r>
      <w:r w:rsidR="00370011">
        <w:rPr>
          <w:rFonts w:ascii="Arial" w:hAnsi="Arial" w:cs="Arial"/>
          <w:sz w:val="24"/>
          <w:szCs w:val="24"/>
        </w:rPr>
        <w:t>ir given initial conc</w:t>
      </w:r>
      <w:r w:rsidR="00131B93">
        <w:rPr>
          <w:rFonts w:ascii="Arial" w:hAnsi="Arial" w:cs="Arial"/>
          <w:sz w:val="24"/>
          <w:szCs w:val="24"/>
        </w:rPr>
        <w:t>en</w:t>
      </w:r>
      <w:r w:rsidR="00370011">
        <w:rPr>
          <w:rFonts w:ascii="Arial" w:hAnsi="Arial" w:cs="Arial"/>
          <w:sz w:val="24"/>
          <w:szCs w:val="24"/>
        </w:rPr>
        <w:t xml:space="preserve">tration. </w:t>
      </w:r>
      <w:r w:rsidR="00131B93">
        <w:rPr>
          <w:rFonts w:ascii="Arial" w:hAnsi="Arial" w:cs="Arial"/>
          <w:sz w:val="24"/>
          <w:szCs w:val="24"/>
        </w:rPr>
        <w:t>In terms of SCFAs and glucose uptake, this model assumes that a</w:t>
      </w:r>
      <w:r w:rsidR="00370011">
        <w:rPr>
          <w:rFonts w:ascii="Arial" w:hAnsi="Arial" w:cs="Arial"/>
          <w:sz w:val="24"/>
          <w:szCs w:val="24"/>
        </w:rPr>
        <w:t xml:space="preserve">cetate, butyrate and propionate </w:t>
      </w:r>
      <w:r w:rsidR="00131B93">
        <w:rPr>
          <w:rFonts w:ascii="Arial" w:hAnsi="Arial" w:cs="Arial"/>
          <w:sz w:val="24"/>
          <w:szCs w:val="24"/>
        </w:rPr>
        <w:t>u</w:t>
      </w:r>
      <w:r w:rsidR="00370011">
        <w:rPr>
          <w:rFonts w:ascii="Arial" w:hAnsi="Arial" w:cs="Arial"/>
          <w:sz w:val="24"/>
          <w:szCs w:val="24"/>
        </w:rPr>
        <w:t xml:space="preserve">ptake </w:t>
      </w:r>
      <w:r w:rsidR="00131B93">
        <w:rPr>
          <w:rFonts w:ascii="Arial" w:hAnsi="Arial" w:cs="Arial"/>
          <w:sz w:val="24"/>
          <w:szCs w:val="24"/>
        </w:rPr>
        <w:t xml:space="preserve">is </w:t>
      </w:r>
      <w:r w:rsidR="00370011">
        <w:rPr>
          <w:rFonts w:ascii="Arial" w:hAnsi="Arial" w:cs="Arial"/>
          <w:sz w:val="24"/>
          <w:szCs w:val="24"/>
        </w:rPr>
        <w:t>via MCT-1 (monocarboxylate transporter-1)</w:t>
      </w:r>
      <w:r w:rsidR="00565864">
        <w:rPr>
          <w:rFonts w:ascii="Arial" w:hAnsi="Arial" w:cs="Arial"/>
          <w:sz w:val="24"/>
          <w:szCs w:val="24"/>
        </w:rPr>
        <w:t xml:space="preserve"> and that all the uptake reactions are reversible</w:t>
      </w:r>
      <w:r w:rsidR="00370011">
        <w:rPr>
          <w:rFonts w:ascii="Arial" w:hAnsi="Arial" w:cs="Arial"/>
          <w:sz w:val="24"/>
          <w:szCs w:val="24"/>
        </w:rPr>
        <w:t xml:space="preserve">. Acetate uptake reaction </w:t>
      </w:r>
      <w:r w:rsidR="00565864">
        <w:rPr>
          <w:rFonts w:ascii="Arial" w:hAnsi="Arial" w:cs="Arial"/>
          <w:sz w:val="24"/>
          <w:szCs w:val="24"/>
        </w:rPr>
        <w:t>has</w:t>
      </w:r>
      <w:r w:rsidR="0087074E">
        <w:rPr>
          <w:rFonts w:ascii="Arial" w:hAnsi="Arial" w:cs="Arial"/>
          <w:sz w:val="24"/>
          <w:szCs w:val="24"/>
        </w:rPr>
        <w:t xml:space="preserve"> </w:t>
      </w:r>
      <w:r w:rsidR="00370011">
        <w:rPr>
          <w:rFonts w:ascii="Arial" w:hAnsi="Arial" w:cs="Arial"/>
          <w:sz w:val="24"/>
          <w:szCs w:val="24"/>
        </w:rPr>
        <w:t>ace</w:t>
      </w:r>
      <w:r w:rsidR="0087074E">
        <w:rPr>
          <w:rFonts w:ascii="Arial" w:hAnsi="Arial" w:cs="Arial"/>
          <w:sz w:val="24"/>
          <w:szCs w:val="24"/>
        </w:rPr>
        <w:t>tate</w:t>
      </w:r>
      <w:r w:rsidR="00370011">
        <w:rPr>
          <w:rFonts w:ascii="Arial" w:hAnsi="Arial" w:cs="Arial"/>
          <w:sz w:val="24"/>
          <w:szCs w:val="24"/>
        </w:rPr>
        <w:t xml:space="preserve"> </w:t>
      </w:r>
      <w:r w:rsidR="0087074E">
        <w:rPr>
          <w:rFonts w:ascii="Arial" w:hAnsi="Arial" w:cs="Arial"/>
          <w:sz w:val="24"/>
          <w:szCs w:val="24"/>
        </w:rPr>
        <w:t xml:space="preserve">in the </w:t>
      </w:r>
      <w:r w:rsidR="00370011">
        <w:rPr>
          <w:rFonts w:ascii="Arial" w:hAnsi="Arial" w:cs="Arial"/>
          <w:sz w:val="24"/>
          <w:szCs w:val="24"/>
        </w:rPr>
        <w:t>cell</w:t>
      </w:r>
      <w:r w:rsidR="0087074E">
        <w:rPr>
          <w:rFonts w:ascii="Arial" w:hAnsi="Arial" w:cs="Arial"/>
          <w:sz w:val="24"/>
          <w:szCs w:val="24"/>
        </w:rPr>
        <w:t xml:space="preserve"> defined as a product</w:t>
      </w:r>
      <w:r w:rsidR="00370011">
        <w:rPr>
          <w:rFonts w:ascii="Arial" w:hAnsi="Arial" w:cs="Arial"/>
          <w:sz w:val="24"/>
          <w:szCs w:val="24"/>
        </w:rPr>
        <w:t xml:space="preserve">, </w:t>
      </w:r>
      <w:r w:rsidR="0087074E">
        <w:rPr>
          <w:rFonts w:ascii="Arial" w:hAnsi="Arial" w:cs="Arial"/>
          <w:sz w:val="24"/>
          <w:szCs w:val="24"/>
        </w:rPr>
        <w:t>extracellular acetate as substrate</w:t>
      </w:r>
      <w:r w:rsidR="00370011">
        <w:rPr>
          <w:rFonts w:ascii="Arial" w:hAnsi="Arial" w:cs="Arial"/>
          <w:sz w:val="24"/>
          <w:szCs w:val="24"/>
        </w:rPr>
        <w:t xml:space="preserve">, </w:t>
      </w:r>
      <w:r w:rsidR="0087074E">
        <w:rPr>
          <w:rFonts w:ascii="Arial" w:hAnsi="Arial" w:cs="Arial"/>
          <w:sz w:val="24"/>
          <w:szCs w:val="24"/>
        </w:rPr>
        <w:t>and extracellular and</w:t>
      </w:r>
      <w:r w:rsidR="00370011">
        <w:rPr>
          <w:rFonts w:ascii="Arial" w:hAnsi="Arial" w:cs="Arial"/>
          <w:sz w:val="24"/>
          <w:szCs w:val="24"/>
        </w:rPr>
        <w:t xml:space="preserve"> </w:t>
      </w:r>
      <w:r w:rsidR="0087074E">
        <w:rPr>
          <w:rFonts w:ascii="Arial" w:hAnsi="Arial" w:cs="Arial"/>
          <w:sz w:val="24"/>
          <w:szCs w:val="24"/>
        </w:rPr>
        <w:t xml:space="preserve">in the </w:t>
      </w:r>
      <w:r w:rsidR="00370011">
        <w:rPr>
          <w:rFonts w:ascii="Arial" w:hAnsi="Arial" w:cs="Arial"/>
          <w:sz w:val="24"/>
          <w:szCs w:val="24"/>
        </w:rPr>
        <w:t>cell</w:t>
      </w:r>
      <w:r w:rsidR="0087074E">
        <w:rPr>
          <w:rFonts w:ascii="Arial" w:hAnsi="Arial" w:cs="Arial"/>
          <w:sz w:val="24"/>
          <w:szCs w:val="24"/>
        </w:rPr>
        <w:t xml:space="preserve"> and as well as extracellular propionate and in the cell as modifiers</w:t>
      </w:r>
      <w:r w:rsidR="00370011">
        <w:rPr>
          <w:rFonts w:ascii="Arial" w:hAnsi="Arial" w:cs="Arial"/>
          <w:sz w:val="24"/>
          <w:szCs w:val="24"/>
        </w:rPr>
        <w:t xml:space="preserve">, </w:t>
      </w:r>
      <w:r w:rsidR="0087074E">
        <w:rPr>
          <w:rFonts w:ascii="Arial" w:hAnsi="Arial" w:cs="Arial"/>
          <w:sz w:val="24"/>
          <w:szCs w:val="24"/>
        </w:rPr>
        <w:t xml:space="preserve">with a </w:t>
      </w:r>
      <w:r w:rsidR="00370011">
        <w:rPr>
          <w:rFonts w:ascii="Arial" w:hAnsi="Arial" w:cs="Arial"/>
          <w:sz w:val="24"/>
          <w:szCs w:val="24"/>
        </w:rPr>
        <w:t xml:space="preserve">flux </w:t>
      </w:r>
      <w:r w:rsidR="0087074E">
        <w:rPr>
          <w:rFonts w:ascii="Arial" w:hAnsi="Arial" w:cs="Arial"/>
          <w:sz w:val="24"/>
          <w:szCs w:val="24"/>
        </w:rPr>
        <w:t xml:space="preserve">of </w:t>
      </w:r>
      <w:r w:rsidR="00370011">
        <w:rPr>
          <w:rFonts w:ascii="Arial" w:hAnsi="Arial" w:cs="Arial"/>
          <w:sz w:val="24"/>
          <w:szCs w:val="24"/>
        </w:rPr>
        <w:t>-0.</w:t>
      </w:r>
      <w:r w:rsidR="00D3305B">
        <w:rPr>
          <w:rFonts w:ascii="Arial" w:hAnsi="Arial" w:cs="Arial"/>
          <w:sz w:val="24"/>
          <w:szCs w:val="24"/>
        </w:rPr>
        <w:t>02mmol/s</w:t>
      </w:r>
      <w:r w:rsidR="00370011">
        <w:rPr>
          <w:rFonts w:ascii="Arial" w:hAnsi="Arial" w:cs="Arial"/>
          <w:sz w:val="24"/>
          <w:szCs w:val="24"/>
        </w:rPr>
        <w:t xml:space="preserve">. </w:t>
      </w:r>
      <w:r w:rsidR="0087074E">
        <w:rPr>
          <w:rFonts w:ascii="Arial" w:hAnsi="Arial" w:cs="Arial"/>
          <w:sz w:val="24"/>
          <w:szCs w:val="24"/>
        </w:rPr>
        <w:t xml:space="preserve">Butyrate uptake reaction </w:t>
      </w:r>
      <w:r w:rsidR="00565864">
        <w:rPr>
          <w:rFonts w:ascii="Arial" w:hAnsi="Arial" w:cs="Arial"/>
          <w:sz w:val="24"/>
          <w:szCs w:val="24"/>
        </w:rPr>
        <w:t xml:space="preserve">has </w:t>
      </w:r>
      <w:r w:rsidR="0087074E">
        <w:rPr>
          <w:rFonts w:ascii="Arial" w:hAnsi="Arial" w:cs="Arial"/>
          <w:sz w:val="24"/>
          <w:szCs w:val="24"/>
        </w:rPr>
        <w:t xml:space="preserve">butyrate in the cell defined as a product, extracellular butyrate as substrate, and extracellular acetate and in the cell and as well as extracellular propionate and in the cell as modifiers, with a flux of -0.02mmol/s. Propionate uptake reaction </w:t>
      </w:r>
      <w:r w:rsidR="00565864">
        <w:rPr>
          <w:rFonts w:ascii="Arial" w:hAnsi="Arial" w:cs="Arial"/>
          <w:sz w:val="24"/>
          <w:szCs w:val="24"/>
        </w:rPr>
        <w:t>has</w:t>
      </w:r>
      <w:r w:rsidR="0087074E">
        <w:rPr>
          <w:rFonts w:ascii="Arial" w:hAnsi="Arial" w:cs="Arial"/>
          <w:sz w:val="24"/>
          <w:szCs w:val="24"/>
        </w:rPr>
        <w:t xml:space="preserve"> propionate in the cell defined as a product, extracellular propionate as substrate, and extracellular acetate and in the cell as well as extracellular butyrate and in the cell as modifiers, with a flux of 2.75mmol/s. Glucose uptake reaction </w:t>
      </w:r>
      <w:r w:rsidR="00565864">
        <w:rPr>
          <w:rFonts w:ascii="Arial" w:hAnsi="Arial" w:cs="Arial"/>
          <w:sz w:val="24"/>
          <w:szCs w:val="24"/>
        </w:rPr>
        <w:t>has</w:t>
      </w:r>
      <w:r w:rsidR="0087074E">
        <w:rPr>
          <w:rFonts w:ascii="Arial" w:hAnsi="Arial" w:cs="Arial"/>
          <w:sz w:val="24"/>
          <w:szCs w:val="24"/>
        </w:rPr>
        <w:t xml:space="preserve"> glucose in the cell defined as a product and extracellular glucose as substrate,</w:t>
      </w:r>
      <w:r w:rsidR="00565864">
        <w:rPr>
          <w:rFonts w:ascii="Arial" w:hAnsi="Arial" w:cs="Arial"/>
          <w:sz w:val="24"/>
          <w:szCs w:val="24"/>
        </w:rPr>
        <w:t xml:space="preserve"> </w:t>
      </w:r>
      <w:r w:rsidR="0087074E">
        <w:rPr>
          <w:rFonts w:ascii="Arial" w:hAnsi="Arial" w:cs="Arial"/>
          <w:sz w:val="24"/>
          <w:szCs w:val="24"/>
        </w:rPr>
        <w:t xml:space="preserve">with a flux of </w:t>
      </w:r>
      <w:r w:rsidR="00565864">
        <w:rPr>
          <w:rFonts w:ascii="Arial" w:hAnsi="Arial" w:cs="Arial"/>
          <w:sz w:val="24"/>
          <w:szCs w:val="24"/>
        </w:rPr>
        <w:t>0</w:t>
      </w:r>
      <w:r w:rsidR="0087074E">
        <w:rPr>
          <w:rFonts w:ascii="Arial" w:hAnsi="Arial" w:cs="Arial"/>
          <w:sz w:val="24"/>
          <w:szCs w:val="24"/>
        </w:rPr>
        <w:t>mmol/s.</w:t>
      </w:r>
      <w:r w:rsidR="00565864">
        <w:rPr>
          <w:rFonts w:ascii="Arial" w:hAnsi="Arial" w:cs="Arial"/>
          <w:sz w:val="24"/>
          <w:szCs w:val="24"/>
        </w:rPr>
        <w:t xml:space="preserve"> As uptake reactions, all CoA</w:t>
      </w:r>
      <w:r w:rsidR="002C46EF">
        <w:rPr>
          <w:rFonts w:ascii="Arial" w:hAnsi="Arial" w:cs="Arial"/>
          <w:sz w:val="24"/>
          <w:szCs w:val="24"/>
        </w:rPr>
        <w:t>-</w:t>
      </w:r>
      <w:r w:rsidR="00565864">
        <w:rPr>
          <w:rFonts w:ascii="Arial" w:hAnsi="Arial" w:cs="Arial"/>
          <w:sz w:val="24"/>
          <w:szCs w:val="24"/>
        </w:rPr>
        <w:t>ligation reactions are also defined as reversible. A</w:t>
      </w:r>
      <w:r w:rsidR="00D3305B">
        <w:rPr>
          <w:rFonts w:ascii="Arial" w:hAnsi="Arial" w:cs="Arial"/>
          <w:sz w:val="24"/>
          <w:szCs w:val="24"/>
        </w:rPr>
        <w:t>cetate</w:t>
      </w:r>
      <w:r w:rsidR="002C46EF">
        <w:rPr>
          <w:rFonts w:ascii="Arial" w:hAnsi="Arial" w:cs="Arial"/>
          <w:sz w:val="24"/>
          <w:szCs w:val="24"/>
        </w:rPr>
        <w:t xml:space="preserve"> - </w:t>
      </w:r>
      <w:r w:rsidR="00D3305B">
        <w:rPr>
          <w:rFonts w:ascii="Arial" w:hAnsi="Arial" w:cs="Arial"/>
          <w:sz w:val="24"/>
          <w:szCs w:val="24"/>
        </w:rPr>
        <w:t>CoA</w:t>
      </w:r>
      <w:r w:rsidR="002C46EF">
        <w:rPr>
          <w:rFonts w:ascii="Arial" w:hAnsi="Arial" w:cs="Arial"/>
          <w:sz w:val="24"/>
          <w:szCs w:val="24"/>
        </w:rPr>
        <w:t>-</w:t>
      </w:r>
      <w:r w:rsidR="00D3305B">
        <w:rPr>
          <w:rFonts w:ascii="Arial" w:hAnsi="Arial" w:cs="Arial"/>
          <w:sz w:val="24"/>
          <w:szCs w:val="24"/>
        </w:rPr>
        <w:t xml:space="preserve">ligation </w:t>
      </w:r>
      <w:r w:rsidR="00565864">
        <w:rPr>
          <w:rFonts w:ascii="Arial" w:hAnsi="Arial" w:cs="Arial"/>
          <w:sz w:val="24"/>
          <w:szCs w:val="24"/>
        </w:rPr>
        <w:t xml:space="preserve">has </w:t>
      </w:r>
      <w:r w:rsidR="00D3305B">
        <w:rPr>
          <w:rFonts w:ascii="Arial" w:hAnsi="Arial" w:cs="Arial"/>
          <w:sz w:val="24"/>
          <w:szCs w:val="24"/>
        </w:rPr>
        <w:t xml:space="preserve">acetyl-CoA </w:t>
      </w:r>
      <w:r w:rsidR="00565864">
        <w:rPr>
          <w:rFonts w:ascii="Arial" w:hAnsi="Arial" w:cs="Arial"/>
          <w:sz w:val="24"/>
          <w:szCs w:val="24"/>
        </w:rPr>
        <w:t xml:space="preserve">in the </w:t>
      </w:r>
      <w:r w:rsidR="00D3305B">
        <w:rPr>
          <w:rFonts w:ascii="Arial" w:hAnsi="Arial" w:cs="Arial"/>
          <w:sz w:val="24"/>
          <w:szCs w:val="24"/>
        </w:rPr>
        <w:t>cell</w:t>
      </w:r>
      <w:r w:rsidR="00565864">
        <w:rPr>
          <w:rFonts w:ascii="Arial" w:hAnsi="Arial" w:cs="Arial"/>
          <w:sz w:val="24"/>
          <w:szCs w:val="24"/>
        </w:rPr>
        <w:t xml:space="preserve"> defined as product</w:t>
      </w:r>
      <w:r w:rsidR="00D3305B">
        <w:rPr>
          <w:rFonts w:ascii="Arial" w:hAnsi="Arial" w:cs="Arial"/>
          <w:sz w:val="24"/>
          <w:szCs w:val="24"/>
        </w:rPr>
        <w:t xml:space="preserve">, </w:t>
      </w:r>
      <w:r w:rsidR="00565864">
        <w:rPr>
          <w:rFonts w:ascii="Arial" w:hAnsi="Arial" w:cs="Arial"/>
          <w:sz w:val="24"/>
          <w:szCs w:val="24"/>
        </w:rPr>
        <w:t xml:space="preserve">with acetate and CoA in the </w:t>
      </w:r>
      <w:r w:rsidR="00D3305B">
        <w:rPr>
          <w:rFonts w:ascii="Arial" w:hAnsi="Arial" w:cs="Arial"/>
          <w:sz w:val="24"/>
          <w:szCs w:val="24"/>
        </w:rPr>
        <w:t>cell</w:t>
      </w:r>
      <w:r w:rsidR="00565864">
        <w:rPr>
          <w:rFonts w:ascii="Arial" w:hAnsi="Arial" w:cs="Arial"/>
          <w:sz w:val="24"/>
          <w:szCs w:val="24"/>
        </w:rPr>
        <w:t xml:space="preserve"> defined as substrates</w:t>
      </w:r>
      <w:r w:rsidR="00D3305B">
        <w:rPr>
          <w:rFonts w:ascii="Arial" w:hAnsi="Arial" w:cs="Arial"/>
          <w:sz w:val="24"/>
          <w:szCs w:val="24"/>
        </w:rPr>
        <w:t xml:space="preserve">, </w:t>
      </w:r>
      <w:r w:rsidR="00565864">
        <w:rPr>
          <w:rFonts w:ascii="Arial" w:hAnsi="Arial" w:cs="Arial"/>
          <w:sz w:val="24"/>
          <w:szCs w:val="24"/>
        </w:rPr>
        <w:t xml:space="preserve">with a </w:t>
      </w:r>
      <w:r w:rsidR="00D3305B">
        <w:rPr>
          <w:rFonts w:ascii="Arial" w:hAnsi="Arial" w:cs="Arial"/>
          <w:sz w:val="24"/>
          <w:szCs w:val="24"/>
        </w:rPr>
        <w:t xml:space="preserve">flux </w:t>
      </w:r>
      <w:r w:rsidR="00565864">
        <w:rPr>
          <w:rFonts w:ascii="Arial" w:hAnsi="Arial" w:cs="Arial"/>
          <w:sz w:val="24"/>
          <w:szCs w:val="24"/>
        </w:rPr>
        <w:t xml:space="preserve">of </w:t>
      </w:r>
      <w:r w:rsidR="00D3305B">
        <w:rPr>
          <w:rFonts w:ascii="Arial" w:hAnsi="Arial" w:cs="Arial"/>
          <w:sz w:val="24"/>
          <w:szCs w:val="24"/>
        </w:rPr>
        <w:t xml:space="preserve">0.35mmol/s. </w:t>
      </w:r>
      <w:r w:rsidR="00565864">
        <w:rPr>
          <w:rFonts w:ascii="Arial" w:hAnsi="Arial" w:cs="Arial"/>
          <w:sz w:val="24"/>
          <w:szCs w:val="24"/>
        </w:rPr>
        <w:t>Butyrate</w:t>
      </w:r>
      <w:r w:rsidR="002C46EF">
        <w:rPr>
          <w:rFonts w:ascii="Arial" w:hAnsi="Arial" w:cs="Arial"/>
          <w:sz w:val="24"/>
          <w:szCs w:val="24"/>
        </w:rPr>
        <w:t xml:space="preserve"> - </w:t>
      </w:r>
      <w:r w:rsidR="00565864">
        <w:rPr>
          <w:rFonts w:ascii="Arial" w:hAnsi="Arial" w:cs="Arial"/>
          <w:sz w:val="24"/>
          <w:szCs w:val="24"/>
        </w:rPr>
        <w:t>CoA</w:t>
      </w:r>
      <w:r w:rsidR="002C46EF">
        <w:rPr>
          <w:rFonts w:ascii="Arial" w:hAnsi="Arial" w:cs="Arial"/>
          <w:sz w:val="24"/>
          <w:szCs w:val="24"/>
        </w:rPr>
        <w:t>-</w:t>
      </w:r>
      <w:r w:rsidR="00565864">
        <w:rPr>
          <w:rFonts w:ascii="Arial" w:hAnsi="Arial" w:cs="Arial"/>
          <w:sz w:val="24"/>
          <w:szCs w:val="24"/>
        </w:rPr>
        <w:t>ligation has butyryl-CoA in the cell defined as product, with butyrate and CoA in the cell defined as substrates, with a flux of 2.43mmol/s. Propionate</w:t>
      </w:r>
      <w:r w:rsidR="002C46EF">
        <w:rPr>
          <w:rFonts w:ascii="Arial" w:hAnsi="Arial" w:cs="Arial"/>
          <w:sz w:val="24"/>
          <w:szCs w:val="24"/>
        </w:rPr>
        <w:t xml:space="preserve"> - </w:t>
      </w:r>
      <w:r w:rsidR="00565864">
        <w:rPr>
          <w:rFonts w:ascii="Arial" w:hAnsi="Arial" w:cs="Arial"/>
          <w:sz w:val="24"/>
          <w:szCs w:val="24"/>
        </w:rPr>
        <w:t>CoA</w:t>
      </w:r>
      <w:r w:rsidR="002C46EF">
        <w:rPr>
          <w:rFonts w:ascii="Arial" w:hAnsi="Arial" w:cs="Arial"/>
          <w:sz w:val="24"/>
          <w:szCs w:val="24"/>
        </w:rPr>
        <w:t>-</w:t>
      </w:r>
      <w:r w:rsidR="00565864">
        <w:rPr>
          <w:rFonts w:ascii="Arial" w:hAnsi="Arial" w:cs="Arial"/>
          <w:sz w:val="24"/>
          <w:szCs w:val="24"/>
        </w:rPr>
        <w:t>ligation has propionyl-CoA in the cell defined as product, with propionate and CoA in the cell defined as substrates, with a flux of 2.43mmol/s. Glucose</w:t>
      </w:r>
      <w:r w:rsidR="002C46EF">
        <w:rPr>
          <w:rFonts w:ascii="Arial" w:hAnsi="Arial" w:cs="Arial"/>
          <w:sz w:val="24"/>
          <w:szCs w:val="24"/>
        </w:rPr>
        <w:t xml:space="preserve"> – </w:t>
      </w:r>
      <w:r w:rsidR="00565864">
        <w:rPr>
          <w:rFonts w:ascii="Arial" w:hAnsi="Arial" w:cs="Arial"/>
          <w:sz w:val="24"/>
          <w:szCs w:val="24"/>
        </w:rPr>
        <w:t>CoA</w:t>
      </w:r>
      <w:r w:rsidR="002C46EF">
        <w:rPr>
          <w:rFonts w:ascii="Arial" w:hAnsi="Arial" w:cs="Arial"/>
          <w:sz w:val="24"/>
          <w:szCs w:val="24"/>
        </w:rPr>
        <w:t>-</w:t>
      </w:r>
      <w:r w:rsidR="00565864">
        <w:rPr>
          <w:rFonts w:ascii="Arial" w:hAnsi="Arial" w:cs="Arial"/>
          <w:sz w:val="24"/>
          <w:szCs w:val="24"/>
        </w:rPr>
        <w:t xml:space="preserve">ligation has acetyl-CoA in the cell defined as product, with glucose and CoA in the cell defined as substrates, with a flux of 2.82mmol/s. </w:t>
      </w:r>
    </w:p>
    <w:p w:rsidR="00133352" w:rsidRDefault="00565864" w:rsidP="00EF1380">
      <w:pPr>
        <w:spacing w:line="240" w:lineRule="auto"/>
        <w:jc w:val="both"/>
        <w:rPr>
          <w:rFonts w:ascii="Arial" w:hAnsi="Arial" w:cs="Arial"/>
          <w:sz w:val="24"/>
          <w:szCs w:val="24"/>
        </w:rPr>
      </w:pPr>
      <w:r>
        <w:rPr>
          <w:rFonts w:ascii="Arial" w:hAnsi="Arial" w:cs="Arial"/>
          <w:sz w:val="24"/>
          <w:szCs w:val="24"/>
        </w:rPr>
        <w:t xml:space="preserve">In the SCFA Uptake and Oxidation v4 model </w:t>
      </w:r>
      <w:r w:rsidR="00DF062D">
        <w:rPr>
          <w:rFonts w:ascii="Arial" w:hAnsi="Arial" w:cs="Arial"/>
          <w:sz w:val="24"/>
          <w:szCs w:val="24"/>
        </w:rPr>
        <w:t>a</w:t>
      </w:r>
      <w:r>
        <w:rPr>
          <w:rFonts w:ascii="Arial" w:hAnsi="Arial" w:cs="Arial"/>
          <w:sz w:val="24"/>
          <w:szCs w:val="24"/>
        </w:rPr>
        <w:t>cetate, butyrate and propionate initial concentrations in the cell are set a</w:t>
      </w:r>
      <w:r w:rsidR="00545079">
        <w:rPr>
          <w:rFonts w:ascii="Arial" w:hAnsi="Arial" w:cs="Arial"/>
          <w:sz w:val="24"/>
          <w:szCs w:val="24"/>
        </w:rPr>
        <w:t>t</w:t>
      </w:r>
      <w:r>
        <w:rPr>
          <w:rFonts w:ascii="Arial" w:hAnsi="Arial" w:cs="Arial"/>
          <w:sz w:val="24"/>
          <w:szCs w:val="24"/>
        </w:rPr>
        <w:t xml:space="preserve"> 1mmol/l, whereas CoA concentration</w:t>
      </w:r>
      <w:r w:rsidR="00545079">
        <w:rPr>
          <w:rFonts w:ascii="Arial" w:hAnsi="Arial" w:cs="Arial"/>
          <w:sz w:val="24"/>
          <w:szCs w:val="24"/>
        </w:rPr>
        <w:t xml:space="preserve"> is </w:t>
      </w:r>
      <w:r>
        <w:rPr>
          <w:rFonts w:ascii="Arial" w:hAnsi="Arial" w:cs="Arial"/>
          <w:sz w:val="24"/>
          <w:szCs w:val="24"/>
        </w:rPr>
        <w:t>set a</w:t>
      </w:r>
      <w:r w:rsidR="00545079">
        <w:rPr>
          <w:rFonts w:ascii="Arial" w:hAnsi="Arial" w:cs="Arial"/>
          <w:sz w:val="24"/>
          <w:szCs w:val="24"/>
        </w:rPr>
        <w:t>t</w:t>
      </w:r>
      <w:r>
        <w:rPr>
          <w:rFonts w:ascii="Arial" w:hAnsi="Arial" w:cs="Arial"/>
          <w:sz w:val="24"/>
          <w:szCs w:val="24"/>
        </w:rPr>
        <w:t xml:space="preserve"> 40mmol/l</w:t>
      </w:r>
      <w:r w:rsidR="00545079">
        <w:rPr>
          <w:rFonts w:ascii="Arial" w:hAnsi="Arial" w:cs="Arial"/>
          <w:sz w:val="24"/>
          <w:szCs w:val="24"/>
        </w:rPr>
        <w:t>. Acetyl-CoA concentration is only set in the mitochondria at 60mmol/l</w:t>
      </w:r>
      <w:r w:rsidR="00C73D6D">
        <w:rPr>
          <w:rFonts w:ascii="Arial" w:hAnsi="Arial" w:cs="Arial"/>
          <w:sz w:val="24"/>
          <w:szCs w:val="24"/>
        </w:rPr>
        <w:t xml:space="preserve"> (Table </w:t>
      </w:r>
      <w:r w:rsidR="00806F63">
        <w:rPr>
          <w:rFonts w:ascii="Arial" w:hAnsi="Arial" w:cs="Arial"/>
          <w:sz w:val="24"/>
          <w:szCs w:val="24"/>
        </w:rPr>
        <w:t>9</w:t>
      </w:r>
      <w:r w:rsidR="00C73D6D">
        <w:rPr>
          <w:rFonts w:ascii="Arial" w:hAnsi="Arial" w:cs="Arial"/>
          <w:sz w:val="24"/>
          <w:szCs w:val="24"/>
        </w:rPr>
        <w:t>)</w:t>
      </w:r>
      <w:r w:rsidR="00545079">
        <w:rPr>
          <w:rFonts w:ascii="Arial" w:hAnsi="Arial" w:cs="Arial"/>
          <w:sz w:val="24"/>
          <w:szCs w:val="24"/>
        </w:rPr>
        <w:t>. As in butyrate_v3-1 model, all these species type is defined as reactions in this model, which means that the kinetic laws of the reactions modify the amount/concentration of the species. The extracellular initial concentration of S</w:t>
      </w:r>
      <w:r w:rsidR="00DF062D">
        <w:rPr>
          <w:rFonts w:ascii="Arial" w:hAnsi="Arial" w:cs="Arial"/>
          <w:sz w:val="24"/>
          <w:szCs w:val="24"/>
        </w:rPr>
        <w:t>C</w:t>
      </w:r>
      <w:r w:rsidR="00545079">
        <w:rPr>
          <w:rFonts w:ascii="Arial" w:hAnsi="Arial" w:cs="Arial"/>
          <w:sz w:val="24"/>
          <w:szCs w:val="24"/>
        </w:rPr>
        <w:t>FAs is set as follows: acetate at 25mmol</w:t>
      </w:r>
      <w:r w:rsidR="00DF062D">
        <w:rPr>
          <w:rFonts w:ascii="Arial" w:hAnsi="Arial" w:cs="Arial"/>
          <w:sz w:val="24"/>
          <w:szCs w:val="24"/>
        </w:rPr>
        <w:t>/</w:t>
      </w:r>
      <w:r w:rsidR="00545079">
        <w:rPr>
          <w:rFonts w:ascii="Arial" w:hAnsi="Arial" w:cs="Arial"/>
          <w:sz w:val="24"/>
          <w:szCs w:val="24"/>
        </w:rPr>
        <w:t>l, butyrate at 5mmol/l, propionate at 7mmol/l</w:t>
      </w:r>
      <w:r w:rsidR="00C73D6D">
        <w:rPr>
          <w:rFonts w:ascii="Arial" w:hAnsi="Arial" w:cs="Arial"/>
          <w:sz w:val="24"/>
          <w:szCs w:val="24"/>
        </w:rPr>
        <w:t xml:space="preserve"> (Table </w:t>
      </w:r>
      <w:r w:rsidR="00806F63">
        <w:rPr>
          <w:rFonts w:ascii="Arial" w:hAnsi="Arial" w:cs="Arial"/>
          <w:sz w:val="24"/>
          <w:szCs w:val="24"/>
        </w:rPr>
        <w:t>9</w:t>
      </w:r>
      <w:r w:rsidR="00C73D6D">
        <w:rPr>
          <w:rFonts w:ascii="Arial" w:hAnsi="Arial" w:cs="Arial"/>
          <w:sz w:val="24"/>
          <w:szCs w:val="24"/>
        </w:rPr>
        <w:t>)</w:t>
      </w:r>
      <w:r w:rsidR="00545079">
        <w:rPr>
          <w:rFonts w:ascii="Arial" w:hAnsi="Arial" w:cs="Arial"/>
          <w:sz w:val="24"/>
          <w:szCs w:val="24"/>
        </w:rPr>
        <w:t xml:space="preserve">. All these species type is defined as fixed, which means that the species have a constant concentration/amount value corresponding to their given initial concentration. SCFA Uptake and Oxidation v4 model has also several species </w:t>
      </w:r>
      <w:r w:rsidR="00133352">
        <w:rPr>
          <w:rFonts w:ascii="Arial" w:hAnsi="Arial" w:cs="Arial"/>
          <w:sz w:val="24"/>
          <w:szCs w:val="24"/>
        </w:rPr>
        <w:t>defined</w:t>
      </w:r>
      <w:r w:rsidR="00545079">
        <w:rPr>
          <w:rFonts w:ascii="Arial" w:hAnsi="Arial" w:cs="Arial"/>
          <w:sz w:val="24"/>
          <w:szCs w:val="24"/>
        </w:rPr>
        <w:t xml:space="preserve"> in the mitochondria: acetate, butyrate and propionate </w:t>
      </w:r>
      <w:r w:rsidR="00133352">
        <w:rPr>
          <w:rFonts w:ascii="Arial" w:hAnsi="Arial" w:cs="Arial"/>
          <w:sz w:val="24"/>
          <w:szCs w:val="24"/>
        </w:rPr>
        <w:t>defined</w:t>
      </w:r>
      <w:r w:rsidR="00545079">
        <w:rPr>
          <w:rFonts w:ascii="Arial" w:hAnsi="Arial" w:cs="Arial"/>
          <w:sz w:val="24"/>
          <w:szCs w:val="24"/>
        </w:rPr>
        <w:t xml:space="preserve"> at 1mmol/l</w:t>
      </w:r>
      <w:r w:rsidR="00133352">
        <w:rPr>
          <w:rFonts w:ascii="Arial" w:hAnsi="Arial" w:cs="Arial"/>
          <w:sz w:val="24"/>
          <w:szCs w:val="24"/>
        </w:rPr>
        <w:t xml:space="preserve">. All these species type is defined as reactions in this model, which means that the kinetic laws of the reactions modify the amount/concentration of the species. Opposite to butyrate_v3-1 model, SCFA Uptake and oxidation v4 model </w:t>
      </w:r>
      <w:r w:rsidR="00545079">
        <w:rPr>
          <w:rFonts w:ascii="Arial" w:hAnsi="Arial" w:cs="Arial"/>
          <w:sz w:val="24"/>
          <w:szCs w:val="24"/>
        </w:rPr>
        <w:t xml:space="preserve">assumes that acetate, butyrate and propionate uptake is </w:t>
      </w:r>
      <w:r w:rsidR="00133352">
        <w:rPr>
          <w:rFonts w:ascii="Arial" w:hAnsi="Arial" w:cs="Arial"/>
          <w:sz w:val="24"/>
          <w:szCs w:val="24"/>
        </w:rPr>
        <w:t>simpler, with no modifiers defined, just the extracellular SCFA defined as product, and the SCFA in the cell as the product. As in butyrate_v3-1 model, SCFA Uptake and Oxidation v4 model also defines the SCFA uptake reactions as reversible. CoA</w:t>
      </w:r>
      <w:r w:rsidR="002C46EF">
        <w:rPr>
          <w:rFonts w:ascii="Arial" w:hAnsi="Arial" w:cs="Arial"/>
          <w:sz w:val="24"/>
          <w:szCs w:val="24"/>
        </w:rPr>
        <w:t>-</w:t>
      </w:r>
      <w:r w:rsidR="00133352">
        <w:rPr>
          <w:rFonts w:ascii="Arial" w:hAnsi="Arial" w:cs="Arial"/>
          <w:sz w:val="24"/>
          <w:szCs w:val="24"/>
        </w:rPr>
        <w:t>ligation reactions are also defined as reversible, but opposite to butyrate_v3-1 model, these reactions are only defined in the mitochondria. Acetate</w:t>
      </w:r>
      <w:r w:rsidR="002C46EF">
        <w:rPr>
          <w:rFonts w:ascii="Arial" w:hAnsi="Arial" w:cs="Arial"/>
          <w:sz w:val="24"/>
          <w:szCs w:val="24"/>
        </w:rPr>
        <w:t xml:space="preserve"> – </w:t>
      </w:r>
      <w:r w:rsidR="00133352">
        <w:rPr>
          <w:rFonts w:ascii="Arial" w:hAnsi="Arial" w:cs="Arial"/>
          <w:sz w:val="24"/>
          <w:szCs w:val="24"/>
        </w:rPr>
        <w:t>CoA</w:t>
      </w:r>
      <w:r w:rsidR="002C46EF">
        <w:rPr>
          <w:rFonts w:ascii="Arial" w:hAnsi="Arial" w:cs="Arial"/>
          <w:sz w:val="24"/>
          <w:szCs w:val="24"/>
        </w:rPr>
        <w:t>-</w:t>
      </w:r>
      <w:r w:rsidR="00133352">
        <w:rPr>
          <w:rFonts w:ascii="Arial" w:hAnsi="Arial" w:cs="Arial"/>
          <w:sz w:val="24"/>
          <w:szCs w:val="24"/>
        </w:rPr>
        <w:t>ligation has acetyl-CoA as product with acetate and CoA as substrates at a flux of 0mmol/min. Butyrate</w:t>
      </w:r>
      <w:r w:rsidR="002C46EF">
        <w:rPr>
          <w:rFonts w:ascii="Arial" w:hAnsi="Arial" w:cs="Arial"/>
          <w:sz w:val="24"/>
          <w:szCs w:val="24"/>
        </w:rPr>
        <w:t xml:space="preserve"> – </w:t>
      </w:r>
      <w:r w:rsidR="00133352">
        <w:rPr>
          <w:rFonts w:ascii="Arial" w:hAnsi="Arial" w:cs="Arial"/>
          <w:sz w:val="24"/>
          <w:szCs w:val="24"/>
        </w:rPr>
        <w:lastRenderedPageBreak/>
        <w:t>CoA</w:t>
      </w:r>
      <w:r w:rsidR="002C46EF">
        <w:rPr>
          <w:rFonts w:ascii="Arial" w:hAnsi="Arial" w:cs="Arial"/>
          <w:sz w:val="24"/>
          <w:szCs w:val="24"/>
        </w:rPr>
        <w:t>-</w:t>
      </w:r>
      <w:r w:rsidR="00133352">
        <w:rPr>
          <w:rFonts w:ascii="Arial" w:hAnsi="Arial" w:cs="Arial"/>
          <w:sz w:val="24"/>
          <w:szCs w:val="24"/>
        </w:rPr>
        <w:t>ligation has butyryl-CoA defiend as a product with butyrate and CoA defined as substrates at a flux of 0mmol/min. Propionate</w:t>
      </w:r>
      <w:r w:rsidR="002C46EF">
        <w:rPr>
          <w:rFonts w:ascii="Arial" w:hAnsi="Arial" w:cs="Arial"/>
          <w:sz w:val="24"/>
          <w:szCs w:val="24"/>
        </w:rPr>
        <w:t xml:space="preserve"> – </w:t>
      </w:r>
      <w:r w:rsidR="00133352">
        <w:rPr>
          <w:rFonts w:ascii="Arial" w:hAnsi="Arial" w:cs="Arial"/>
          <w:sz w:val="24"/>
          <w:szCs w:val="24"/>
        </w:rPr>
        <w:t>CoA</w:t>
      </w:r>
      <w:r w:rsidR="002C46EF">
        <w:rPr>
          <w:rFonts w:ascii="Arial" w:hAnsi="Arial" w:cs="Arial"/>
          <w:sz w:val="24"/>
          <w:szCs w:val="24"/>
        </w:rPr>
        <w:t>-</w:t>
      </w:r>
      <w:r w:rsidR="00133352">
        <w:rPr>
          <w:rFonts w:ascii="Arial" w:hAnsi="Arial" w:cs="Arial"/>
          <w:sz w:val="24"/>
          <w:szCs w:val="24"/>
        </w:rPr>
        <w:t>ligation has propionyl-CoA defined as a product with propionate and CoA defiend as substrates at a flux of 0mmol/min.</w:t>
      </w:r>
    </w:p>
    <w:p w:rsidR="00DC0376" w:rsidRDefault="00DC0376" w:rsidP="00EF1380">
      <w:pPr>
        <w:spacing w:line="240" w:lineRule="auto"/>
        <w:jc w:val="both"/>
        <w:rPr>
          <w:rFonts w:ascii="Arial" w:hAnsi="Arial" w:cs="Arial"/>
          <w:sz w:val="24"/>
          <w:szCs w:val="24"/>
        </w:rPr>
      </w:pPr>
    </w:p>
    <w:tbl>
      <w:tblPr>
        <w:tblStyle w:val="LightList1"/>
        <w:tblW w:w="8851" w:type="dxa"/>
        <w:tblInd w:w="108" w:type="dxa"/>
        <w:tblLayout w:type="fixed"/>
        <w:tblLook w:val="04A0" w:firstRow="1" w:lastRow="0" w:firstColumn="1" w:lastColumn="0" w:noHBand="0" w:noVBand="1"/>
      </w:tblPr>
      <w:tblGrid>
        <w:gridCol w:w="1176"/>
        <w:gridCol w:w="580"/>
        <w:gridCol w:w="564"/>
        <w:gridCol w:w="653"/>
        <w:gridCol w:w="561"/>
        <w:gridCol w:w="779"/>
        <w:gridCol w:w="803"/>
        <w:gridCol w:w="580"/>
        <w:gridCol w:w="564"/>
        <w:gridCol w:w="653"/>
        <w:gridCol w:w="561"/>
        <w:gridCol w:w="779"/>
        <w:gridCol w:w="598"/>
      </w:tblGrid>
      <w:tr w:rsidR="008A30B1" w:rsidTr="008A30B1">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176" w:type="dxa"/>
          </w:tcPr>
          <w:p w:rsidR="009809EC" w:rsidRPr="008A30B1" w:rsidRDefault="009809EC" w:rsidP="008A30B1">
            <w:pPr>
              <w:jc w:val="center"/>
              <w:rPr>
                <w:rFonts w:cs="Arial"/>
                <w:sz w:val="20"/>
                <w:szCs w:val="20"/>
              </w:rPr>
            </w:pPr>
            <w:r w:rsidRPr="008A30B1">
              <w:rPr>
                <w:rFonts w:cs="Arial"/>
                <w:sz w:val="20"/>
                <w:szCs w:val="20"/>
              </w:rPr>
              <w:t>Model</w:t>
            </w:r>
          </w:p>
        </w:tc>
        <w:tc>
          <w:tcPr>
            <w:tcW w:w="3940" w:type="dxa"/>
            <w:gridSpan w:val="6"/>
          </w:tcPr>
          <w:p w:rsidR="008A30B1" w:rsidRDefault="008A30B1" w:rsidP="008A30B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Initial concentration in t</w:t>
            </w:r>
            <w:r w:rsidR="009809EC" w:rsidRPr="008A30B1">
              <w:rPr>
                <w:rFonts w:cs="Arial"/>
                <w:sz w:val="20"/>
                <w:szCs w:val="20"/>
              </w:rPr>
              <w:t>h</w:t>
            </w:r>
            <w:r>
              <w:rPr>
                <w:rFonts w:cs="Arial"/>
                <w:sz w:val="20"/>
                <w:szCs w:val="20"/>
              </w:rPr>
              <w:t>e</w:t>
            </w:r>
            <w:r w:rsidR="009809EC" w:rsidRPr="008A30B1">
              <w:rPr>
                <w:rFonts w:cs="Arial"/>
                <w:sz w:val="20"/>
                <w:szCs w:val="20"/>
              </w:rPr>
              <w:t xml:space="preserve"> cell </w:t>
            </w:r>
          </w:p>
          <w:p w:rsidR="009809EC" w:rsidRPr="008A30B1" w:rsidRDefault="009809EC" w:rsidP="008A30B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A30B1">
              <w:rPr>
                <w:rFonts w:cs="Arial"/>
                <w:sz w:val="20"/>
                <w:szCs w:val="20"/>
              </w:rPr>
              <w:t>(mmol/l)</w:t>
            </w:r>
          </w:p>
        </w:tc>
        <w:tc>
          <w:tcPr>
            <w:tcW w:w="3735" w:type="dxa"/>
            <w:gridSpan w:val="6"/>
          </w:tcPr>
          <w:p w:rsidR="009809EC" w:rsidRPr="008A30B1" w:rsidRDefault="009809EC" w:rsidP="008A30B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A30B1">
              <w:rPr>
                <w:rFonts w:cs="Arial"/>
                <w:sz w:val="20"/>
                <w:szCs w:val="20"/>
              </w:rPr>
              <w:t>Extracellular initial concentration (mmol/l)</w:t>
            </w:r>
          </w:p>
        </w:tc>
      </w:tr>
      <w:tr w:rsidR="008A30B1" w:rsidTr="008A30B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76" w:type="dxa"/>
          </w:tcPr>
          <w:p w:rsidR="009809EC" w:rsidRPr="009809EC" w:rsidRDefault="009809EC" w:rsidP="008A30B1">
            <w:pPr>
              <w:jc w:val="center"/>
              <w:rPr>
                <w:rFonts w:ascii="Arial" w:hAnsi="Arial" w:cs="Arial"/>
                <w:sz w:val="24"/>
                <w:szCs w:val="24"/>
              </w:rPr>
            </w:pPr>
          </w:p>
        </w:tc>
        <w:tc>
          <w:tcPr>
            <w:tcW w:w="580"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Ace</w:t>
            </w:r>
          </w:p>
        </w:tc>
        <w:tc>
          <w:tcPr>
            <w:tcW w:w="564"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But</w:t>
            </w:r>
          </w:p>
        </w:tc>
        <w:tc>
          <w:tcPr>
            <w:tcW w:w="653"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Prop</w:t>
            </w:r>
          </w:p>
        </w:tc>
        <w:tc>
          <w:tcPr>
            <w:tcW w:w="561"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Glu</w:t>
            </w:r>
          </w:p>
        </w:tc>
        <w:tc>
          <w:tcPr>
            <w:tcW w:w="779"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Ac</w:t>
            </w:r>
            <w:r w:rsidR="008A30B1">
              <w:rPr>
                <w:rFonts w:cs="Arial"/>
                <w:sz w:val="16"/>
                <w:szCs w:val="16"/>
              </w:rPr>
              <w:t>CoA</w:t>
            </w:r>
          </w:p>
        </w:tc>
        <w:tc>
          <w:tcPr>
            <w:tcW w:w="803"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CoA</w:t>
            </w:r>
          </w:p>
        </w:tc>
        <w:tc>
          <w:tcPr>
            <w:tcW w:w="580"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Ace</w:t>
            </w:r>
          </w:p>
        </w:tc>
        <w:tc>
          <w:tcPr>
            <w:tcW w:w="564"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But</w:t>
            </w:r>
          </w:p>
        </w:tc>
        <w:tc>
          <w:tcPr>
            <w:tcW w:w="653"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Prop</w:t>
            </w:r>
          </w:p>
        </w:tc>
        <w:tc>
          <w:tcPr>
            <w:tcW w:w="561"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Glu</w:t>
            </w:r>
          </w:p>
        </w:tc>
        <w:tc>
          <w:tcPr>
            <w:tcW w:w="779"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AcCoA</w:t>
            </w:r>
          </w:p>
        </w:tc>
        <w:tc>
          <w:tcPr>
            <w:tcW w:w="598"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CoA</w:t>
            </w:r>
          </w:p>
        </w:tc>
      </w:tr>
      <w:tr w:rsidR="008A30B1" w:rsidTr="008A30B1">
        <w:trPr>
          <w:trHeight w:val="372"/>
        </w:trPr>
        <w:tc>
          <w:tcPr>
            <w:cnfStyle w:val="001000000000" w:firstRow="0" w:lastRow="0" w:firstColumn="1" w:lastColumn="0" w:oddVBand="0" w:evenVBand="0" w:oddHBand="0" w:evenHBand="0" w:firstRowFirstColumn="0" w:firstRowLastColumn="0" w:lastRowFirstColumn="0" w:lastRowLastColumn="0"/>
            <w:tcW w:w="1176" w:type="dxa"/>
          </w:tcPr>
          <w:p w:rsidR="009809EC" w:rsidRPr="008A30B1" w:rsidRDefault="009809EC" w:rsidP="008A30B1">
            <w:pPr>
              <w:jc w:val="center"/>
              <w:rPr>
                <w:rFonts w:cs="Arial"/>
                <w:b w:val="0"/>
                <w:sz w:val="16"/>
                <w:szCs w:val="16"/>
              </w:rPr>
            </w:pPr>
            <w:r w:rsidRPr="008A30B1">
              <w:rPr>
                <w:rFonts w:cs="Arial"/>
                <w:b w:val="0"/>
                <w:sz w:val="16"/>
                <w:szCs w:val="16"/>
              </w:rPr>
              <w:t>Butyrate_v3-1</w:t>
            </w:r>
          </w:p>
        </w:tc>
        <w:tc>
          <w:tcPr>
            <w:tcW w:w="580"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0.1</w:t>
            </w:r>
          </w:p>
        </w:tc>
        <w:tc>
          <w:tcPr>
            <w:tcW w:w="564"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0.1</w:t>
            </w:r>
          </w:p>
        </w:tc>
        <w:tc>
          <w:tcPr>
            <w:tcW w:w="653"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0.1</w:t>
            </w:r>
          </w:p>
        </w:tc>
        <w:tc>
          <w:tcPr>
            <w:tcW w:w="561"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0.5</w:t>
            </w:r>
          </w:p>
        </w:tc>
        <w:tc>
          <w:tcPr>
            <w:tcW w:w="779"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40</w:t>
            </w:r>
          </w:p>
        </w:tc>
        <w:tc>
          <w:tcPr>
            <w:tcW w:w="803"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60</w:t>
            </w:r>
          </w:p>
        </w:tc>
        <w:tc>
          <w:tcPr>
            <w:tcW w:w="580"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w:t>
            </w:r>
          </w:p>
        </w:tc>
        <w:tc>
          <w:tcPr>
            <w:tcW w:w="564"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w:t>
            </w:r>
          </w:p>
        </w:tc>
        <w:tc>
          <w:tcPr>
            <w:tcW w:w="653"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10</w:t>
            </w:r>
          </w:p>
        </w:tc>
        <w:tc>
          <w:tcPr>
            <w:tcW w:w="561" w:type="dxa"/>
          </w:tcPr>
          <w:p w:rsidR="009809EC" w:rsidRPr="008A30B1"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30B1">
              <w:rPr>
                <w:rFonts w:cs="Arial"/>
                <w:sz w:val="16"/>
                <w:szCs w:val="16"/>
              </w:rPr>
              <w:t>0.5</w:t>
            </w:r>
          </w:p>
        </w:tc>
        <w:tc>
          <w:tcPr>
            <w:tcW w:w="779" w:type="dxa"/>
          </w:tcPr>
          <w:p w:rsidR="009809EC" w:rsidRPr="00C73D6D"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C73D6D">
              <w:rPr>
                <w:rFonts w:cs="Arial"/>
                <w:b/>
                <w:sz w:val="16"/>
                <w:szCs w:val="16"/>
              </w:rPr>
              <w:t>*</w:t>
            </w:r>
          </w:p>
        </w:tc>
        <w:tc>
          <w:tcPr>
            <w:tcW w:w="598" w:type="dxa"/>
          </w:tcPr>
          <w:p w:rsidR="009809EC" w:rsidRPr="00C73D6D" w:rsidRDefault="009809EC" w:rsidP="008A30B1">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C73D6D">
              <w:rPr>
                <w:rFonts w:cs="Arial"/>
                <w:b/>
                <w:sz w:val="16"/>
                <w:szCs w:val="16"/>
              </w:rPr>
              <w:t>*</w:t>
            </w:r>
          </w:p>
        </w:tc>
      </w:tr>
      <w:tr w:rsidR="008A30B1" w:rsidTr="008A30B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76" w:type="dxa"/>
          </w:tcPr>
          <w:p w:rsidR="009809EC" w:rsidRPr="008A30B1" w:rsidRDefault="009809EC" w:rsidP="008A30B1">
            <w:pPr>
              <w:jc w:val="center"/>
              <w:rPr>
                <w:rFonts w:cs="Arial"/>
                <w:b w:val="0"/>
                <w:sz w:val="16"/>
                <w:szCs w:val="16"/>
              </w:rPr>
            </w:pPr>
            <w:r w:rsidRPr="008A30B1">
              <w:rPr>
                <w:rFonts w:cs="Arial"/>
                <w:b w:val="0"/>
                <w:sz w:val="16"/>
                <w:szCs w:val="16"/>
              </w:rPr>
              <w:t>SCFA Uptake and Oxidation v4</w:t>
            </w:r>
          </w:p>
        </w:tc>
        <w:tc>
          <w:tcPr>
            <w:tcW w:w="580"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1</w:t>
            </w:r>
          </w:p>
        </w:tc>
        <w:tc>
          <w:tcPr>
            <w:tcW w:w="564"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1</w:t>
            </w:r>
          </w:p>
        </w:tc>
        <w:tc>
          <w:tcPr>
            <w:tcW w:w="653"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1</w:t>
            </w:r>
          </w:p>
        </w:tc>
        <w:tc>
          <w:tcPr>
            <w:tcW w:w="561" w:type="dxa"/>
          </w:tcPr>
          <w:p w:rsidR="009809EC" w:rsidRPr="00C73D6D"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C73D6D">
              <w:rPr>
                <w:rFonts w:cs="Arial"/>
                <w:b/>
                <w:sz w:val="16"/>
                <w:szCs w:val="16"/>
              </w:rPr>
              <w:t>×</w:t>
            </w:r>
          </w:p>
        </w:tc>
        <w:tc>
          <w:tcPr>
            <w:tcW w:w="779"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40</w:t>
            </w:r>
          </w:p>
        </w:tc>
        <w:tc>
          <w:tcPr>
            <w:tcW w:w="803"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60</w:t>
            </w:r>
          </w:p>
        </w:tc>
        <w:tc>
          <w:tcPr>
            <w:tcW w:w="580"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25</w:t>
            </w:r>
          </w:p>
        </w:tc>
        <w:tc>
          <w:tcPr>
            <w:tcW w:w="564"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5</w:t>
            </w:r>
          </w:p>
        </w:tc>
        <w:tc>
          <w:tcPr>
            <w:tcW w:w="653" w:type="dxa"/>
          </w:tcPr>
          <w:p w:rsidR="009809EC" w:rsidRPr="008A30B1"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A30B1">
              <w:rPr>
                <w:rFonts w:cs="Arial"/>
                <w:sz w:val="16"/>
                <w:szCs w:val="16"/>
              </w:rPr>
              <w:t>7</w:t>
            </w:r>
          </w:p>
        </w:tc>
        <w:tc>
          <w:tcPr>
            <w:tcW w:w="561" w:type="dxa"/>
          </w:tcPr>
          <w:p w:rsidR="009809EC" w:rsidRPr="00C73D6D"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C73D6D">
              <w:rPr>
                <w:rFonts w:cs="Arial"/>
                <w:b/>
                <w:sz w:val="16"/>
                <w:szCs w:val="16"/>
              </w:rPr>
              <w:t>×</w:t>
            </w:r>
          </w:p>
        </w:tc>
        <w:tc>
          <w:tcPr>
            <w:tcW w:w="779" w:type="dxa"/>
          </w:tcPr>
          <w:p w:rsidR="009809EC" w:rsidRPr="00C73D6D"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C73D6D">
              <w:rPr>
                <w:rFonts w:cs="Arial"/>
                <w:b/>
                <w:sz w:val="16"/>
                <w:szCs w:val="16"/>
              </w:rPr>
              <w:t>*</w:t>
            </w:r>
          </w:p>
        </w:tc>
        <w:tc>
          <w:tcPr>
            <w:tcW w:w="598" w:type="dxa"/>
          </w:tcPr>
          <w:p w:rsidR="009809EC" w:rsidRPr="00C73D6D" w:rsidRDefault="009809EC" w:rsidP="008A30B1">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C73D6D">
              <w:rPr>
                <w:rFonts w:cs="Arial"/>
                <w:b/>
                <w:sz w:val="16"/>
                <w:szCs w:val="16"/>
              </w:rPr>
              <w:t>*</w:t>
            </w:r>
          </w:p>
        </w:tc>
      </w:tr>
    </w:tbl>
    <w:p w:rsidR="00C73D6D" w:rsidRPr="00C73D6D" w:rsidRDefault="00CD2A4C" w:rsidP="00CD2A4C">
      <w:pPr>
        <w:pStyle w:val="Caption"/>
        <w:rPr>
          <w:rStyle w:val="hps"/>
          <w:rFonts w:ascii="Arial" w:hAnsi="Arial" w:cs="Arial"/>
          <w:i/>
          <w:color w:val="auto"/>
          <w:sz w:val="16"/>
          <w:szCs w:val="16"/>
          <w:lang w:val="en-US"/>
        </w:rPr>
      </w:pPr>
      <w:bookmarkStart w:id="82" w:name="_Toc413666996"/>
      <w:proofErr w:type="gramStart"/>
      <w:r w:rsidRPr="00CD2A4C">
        <w:rPr>
          <w:rFonts w:ascii="Arial" w:hAnsi="Arial" w:cs="Arial"/>
          <w:color w:val="auto"/>
          <w:sz w:val="16"/>
          <w:szCs w:val="16"/>
        </w:rPr>
        <w:t xml:space="preserve">Table </w:t>
      </w:r>
      <w:r w:rsidRPr="00CD2A4C">
        <w:rPr>
          <w:rFonts w:ascii="Arial" w:hAnsi="Arial" w:cs="Arial"/>
          <w:color w:val="auto"/>
          <w:sz w:val="16"/>
          <w:szCs w:val="16"/>
        </w:rPr>
        <w:fldChar w:fldCharType="begin"/>
      </w:r>
      <w:r w:rsidRPr="00CD2A4C">
        <w:rPr>
          <w:rFonts w:ascii="Arial" w:hAnsi="Arial" w:cs="Arial"/>
          <w:color w:val="auto"/>
          <w:sz w:val="16"/>
          <w:szCs w:val="16"/>
        </w:rPr>
        <w:instrText xml:space="preserve"> SEQ Table \* ARABIC </w:instrText>
      </w:r>
      <w:r w:rsidRPr="00CD2A4C">
        <w:rPr>
          <w:rFonts w:ascii="Arial" w:hAnsi="Arial" w:cs="Arial"/>
          <w:color w:val="auto"/>
          <w:sz w:val="16"/>
          <w:szCs w:val="16"/>
        </w:rPr>
        <w:fldChar w:fldCharType="separate"/>
      </w:r>
      <w:r w:rsidR="00DC0376">
        <w:rPr>
          <w:rFonts w:ascii="Arial" w:hAnsi="Arial" w:cs="Arial"/>
          <w:noProof/>
          <w:color w:val="auto"/>
          <w:sz w:val="16"/>
          <w:szCs w:val="16"/>
        </w:rPr>
        <w:t>9</w:t>
      </w:r>
      <w:r w:rsidRPr="00CD2A4C">
        <w:rPr>
          <w:rFonts w:ascii="Arial" w:hAnsi="Arial" w:cs="Arial"/>
          <w:color w:val="auto"/>
          <w:sz w:val="16"/>
          <w:szCs w:val="16"/>
        </w:rPr>
        <w:fldChar w:fldCharType="end"/>
      </w:r>
      <w:r w:rsidR="00C73D6D" w:rsidRPr="00C73D6D">
        <w:rPr>
          <w:rFonts w:ascii="Arial" w:hAnsi="Arial" w:cs="Arial"/>
          <w:color w:val="auto"/>
          <w:sz w:val="16"/>
          <w:szCs w:val="16"/>
        </w:rPr>
        <w:t>.</w:t>
      </w:r>
      <w:proofErr w:type="gramEnd"/>
      <w:r w:rsidR="00C73D6D" w:rsidRPr="00C73D6D">
        <w:rPr>
          <w:rFonts w:ascii="Arial" w:hAnsi="Arial" w:cs="Arial"/>
          <w:color w:val="auto"/>
          <w:sz w:val="16"/>
          <w:szCs w:val="16"/>
        </w:rPr>
        <w:t xml:space="preserve"> Initial concentrations of the substrate species defined in the models. </w:t>
      </w:r>
      <w:r w:rsidR="00C73D6D" w:rsidRPr="00C73D6D">
        <w:rPr>
          <w:rFonts w:ascii="Arial" w:hAnsi="Arial" w:cs="Arial"/>
          <w:i/>
          <w:color w:val="auto"/>
          <w:sz w:val="16"/>
          <w:szCs w:val="16"/>
        </w:rPr>
        <w:t>Ace = acetate, But= butyrate, Prop = propionate, Glu = glucose, AcCoA = acetyl-CoA. × indicates this species is not defined in the model. * Indicates no extracellular concentrations are defined for these species.</w:t>
      </w:r>
      <w:bookmarkEnd w:id="82"/>
    </w:p>
    <w:p w:rsidR="00EF1380" w:rsidRDefault="00EF1380" w:rsidP="00EF1380">
      <w:pPr>
        <w:spacing w:line="240" w:lineRule="auto"/>
        <w:jc w:val="both"/>
        <w:rPr>
          <w:rStyle w:val="sectionname"/>
          <w:rFonts w:ascii="Arial" w:hAnsi="Arial" w:cs="Arial"/>
          <w:sz w:val="24"/>
        </w:rPr>
      </w:pPr>
      <w:r w:rsidRPr="00C40038">
        <w:rPr>
          <w:rStyle w:val="sectionname"/>
          <w:rFonts w:ascii="Arial" w:hAnsi="Arial" w:cs="Arial"/>
          <w:sz w:val="24"/>
        </w:rPr>
        <w:t xml:space="preserve">The simulations with </w:t>
      </w:r>
      <w:r>
        <w:rPr>
          <w:rStyle w:val="sectionname"/>
          <w:rFonts w:ascii="Arial" w:hAnsi="Arial" w:cs="Arial"/>
          <w:sz w:val="24"/>
        </w:rPr>
        <w:t>butyrate_v3-1 and SCFA Uptake and Oxidation v4 models were ru</w:t>
      </w:r>
      <w:r w:rsidRPr="00C40038">
        <w:rPr>
          <w:rStyle w:val="sectionname"/>
          <w:rFonts w:ascii="Arial" w:hAnsi="Arial" w:cs="Arial"/>
          <w:sz w:val="24"/>
        </w:rPr>
        <w:t xml:space="preserve">n </w:t>
      </w:r>
      <w:r>
        <w:rPr>
          <w:rStyle w:val="sectionname"/>
          <w:rFonts w:ascii="Arial" w:hAnsi="Arial" w:cs="Arial"/>
          <w:sz w:val="24"/>
        </w:rPr>
        <w:t xml:space="preserve">in COPASI using the parameter scan task </w:t>
      </w:r>
      <w:r w:rsidRPr="00C40038">
        <w:rPr>
          <w:rStyle w:val="sectionname"/>
          <w:rFonts w:ascii="Arial" w:hAnsi="Arial" w:cs="Arial"/>
          <w:sz w:val="24"/>
        </w:rPr>
        <w:t xml:space="preserve">at increasing concentrations of butyrate (1-20mM), propionate (1-20mM), acetate (1-52mM) and glucose </w:t>
      </w:r>
      <w:r>
        <w:rPr>
          <w:rStyle w:val="sectionname"/>
          <w:rFonts w:ascii="Arial" w:hAnsi="Arial" w:cs="Arial"/>
          <w:sz w:val="24"/>
        </w:rPr>
        <w:t xml:space="preserve">(just butyrate_v3-1) </w:t>
      </w:r>
      <w:r w:rsidRPr="00C40038">
        <w:rPr>
          <w:rStyle w:val="sectionname"/>
          <w:rFonts w:ascii="Arial" w:hAnsi="Arial" w:cs="Arial"/>
          <w:sz w:val="24"/>
        </w:rPr>
        <w:t>(0.5-2mM) at physiological ranges. Each of the aforementioned species in the model</w:t>
      </w:r>
      <w:r>
        <w:rPr>
          <w:rStyle w:val="sectionname"/>
          <w:rFonts w:ascii="Arial" w:hAnsi="Arial" w:cs="Arial"/>
          <w:sz w:val="24"/>
        </w:rPr>
        <w:t>s</w:t>
      </w:r>
      <w:r w:rsidRPr="00C40038">
        <w:rPr>
          <w:rStyle w:val="sectionname"/>
          <w:rFonts w:ascii="Arial" w:hAnsi="Arial" w:cs="Arial"/>
          <w:sz w:val="24"/>
        </w:rPr>
        <w:t xml:space="preserve"> w</w:t>
      </w:r>
      <w:r>
        <w:rPr>
          <w:rStyle w:val="sectionname"/>
          <w:rFonts w:ascii="Arial" w:hAnsi="Arial" w:cs="Arial"/>
          <w:sz w:val="24"/>
        </w:rPr>
        <w:t>as</w:t>
      </w:r>
      <w:r w:rsidRPr="00C40038">
        <w:rPr>
          <w:rStyle w:val="sectionname"/>
          <w:rFonts w:ascii="Arial" w:hAnsi="Arial" w:cs="Arial"/>
          <w:sz w:val="24"/>
        </w:rPr>
        <w:t xml:space="preserve"> independently set as parameters to scan </w:t>
      </w:r>
      <w:r>
        <w:rPr>
          <w:rStyle w:val="sectionname"/>
          <w:rFonts w:ascii="Arial" w:hAnsi="Arial" w:cs="Arial"/>
          <w:sz w:val="24"/>
        </w:rPr>
        <w:t xml:space="preserve">in the ranges described above </w:t>
      </w:r>
      <w:r w:rsidRPr="00C40038">
        <w:rPr>
          <w:rStyle w:val="sectionname"/>
          <w:rFonts w:ascii="Arial" w:hAnsi="Arial" w:cs="Arial"/>
          <w:sz w:val="24"/>
        </w:rPr>
        <w:t>at 1000 intervals. The initial extracellular concentrations of these species were set to be s</w:t>
      </w:r>
      <w:r>
        <w:rPr>
          <w:rStyle w:val="sectionname"/>
          <w:rFonts w:ascii="Arial" w:hAnsi="Arial" w:cs="Arial"/>
          <w:sz w:val="24"/>
        </w:rPr>
        <w:t>canned and run the simulations i</w:t>
      </w:r>
      <w:r w:rsidRPr="00C40038">
        <w:rPr>
          <w:rStyle w:val="sectionname"/>
          <w:rFonts w:ascii="Arial" w:hAnsi="Arial" w:cs="Arial"/>
          <w:sz w:val="24"/>
        </w:rPr>
        <w:t xml:space="preserve">n </w:t>
      </w:r>
      <w:r>
        <w:rPr>
          <w:rStyle w:val="sectionname"/>
          <w:rFonts w:ascii="Arial" w:hAnsi="Arial" w:cs="Arial"/>
          <w:sz w:val="24"/>
        </w:rPr>
        <w:t xml:space="preserve">response to the </w:t>
      </w:r>
      <w:r w:rsidRPr="00C40038">
        <w:rPr>
          <w:rStyle w:val="sectionname"/>
          <w:rFonts w:ascii="Arial" w:hAnsi="Arial" w:cs="Arial"/>
          <w:sz w:val="24"/>
        </w:rPr>
        <w:t>levels of either acetyl-CoA or CoA</w:t>
      </w:r>
      <w:r>
        <w:rPr>
          <w:rStyle w:val="sectionname"/>
          <w:rFonts w:ascii="Arial" w:hAnsi="Arial" w:cs="Arial"/>
          <w:sz w:val="24"/>
        </w:rPr>
        <w:t xml:space="preserve"> by the increasing concentrations of butyrate, propionate, acetate or glucose. </w:t>
      </w:r>
    </w:p>
    <w:p w:rsidR="00EF1380" w:rsidRDefault="00EF1380" w:rsidP="00EF1380">
      <w:pPr>
        <w:spacing w:line="240" w:lineRule="auto"/>
        <w:jc w:val="both"/>
        <w:rPr>
          <w:rFonts w:ascii="Arial" w:hAnsi="Arial" w:cs="Arial"/>
          <w:sz w:val="24"/>
          <w:szCs w:val="24"/>
        </w:rPr>
      </w:pPr>
      <w:bookmarkStart w:id="83" w:name="_Toc388345925"/>
      <w:bookmarkStart w:id="84" w:name="_Toc364682857"/>
      <w:r w:rsidRPr="009E444F">
        <w:rPr>
          <w:rFonts w:ascii="Arial" w:hAnsi="Arial" w:cs="Arial"/>
          <w:sz w:val="24"/>
          <w:szCs w:val="24"/>
        </w:rPr>
        <w:t xml:space="preserve">In order to simulate the effect of time on the acyl forms as well as on acetyl-CoA and CoA levels the </w:t>
      </w:r>
      <w:r>
        <w:rPr>
          <w:rFonts w:ascii="Arial" w:hAnsi="Arial" w:cs="Arial"/>
          <w:sz w:val="24"/>
          <w:szCs w:val="24"/>
        </w:rPr>
        <w:t xml:space="preserve">same </w:t>
      </w:r>
      <w:r w:rsidRPr="009E444F">
        <w:rPr>
          <w:rFonts w:ascii="Arial" w:hAnsi="Arial" w:cs="Arial"/>
          <w:sz w:val="24"/>
          <w:szCs w:val="24"/>
        </w:rPr>
        <w:t>model</w:t>
      </w:r>
      <w:r>
        <w:rPr>
          <w:rFonts w:ascii="Arial" w:hAnsi="Arial" w:cs="Arial"/>
          <w:sz w:val="24"/>
          <w:szCs w:val="24"/>
        </w:rPr>
        <w:t>s</w:t>
      </w:r>
      <w:r w:rsidRPr="009E444F">
        <w:rPr>
          <w:rFonts w:ascii="Arial" w:hAnsi="Arial" w:cs="Arial"/>
          <w:sz w:val="24"/>
          <w:szCs w:val="24"/>
        </w:rPr>
        <w:t xml:space="preserve"> </w:t>
      </w:r>
      <w:r>
        <w:rPr>
          <w:rFonts w:ascii="Arial" w:hAnsi="Arial" w:cs="Arial"/>
          <w:sz w:val="24"/>
          <w:szCs w:val="24"/>
        </w:rPr>
        <w:t>were</w:t>
      </w:r>
      <w:r w:rsidR="00370011">
        <w:rPr>
          <w:rFonts w:ascii="Arial" w:hAnsi="Arial" w:cs="Arial"/>
          <w:sz w:val="24"/>
          <w:szCs w:val="24"/>
        </w:rPr>
        <w:t xml:space="preserve"> used</w:t>
      </w:r>
      <w:r w:rsidRPr="009E444F">
        <w:rPr>
          <w:rFonts w:ascii="Arial" w:hAnsi="Arial" w:cs="Arial"/>
          <w:sz w:val="24"/>
          <w:szCs w:val="24"/>
        </w:rPr>
        <w:t>. Th</w:t>
      </w:r>
      <w:r>
        <w:rPr>
          <w:rFonts w:ascii="Arial" w:hAnsi="Arial" w:cs="Arial"/>
          <w:sz w:val="24"/>
          <w:szCs w:val="24"/>
        </w:rPr>
        <w:t>ese</w:t>
      </w:r>
      <w:r w:rsidRPr="009E444F">
        <w:rPr>
          <w:rFonts w:ascii="Arial" w:hAnsi="Arial" w:cs="Arial"/>
          <w:sz w:val="24"/>
          <w:szCs w:val="24"/>
        </w:rPr>
        <w:t xml:space="preserve"> model</w:t>
      </w:r>
      <w:r>
        <w:rPr>
          <w:rFonts w:ascii="Arial" w:hAnsi="Arial" w:cs="Arial"/>
          <w:sz w:val="24"/>
          <w:szCs w:val="24"/>
        </w:rPr>
        <w:t>s</w:t>
      </w:r>
      <w:r w:rsidRPr="009E444F">
        <w:rPr>
          <w:rFonts w:ascii="Arial" w:hAnsi="Arial" w:cs="Arial"/>
          <w:sz w:val="24"/>
          <w:szCs w:val="24"/>
        </w:rPr>
        <w:t xml:space="preserve"> w</w:t>
      </w:r>
      <w:r>
        <w:rPr>
          <w:rFonts w:ascii="Arial" w:hAnsi="Arial" w:cs="Arial"/>
          <w:sz w:val="24"/>
          <w:szCs w:val="24"/>
        </w:rPr>
        <w:t>ere</w:t>
      </w:r>
      <w:r w:rsidRPr="009E444F">
        <w:rPr>
          <w:rFonts w:ascii="Arial" w:hAnsi="Arial" w:cs="Arial"/>
          <w:sz w:val="24"/>
          <w:szCs w:val="24"/>
        </w:rPr>
        <w:t xml:space="preserve"> chosen </w:t>
      </w:r>
      <w:r>
        <w:rPr>
          <w:rFonts w:ascii="Arial" w:hAnsi="Arial" w:cs="Arial"/>
          <w:sz w:val="24"/>
          <w:szCs w:val="24"/>
        </w:rPr>
        <w:t>following the same rationale as before (F</w:t>
      </w:r>
      <w:r w:rsidRPr="009E444F">
        <w:rPr>
          <w:rFonts w:ascii="Arial" w:hAnsi="Arial" w:cs="Arial"/>
          <w:sz w:val="24"/>
          <w:szCs w:val="24"/>
        </w:rPr>
        <w:t xml:space="preserve">igure </w:t>
      </w:r>
      <w:r w:rsidR="00370011">
        <w:rPr>
          <w:rFonts w:ascii="Arial" w:hAnsi="Arial" w:cs="Arial"/>
          <w:sz w:val="24"/>
          <w:szCs w:val="24"/>
        </w:rPr>
        <w:t>9</w:t>
      </w:r>
      <w:r>
        <w:rPr>
          <w:rFonts w:ascii="Arial" w:hAnsi="Arial" w:cs="Arial"/>
          <w:sz w:val="24"/>
          <w:szCs w:val="24"/>
        </w:rPr>
        <w:t xml:space="preserve"> and 1</w:t>
      </w:r>
      <w:r w:rsidR="00370011">
        <w:rPr>
          <w:rFonts w:ascii="Arial" w:hAnsi="Arial" w:cs="Arial"/>
          <w:sz w:val="24"/>
          <w:szCs w:val="24"/>
        </w:rPr>
        <w:t>0</w:t>
      </w:r>
      <w:r>
        <w:rPr>
          <w:rFonts w:ascii="Arial" w:hAnsi="Arial" w:cs="Arial"/>
          <w:sz w:val="24"/>
          <w:szCs w:val="24"/>
        </w:rPr>
        <w:t xml:space="preserve">, Table </w:t>
      </w:r>
      <w:r w:rsidR="007C66F9">
        <w:rPr>
          <w:rFonts w:ascii="Arial" w:hAnsi="Arial" w:cs="Arial"/>
          <w:sz w:val="24"/>
          <w:szCs w:val="24"/>
        </w:rPr>
        <w:t>8</w:t>
      </w:r>
      <w:r w:rsidRPr="009E444F">
        <w:rPr>
          <w:rFonts w:ascii="Arial" w:hAnsi="Arial" w:cs="Arial"/>
          <w:sz w:val="24"/>
          <w:szCs w:val="24"/>
        </w:rPr>
        <w:t>)</w:t>
      </w:r>
      <w:r>
        <w:rPr>
          <w:rFonts w:ascii="Arial" w:hAnsi="Arial" w:cs="Arial"/>
          <w:sz w:val="24"/>
          <w:szCs w:val="24"/>
        </w:rPr>
        <w:t xml:space="preserve">. </w:t>
      </w:r>
      <w:r w:rsidRPr="009E444F">
        <w:rPr>
          <w:rFonts w:ascii="Arial" w:hAnsi="Arial" w:cs="Arial"/>
          <w:sz w:val="24"/>
          <w:szCs w:val="24"/>
        </w:rPr>
        <w:t>The simulations were r</w:t>
      </w:r>
      <w:r>
        <w:rPr>
          <w:rFonts w:ascii="Arial" w:hAnsi="Arial" w:cs="Arial"/>
          <w:sz w:val="24"/>
          <w:szCs w:val="24"/>
        </w:rPr>
        <w:t>un</w:t>
      </w:r>
      <w:r w:rsidRPr="009E444F">
        <w:rPr>
          <w:rFonts w:ascii="Arial" w:hAnsi="Arial" w:cs="Arial"/>
          <w:sz w:val="24"/>
          <w:szCs w:val="24"/>
        </w:rPr>
        <w:t xml:space="preserve"> </w:t>
      </w:r>
      <w:r>
        <w:rPr>
          <w:rFonts w:ascii="Arial" w:hAnsi="Arial" w:cs="Arial"/>
          <w:sz w:val="24"/>
          <w:szCs w:val="24"/>
        </w:rPr>
        <w:t xml:space="preserve">in COPASI using the time course task, </w:t>
      </w:r>
      <w:r w:rsidRPr="009E444F">
        <w:rPr>
          <w:rFonts w:ascii="Arial" w:hAnsi="Arial" w:cs="Arial"/>
          <w:sz w:val="24"/>
          <w:szCs w:val="24"/>
        </w:rPr>
        <w:t>at 0.1, 100, 1000 and 10000 seconds</w:t>
      </w:r>
      <w:r>
        <w:rPr>
          <w:rFonts w:ascii="Arial" w:hAnsi="Arial" w:cs="Arial"/>
          <w:sz w:val="24"/>
          <w:szCs w:val="24"/>
        </w:rPr>
        <w:t xml:space="preserve"> at 100 intervals. The concentrations of butyryl-CoA</w:t>
      </w:r>
      <w:r w:rsidRPr="009E444F">
        <w:rPr>
          <w:rFonts w:ascii="Arial" w:hAnsi="Arial" w:cs="Arial"/>
          <w:sz w:val="24"/>
          <w:szCs w:val="24"/>
        </w:rPr>
        <w:t>, propionyl-</w:t>
      </w:r>
      <w:r>
        <w:rPr>
          <w:rFonts w:ascii="Arial" w:hAnsi="Arial" w:cs="Arial"/>
          <w:sz w:val="24"/>
          <w:szCs w:val="24"/>
        </w:rPr>
        <w:t>CoA</w:t>
      </w:r>
      <w:r w:rsidRPr="009E444F">
        <w:rPr>
          <w:rFonts w:ascii="Arial" w:hAnsi="Arial" w:cs="Arial"/>
          <w:sz w:val="24"/>
          <w:szCs w:val="24"/>
        </w:rPr>
        <w:t>, and acetyl-CoA as well as CoA were simulated at each time point. The changes in these concentrations between the first time point of 0.1 and 100 seconds w</w:t>
      </w:r>
      <w:r>
        <w:rPr>
          <w:rFonts w:ascii="Arial" w:hAnsi="Arial" w:cs="Arial"/>
          <w:sz w:val="24"/>
          <w:szCs w:val="24"/>
        </w:rPr>
        <w:t>ere</w:t>
      </w:r>
      <w:r w:rsidRPr="009E444F">
        <w:rPr>
          <w:rFonts w:ascii="Arial" w:hAnsi="Arial" w:cs="Arial"/>
          <w:sz w:val="24"/>
          <w:szCs w:val="24"/>
        </w:rPr>
        <w:t xml:space="preserve"> measured, as well as the difference between 100 and 1000 seconds and 1000 and 10000 seconds. As there was no difference between 1000 and 10000 seconds</w:t>
      </w:r>
      <w:r>
        <w:rPr>
          <w:rFonts w:ascii="Arial" w:hAnsi="Arial" w:cs="Arial"/>
          <w:sz w:val="24"/>
          <w:szCs w:val="24"/>
        </w:rPr>
        <w:t xml:space="preserve"> in both models</w:t>
      </w:r>
      <w:r w:rsidRPr="009E444F">
        <w:rPr>
          <w:rFonts w:ascii="Arial" w:hAnsi="Arial" w:cs="Arial"/>
          <w:sz w:val="24"/>
          <w:szCs w:val="24"/>
        </w:rPr>
        <w:t>, 1000s was chosen as the maximum time to run the simulations at a 1000 intervals.</w:t>
      </w:r>
      <w:bookmarkEnd w:id="83"/>
      <w:r>
        <w:rPr>
          <w:rFonts w:ascii="Arial" w:hAnsi="Arial" w:cs="Arial"/>
          <w:sz w:val="24"/>
          <w:szCs w:val="24"/>
        </w:rPr>
        <w:t xml:space="preserve"> </w:t>
      </w:r>
    </w:p>
    <w:p w:rsidR="004F12FE" w:rsidRDefault="004F12FE" w:rsidP="004F12FE">
      <w:pPr>
        <w:pStyle w:val="Heading1"/>
        <w:rPr>
          <w:rFonts w:ascii="Arial" w:hAnsi="Arial" w:cs="Arial"/>
          <w:sz w:val="24"/>
          <w:szCs w:val="24"/>
        </w:rPr>
      </w:pPr>
      <w:bookmarkStart w:id="85" w:name="_Toc413753762"/>
      <w:r w:rsidRPr="004F12FE">
        <w:rPr>
          <w:rFonts w:ascii="Arial" w:hAnsi="Arial" w:cs="Arial"/>
          <w:sz w:val="24"/>
          <w:szCs w:val="24"/>
        </w:rPr>
        <w:t>Validation of the models</w:t>
      </w:r>
      <w:bookmarkEnd w:id="85"/>
    </w:p>
    <w:p w:rsidR="00575217" w:rsidRPr="004F12FE" w:rsidRDefault="00B26DFE" w:rsidP="004F12FE">
      <w:pPr>
        <w:jc w:val="both"/>
        <w:rPr>
          <w:rFonts w:ascii="Arial" w:hAnsi="Arial" w:cs="Arial"/>
          <w:sz w:val="24"/>
          <w:szCs w:val="24"/>
        </w:rPr>
      </w:pPr>
      <w:r w:rsidRPr="00B26DFE">
        <w:rPr>
          <w:rFonts w:ascii="Arial" w:hAnsi="Arial" w:cs="Arial"/>
          <w:sz w:val="24"/>
          <w:szCs w:val="24"/>
        </w:rPr>
        <w:t>Andy Nichols and Marilena Epitropou, two MSc students under my supervision, cultured</w:t>
      </w:r>
      <w:r w:rsidRPr="00B26DFE">
        <w:rPr>
          <w:rFonts w:cs="Arial"/>
          <w:b/>
        </w:rPr>
        <w:t xml:space="preserve"> </w:t>
      </w:r>
      <w:r w:rsidR="004F12FE" w:rsidRPr="004F12FE">
        <w:rPr>
          <w:rFonts w:ascii="Arial" w:hAnsi="Arial" w:cs="Arial"/>
          <w:sz w:val="24"/>
          <w:szCs w:val="24"/>
        </w:rPr>
        <w:t>HCT116 human c</w:t>
      </w:r>
      <w:r w:rsidR="004F12FE" w:rsidRPr="004F12FE">
        <w:rPr>
          <w:rFonts w:ascii="Arial" w:hAnsi="Arial" w:cs="Arial"/>
          <w:sz w:val="24"/>
          <w:szCs w:val="24"/>
          <w:lang w:val="en-US"/>
        </w:rPr>
        <w:t xml:space="preserve">olorectal carcinoma cells </w:t>
      </w:r>
      <w:r w:rsidR="004F12FE" w:rsidRPr="004F12FE">
        <w:rPr>
          <w:rFonts w:ascii="Arial" w:hAnsi="Arial" w:cs="Arial"/>
          <w:sz w:val="24"/>
          <w:szCs w:val="24"/>
        </w:rPr>
        <w:t>(Health Protection Agency Culture Collections, Porton Down, UK) in Du</w:t>
      </w:r>
      <w:r>
        <w:rPr>
          <w:rFonts w:ascii="Arial" w:hAnsi="Arial" w:cs="Arial"/>
          <w:sz w:val="24"/>
          <w:szCs w:val="24"/>
        </w:rPr>
        <w:t xml:space="preserve">lbecco’s Modified Eagle Medium </w:t>
      </w:r>
      <w:r w:rsidR="004F12FE" w:rsidRPr="004F12FE">
        <w:rPr>
          <w:rFonts w:ascii="Arial" w:hAnsi="Arial" w:cs="Arial"/>
          <w:sz w:val="24"/>
          <w:szCs w:val="24"/>
        </w:rPr>
        <w:t xml:space="preserve">(DMEM) supplemented with 500 units/500ml of streptomycin (Lonza, Cambridge, UK) and 500 units/ml of penicillin (Lonza, Cambridge, UK) and 10% foetal bovine serum (FBS) (Biosera, Uckfield, UK) between 37 and 62 passages. Cells were </w:t>
      </w:r>
      <w:r w:rsidR="004F12FE" w:rsidRPr="004F12FE">
        <w:rPr>
          <w:rFonts w:ascii="Arial" w:hAnsi="Arial" w:cs="Arial"/>
          <w:sz w:val="24"/>
          <w:szCs w:val="24"/>
        </w:rPr>
        <w:lastRenderedPageBreak/>
        <w:t>seeded in 6 well plates at sub confluence and incubated for 24 hours at 37°C 4% CO</w:t>
      </w:r>
      <w:r w:rsidR="004F12FE" w:rsidRPr="004F12FE">
        <w:rPr>
          <w:rFonts w:ascii="Arial" w:hAnsi="Arial" w:cs="Arial"/>
          <w:sz w:val="24"/>
          <w:szCs w:val="24"/>
          <w:vertAlign w:val="subscript"/>
        </w:rPr>
        <w:t>2</w:t>
      </w:r>
      <w:r w:rsidR="004F12FE" w:rsidRPr="004F12FE">
        <w:rPr>
          <w:rFonts w:ascii="Arial" w:hAnsi="Arial" w:cs="Arial"/>
          <w:sz w:val="24"/>
          <w:szCs w:val="24"/>
        </w:rPr>
        <w:t xml:space="preserve"> prior to a 6 hour time course treatment with increasing concentrations of SCFAs: sodium acetate (0-50mM) (Sigma Aldrich, Poole, UK), sodium butyrate (0-20mM) and sodium propionate (0-20mM) (Sigma Aldrich, Poole, UK). CoA levels were determined using a commercially available CoA detection kit (Abcam, Cambridge, UK)</w:t>
      </w:r>
      <w:r w:rsidR="004F12FE" w:rsidRPr="00B26DFE">
        <w:rPr>
          <w:rFonts w:ascii="Arial" w:hAnsi="Arial" w:cs="Arial"/>
          <w:sz w:val="24"/>
          <w:szCs w:val="24"/>
        </w:rPr>
        <w:t xml:space="preserve"> at Ex/Em = 490/520 nm using a Spectramax plate reader (Molecular Devices LLC, Reading, UK). </w:t>
      </w:r>
      <w:r w:rsidRPr="00B26DFE">
        <w:rPr>
          <w:rFonts w:ascii="Arial" w:hAnsi="Arial" w:cs="Arial"/>
          <w:sz w:val="24"/>
          <w:szCs w:val="24"/>
        </w:rPr>
        <w:t xml:space="preserve">These results allowed future </w:t>
      </w:r>
      <w:r>
        <w:rPr>
          <w:rFonts w:ascii="Arial" w:hAnsi="Arial" w:cs="Arial"/>
          <w:sz w:val="24"/>
          <w:szCs w:val="24"/>
        </w:rPr>
        <w:t>comparison</w:t>
      </w:r>
      <w:r w:rsidRPr="00B26DFE">
        <w:rPr>
          <w:rFonts w:ascii="Arial" w:hAnsi="Arial" w:cs="Arial"/>
          <w:sz w:val="24"/>
          <w:szCs w:val="24"/>
        </w:rPr>
        <w:t xml:space="preserve"> </w:t>
      </w:r>
      <w:r>
        <w:rPr>
          <w:rFonts w:ascii="Arial" w:hAnsi="Arial" w:cs="Arial"/>
          <w:sz w:val="24"/>
          <w:szCs w:val="24"/>
        </w:rPr>
        <w:t>to</w:t>
      </w:r>
      <w:r w:rsidRPr="00B26DFE">
        <w:rPr>
          <w:rFonts w:ascii="Arial" w:hAnsi="Arial" w:cs="Arial"/>
          <w:sz w:val="24"/>
          <w:szCs w:val="24"/>
        </w:rPr>
        <w:t xml:space="preserve"> the models previously described (</w:t>
      </w:r>
      <w:r w:rsidRPr="00B26DFE">
        <w:rPr>
          <w:rStyle w:val="sectionname"/>
          <w:rFonts w:ascii="Arial" w:hAnsi="Arial" w:cs="Arial"/>
          <w:sz w:val="24"/>
          <w:szCs w:val="24"/>
        </w:rPr>
        <w:t>Modelling overview sub-heading</w:t>
      </w:r>
      <w:r w:rsidRPr="00B26DFE">
        <w:rPr>
          <w:rFonts w:ascii="Arial" w:hAnsi="Arial" w:cs="Arial"/>
          <w:sz w:val="24"/>
          <w:szCs w:val="24"/>
        </w:rPr>
        <w:t>, and Modelling in Methods section)</w:t>
      </w:r>
      <w:r>
        <w:rPr>
          <w:rFonts w:ascii="Arial" w:hAnsi="Arial" w:cs="Arial"/>
          <w:sz w:val="24"/>
          <w:szCs w:val="24"/>
        </w:rPr>
        <w:t>.</w:t>
      </w:r>
      <w:r w:rsidR="00575217" w:rsidRPr="004F12FE">
        <w:rPr>
          <w:rFonts w:ascii="Arial" w:hAnsi="Arial" w:cs="Arial"/>
          <w:sz w:val="24"/>
          <w:szCs w:val="24"/>
        </w:rPr>
        <w:br w:type="page"/>
      </w:r>
    </w:p>
    <w:p w:rsidR="00EF1380" w:rsidRDefault="00EF1380" w:rsidP="00EF1380">
      <w:pPr>
        <w:pStyle w:val="Heading1"/>
        <w:rPr>
          <w:rFonts w:ascii="Arial" w:hAnsi="Arial" w:cs="Arial"/>
          <w:sz w:val="28"/>
          <w:szCs w:val="28"/>
        </w:rPr>
      </w:pPr>
      <w:bookmarkStart w:id="86" w:name="_Toc413753763"/>
      <w:r w:rsidRPr="0077455D">
        <w:rPr>
          <w:rFonts w:ascii="Arial" w:hAnsi="Arial" w:cs="Arial"/>
          <w:sz w:val="28"/>
          <w:szCs w:val="28"/>
        </w:rPr>
        <w:lastRenderedPageBreak/>
        <w:t>R</w:t>
      </w:r>
      <w:r>
        <w:rPr>
          <w:rFonts w:ascii="Arial" w:hAnsi="Arial" w:cs="Arial"/>
          <w:sz w:val="28"/>
          <w:szCs w:val="28"/>
        </w:rPr>
        <w:t>ESULTS</w:t>
      </w:r>
      <w:bookmarkEnd w:id="84"/>
      <w:bookmarkEnd w:id="86"/>
    </w:p>
    <w:p w:rsidR="00EF1380" w:rsidRPr="00746557" w:rsidRDefault="00A956BF" w:rsidP="00EF1380">
      <w:pPr>
        <w:pStyle w:val="Heading1"/>
        <w:rPr>
          <w:rFonts w:ascii="Arial" w:hAnsi="Arial" w:cs="Arial"/>
          <w:sz w:val="24"/>
          <w:szCs w:val="24"/>
        </w:rPr>
      </w:pPr>
      <w:bookmarkStart w:id="87" w:name="_Toc363210251"/>
      <w:bookmarkStart w:id="88" w:name="_Toc364682858"/>
      <w:bookmarkStart w:id="89" w:name="_Toc413753764"/>
      <w:r>
        <w:rPr>
          <w:rFonts w:ascii="Arial" w:hAnsi="Arial" w:cs="Arial"/>
          <w:sz w:val="24"/>
          <w:szCs w:val="24"/>
        </w:rPr>
        <w:t>Representation and acetylation of m</w:t>
      </w:r>
      <w:r w:rsidR="00EF1380" w:rsidRPr="00746557">
        <w:rPr>
          <w:rFonts w:ascii="Arial" w:hAnsi="Arial" w:cs="Arial"/>
          <w:sz w:val="24"/>
          <w:szCs w:val="24"/>
        </w:rPr>
        <w:t>etabolic pathways</w:t>
      </w:r>
      <w:bookmarkEnd w:id="87"/>
      <w:bookmarkEnd w:id="88"/>
      <w:bookmarkEnd w:id="89"/>
    </w:p>
    <w:p w:rsidR="00EF1380" w:rsidRPr="0057743B" w:rsidRDefault="00FE4708" w:rsidP="00EF1380">
      <w:pPr>
        <w:spacing w:line="360" w:lineRule="auto"/>
        <w:ind w:firstLine="708"/>
        <w:jc w:val="both"/>
        <w:rPr>
          <w:rFonts w:ascii="Arial" w:hAnsi="Arial" w:cs="Arial"/>
          <w:sz w:val="24"/>
          <w:szCs w:val="24"/>
        </w:rPr>
      </w:pPr>
      <w:r>
        <w:rPr>
          <w:rFonts w:ascii="Arial" w:hAnsi="Arial" w:cs="Arial"/>
          <w:sz w:val="24"/>
          <w:szCs w:val="24"/>
        </w:rPr>
        <w:t xml:space="preserve">The accession numbers of all the hits in the global proteome dataset were searched for by Uniprot identifier </w:t>
      </w:r>
      <w:r w:rsidRPr="000F2454">
        <w:rPr>
          <w:rFonts w:ascii="Arial" w:hAnsi="Arial" w:cs="Arial"/>
          <w:sz w:val="24"/>
          <w:szCs w:val="24"/>
        </w:rPr>
        <w:t>(</w:t>
      </w:r>
      <w:hyperlink r:id="rId36" w:history="1">
        <w:r w:rsidRPr="008152FF">
          <w:rPr>
            <w:rStyle w:val="Hyperlink"/>
            <w:rFonts w:ascii="Arial" w:hAnsi="Arial" w:cs="Arial"/>
            <w:color w:val="auto"/>
            <w:sz w:val="24"/>
            <w:szCs w:val="24"/>
          </w:rPr>
          <w:t>www.uniprot.org/</w:t>
        </w:r>
      </w:hyperlink>
      <w:r w:rsidRPr="008152FF">
        <w:rPr>
          <w:rFonts w:ascii="Arial" w:hAnsi="Arial" w:cs="Arial"/>
          <w:sz w:val="24"/>
          <w:szCs w:val="24"/>
          <w:u w:val="single"/>
        </w:rPr>
        <w:t>)</w:t>
      </w:r>
      <w:r>
        <w:rPr>
          <w:rFonts w:ascii="Arial" w:hAnsi="Arial" w:cs="Arial"/>
          <w:sz w:val="24"/>
          <w:szCs w:val="24"/>
        </w:rPr>
        <w:t xml:space="preserve"> to find the function and the name of each protein and select the enzymes </w:t>
      </w:r>
      <w:r w:rsidR="00EF1380" w:rsidRPr="000F2454">
        <w:rPr>
          <w:rFonts w:ascii="Arial" w:hAnsi="Arial" w:cs="Arial"/>
          <w:sz w:val="24"/>
          <w:szCs w:val="24"/>
        </w:rPr>
        <w:t>taking part in</w:t>
      </w:r>
      <w:r w:rsidR="00EF1380">
        <w:rPr>
          <w:rFonts w:ascii="Arial" w:hAnsi="Arial" w:cs="Arial"/>
          <w:sz w:val="24"/>
          <w:szCs w:val="24"/>
        </w:rPr>
        <w:t xml:space="preserve"> major metabolic pathways with a</w:t>
      </w:r>
      <w:r w:rsidR="00EF1380" w:rsidRPr="000F2454">
        <w:rPr>
          <w:rFonts w:ascii="Arial" w:hAnsi="Arial" w:cs="Arial"/>
          <w:sz w:val="24"/>
          <w:szCs w:val="24"/>
        </w:rPr>
        <w:t xml:space="preserve">cetyl-CoA as a component: glycolysis, the TCA cycle, pyruvate metabolism and </w:t>
      </w:r>
      <w:r w:rsidR="00EF1380" w:rsidRPr="000F2454">
        <w:rPr>
          <w:rFonts w:ascii="Arial" w:hAnsi="Arial" w:cs="Arial"/>
          <w:sz w:val="24"/>
          <w:szCs w:val="24"/>
          <w:lang w:val="el-GR"/>
        </w:rPr>
        <w:t>β</w:t>
      </w:r>
      <w:r w:rsidR="00EF1380" w:rsidRPr="000F2454">
        <w:rPr>
          <w:rFonts w:ascii="Arial" w:hAnsi="Arial" w:cs="Arial"/>
          <w:sz w:val="24"/>
          <w:szCs w:val="24"/>
        </w:rPr>
        <w:t>-oxidation. A map of the metabolic pathways was produced with these enzymes, by using data taken from KEGG (</w:t>
      </w:r>
      <w:hyperlink r:id="rId37" w:history="1">
        <w:r w:rsidR="00EF1380" w:rsidRPr="008152FF">
          <w:rPr>
            <w:rStyle w:val="Hyperlink"/>
            <w:rFonts w:ascii="Arial" w:hAnsi="Arial" w:cs="Arial"/>
            <w:color w:val="auto"/>
            <w:sz w:val="24"/>
            <w:szCs w:val="24"/>
          </w:rPr>
          <w:t>www.genome.jp/kegg</w:t>
        </w:r>
      </w:hyperlink>
      <w:r w:rsidR="00EF1380">
        <w:rPr>
          <w:rFonts w:ascii="Arial" w:hAnsi="Arial" w:cs="Arial"/>
          <w:sz w:val="24"/>
          <w:szCs w:val="24"/>
        </w:rPr>
        <w:t>)</w:t>
      </w:r>
      <w:r w:rsidR="00EF1380" w:rsidRPr="000F2454">
        <w:rPr>
          <w:rFonts w:ascii="Arial" w:hAnsi="Arial" w:cs="Arial"/>
          <w:sz w:val="24"/>
          <w:szCs w:val="24"/>
        </w:rPr>
        <w:t>.</w:t>
      </w:r>
      <w:r w:rsidR="00EF1380" w:rsidRPr="000F2454">
        <w:rPr>
          <w:rFonts w:ascii="Arial" w:hAnsi="Arial" w:cs="Arial"/>
          <w:bCs/>
          <w:sz w:val="24"/>
          <w:szCs w:val="24"/>
        </w:rPr>
        <w:t xml:space="preserve"> </w:t>
      </w:r>
      <w:r w:rsidR="00EF1380" w:rsidRPr="000F2454">
        <w:rPr>
          <w:rStyle w:val="Hyperlink"/>
          <w:rFonts w:ascii="Arial" w:hAnsi="Arial" w:cs="Arial"/>
          <w:color w:val="auto"/>
          <w:sz w:val="24"/>
          <w:szCs w:val="24"/>
          <w:u w:val="none"/>
          <w:lang w:val="en-US"/>
        </w:rPr>
        <w:t xml:space="preserve">Once the metabolic pathway map for the </w:t>
      </w:r>
      <w:r w:rsidR="00EF1380">
        <w:rPr>
          <w:rStyle w:val="Hyperlink"/>
          <w:rFonts w:ascii="Arial" w:hAnsi="Arial" w:cs="Arial"/>
          <w:color w:val="auto"/>
          <w:sz w:val="24"/>
          <w:szCs w:val="24"/>
          <w:u w:val="none"/>
          <w:lang w:val="en-US"/>
        </w:rPr>
        <w:t xml:space="preserve">global </w:t>
      </w:r>
      <w:r w:rsidR="00EF1380" w:rsidRPr="000F2454">
        <w:rPr>
          <w:rStyle w:val="Hyperlink"/>
          <w:rFonts w:ascii="Arial" w:hAnsi="Arial" w:cs="Arial"/>
          <w:color w:val="auto"/>
          <w:sz w:val="24"/>
          <w:szCs w:val="24"/>
          <w:u w:val="none"/>
          <w:lang w:val="en-US"/>
        </w:rPr>
        <w:t xml:space="preserve">proteome dataset was made, acetylated enzymes </w:t>
      </w:r>
      <w:r w:rsidR="00EF1380" w:rsidRPr="000F2454">
        <w:rPr>
          <w:rFonts w:ascii="Arial" w:hAnsi="Arial" w:cs="Arial"/>
          <w:sz w:val="24"/>
          <w:szCs w:val="24"/>
        </w:rPr>
        <w:t>were searched for by Uniprot (</w:t>
      </w:r>
      <w:hyperlink r:id="rId38" w:history="1">
        <w:r w:rsidR="00EF1380" w:rsidRPr="008152FF">
          <w:rPr>
            <w:rStyle w:val="Hyperlink"/>
            <w:rFonts w:ascii="Arial" w:hAnsi="Arial" w:cs="Arial"/>
            <w:color w:val="auto"/>
            <w:sz w:val="24"/>
            <w:szCs w:val="24"/>
          </w:rPr>
          <w:t>www.uniprot.org/</w:t>
        </w:r>
      </w:hyperlink>
      <w:r w:rsidR="00EF1380">
        <w:rPr>
          <w:rFonts w:ascii="Arial" w:hAnsi="Arial" w:cs="Arial"/>
          <w:sz w:val="24"/>
          <w:szCs w:val="24"/>
        </w:rPr>
        <w:t>)</w:t>
      </w:r>
      <w:r w:rsidR="00EF1380" w:rsidRPr="000F2454">
        <w:rPr>
          <w:rFonts w:ascii="Arial" w:hAnsi="Arial" w:cs="Arial"/>
          <w:sz w:val="24"/>
          <w:szCs w:val="24"/>
        </w:rPr>
        <w:t xml:space="preserve"> identifier to find </w:t>
      </w:r>
      <w:r>
        <w:rPr>
          <w:rFonts w:ascii="Arial" w:hAnsi="Arial" w:cs="Arial"/>
          <w:sz w:val="24"/>
          <w:szCs w:val="24"/>
        </w:rPr>
        <w:t>which metabolic enzymes participating in the aforementioned pathways were acetylated; these enzymes were mapped</w:t>
      </w:r>
      <w:r w:rsidR="00EF1380">
        <w:rPr>
          <w:rStyle w:val="Hyperlink"/>
          <w:rFonts w:ascii="Arial" w:hAnsi="Arial" w:cs="Arial"/>
          <w:color w:val="auto"/>
          <w:sz w:val="24"/>
          <w:szCs w:val="24"/>
          <w:u w:val="none"/>
          <w:lang w:val="en-US"/>
        </w:rPr>
        <w:t xml:space="preserve"> (Figure 1</w:t>
      </w:r>
      <w:r w:rsidR="007C66F9">
        <w:rPr>
          <w:rStyle w:val="Hyperlink"/>
          <w:rFonts w:ascii="Arial" w:hAnsi="Arial" w:cs="Arial"/>
          <w:color w:val="auto"/>
          <w:sz w:val="24"/>
          <w:szCs w:val="24"/>
          <w:u w:val="none"/>
          <w:lang w:val="en-US"/>
        </w:rPr>
        <w:t>1</w:t>
      </w:r>
      <w:r w:rsidR="00EF1380">
        <w:rPr>
          <w:rStyle w:val="Hyperlink"/>
          <w:rFonts w:ascii="Arial" w:hAnsi="Arial" w:cs="Arial"/>
          <w:color w:val="auto"/>
          <w:sz w:val="24"/>
          <w:szCs w:val="24"/>
          <w:u w:val="none"/>
          <w:lang w:val="en-US"/>
        </w:rPr>
        <w:t>)</w:t>
      </w:r>
      <w:r w:rsidR="00EF1380" w:rsidRPr="000F2454">
        <w:rPr>
          <w:rStyle w:val="Hyperlink"/>
          <w:rFonts w:ascii="Arial" w:hAnsi="Arial" w:cs="Arial"/>
          <w:color w:val="auto"/>
          <w:sz w:val="24"/>
          <w:szCs w:val="24"/>
          <w:u w:val="none"/>
          <w:lang w:val="en-US"/>
        </w:rPr>
        <w:t>. In this map the 21</w:t>
      </w:r>
      <w:r w:rsidR="00EF1380" w:rsidRPr="000F2454">
        <w:rPr>
          <w:rFonts w:ascii="Arial" w:hAnsi="Arial" w:cs="Arial"/>
          <w:bCs/>
          <w:sz w:val="24"/>
          <w:szCs w:val="24"/>
        </w:rPr>
        <w:t xml:space="preserve"> metabolic e</w:t>
      </w:r>
      <w:r w:rsidR="00EF1380" w:rsidRPr="000F2454">
        <w:rPr>
          <w:rFonts w:ascii="Arial" w:hAnsi="Arial" w:cs="Arial"/>
          <w:sz w:val="24"/>
          <w:szCs w:val="24"/>
        </w:rPr>
        <w:t>nzymes that were found in the acetylated proteome dataset are h</w:t>
      </w:r>
      <w:r>
        <w:rPr>
          <w:rFonts w:ascii="Arial" w:hAnsi="Arial" w:cs="Arial"/>
          <w:sz w:val="24"/>
          <w:szCs w:val="24"/>
        </w:rPr>
        <w:t xml:space="preserve">ighlighted with a green legend </w:t>
      </w:r>
      <w:r w:rsidR="00EF1380" w:rsidRPr="000F2454">
        <w:rPr>
          <w:rFonts w:ascii="Arial" w:hAnsi="Arial" w:cs="Arial"/>
          <w:sz w:val="24"/>
          <w:szCs w:val="24"/>
        </w:rPr>
        <w:t xml:space="preserve">(Figure </w:t>
      </w:r>
      <w:r w:rsidR="00EF1380">
        <w:rPr>
          <w:rFonts w:ascii="Arial" w:hAnsi="Arial" w:cs="Arial"/>
          <w:sz w:val="24"/>
          <w:szCs w:val="24"/>
        </w:rPr>
        <w:t>1</w:t>
      </w:r>
      <w:r w:rsidR="007C66F9">
        <w:rPr>
          <w:rFonts w:ascii="Arial" w:hAnsi="Arial" w:cs="Arial"/>
          <w:sz w:val="24"/>
          <w:szCs w:val="24"/>
        </w:rPr>
        <w:t>1</w:t>
      </w:r>
      <w:r w:rsidR="00EF1380" w:rsidRPr="000F2454">
        <w:rPr>
          <w:rFonts w:ascii="Arial" w:hAnsi="Arial" w:cs="Arial"/>
          <w:sz w:val="24"/>
          <w:szCs w:val="24"/>
        </w:rPr>
        <w:t xml:space="preserve">). </w:t>
      </w:r>
      <w:r w:rsidR="00EF1380">
        <w:rPr>
          <w:rFonts w:ascii="Arial" w:hAnsi="Arial" w:cs="Arial"/>
          <w:sz w:val="24"/>
          <w:szCs w:val="24"/>
        </w:rPr>
        <w:t xml:space="preserve">Nine glycolytic enzymes </w:t>
      </w:r>
      <w:r w:rsidR="00EF1380" w:rsidRPr="000F2454">
        <w:rPr>
          <w:rFonts w:ascii="Arial" w:hAnsi="Arial" w:cs="Arial"/>
          <w:sz w:val="24"/>
          <w:szCs w:val="24"/>
        </w:rPr>
        <w:t xml:space="preserve">were found to be acetylated namely glucose 6-phosphate isomerase, phosphofructokinase, fructose-biphosphate aldolase, glyceraldehyde 3-phosphate dehydrogenase, phosphoglycerate kinase, phosphoglycerate mutase, enolase, pyruvate kinase, and triophosphate isomerase (Figure </w:t>
      </w:r>
      <w:r w:rsidR="00EF1380">
        <w:rPr>
          <w:rFonts w:ascii="Arial" w:hAnsi="Arial" w:cs="Arial"/>
          <w:sz w:val="24"/>
          <w:szCs w:val="24"/>
        </w:rPr>
        <w:t>1</w:t>
      </w:r>
      <w:r w:rsidR="007C66F9">
        <w:rPr>
          <w:rFonts w:ascii="Arial" w:hAnsi="Arial" w:cs="Arial"/>
          <w:sz w:val="24"/>
          <w:szCs w:val="24"/>
        </w:rPr>
        <w:t>1</w:t>
      </w:r>
      <w:r>
        <w:rPr>
          <w:rFonts w:ascii="Arial" w:hAnsi="Arial" w:cs="Arial"/>
          <w:sz w:val="24"/>
          <w:szCs w:val="24"/>
        </w:rPr>
        <w:t>, bottom right</w:t>
      </w:r>
      <w:r w:rsidR="00EF1380" w:rsidRPr="000F2454">
        <w:rPr>
          <w:rFonts w:ascii="Arial" w:hAnsi="Arial" w:cs="Arial"/>
          <w:sz w:val="24"/>
          <w:szCs w:val="24"/>
        </w:rPr>
        <w:t xml:space="preserve">). In the TCA cycle the 5 enzymes that were found to be acetylated are aconitase, isocitrate dehydrogenase, succinate dehydrogenase, fumarase and malate dehydrogenase (Figure </w:t>
      </w:r>
      <w:r w:rsidR="00EF1380">
        <w:rPr>
          <w:rFonts w:ascii="Arial" w:hAnsi="Arial" w:cs="Arial"/>
          <w:sz w:val="24"/>
          <w:szCs w:val="24"/>
        </w:rPr>
        <w:t>1</w:t>
      </w:r>
      <w:r w:rsidR="007C66F9">
        <w:rPr>
          <w:rFonts w:ascii="Arial" w:hAnsi="Arial" w:cs="Arial"/>
          <w:sz w:val="24"/>
          <w:szCs w:val="24"/>
        </w:rPr>
        <w:t>1</w:t>
      </w:r>
      <w:r>
        <w:rPr>
          <w:rFonts w:ascii="Arial" w:hAnsi="Arial" w:cs="Arial"/>
          <w:sz w:val="24"/>
          <w:szCs w:val="24"/>
        </w:rPr>
        <w:t>, centre</w:t>
      </w:r>
      <w:r w:rsidR="00EF1380" w:rsidRPr="000F2454">
        <w:rPr>
          <w:rFonts w:ascii="Arial" w:hAnsi="Arial" w:cs="Arial"/>
          <w:sz w:val="24"/>
          <w:szCs w:val="24"/>
        </w:rPr>
        <w:t xml:space="preserve">). Regarding β-oxidation, the 3 enzymes that were found to be acetylated are acyl-CoA synthetase, enoyl-CoA hydratase, and thiolase (Figure </w:t>
      </w:r>
      <w:r w:rsidR="00EF1380">
        <w:rPr>
          <w:rFonts w:ascii="Arial" w:hAnsi="Arial" w:cs="Arial"/>
          <w:sz w:val="24"/>
          <w:szCs w:val="24"/>
        </w:rPr>
        <w:t>1</w:t>
      </w:r>
      <w:r w:rsidR="007C66F9">
        <w:rPr>
          <w:rFonts w:ascii="Arial" w:hAnsi="Arial" w:cs="Arial"/>
          <w:sz w:val="24"/>
          <w:szCs w:val="24"/>
        </w:rPr>
        <w:t>1</w:t>
      </w:r>
      <w:r>
        <w:rPr>
          <w:rFonts w:ascii="Arial" w:hAnsi="Arial" w:cs="Arial"/>
          <w:sz w:val="24"/>
          <w:szCs w:val="24"/>
        </w:rPr>
        <w:t>, top</w:t>
      </w:r>
      <w:r w:rsidR="00EF1380" w:rsidRPr="000F2454">
        <w:rPr>
          <w:rFonts w:ascii="Arial" w:hAnsi="Arial" w:cs="Arial"/>
          <w:sz w:val="24"/>
          <w:szCs w:val="24"/>
        </w:rPr>
        <w:t xml:space="preserve">). In terms of pyruvate metabolism, the 4 enzymes that were found to be acetylated in this metabolic pathway are lactate dehydrogenase, malic enzyme, malate dehydrogenase, and pyruvate kinase (Figure </w:t>
      </w:r>
      <w:r w:rsidR="00EF1380">
        <w:rPr>
          <w:rFonts w:ascii="Arial" w:hAnsi="Arial" w:cs="Arial"/>
          <w:sz w:val="24"/>
          <w:szCs w:val="24"/>
        </w:rPr>
        <w:t>1</w:t>
      </w:r>
      <w:r w:rsidR="007C66F9">
        <w:rPr>
          <w:rFonts w:ascii="Arial" w:hAnsi="Arial" w:cs="Arial"/>
          <w:sz w:val="24"/>
          <w:szCs w:val="24"/>
        </w:rPr>
        <w:t>1</w:t>
      </w:r>
      <w:r>
        <w:rPr>
          <w:rFonts w:ascii="Arial" w:hAnsi="Arial" w:cs="Arial"/>
          <w:sz w:val="24"/>
          <w:szCs w:val="24"/>
        </w:rPr>
        <w:t>, bottom left</w:t>
      </w:r>
      <w:r w:rsidR="00EF1380" w:rsidRPr="000F2454">
        <w:rPr>
          <w:rFonts w:ascii="Arial" w:hAnsi="Arial" w:cs="Arial"/>
          <w:sz w:val="24"/>
          <w:szCs w:val="24"/>
        </w:rPr>
        <w:t xml:space="preserve">). </w:t>
      </w:r>
    </w:p>
    <w:p w:rsidR="00EF1380" w:rsidRPr="000F2454" w:rsidRDefault="00EF1380" w:rsidP="00EF1380">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43E2FB52" wp14:editId="75D056AC">
            <wp:extent cx="5505342" cy="3840480"/>
            <wp:effectExtent l="38100" t="38100" r="38735" b="457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ylated enzymes in metabolic pathway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32588" cy="3859486"/>
                    </a:xfrm>
                    <a:prstGeom prst="rect">
                      <a:avLst/>
                    </a:prstGeom>
                    <a:ln w="28575">
                      <a:solidFill>
                        <a:schemeClr val="tx1"/>
                      </a:solidFill>
                    </a:ln>
                  </pic:spPr>
                </pic:pic>
              </a:graphicData>
            </a:graphic>
          </wp:inline>
        </w:drawing>
      </w:r>
    </w:p>
    <w:p w:rsidR="00EF1380" w:rsidRPr="00436CA9" w:rsidRDefault="00EF1380" w:rsidP="00EF1380">
      <w:pPr>
        <w:jc w:val="both"/>
        <w:rPr>
          <w:rFonts w:ascii="Arial" w:hAnsi="Arial" w:cs="Arial"/>
          <w:b/>
          <w:i/>
          <w:sz w:val="16"/>
          <w:szCs w:val="16"/>
        </w:rPr>
      </w:pPr>
      <w:bookmarkStart w:id="90" w:name="_Toc355873087"/>
      <w:bookmarkStart w:id="91" w:name="_Toc364682971"/>
      <w:bookmarkStart w:id="92" w:name="_Toc413419271"/>
      <w:proofErr w:type="gramStart"/>
      <w:r w:rsidRPr="00436CA9">
        <w:rPr>
          <w:rFonts w:ascii="Arial" w:hAnsi="Arial" w:cs="Arial"/>
          <w:b/>
          <w:sz w:val="16"/>
          <w:szCs w:val="16"/>
        </w:rPr>
        <w:t xml:space="preserve">Figure </w:t>
      </w:r>
      <w:r w:rsidR="006C2756" w:rsidRPr="00436CA9">
        <w:rPr>
          <w:rFonts w:ascii="Arial" w:hAnsi="Arial" w:cs="Arial"/>
          <w:b/>
          <w:sz w:val="16"/>
          <w:szCs w:val="16"/>
        </w:rPr>
        <w:fldChar w:fldCharType="begin"/>
      </w:r>
      <w:r w:rsidRPr="00436CA9">
        <w:rPr>
          <w:rFonts w:ascii="Arial" w:hAnsi="Arial" w:cs="Arial"/>
          <w:b/>
          <w:sz w:val="16"/>
          <w:szCs w:val="16"/>
        </w:rPr>
        <w:instrText xml:space="preserve"> SEQ Figure \* ARABIC </w:instrText>
      </w:r>
      <w:r w:rsidR="006C2756" w:rsidRPr="00436CA9">
        <w:rPr>
          <w:rFonts w:ascii="Arial" w:hAnsi="Arial" w:cs="Arial"/>
          <w:b/>
          <w:sz w:val="16"/>
          <w:szCs w:val="16"/>
        </w:rPr>
        <w:fldChar w:fldCharType="separate"/>
      </w:r>
      <w:r w:rsidR="00DC0376">
        <w:rPr>
          <w:rFonts w:ascii="Arial" w:hAnsi="Arial" w:cs="Arial"/>
          <w:b/>
          <w:noProof/>
          <w:sz w:val="16"/>
          <w:szCs w:val="16"/>
        </w:rPr>
        <w:t>11</w:t>
      </w:r>
      <w:r w:rsidR="006C2756" w:rsidRPr="00436CA9">
        <w:rPr>
          <w:rFonts w:ascii="Arial" w:hAnsi="Arial" w:cs="Arial"/>
          <w:b/>
          <w:sz w:val="16"/>
          <w:szCs w:val="16"/>
        </w:rPr>
        <w:fldChar w:fldCharType="end"/>
      </w:r>
      <w:r w:rsidRPr="00436CA9">
        <w:rPr>
          <w:rFonts w:ascii="Arial" w:hAnsi="Arial" w:cs="Arial"/>
          <w:b/>
          <w:sz w:val="16"/>
          <w:szCs w:val="16"/>
        </w:rPr>
        <w:t>.</w:t>
      </w:r>
      <w:proofErr w:type="gramEnd"/>
      <w:r w:rsidRPr="00436CA9">
        <w:rPr>
          <w:rFonts w:ascii="Arial" w:hAnsi="Arial" w:cs="Arial"/>
          <w:b/>
          <w:sz w:val="16"/>
          <w:szCs w:val="16"/>
        </w:rPr>
        <w:t xml:space="preserve"> </w:t>
      </w:r>
      <w:bookmarkEnd w:id="90"/>
      <w:proofErr w:type="gramStart"/>
      <w:r w:rsidR="0074542B">
        <w:rPr>
          <w:rFonts w:ascii="Arial" w:hAnsi="Arial" w:cs="Arial"/>
          <w:b/>
          <w:sz w:val="16"/>
          <w:szCs w:val="16"/>
        </w:rPr>
        <w:t>Representation and acetylation of m</w:t>
      </w:r>
      <w:r w:rsidRPr="00436CA9">
        <w:rPr>
          <w:rFonts w:ascii="Arial" w:hAnsi="Arial" w:cs="Arial"/>
          <w:b/>
          <w:sz w:val="16"/>
          <w:szCs w:val="16"/>
        </w:rPr>
        <w:t>ajor metabolic pathways involving acetyl-CoA as a component.</w:t>
      </w:r>
      <w:proofErr w:type="gramEnd"/>
      <w:r w:rsidRPr="00436CA9">
        <w:rPr>
          <w:rFonts w:ascii="Arial" w:hAnsi="Arial" w:cs="Arial"/>
          <w:b/>
          <w:sz w:val="16"/>
          <w:szCs w:val="16"/>
        </w:rPr>
        <w:t xml:space="preserve"> </w:t>
      </w:r>
      <w:r w:rsidRPr="00436CA9">
        <w:rPr>
          <w:rFonts w:ascii="Arial" w:hAnsi="Arial" w:cs="Arial"/>
          <w:b/>
          <w:i/>
          <w:sz w:val="16"/>
          <w:szCs w:val="16"/>
        </w:rPr>
        <w:t xml:space="preserve">The metabolic pathways depicted in this map are </w:t>
      </w:r>
      <w:r w:rsidRPr="00436CA9">
        <w:rPr>
          <w:rFonts w:ascii="Arial" w:hAnsi="Arial" w:cs="Arial"/>
          <w:b/>
          <w:i/>
          <w:sz w:val="16"/>
          <w:szCs w:val="16"/>
          <w:lang w:val="el-GR"/>
        </w:rPr>
        <w:t>β</w:t>
      </w:r>
      <w:r w:rsidRPr="00436CA9">
        <w:rPr>
          <w:rFonts w:ascii="Arial" w:hAnsi="Arial" w:cs="Arial"/>
          <w:b/>
          <w:i/>
          <w:sz w:val="16"/>
          <w:szCs w:val="16"/>
        </w:rPr>
        <w:t>-oxidation (top</w:t>
      </w:r>
      <w:r w:rsidR="0016536D">
        <w:rPr>
          <w:rFonts w:ascii="Arial" w:hAnsi="Arial" w:cs="Arial"/>
          <w:b/>
          <w:i/>
          <w:sz w:val="16"/>
          <w:szCs w:val="16"/>
        </w:rPr>
        <w:t>,</w:t>
      </w:r>
      <w:r w:rsidRPr="00436CA9">
        <w:rPr>
          <w:rFonts w:ascii="Arial" w:hAnsi="Arial" w:cs="Arial"/>
          <w:b/>
          <w:i/>
          <w:sz w:val="16"/>
          <w:szCs w:val="16"/>
        </w:rPr>
        <w:t xml:space="preserve"> centre), the TCA cycle (centre), glycolysis (bottom</w:t>
      </w:r>
      <w:r w:rsidR="0016536D">
        <w:rPr>
          <w:rFonts w:ascii="Arial" w:hAnsi="Arial" w:cs="Arial"/>
          <w:b/>
          <w:i/>
          <w:sz w:val="16"/>
          <w:szCs w:val="16"/>
        </w:rPr>
        <w:t xml:space="preserve">, </w:t>
      </w:r>
      <w:r w:rsidRPr="00436CA9">
        <w:rPr>
          <w:rFonts w:ascii="Arial" w:hAnsi="Arial" w:cs="Arial"/>
          <w:b/>
          <w:i/>
          <w:sz w:val="16"/>
          <w:szCs w:val="16"/>
        </w:rPr>
        <w:t>right) and pyruvate metabolism (bottom</w:t>
      </w:r>
      <w:r w:rsidR="0016536D">
        <w:rPr>
          <w:rFonts w:ascii="Arial" w:hAnsi="Arial" w:cs="Arial"/>
          <w:b/>
          <w:i/>
          <w:sz w:val="16"/>
          <w:szCs w:val="16"/>
        </w:rPr>
        <w:t>,</w:t>
      </w:r>
      <w:r w:rsidRPr="00436CA9">
        <w:rPr>
          <w:rFonts w:ascii="Arial" w:hAnsi="Arial" w:cs="Arial"/>
          <w:b/>
          <w:i/>
          <w:sz w:val="16"/>
          <w:szCs w:val="16"/>
        </w:rPr>
        <w:t xml:space="preserve"> left). Metabolic enzymes in these pathways are shown in red bold font; metabolic products in these pathways are shown in black bold font. The enzymes found in the acetylated proteome dataset are h</w:t>
      </w:r>
      <w:r w:rsidR="00FE4708">
        <w:rPr>
          <w:rFonts w:ascii="Arial" w:hAnsi="Arial" w:cs="Arial"/>
          <w:b/>
          <w:i/>
          <w:sz w:val="16"/>
          <w:szCs w:val="16"/>
        </w:rPr>
        <w:t>ighlighted with a green legend</w:t>
      </w:r>
      <w:r w:rsidRPr="00436CA9">
        <w:rPr>
          <w:rFonts w:ascii="Arial" w:hAnsi="Arial" w:cs="Arial"/>
          <w:b/>
          <w:i/>
          <w:sz w:val="16"/>
          <w:szCs w:val="16"/>
        </w:rPr>
        <w:t>.</w:t>
      </w:r>
      <w:bookmarkEnd w:id="91"/>
      <w:bookmarkEnd w:id="92"/>
      <w:r w:rsidRPr="00436CA9">
        <w:rPr>
          <w:rFonts w:ascii="Arial" w:hAnsi="Arial" w:cs="Arial"/>
          <w:b/>
          <w:i/>
          <w:sz w:val="16"/>
          <w:szCs w:val="16"/>
        </w:rPr>
        <w:t xml:space="preserve"> </w:t>
      </w:r>
    </w:p>
    <w:p w:rsidR="00575217" w:rsidRPr="00DD6198" w:rsidRDefault="00EF1380" w:rsidP="00DD6198">
      <w:pPr>
        <w:spacing w:line="360" w:lineRule="auto"/>
        <w:ind w:firstLine="708"/>
        <w:jc w:val="both"/>
        <w:rPr>
          <w:rFonts w:ascii="Arial" w:eastAsia="Times New Roman" w:hAnsi="Arial" w:cs="Arial"/>
          <w:color w:val="000000"/>
          <w:sz w:val="24"/>
          <w:szCs w:val="24"/>
          <w:lang w:val="en-US"/>
        </w:rPr>
      </w:pPr>
      <w:r>
        <w:rPr>
          <w:rFonts w:ascii="Arial" w:hAnsi="Arial" w:cs="Arial"/>
          <w:sz w:val="24"/>
          <w:szCs w:val="24"/>
        </w:rPr>
        <w:t xml:space="preserve">All of the aforementioned metabolic enzymes that were observed in the acetylated proteome </w:t>
      </w:r>
      <w:r>
        <w:rPr>
          <w:rFonts w:ascii="Arial" w:eastAsia="Times New Roman" w:hAnsi="Arial" w:cs="Arial"/>
          <w:color w:val="000000"/>
          <w:sz w:val="24"/>
          <w:szCs w:val="24"/>
          <w:lang w:val="en-US"/>
        </w:rPr>
        <w:t>have previously been reported to be acetylated (see Appendix 2 for the complete list of acetylated lysine re</w:t>
      </w:r>
      <w:r w:rsidR="00DD6198">
        <w:rPr>
          <w:rFonts w:ascii="Arial" w:eastAsia="Times New Roman" w:hAnsi="Arial" w:cs="Arial"/>
          <w:color w:val="000000"/>
          <w:sz w:val="24"/>
          <w:szCs w:val="24"/>
          <w:lang w:val="en-US"/>
        </w:rPr>
        <w:t>sidues and their implications).</w:t>
      </w:r>
    </w:p>
    <w:p w:rsidR="00EF1380" w:rsidRPr="00436CA9" w:rsidRDefault="00EF1380" w:rsidP="00EF1380">
      <w:pPr>
        <w:pStyle w:val="Heading1"/>
        <w:rPr>
          <w:rFonts w:ascii="Arial" w:hAnsi="Arial" w:cs="Arial"/>
          <w:sz w:val="24"/>
          <w:szCs w:val="24"/>
        </w:rPr>
      </w:pPr>
      <w:bookmarkStart w:id="93" w:name="_Toc413753765"/>
      <w:r w:rsidRPr="00436CA9">
        <w:rPr>
          <w:rFonts w:ascii="Arial" w:hAnsi="Arial" w:cs="Arial"/>
          <w:sz w:val="24"/>
          <w:szCs w:val="24"/>
        </w:rPr>
        <w:t>Percentage coverage of pathways</w:t>
      </w:r>
      <w:bookmarkEnd w:id="93"/>
    </w:p>
    <w:p w:rsidR="00EF1380" w:rsidRDefault="00EF1380" w:rsidP="00EF1380">
      <w:pPr>
        <w:spacing w:line="360" w:lineRule="auto"/>
        <w:ind w:firstLine="709"/>
        <w:jc w:val="both"/>
        <w:rPr>
          <w:rFonts w:ascii="Arial" w:hAnsi="Arial" w:cs="Arial"/>
          <w:sz w:val="24"/>
          <w:szCs w:val="24"/>
        </w:rPr>
      </w:pPr>
      <w:r w:rsidRPr="00DD59F2">
        <w:rPr>
          <w:rFonts w:ascii="Arial" w:hAnsi="Arial" w:cs="Arial"/>
          <w:sz w:val="24"/>
          <w:szCs w:val="24"/>
        </w:rPr>
        <w:t xml:space="preserve">The total number of </w:t>
      </w:r>
      <w:r>
        <w:rPr>
          <w:rFonts w:ascii="Arial" w:hAnsi="Arial" w:cs="Arial"/>
          <w:sz w:val="24"/>
          <w:szCs w:val="24"/>
        </w:rPr>
        <w:t xml:space="preserve">proteins encoded </w:t>
      </w:r>
      <w:r w:rsidRPr="00DD59F2">
        <w:rPr>
          <w:rFonts w:ascii="Arial" w:hAnsi="Arial" w:cs="Arial"/>
          <w:sz w:val="24"/>
          <w:szCs w:val="24"/>
        </w:rPr>
        <w:t>in each pathway w</w:t>
      </w:r>
      <w:r>
        <w:rPr>
          <w:rFonts w:ascii="Arial" w:hAnsi="Arial" w:cs="Arial"/>
          <w:sz w:val="24"/>
          <w:szCs w:val="24"/>
        </w:rPr>
        <w:t>as</w:t>
      </w:r>
      <w:r w:rsidRPr="00DD59F2">
        <w:rPr>
          <w:rFonts w:ascii="Arial" w:hAnsi="Arial" w:cs="Arial"/>
          <w:sz w:val="24"/>
          <w:szCs w:val="24"/>
        </w:rPr>
        <w:t xml:space="preserve"> taken from </w:t>
      </w:r>
      <w:r>
        <w:rPr>
          <w:rFonts w:ascii="Arial" w:hAnsi="Arial" w:cs="Arial"/>
          <w:sz w:val="24"/>
          <w:szCs w:val="24"/>
        </w:rPr>
        <w:t>KEGG (</w:t>
      </w:r>
      <w:hyperlink r:id="rId40" w:history="1">
        <w:r w:rsidRPr="008152FF">
          <w:rPr>
            <w:rStyle w:val="Hyperlink"/>
            <w:rFonts w:ascii="Arial" w:hAnsi="Arial" w:cs="Arial"/>
            <w:color w:val="auto"/>
            <w:sz w:val="24"/>
            <w:szCs w:val="24"/>
          </w:rPr>
          <w:t>http://www.genome.jp/kegg/</w:t>
        </w:r>
      </w:hyperlink>
      <w:r>
        <w:rPr>
          <w:rFonts w:ascii="Arial" w:hAnsi="Arial" w:cs="Arial"/>
          <w:sz w:val="24"/>
          <w:szCs w:val="24"/>
        </w:rPr>
        <w:t xml:space="preserve">), through DAVID </w:t>
      </w:r>
      <w:r>
        <w:t>(</w:t>
      </w:r>
      <w:hyperlink r:id="rId41" w:history="1">
        <w:r w:rsidRPr="008152FF">
          <w:rPr>
            <w:rStyle w:val="Hyperlink"/>
            <w:rFonts w:ascii="Arial" w:hAnsi="Arial" w:cs="Arial"/>
            <w:color w:val="auto"/>
            <w:sz w:val="24"/>
          </w:rPr>
          <w:t>http://david.abcc.ncifcrf.gov/</w:t>
        </w:r>
      </w:hyperlink>
      <w:r>
        <w:rPr>
          <w:rFonts w:ascii="Arial" w:hAnsi="Arial" w:cs="Arial"/>
          <w:sz w:val="24"/>
          <w:szCs w:val="24"/>
        </w:rPr>
        <w:t xml:space="preserve">). </w:t>
      </w:r>
      <w:r w:rsidRPr="00F315C8">
        <w:rPr>
          <w:rFonts w:ascii="Arial" w:hAnsi="Arial" w:cs="Arial"/>
          <w:sz w:val="24"/>
          <w:szCs w:val="24"/>
        </w:rPr>
        <w:t>The total number of proteins was divided by the number of prote</w:t>
      </w:r>
      <w:r>
        <w:rPr>
          <w:rFonts w:ascii="Arial" w:hAnsi="Arial" w:cs="Arial"/>
          <w:sz w:val="24"/>
          <w:szCs w:val="24"/>
        </w:rPr>
        <w:t xml:space="preserve">ins </w:t>
      </w:r>
      <w:r w:rsidRPr="00DD59F2">
        <w:rPr>
          <w:rFonts w:ascii="Arial" w:hAnsi="Arial" w:cs="Arial"/>
          <w:sz w:val="24"/>
          <w:szCs w:val="24"/>
        </w:rPr>
        <w:t>found in the total and acetylated proteome dataset</w:t>
      </w:r>
      <w:r w:rsidR="0016536D">
        <w:rPr>
          <w:rFonts w:ascii="Arial" w:hAnsi="Arial" w:cs="Arial"/>
          <w:sz w:val="24"/>
          <w:szCs w:val="24"/>
        </w:rPr>
        <w:t>s</w:t>
      </w:r>
      <w:r w:rsidRPr="00DD59F2">
        <w:rPr>
          <w:rFonts w:ascii="Arial" w:hAnsi="Arial" w:cs="Arial"/>
          <w:sz w:val="24"/>
          <w:szCs w:val="24"/>
        </w:rPr>
        <w:t xml:space="preserve"> </w:t>
      </w:r>
      <w:r>
        <w:rPr>
          <w:rFonts w:ascii="Arial" w:hAnsi="Arial" w:cs="Arial"/>
          <w:sz w:val="24"/>
          <w:szCs w:val="24"/>
        </w:rPr>
        <w:t xml:space="preserve">and plotted as a percentage of the coverage of pathways </w:t>
      </w:r>
      <w:r w:rsidRPr="00DD59F2">
        <w:rPr>
          <w:rFonts w:ascii="Arial" w:hAnsi="Arial" w:cs="Arial"/>
          <w:sz w:val="24"/>
          <w:szCs w:val="24"/>
        </w:rPr>
        <w:t>(Fig</w:t>
      </w:r>
      <w:r>
        <w:rPr>
          <w:rFonts w:ascii="Arial" w:hAnsi="Arial" w:cs="Arial"/>
          <w:sz w:val="24"/>
          <w:szCs w:val="24"/>
        </w:rPr>
        <w:t>ure 1</w:t>
      </w:r>
      <w:r w:rsidR="007C66F9">
        <w:rPr>
          <w:rFonts w:ascii="Arial" w:hAnsi="Arial" w:cs="Arial"/>
          <w:sz w:val="24"/>
          <w:szCs w:val="24"/>
        </w:rPr>
        <w:t>2</w:t>
      </w:r>
      <w:r w:rsidRPr="00DD59F2">
        <w:rPr>
          <w:rFonts w:ascii="Arial" w:hAnsi="Arial" w:cs="Arial"/>
          <w:sz w:val="24"/>
          <w:szCs w:val="24"/>
        </w:rPr>
        <w:t>)</w:t>
      </w:r>
      <w:r>
        <w:rPr>
          <w:rFonts w:ascii="Arial" w:hAnsi="Arial" w:cs="Arial"/>
          <w:sz w:val="24"/>
          <w:szCs w:val="24"/>
        </w:rPr>
        <w:t xml:space="preserve">. In accordance </w:t>
      </w:r>
      <w:r w:rsidRPr="00DD59F2">
        <w:rPr>
          <w:rFonts w:ascii="Arial" w:hAnsi="Arial" w:cs="Arial"/>
          <w:sz w:val="24"/>
          <w:szCs w:val="24"/>
        </w:rPr>
        <w:t>with the enrichment scores, the</w:t>
      </w:r>
      <w:r>
        <w:rPr>
          <w:rFonts w:ascii="Arial" w:hAnsi="Arial" w:cs="Arial"/>
          <w:sz w:val="24"/>
          <w:szCs w:val="24"/>
        </w:rPr>
        <w:t xml:space="preserve">re was a shift between the </w:t>
      </w:r>
      <w:r w:rsidRPr="00DD59F2">
        <w:rPr>
          <w:rFonts w:ascii="Arial" w:hAnsi="Arial" w:cs="Arial"/>
          <w:sz w:val="24"/>
          <w:szCs w:val="24"/>
        </w:rPr>
        <w:t xml:space="preserve">number of </w:t>
      </w:r>
      <w:r>
        <w:rPr>
          <w:rFonts w:ascii="Arial" w:hAnsi="Arial" w:cs="Arial"/>
          <w:sz w:val="24"/>
          <w:szCs w:val="24"/>
        </w:rPr>
        <w:t xml:space="preserve">proteins </w:t>
      </w:r>
      <w:r w:rsidRPr="00DD59F2">
        <w:rPr>
          <w:rFonts w:ascii="Arial" w:hAnsi="Arial" w:cs="Arial"/>
          <w:sz w:val="24"/>
          <w:szCs w:val="24"/>
        </w:rPr>
        <w:t xml:space="preserve">covered in each pathway </w:t>
      </w:r>
      <w:r>
        <w:rPr>
          <w:rFonts w:ascii="Arial" w:hAnsi="Arial" w:cs="Arial"/>
          <w:sz w:val="24"/>
          <w:szCs w:val="24"/>
        </w:rPr>
        <w:t>when the global</w:t>
      </w:r>
      <w:r w:rsidRPr="00DD59F2">
        <w:rPr>
          <w:rFonts w:ascii="Arial" w:hAnsi="Arial" w:cs="Arial"/>
          <w:sz w:val="24"/>
          <w:szCs w:val="24"/>
        </w:rPr>
        <w:t xml:space="preserve"> and </w:t>
      </w:r>
      <w:r>
        <w:rPr>
          <w:rFonts w:ascii="Arial" w:hAnsi="Arial" w:cs="Arial"/>
          <w:sz w:val="24"/>
          <w:szCs w:val="24"/>
        </w:rPr>
        <w:t xml:space="preserve">the </w:t>
      </w:r>
      <w:r w:rsidRPr="00DD59F2">
        <w:rPr>
          <w:rFonts w:ascii="Arial" w:hAnsi="Arial" w:cs="Arial"/>
          <w:sz w:val="24"/>
          <w:szCs w:val="24"/>
        </w:rPr>
        <w:t>acetylated proteome dataset</w:t>
      </w:r>
      <w:r>
        <w:rPr>
          <w:rFonts w:ascii="Arial" w:hAnsi="Arial" w:cs="Arial"/>
          <w:sz w:val="24"/>
          <w:szCs w:val="24"/>
        </w:rPr>
        <w:t xml:space="preserve">s were </w:t>
      </w:r>
      <w:r>
        <w:rPr>
          <w:rFonts w:ascii="Arial" w:hAnsi="Arial" w:cs="Arial"/>
          <w:sz w:val="24"/>
          <w:szCs w:val="24"/>
        </w:rPr>
        <w:lastRenderedPageBreak/>
        <w:t>compared</w:t>
      </w:r>
      <w:r w:rsidRPr="00DD59F2">
        <w:rPr>
          <w:rFonts w:ascii="Arial" w:hAnsi="Arial" w:cs="Arial"/>
          <w:sz w:val="24"/>
          <w:szCs w:val="24"/>
        </w:rPr>
        <w:t xml:space="preserve">. The </w:t>
      </w:r>
      <w:r>
        <w:rPr>
          <w:rFonts w:ascii="Arial" w:hAnsi="Arial" w:cs="Arial"/>
          <w:sz w:val="24"/>
          <w:szCs w:val="24"/>
        </w:rPr>
        <w:t>global</w:t>
      </w:r>
      <w:r w:rsidRPr="00DD59F2">
        <w:rPr>
          <w:rFonts w:ascii="Arial" w:hAnsi="Arial" w:cs="Arial"/>
          <w:sz w:val="24"/>
          <w:szCs w:val="24"/>
        </w:rPr>
        <w:t xml:space="preserve"> proteome dataset had the</w:t>
      </w:r>
      <w:r>
        <w:rPr>
          <w:rFonts w:ascii="Arial" w:hAnsi="Arial" w:cs="Arial"/>
          <w:sz w:val="24"/>
          <w:szCs w:val="24"/>
        </w:rPr>
        <w:t xml:space="preserve"> </w:t>
      </w:r>
      <w:r w:rsidRPr="00DD59F2">
        <w:rPr>
          <w:rFonts w:ascii="Arial" w:hAnsi="Arial" w:cs="Arial"/>
          <w:sz w:val="24"/>
          <w:szCs w:val="24"/>
        </w:rPr>
        <w:t>highe</w:t>
      </w:r>
      <w:r>
        <w:rPr>
          <w:rFonts w:ascii="Arial" w:hAnsi="Arial" w:cs="Arial"/>
          <w:sz w:val="24"/>
          <w:szCs w:val="24"/>
        </w:rPr>
        <w:t>st</w:t>
      </w:r>
      <w:r w:rsidRPr="00DD59F2">
        <w:rPr>
          <w:rFonts w:ascii="Arial" w:hAnsi="Arial" w:cs="Arial"/>
          <w:sz w:val="24"/>
          <w:szCs w:val="24"/>
        </w:rPr>
        <w:t xml:space="preserve"> coverage of pathways</w:t>
      </w:r>
      <w:r>
        <w:rPr>
          <w:rFonts w:ascii="Arial" w:hAnsi="Arial" w:cs="Arial"/>
          <w:sz w:val="24"/>
          <w:szCs w:val="24"/>
        </w:rPr>
        <w:t>.</w:t>
      </w:r>
      <w:r w:rsidRPr="00DD59F2">
        <w:rPr>
          <w:rFonts w:ascii="Arial" w:hAnsi="Arial" w:cs="Arial"/>
          <w:sz w:val="24"/>
          <w:szCs w:val="24"/>
        </w:rPr>
        <w:t xml:space="preserve"> </w:t>
      </w:r>
      <w:r>
        <w:rPr>
          <w:rFonts w:ascii="Arial" w:hAnsi="Arial" w:cs="Arial"/>
          <w:sz w:val="24"/>
          <w:szCs w:val="24"/>
        </w:rPr>
        <w:t>The ranges of the percentage coverage of pathways were between 81 and 55% in this dataset (Figure 1</w:t>
      </w:r>
      <w:r w:rsidR="007C66F9">
        <w:rPr>
          <w:rFonts w:ascii="Arial" w:hAnsi="Arial" w:cs="Arial"/>
          <w:sz w:val="24"/>
          <w:szCs w:val="24"/>
        </w:rPr>
        <w:t>2</w:t>
      </w:r>
      <w:r>
        <w:rPr>
          <w:rFonts w:ascii="Arial" w:hAnsi="Arial" w:cs="Arial"/>
          <w:sz w:val="24"/>
          <w:szCs w:val="24"/>
        </w:rPr>
        <w:t>). In the global proteome dataset, the TCA cycle was the pathway with the highest percentage coverage of pathways with 81%, followed by glycolysis and pyruvate metabolism both with 65%, whereas β-oxidation</w:t>
      </w:r>
      <w:r w:rsidRPr="00DD59F2">
        <w:rPr>
          <w:rFonts w:ascii="Arial" w:hAnsi="Arial" w:cs="Arial"/>
          <w:sz w:val="24"/>
          <w:szCs w:val="24"/>
        </w:rPr>
        <w:t xml:space="preserve"> </w:t>
      </w:r>
      <w:r>
        <w:rPr>
          <w:rFonts w:ascii="Arial" w:hAnsi="Arial" w:cs="Arial"/>
          <w:sz w:val="24"/>
          <w:szCs w:val="24"/>
        </w:rPr>
        <w:t>was the pathway with the lowest percentage coverage of pathways with 55% (Figure 1</w:t>
      </w:r>
      <w:r w:rsidR="007C66F9">
        <w:rPr>
          <w:rFonts w:ascii="Arial" w:hAnsi="Arial" w:cs="Arial"/>
          <w:sz w:val="24"/>
          <w:szCs w:val="24"/>
        </w:rPr>
        <w:t>2</w:t>
      </w:r>
      <w:r>
        <w:rPr>
          <w:rFonts w:ascii="Arial" w:hAnsi="Arial" w:cs="Arial"/>
          <w:sz w:val="24"/>
          <w:szCs w:val="24"/>
        </w:rPr>
        <w:t xml:space="preserve">). Regarding the acetylated proteome dataset, the </w:t>
      </w:r>
      <w:r w:rsidRPr="00DD59F2">
        <w:rPr>
          <w:rFonts w:ascii="Arial" w:hAnsi="Arial" w:cs="Arial"/>
          <w:sz w:val="24"/>
          <w:szCs w:val="24"/>
        </w:rPr>
        <w:t>pathway with the highe</w:t>
      </w:r>
      <w:r>
        <w:rPr>
          <w:rFonts w:ascii="Arial" w:hAnsi="Arial" w:cs="Arial"/>
          <w:sz w:val="24"/>
          <w:szCs w:val="24"/>
        </w:rPr>
        <w:t>st</w:t>
      </w:r>
      <w:r w:rsidRPr="00DD59F2">
        <w:rPr>
          <w:rFonts w:ascii="Arial" w:hAnsi="Arial" w:cs="Arial"/>
          <w:sz w:val="24"/>
          <w:szCs w:val="24"/>
        </w:rPr>
        <w:t xml:space="preserve"> coverage of pathways was glycolysis with 23%, </w:t>
      </w:r>
      <w:r>
        <w:rPr>
          <w:rFonts w:ascii="Arial" w:hAnsi="Arial" w:cs="Arial"/>
          <w:sz w:val="24"/>
          <w:szCs w:val="24"/>
        </w:rPr>
        <w:t>followed by pyruvate metabolism with 20%, the TCA cycle with 19%, and finally and in accordance to what was observed in the global proteome dataset, β-oxidation</w:t>
      </w:r>
      <w:r w:rsidRPr="00DD59F2">
        <w:rPr>
          <w:rFonts w:ascii="Arial" w:hAnsi="Arial" w:cs="Arial"/>
          <w:sz w:val="24"/>
          <w:szCs w:val="24"/>
        </w:rPr>
        <w:t xml:space="preserve"> </w:t>
      </w:r>
      <w:r>
        <w:rPr>
          <w:rFonts w:ascii="Arial" w:hAnsi="Arial" w:cs="Arial"/>
          <w:sz w:val="24"/>
          <w:szCs w:val="24"/>
        </w:rPr>
        <w:t>was the pathway with the le</w:t>
      </w:r>
      <w:r w:rsidR="00FE4708">
        <w:rPr>
          <w:rFonts w:ascii="Arial" w:hAnsi="Arial" w:cs="Arial"/>
          <w:sz w:val="24"/>
          <w:szCs w:val="24"/>
        </w:rPr>
        <w:t>a</w:t>
      </w:r>
      <w:r>
        <w:rPr>
          <w:rFonts w:ascii="Arial" w:hAnsi="Arial" w:cs="Arial"/>
          <w:sz w:val="24"/>
          <w:szCs w:val="24"/>
        </w:rPr>
        <w:t>s</w:t>
      </w:r>
      <w:r w:rsidR="00FE4708">
        <w:rPr>
          <w:rFonts w:ascii="Arial" w:hAnsi="Arial" w:cs="Arial"/>
          <w:sz w:val="24"/>
          <w:szCs w:val="24"/>
        </w:rPr>
        <w:t>t</w:t>
      </w:r>
      <w:r>
        <w:rPr>
          <w:rFonts w:ascii="Arial" w:hAnsi="Arial" w:cs="Arial"/>
          <w:sz w:val="24"/>
          <w:szCs w:val="24"/>
        </w:rPr>
        <w:t xml:space="preserve"> percentage coverage of pathways with 18%. </w:t>
      </w:r>
    </w:p>
    <w:p w:rsidR="00EF1380" w:rsidRDefault="0016536D" w:rsidP="00EF1380">
      <w:pPr>
        <w:spacing w:line="360" w:lineRule="auto"/>
        <w:ind w:firstLine="709"/>
        <w:jc w:val="both"/>
        <w:rPr>
          <w:rFonts w:ascii="Arial" w:hAnsi="Arial" w:cs="Arial"/>
          <w:sz w:val="24"/>
          <w:szCs w:val="24"/>
        </w:rPr>
      </w:pPr>
      <w:r>
        <w:rPr>
          <w:rFonts w:ascii="Arial" w:hAnsi="Arial" w:cs="Arial"/>
          <w:sz w:val="24"/>
          <w:szCs w:val="24"/>
        </w:rPr>
        <w:t>A</w:t>
      </w:r>
      <w:r w:rsidR="00EF1380">
        <w:rPr>
          <w:rFonts w:ascii="Arial" w:hAnsi="Arial" w:cs="Arial"/>
          <w:sz w:val="24"/>
          <w:szCs w:val="24"/>
        </w:rPr>
        <w:t xml:space="preserve"> lower percentage cover of pathways is expected in the acetylated proteome dataset, since not all the proteins found </w:t>
      </w:r>
      <w:r w:rsidR="00EF1380" w:rsidRPr="00DD59F2">
        <w:rPr>
          <w:rFonts w:ascii="Arial" w:hAnsi="Arial" w:cs="Arial"/>
          <w:sz w:val="24"/>
          <w:szCs w:val="24"/>
        </w:rPr>
        <w:t>in each pathway</w:t>
      </w:r>
      <w:r w:rsidR="00EF1380">
        <w:rPr>
          <w:rFonts w:ascii="Arial" w:hAnsi="Arial" w:cs="Arial"/>
          <w:sz w:val="24"/>
          <w:szCs w:val="24"/>
        </w:rPr>
        <w:t xml:space="preserve"> are substrates of acetylation or instead, this decrease in the percentage cover of pathways in the acetylated proteome dataset could also be due to stoichiometry since not all enzymes have the same sites. Interestingly, and even </w:t>
      </w:r>
      <w:r w:rsidR="0074542B">
        <w:rPr>
          <w:rFonts w:ascii="Arial" w:hAnsi="Arial" w:cs="Arial"/>
          <w:sz w:val="24"/>
          <w:szCs w:val="24"/>
        </w:rPr>
        <w:t xml:space="preserve">if </w:t>
      </w:r>
      <w:r w:rsidR="00EF1380">
        <w:rPr>
          <w:rFonts w:ascii="Arial" w:hAnsi="Arial" w:cs="Arial"/>
          <w:sz w:val="24"/>
          <w:szCs w:val="24"/>
        </w:rPr>
        <w:t xml:space="preserve">there was a 3-fold decrease, from 65 to 25%, in its percentage coverage of pathways (when compared to the global proteome dataset), glycolysis was the pathway with the highest percentage coverage of pathways with 23% in the acetylated proteome dataset, suggesting that glycolytic enzymes are more likely to be substrates of acetylation or that these enzymes have more sites than the other enzymes in the TCA cycle, </w:t>
      </w:r>
      <w:r w:rsidR="00EF1380">
        <w:rPr>
          <w:rFonts w:ascii="Calibri" w:hAnsi="Calibri" w:cs="Arial"/>
          <w:sz w:val="24"/>
          <w:szCs w:val="24"/>
        </w:rPr>
        <w:t>β</w:t>
      </w:r>
      <w:r w:rsidR="00EF1380">
        <w:rPr>
          <w:rFonts w:ascii="Arial" w:hAnsi="Arial" w:cs="Arial"/>
          <w:sz w:val="24"/>
          <w:szCs w:val="24"/>
        </w:rPr>
        <w:t xml:space="preserve">-oxidation and pyruvate metabolism. On the other hand, and as </w:t>
      </w:r>
      <w:r>
        <w:rPr>
          <w:rFonts w:ascii="Arial" w:hAnsi="Arial" w:cs="Arial"/>
          <w:sz w:val="24"/>
          <w:szCs w:val="24"/>
        </w:rPr>
        <w:t xml:space="preserve">in the global proteome dataset </w:t>
      </w:r>
      <w:r w:rsidR="00EF1380">
        <w:rPr>
          <w:rFonts w:ascii="Arial" w:hAnsi="Arial" w:cs="Arial"/>
          <w:sz w:val="24"/>
          <w:szCs w:val="24"/>
        </w:rPr>
        <w:t>the pathway with the lowest percentage coverage of pathways in the acetylated proteome dataset was β-oxidation with 18% coverage of pathways (Figure 1</w:t>
      </w:r>
      <w:r w:rsidR="007C66F9">
        <w:rPr>
          <w:rFonts w:ascii="Arial" w:hAnsi="Arial" w:cs="Arial"/>
          <w:sz w:val="24"/>
          <w:szCs w:val="24"/>
        </w:rPr>
        <w:t>2</w:t>
      </w:r>
      <w:r w:rsidR="00EF1380">
        <w:rPr>
          <w:rFonts w:ascii="Arial" w:hAnsi="Arial" w:cs="Arial"/>
          <w:sz w:val="24"/>
          <w:szCs w:val="24"/>
        </w:rPr>
        <w:t>), this suggests that the enzymes in this pathway are less likely to be substrates of acetylation or have less sites than the enzymes in glycolysis, the TCA cycle, or pyruvate metabolism.</w:t>
      </w:r>
    </w:p>
    <w:p w:rsidR="00EF1380" w:rsidRDefault="00EF1380" w:rsidP="00EF1380">
      <w:pPr>
        <w:jc w:val="center"/>
      </w:pPr>
      <w:r>
        <w:rPr>
          <w:noProof/>
        </w:rPr>
        <w:lastRenderedPageBreak/>
        <w:drawing>
          <wp:inline distT="0" distB="0" distL="0" distR="0" wp14:anchorId="5499F52D" wp14:editId="315FA062">
            <wp:extent cx="5689123" cy="2196000"/>
            <wp:effectExtent l="0" t="0" r="6985"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 of pathway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89123" cy="2196000"/>
                    </a:xfrm>
                    <a:prstGeom prst="rect">
                      <a:avLst/>
                    </a:prstGeom>
                    <a:ln w="28575">
                      <a:noFill/>
                    </a:ln>
                  </pic:spPr>
                </pic:pic>
              </a:graphicData>
            </a:graphic>
          </wp:inline>
        </w:drawing>
      </w:r>
    </w:p>
    <w:p w:rsidR="00EF1380" w:rsidRPr="00557FB3" w:rsidRDefault="00EF1380" w:rsidP="00EF1380">
      <w:pPr>
        <w:pStyle w:val="Caption"/>
        <w:jc w:val="both"/>
        <w:rPr>
          <w:rFonts w:ascii="Arial" w:hAnsi="Arial" w:cs="Arial"/>
          <w:i/>
          <w:color w:val="auto"/>
          <w:sz w:val="16"/>
          <w:szCs w:val="16"/>
        </w:rPr>
      </w:pPr>
      <w:bookmarkStart w:id="94" w:name="_Toc355873091"/>
      <w:bookmarkStart w:id="95" w:name="_Toc364682975"/>
      <w:bookmarkStart w:id="96" w:name="_Toc413419272"/>
      <w:proofErr w:type="gramStart"/>
      <w:r w:rsidRPr="00777DBA">
        <w:rPr>
          <w:rFonts w:ascii="Arial" w:hAnsi="Arial" w:cs="Arial"/>
          <w:color w:val="auto"/>
          <w:sz w:val="16"/>
        </w:rPr>
        <w:t xml:space="preserve">Figure </w:t>
      </w:r>
      <w:r w:rsidR="006C2756" w:rsidRPr="00777DBA">
        <w:rPr>
          <w:rFonts w:ascii="Arial" w:hAnsi="Arial" w:cs="Arial"/>
          <w:color w:val="auto"/>
          <w:sz w:val="16"/>
        </w:rPr>
        <w:fldChar w:fldCharType="begin"/>
      </w:r>
      <w:r w:rsidRPr="00777DBA">
        <w:rPr>
          <w:rFonts w:ascii="Arial" w:hAnsi="Arial" w:cs="Arial"/>
          <w:color w:val="auto"/>
          <w:sz w:val="16"/>
        </w:rPr>
        <w:instrText xml:space="preserve"> SEQ Figure \* ARABIC </w:instrText>
      </w:r>
      <w:r w:rsidR="006C2756" w:rsidRPr="00777DBA">
        <w:rPr>
          <w:rFonts w:ascii="Arial" w:hAnsi="Arial" w:cs="Arial"/>
          <w:color w:val="auto"/>
          <w:sz w:val="16"/>
        </w:rPr>
        <w:fldChar w:fldCharType="separate"/>
      </w:r>
      <w:r w:rsidR="00DC0376">
        <w:rPr>
          <w:rFonts w:ascii="Arial" w:hAnsi="Arial" w:cs="Arial"/>
          <w:noProof/>
          <w:color w:val="auto"/>
          <w:sz w:val="16"/>
        </w:rPr>
        <w:t>12</w:t>
      </w:r>
      <w:r w:rsidR="006C2756" w:rsidRPr="00777DBA">
        <w:rPr>
          <w:rFonts w:ascii="Arial" w:hAnsi="Arial" w:cs="Arial"/>
          <w:color w:val="auto"/>
          <w:sz w:val="16"/>
        </w:rPr>
        <w:fldChar w:fldCharType="end"/>
      </w:r>
      <w:r w:rsidRPr="00557FB3">
        <w:rPr>
          <w:color w:val="auto"/>
        </w:rPr>
        <w:t>.</w:t>
      </w:r>
      <w:proofErr w:type="gramEnd"/>
      <w:r w:rsidRPr="00557FB3">
        <w:rPr>
          <w:rFonts w:ascii="Arial" w:hAnsi="Arial" w:cs="Arial"/>
          <w:color w:val="auto"/>
          <w:sz w:val="16"/>
          <w:szCs w:val="16"/>
        </w:rPr>
        <w:t xml:space="preserve"> </w:t>
      </w:r>
      <w:proofErr w:type="gramStart"/>
      <w:r w:rsidRPr="00557FB3">
        <w:rPr>
          <w:rFonts w:ascii="Arial" w:hAnsi="Arial" w:cs="Arial"/>
          <w:color w:val="auto"/>
          <w:sz w:val="16"/>
          <w:szCs w:val="16"/>
        </w:rPr>
        <w:t>Percentage Coverage of pathways.</w:t>
      </w:r>
      <w:proofErr w:type="gramEnd"/>
      <w:r w:rsidRPr="00557FB3">
        <w:rPr>
          <w:rFonts w:ascii="Arial" w:hAnsi="Arial" w:cs="Arial"/>
          <w:color w:val="auto"/>
          <w:sz w:val="16"/>
          <w:szCs w:val="16"/>
        </w:rPr>
        <w:t xml:space="preserve"> </w:t>
      </w:r>
      <w:proofErr w:type="gramStart"/>
      <w:r w:rsidRPr="00557FB3">
        <w:rPr>
          <w:rFonts w:ascii="Arial" w:hAnsi="Arial" w:cs="Arial"/>
          <w:i/>
          <w:color w:val="auto"/>
          <w:sz w:val="16"/>
          <w:szCs w:val="16"/>
        </w:rPr>
        <w:t>Representation of the pe</w:t>
      </w:r>
      <w:r>
        <w:rPr>
          <w:rFonts w:ascii="Arial" w:hAnsi="Arial" w:cs="Arial"/>
          <w:i/>
          <w:color w:val="auto"/>
          <w:sz w:val="16"/>
          <w:szCs w:val="16"/>
        </w:rPr>
        <w:t>rcentage of proteins in the globa</w:t>
      </w:r>
      <w:r w:rsidRPr="00557FB3">
        <w:rPr>
          <w:rFonts w:ascii="Arial" w:hAnsi="Arial" w:cs="Arial"/>
          <w:i/>
          <w:color w:val="auto"/>
          <w:sz w:val="16"/>
          <w:szCs w:val="16"/>
        </w:rPr>
        <w:t xml:space="preserve">l </w:t>
      </w:r>
      <w:r>
        <w:rPr>
          <w:rFonts w:ascii="Arial" w:hAnsi="Arial" w:cs="Arial"/>
          <w:i/>
          <w:color w:val="auto"/>
          <w:sz w:val="16"/>
          <w:szCs w:val="16"/>
        </w:rPr>
        <w:t>and a</w:t>
      </w:r>
      <w:r w:rsidRPr="00557FB3">
        <w:rPr>
          <w:rFonts w:ascii="Arial" w:hAnsi="Arial" w:cs="Arial"/>
          <w:i/>
          <w:color w:val="auto"/>
          <w:sz w:val="16"/>
          <w:szCs w:val="16"/>
        </w:rPr>
        <w:t xml:space="preserve">cetylated proteome </w:t>
      </w:r>
      <w:r>
        <w:rPr>
          <w:rFonts w:ascii="Arial" w:hAnsi="Arial" w:cs="Arial"/>
          <w:i/>
          <w:color w:val="auto"/>
          <w:sz w:val="16"/>
          <w:szCs w:val="16"/>
        </w:rPr>
        <w:t xml:space="preserve">datasets to be found to match the total number of proteins taking part in </w:t>
      </w:r>
      <w:r w:rsidRPr="00557FB3">
        <w:rPr>
          <w:rFonts w:ascii="Arial" w:hAnsi="Arial" w:cs="Arial"/>
          <w:i/>
          <w:color w:val="auto"/>
          <w:sz w:val="16"/>
          <w:szCs w:val="16"/>
        </w:rPr>
        <w:t>each metabolic pathway.</w:t>
      </w:r>
      <w:bookmarkEnd w:id="94"/>
      <w:bookmarkEnd w:id="95"/>
      <w:bookmarkEnd w:id="96"/>
      <w:proofErr w:type="gramEnd"/>
    </w:p>
    <w:p w:rsidR="00DD6198" w:rsidRDefault="00EF1380" w:rsidP="00DD6198">
      <w:pPr>
        <w:spacing w:line="360" w:lineRule="auto"/>
        <w:ind w:firstLine="851"/>
        <w:jc w:val="both"/>
        <w:rPr>
          <w:rFonts w:ascii="Arial" w:hAnsi="Arial" w:cs="Arial"/>
          <w:sz w:val="24"/>
          <w:szCs w:val="24"/>
        </w:rPr>
      </w:pPr>
      <w:r>
        <w:rPr>
          <w:rFonts w:ascii="Arial" w:hAnsi="Arial" w:cs="Arial"/>
          <w:sz w:val="24"/>
          <w:szCs w:val="24"/>
        </w:rPr>
        <w:t>When every pathway is analysed separately, it can be noticed that f</w:t>
      </w:r>
      <w:r w:rsidRPr="008F2812">
        <w:rPr>
          <w:rFonts w:ascii="Arial" w:hAnsi="Arial" w:cs="Arial"/>
          <w:sz w:val="24"/>
          <w:szCs w:val="24"/>
        </w:rPr>
        <w:t>or glycolysis</w:t>
      </w:r>
      <w:r>
        <w:rPr>
          <w:rFonts w:ascii="Arial" w:hAnsi="Arial" w:cs="Arial"/>
          <w:sz w:val="24"/>
          <w:szCs w:val="24"/>
        </w:rPr>
        <w:t>,</w:t>
      </w:r>
      <w:r w:rsidRPr="008F2812">
        <w:rPr>
          <w:rFonts w:ascii="Arial" w:hAnsi="Arial" w:cs="Arial"/>
          <w:sz w:val="24"/>
          <w:szCs w:val="24"/>
        </w:rPr>
        <w:t xml:space="preserve"> 60 </w:t>
      </w:r>
      <w:r>
        <w:rPr>
          <w:rFonts w:ascii="Arial" w:hAnsi="Arial" w:cs="Arial"/>
          <w:sz w:val="24"/>
          <w:szCs w:val="24"/>
        </w:rPr>
        <w:t>proteins</w:t>
      </w:r>
      <w:r w:rsidRPr="008F2812">
        <w:rPr>
          <w:rFonts w:ascii="Arial" w:hAnsi="Arial" w:cs="Arial"/>
          <w:sz w:val="24"/>
          <w:szCs w:val="24"/>
        </w:rPr>
        <w:t xml:space="preserve"> were found to take part </w:t>
      </w:r>
      <w:r>
        <w:rPr>
          <w:rFonts w:ascii="Arial" w:hAnsi="Arial" w:cs="Arial"/>
          <w:sz w:val="24"/>
          <w:szCs w:val="24"/>
        </w:rPr>
        <w:t>in</w:t>
      </w:r>
      <w:r w:rsidRPr="008F2812">
        <w:rPr>
          <w:rFonts w:ascii="Arial" w:hAnsi="Arial" w:cs="Arial"/>
          <w:sz w:val="24"/>
          <w:szCs w:val="24"/>
        </w:rPr>
        <w:t xml:space="preserve"> this metabolic pathway</w:t>
      </w:r>
      <w:r>
        <w:rPr>
          <w:rFonts w:ascii="Arial" w:hAnsi="Arial" w:cs="Arial"/>
          <w:sz w:val="24"/>
          <w:szCs w:val="24"/>
        </w:rPr>
        <w:t xml:space="preserve"> and </w:t>
      </w:r>
      <w:r w:rsidRPr="008F2812">
        <w:rPr>
          <w:rFonts w:ascii="Arial" w:hAnsi="Arial" w:cs="Arial"/>
          <w:sz w:val="24"/>
          <w:szCs w:val="24"/>
        </w:rPr>
        <w:t>39 wer</w:t>
      </w:r>
      <w:r>
        <w:rPr>
          <w:rFonts w:ascii="Arial" w:hAnsi="Arial" w:cs="Arial"/>
          <w:sz w:val="24"/>
          <w:szCs w:val="24"/>
        </w:rPr>
        <w:t xml:space="preserve">e found to have a match in the global </w:t>
      </w:r>
      <w:r w:rsidRPr="008F2812">
        <w:rPr>
          <w:rFonts w:ascii="Arial" w:hAnsi="Arial" w:cs="Arial"/>
          <w:sz w:val="24"/>
          <w:szCs w:val="24"/>
        </w:rPr>
        <w:t xml:space="preserve">proteome dataset (65% coverage of pathway), whereas just 14 were found to have a match in the </w:t>
      </w:r>
      <w:r>
        <w:rPr>
          <w:rFonts w:ascii="Arial" w:hAnsi="Arial" w:cs="Arial"/>
          <w:sz w:val="24"/>
          <w:szCs w:val="24"/>
        </w:rPr>
        <w:t>a</w:t>
      </w:r>
      <w:r w:rsidRPr="008F2812">
        <w:rPr>
          <w:rFonts w:ascii="Arial" w:hAnsi="Arial" w:cs="Arial"/>
          <w:sz w:val="24"/>
          <w:szCs w:val="24"/>
        </w:rPr>
        <w:t xml:space="preserve">cetylated proteome </w:t>
      </w:r>
      <w:r>
        <w:rPr>
          <w:rFonts w:ascii="Arial" w:hAnsi="Arial" w:cs="Arial"/>
          <w:sz w:val="24"/>
          <w:szCs w:val="24"/>
        </w:rPr>
        <w:t xml:space="preserve">dataset (23% coverage of pathway) (Table </w:t>
      </w:r>
      <w:r w:rsidR="00806F63">
        <w:rPr>
          <w:rFonts w:ascii="Arial" w:hAnsi="Arial" w:cs="Arial"/>
          <w:sz w:val="24"/>
          <w:szCs w:val="24"/>
        </w:rPr>
        <w:t>10</w:t>
      </w:r>
      <w:r>
        <w:rPr>
          <w:rFonts w:ascii="Arial" w:hAnsi="Arial" w:cs="Arial"/>
          <w:sz w:val="24"/>
          <w:szCs w:val="24"/>
        </w:rPr>
        <w:t>)</w:t>
      </w:r>
      <w:r w:rsidRPr="008F2812">
        <w:rPr>
          <w:rFonts w:ascii="Arial" w:hAnsi="Arial" w:cs="Arial"/>
          <w:sz w:val="24"/>
          <w:szCs w:val="24"/>
        </w:rPr>
        <w:t xml:space="preserve">. In the case of </w:t>
      </w:r>
      <w:r>
        <w:rPr>
          <w:rFonts w:ascii="Arial" w:hAnsi="Arial" w:cs="Arial"/>
          <w:sz w:val="24"/>
          <w:szCs w:val="24"/>
        </w:rPr>
        <w:t xml:space="preserve">the </w:t>
      </w:r>
      <w:r w:rsidRPr="008F2812">
        <w:rPr>
          <w:rFonts w:ascii="Arial" w:hAnsi="Arial" w:cs="Arial"/>
          <w:sz w:val="24"/>
          <w:szCs w:val="24"/>
        </w:rPr>
        <w:t>TCA</w:t>
      </w:r>
      <w:r>
        <w:rPr>
          <w:rFonts w:ascii="Arial" w:hAnsi="Arial" w:cs="Arial"/>
          <w:sz w:val="24"/>
          <w:szCs w:val="24"/>
        </w:rPr>
        <w:t xml:space="preserve"> cycle</w:t>
      </w:r>
      <w:r w:rsidRPr="008F2812">
        <w:rPr>
          <w:rFonts w:ascii="Arial" w:hAnsi="Arial" w:cs="Arial"/>
          <w:sz w:val="24"/>
          <w:szCs w:val="24"/>
        </w:rPr>
        <w:t xml:space="preserve">, 31 </w:t>
      </w:r>
      <w:r>
        <w:rPr>
          <w:rFonts w:ascii="Arial" w:hAnsi="Arial" w:cs="Arial"/>
          <w:sz w:val="24"/>
          <w:szCs w:val="24"/>
        </w:rPr>
        <w:t>proteins</w:t>
      </w:r>
      <w:r w:rsidRPr="008F2812">
        <w:rPr>
          <w:rFonts w:ascii="Arial" w:hAnsi="Arial" w:cs="Arial"/>
          <w:sz w:val="24"/>
          <w:szCs w:val="24"/>
        </w:rPr>
        <w:t xml:space="preserve"> are involved in this metabolic pathway, with 25 hav</w:t>
      </w:r>
      <w:r>
        <w:rPr>
          <w:rFonts w:ascii="Arial" w:hAnsi="Arial" w:cs="Arial"/>
          <w:sz w:val="24"/>
          <w:szCs w:val="24"/>
        </w:rPr>
        <w:t>ing a match with the global</w:t>
      </w:r>
      <w:r w:rsidRPr="008F2812">
        <w:rPr>
          <w:rFonts w:ascii="Arial" w:hAnsi="Arial" w:cs="Arial"/>
          <w:sz w:val="24"/>
          <w:szCs w:val="24"/>
        </w:rPr>
        <w:t xml:space="preserve"> proteome </w:t>
      </w:r>
      <w:r>
        <w:rPr>
          <w:rFonts w:ascii="Arial" w:hAnsi="Arial" w:cs="Arial"/>
          <w:sz w:val="24"/>
          <w:szCs w:val="24"/>
        </w:rPr>
        <w:t xml:space="preserve">dataset </w:t>
      </w:r>
      <w:r w:rsidRPr="008F2812">
        <w:rPr>
          <w:rFonts w:ascii="Arial" w:hAnsi="Arial" w:cs="Arial"/>
          <w:sz w:val="24"/>
          <w:szCs w:val="24"/>
        </w:rPr>
        <w:t xml:space="preserve">(81% coverage cover of pathway), and </w:t>
      </w:r>
      <w:r>
        <w:rPr>
          <w:rFonts w:ascii="Arial" w:hAnsi="Arial" w:cs="Arial"/>
          <w:sz w:val="24"/>
          <w:szCs w:val="24"/>
        </w:rPr>
        <w:t>scarcely</w:t>
      </w:r>
      <w:r w:rsidRPr="008F2812">
        <w:rPr>
          <w:rFonts w:ascii="Arial" w:hAnsi="Arial" w:cs="Arial"/>
          <w:sz w:val="24"/>
          <w:szCs w:val="24"/>
        </w:rPr>
        <w:t xml:space="preserve"> 6 h</w:t>
      </w:r>
      <w:r>
        <w:rPr>
          <w:rFonts w:ascii="Arial" w:hAnsi="Arial" w:cs="Arial"/>
          <w:sz w:val="24"/>
          <w:szCs w:val="24"/>
        </w:rPr>
        <w:t>aving a match according to the a</w:t>
      </w:r>
      <w:r w:rsidRPr="008F2812">
        <w:rPr>
          <w:rFonts w:ascii="Arial" w:hAnsi="Arial" w:cs="Arial"/>
          <w:sz w:val="24"/>
          <w:szCs w:val="24"/>
        </w:rPr>
        <w:t xml:space="preserve">cetylated proteome </w:t>
      </w:r>
      <w:r>
        <w:rPr>
          <w:rFonts w:ascii="Arial" w:hAnsi="Arial" w:cs="Arial"/>
          <w:sz w:val="24"/>
          <w:szCs w:val="24"/>
        </w:rPr>
        <w:t xml:space="preserve">dataset </w:t>
      </w:r>
      <w:r w:rsidRPr="008F2812">
        <w:rPr>
          <w:rFonts w:ascii="Arial" w:hAnsi="Arial" w:cs="Arial"/>
          <w:sz w:val="24"/>
          <w:szCs w:val="24"/>
        </w:rPr>
        <w:t xml:space="preserve">(19% coverage of pathway). In β-oxidation 40 </w:t>
      </w:r>
      <w:r>
        <w:rPr>
          <w:rFonts w:ascii="Arial" w:hAnsi="Arial" w:cs="Arial"/>
          <w:sz w:val="24"/>
          <w:szCs w:val="24"/>
        </w:rPr>
        <w:t>proteins</w:t>
      </w:r>
      <w:r w:rsidRPr="008F2812">
        <w:rPr>
          <w:rFonts w:ascii="Arial" w:hAnsi="Arial" w:cs="Arial"/>
          <w:sz w:val="24"/>
          <w:szCs w:val="24"/>
        </w:rPr>
        <w:t xml:space="preserve"> are im</w:t>
      </w:r>
      <w:r>
        <w:rPr>
          <w:rFonts w:ascii="Arial" w:hAnsi="Arial" w:cs="Arial"/>
          <w:sz w:val="24"/>
          <w:szCs w:val="24"/>
        </w:rPr>
        <w:t>plicated, with 22 found in the global</w:t>
      </w:r>
      <w:r w:rsidRPr="008F2812">
        <w:rPr>
          <w:rFonts w:ascii="Arial" w:hAnsi="Arial" w:cs="Arial"/>
          <w:sz w:val="24"/>
          <w:szCs w:val="24"/>
        </w:rPr>
        <w:t xml:space="preserve"> </w:t>
      </w:r>
      <w:r>
        <w:rPr>
          <w:rFonts w:ascii="Arial" w:hAnsi="Arial" w:cs="Arial"/>
          <w:sz w:val="24"/>
          <w:szCs w:val="24"/>
        </w:rPr>
        <w:t xml:space="preserve">proteome dataset </w:t>
      </w:r>
      <w:r w:rsidRPr="008F2812">
        <w:rPr>
          <w:rFonts w:ascii="Arial" w:hAnsi="Arial" w:cs="Arial"/>
          <w:sz w:val="24"/>
          <w:szCs w:val="24"/>
        </w:rPr>
        <w:t>(55% coverage of path</w:t>
      </w:r>
      <w:r>
        <w:rPr>
          <w:rFonts w:ascii="Arial" w:hAnsi="Arial" w:cs="Arial"/>
          <w:sz w:val="24"/>
          <w:szCs w:val="24"/>
        </w:rPr>
        <w:t>way) and merely 7 found in the a</w:t>
      </w:r>
      <w:r w:rsidRPr="008F2812">
        <w:rPr>
          <w:rFonts w:ascii="Arial" w:hAnsi="Arial" w:cs="Arial"/>
          <w:sz w:val="24"/>
          <w:szCs w:val="24"/>
        </w:rPr>
        <w:t>cetylated proteome dataset (18% coverage of pathway)</w:t>
      </w:r>
      <w:r>
        <w:rPr>
          <w:rFonts w:ascii="Arial" w:hAnsi="Arial" w:cs="Arial"/>
          <w:sz w:val="24"/>
          <w:szCs w:val="24"/>
        </w:rPr>
        <w:t xml:space="preserve"> (Table </w:t>
      </w:r>
      <w:r w:rsidR="00806F63">
        <w:rPr>
          <w:rFonts w:ascii="Arial" w:hAnsi="Arial" w:cs="Arial"/>
          <w:sz w:val="24"/>
          <w:szCs w:val="24"/>
        </w:rPr>
        <w:t>10</w:t>
      </w:r>
      <w:r>
        <w:rPr>
          <w:rFonts w:ascii="Arial" w:hAnsi="Arial" w:cs="Arial"/>
          <w:sz w:val="24"/>
          <w:szCs w:val="24"/>
        </w:rPr>
        <w:t>)</w:t>
      </w:r>
      <w:r w:rsidRPr="008F2812">
        <w:rPr>
          <w:rFonts w:ascii="Arial" w:hAnsi="Arial" w:cs="Arial"/>
          <w:sz w:val="24"/>
          <w:szCs w:val="24"/>
        </w:rPr>
        <w:t xml:space="preserve">. Regarding pyruvate metabolism, 40 </w:t>
      </w:r>
      <w:r>
        <w:rPr>
          <w:rFonts w:ascii="Arial" w:hAnsi="Arial" w:cs="Arial"/>
          <w:sz w:val="24"/>
          <w:szCs w:val="24"/>
        </w:rPr>
        <w:t>proteins</w:t>
      </w:r>
      <w:r w:rsidRPr="008F2812">
        <w:rPr>
          <w:rFonts w:ascii="Arial" w:hAnsi="Arial" w:cs="Arial"/>
          <w:sz w:val="24"/>
          <w:szCs w:val="24"/>
        </w:rPr>
        <w:t xml:space="preserve"> are associated to this metabolic pathway. Of those </w:t>
      </w:r>
      <w:r>
        <w:rPr>
          <w:rFonts w:ascii="Arial" w:hAnsi="Arial" w:cs="Arial"/>
          <w:sz w:val="24"/>
          <w:szCs w:val="24"/>
        </w:rPr>
        <w:t>40 proteins, 26 were found in the t</w:t>
      </w:r>
      <w:r w:rsidRPr="008F2812">
        <w:rPr>
          <w:rFonts w:ascii="Arial" w:hAnsi="Arial" w:cs="Arial"/>
          <w:sz w:val="24"/>
          <w:szCs w:val="24"/>
        </w:rPr>
        <w:t xml:space="preserve">otal proteome dataset (65% coverage of pathway), whilst </w:t>
      </w:r>
      <w:r>
        <w:rPr>
          <w:rFonts w:ascii="Arial" w:hAnsi="Arial" w:cs="Arial"/>
          <w:sz w:val="24"/>
          <w:szCs w:val="24"/>
        </w:rPr>
        <w:t>only 8 were found to match the a</w:t>
      </w:r>
      <w:r w:rsidRPr="008F2812">
        <w:rPr>
          <w:rFonts w:ascii="Arial" w:hAnsi="Arial" w:cs="Arial"/>
          <w:sz w:val="24"/>
          <w:szCs w:val="24"/>
        </w:rPr>
        <w:t>cetylated proteome dataset (20% coverage of pathway)</w:t>
      </w:r>
      <w:r>
        <w:rPr>
          <w:rFonts w:ascii="Arial" w:hAnsi="Arial" w:cs="Arial"/>
          <w:sz w:val="24"/>
          <w:szCs w:val="24"/>
        </w:rPr>
        <w:t xml:space="preserve"> (Table </w:t>
      </w:r>
      <w:r w:rsidR="00806F63">
        <w:rPr>
          <w:rFonts w:ascii="Arial" w:hAnsi="Arial" w:cs="Arial"/>
          <w:sz w:val="24"/>
          <w:szCs w:val="24"/>
        </w:rPr>
        <w:t>10</w:t>
      </w:r>
      <w:r>
        <w:rPr>
          <w:rFonts w:ascii="Arial" w:hAnsi="Arial" w:cs="Arial"/>
          <w:sz w:val="24"/>
          <w:szCs w:val="24"/>
        </w:rPr>
        <w:t>)</w:t>
      </w:r>
      <w:r w:rsidRPr="008F2812">
        <w:rPr>
          <w:rFonts w:ascii="Arial" w:hAnsi="Arial" w:cs="Arial"/>
          <w:sz w:val="24"/>
          <w:szCs w:val="24"/>
        </w:rPr>
        <w:t>.</w:t>
      </w:r>
    </w:p>
    <w:p w:rsidR="00DD6198" w:rsidRDefault="00DD6198">
      <w:pPr>
        <w:rPr>
          <w:rFonts w:ascii="Arial" w:hAnsi="Arial" w:cs="Arial"/>
          <w:sz w:val="24"/>
          <w:szCs w:val="24"/>
        </w:rPr>
      </w:pPr>
      <w:r>
        <w:rPr>
          <w:rFonts w:ascii="Arial" w:hAnsi="Arial" w:cs="Arial"/>
          <w:sz w:val="24"/>
          <w:szCs w:val="24"/>
        </w:rPr>
        <w:br w:type="page"/>
      </w:r>
    </w:p>
    <w:tbl>
      <w:tblPr>
        <w:tblStyle w:val="LightList1"/>
        <w:tblW w:w="8789" w:type="dxa"/>
        <w:tblInd w:w="108" w:type="dxa"/>
        <w:tblLook w:val="04A0" w:firstRow="1" w:lastRow="0" w:firstColumn="1" w:lastColumn="0" w:noHBand="0" w:noVBand="1"/>
      </w:tblPr>
      <w:tblGrid>
        <w:gridCol w:w="1877"/>
        <w:gridCol w:w="2774"/>
        <w:gridCol w:w="4138"/>
      </w:tblGrid>
      <w:tr w:rsidR="00EF1380" w:rsidTr="009B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vAlign w:val="center"/>
          </w:tcPr>
          <w:p w:rsidR="00EF1380" w:rsidRPr="00906BEC" w:rsidRDefault="00EF1380" w:rsidP="009B400B">
            <w:pPr>
              <w:spacing w:line="360" w:lineRule="auto"/>
              <w:jc w:val="center"/>
              <w:rPr>
                <w:rFonts w:ascii="Calibri" w:hAnsi="Calibri" w:cs="Arial"/>
                <w:sz w:val="16"/>
                <w:szCs w:val="16"/>
              </w:rPr>
            </w:pPr>
            <w:r w:rsidRPr="00906BEC">
              <w:rPr>
                <w:rFonts w:ascii="Calibri" w:hAnsi="Calibri" w:cs="Arial"/>
                <w:sz w:val="16"/>
                <w:szCs w:val="16"/>
              </w:rPr>
              <w:lastRenderedPageBreak/>
              <w:t>Pathway</w:t>
            </w:r>
          </w:p>
        </w:tc>
        <w:tc>
          <w:tcPr>
            <w:tcW w:w="2774" w:type="dxa"/>
            <w:vAlign w:val="center"/>
          </w:tcPr>
          <w:p w:rsidR="00EF1380" w:rsidRPr="00906BEC" w:rsidRDefault="00EF1380" w:rsidP="009B400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All pathway proteins</w:t>
            </w:r>
          </w:p>
        </w:tc>
        <w:tc>
          <w:tcPr>
            <w:tcW w:w="4138" w:type="dxa"/>
            <w:vAlign w:val="center"/>
          </w:tcPr>
          <w:p w:rsidR="00EF1380" w:rsidRPr="00906BEC" w:rsidRDefault="00EF1380" w:rsidP="009B400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All list proteins</w:t>
            </w:r>
          </w:p>
          <w:p w:rsidR="00EF1380" w:rsidRPr="00906BEC" w:rsidRDefault="00EF1380" w:rsidP="009B400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Arial" w:hAnsi="Arial" w:cs="Arial"/>
                <w:sz w:val="16"/>
                <w:szCs w:val="16"/>
              </w:rPr>
              <w:t>(global proteome/acetylated proteome)</w:t>
            </w:r>
          </w:p>
        </w:tc>
      </w:tr>
      <w:tr w:rsidR="00EF1380" w:rsidTr="009B4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vAlign w:val="center"/>
          </w:tcPr>
          <w:p w:rsidR="00EF1380" w:rsidRPr="00906BEC" w:rsidRDefault="00EF1380" w:rsidP="009B400B">
            <w:pPr>
              <w:spacing w:line="360" w:lineRule="auto"/>
              <w:jc w:val="center"/>
              <w:rPr>
                <w:rFonts w:ascii="Calibri" w:hAnsi="Calibri" w:cs="Arial"/>
                <w:sz w:val="16"/>
                <w:szCs w:val="16"/>
              </w:rPr>
            </w:pPr>
            <w:r w:rsidRPr="00906BEC">
              <w:rPr>
                <w:rFonts w:ascii="Calibri" w:hAnsi="Calibri" w:cs="Arial"/>
                <w:sz w:val="16"/>
                <w:szCs w:val="16"/>
              </w:rPr>
              <w:t>Glycolysis</w:t>
            </w:r>
          </w:p>
        </w:tc>
        <w:tc>
          <w:tcPr>
            <w:tcW w:w="2774" w:type="dxa"/>
            <w:vAlign w:val="center"/>
          </w:tcPr>
          <w:p w:rsidR="00EF1380" w:rsidRPr="00906BEC" w:rsidRDefault="00EF1380" w:rsidP="009B400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60</w:t>
            </w:r>
          </w:p>
        </w:tc>
        <w:tc>
          <w:tcPr>
            <w:tcW w:w="4138" w:type="dxa"/>
            <w:vAlign w:val="center"/>
          </w:tcPr>
          <w:p w:rsidR="00EF1380" w:rsidRPr="00906BEC" w:rsidRDefault="00EF1380" w:rsidP="009B400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39/14</w:t>
            </w:r>
          </w:p>
        </w:tc>
      </w:tr>
      <w:tr w:rsidR="00EF1380" w:rsidTr="009B400B">
        <w:tc>
          <w:tcPr>
            <w:cnfStyle w:val="001000000000" w:firstRow="0" w:lastRow="0" w:firstColumn="1" w:lastColumn="0" w:oddVBand="0" w:evenVBand="0" w:oddHBand="0" w:evenHBand="0" w:firstRowFirstColumn="0" w:firstRowLastColumn="0" w:lastRowFirstColumn="0" w:lastRowLastColumn="0"/>
            <w:tcW w:w="1877" w:type="dxa"/>
            <w:vAlign w:val="center"/>
          </w:tcPr>
          <w:p w:rsidR="00EF1380" w:rsidRPr="00906BEC" w:rsidRDefault="00EF1380" w:rsidP="009B400B">
            <w:pPr>
              <w:spacing w:line="360" w:lineRule="auto"/>
              <w:jc w:val="center"/>
              <w:rPr>
                <w:rFonts w:ascii="Calibri" w:hAnsi="Calibri" w:cs="Arial"/>
                <w:sz w:val="16"/>
                <w:szCs w:val="16"/>
              </w:rPr>
            </w:pPr>
            <w:r w:rsidRPr="00906BEC">
              <w:rPr>
                <w:rFonts w:ascii="Calibri" w:hAnsi="Calibri" w:cs="Arial"/>
                <w:sz w:val="16"/>
                <w:szCs w:val="16"/>
              </w:rPr>
              <w:t>The TCA cycle</w:t>
            </w:r>
          </w:p>
        </w:tc>
        <w:tc>
          <w:tcPr>
            <w:tcW w:w="2774" w:type="dxa"/>
            <w:vAlign w:val="center"/>
          </w:tcPr>
          <w:p w:rsidR="00EF1380" w:rsidRPr="00906BEC" w:rsidRDefault="00EF1380" w:rsidP="009B400B">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31</w:t>
            </w:r>
          </w:p>
        </w:tc>
        <w:tc>
          <w:tcPr>
            <w:tcW w:w="4138" w:type="dxa"/>
            <w:vAlign w:val="center"/>
          </w:tcPr>
          <w:p w:rsidR="00EF1380" w:rsidRPr="00906BEC" w:rsidRDefault="00EF1380" w:rsidP="009B400B">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25/6</w:t>
            </w:r>
          </w:p>
        </w:tc>
      </w:tr>
      <w:tr w:rsidR="00EF1380" w:rsidTr="009B4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vAlign w:val="center"/>
          </w:tcPr>
          <w:p w:rsidR="00EF1380" w:rsidRPr="00906BEC" w:rsidRDefault="00EF1380" w:rsidP="009B400B">
            <w:pPr>
              <w:spacing w:line="360" w:lineRule="auto"/>
              <w:jc w:val="center"/>
              <w:rPr>
                <w:rFonts w:ascii="Calibri" w:hAnsi="Calibri" w:cs="Arial"/>
                <w:sz w:val="16"/>
                <w:szCs w:val="16"/>
              </w:rPr>
            </w:pPr>
            <w:r w:rsidRPr="00906BEC">
              <w:rPr>
                <w:rFonts w:ascii="Calibri" w:hAnsi="Calibri" w:cs="Arial"/>
                <w:sz w:val="16"/>
                <w:szCs w:val="16"/>
              </w:rPr>
              <w:t>β-oxidation</w:t>
            </w:r>
          </w:p>
        </w:tc>
        <w:tc>
          <w:tcPr>
            <w:tcW w:w="2774" w:type="dxa"/>
            <w:vAlign w:val="center"/>
          </w:tcPr>
          <w:p w:rsidR="00EF1380" w:rsidRPr="00906BEC" w:rsidRDefault="00EF1380" w:rsidP="009B400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40</w:t>
            </w:r>
          </w:p>
        </w:tc>
        <w:tc>
          <w:tcPr>
            <w:tcW w:w="4138" w:type="dxa"/>
            <w:vAlign w:val="center"/>
          </w:tcPr>
          <w:p w:rsidR="00EF1380" w:rsidRPr="00906BEC" w:rsidRDefault="00EF1380" w:rsidP="009B400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22/7</w:t>
            </w:r>
          </w:p>
        </w:tc>
      </w:tr>
      <w:tr w:rsidR="00EF1380" w:rsidTr="009B400B">
        <w:tc>
          <w:tcPr>
            <w:cnfStyle w:val="001000000000" w:firstRow="0" w:lastRow="0" w:firstColumn="1" w:lastColumn="0" w:oddVBand="0" w:evenVBand="0" w:oddHBand="0" w:evenHBand="0" w:firstRowFirstColumn="0" w:firstRowLastColumn="0" w:lastRowFirstColumn="0" w:lastRowLastColumn="0"/>
            <w:tcW w:w="1877" w:type="dxa"/>
            <w:vAlign w:val="center"/>
          </w:tcPr>
          <w:p w:rsidR="00EF1380" w:rsidRPr="00906BEC" w:rsidRDefault="00EF1380" w:rsidP="009B400B">
            <w:pPr>
              <w:spacing w:line="360" w:lineRule="auto"/>
              <w:jc w:val="center"/>
              <w:rPr>
                <w:rFonts w:ascii="Calibri" w:hAnsi="Calibri" w:cs="Arial"/>
                <w:sz w:val="16"/>
                <w:szCs w:val="16"/>
              </w:rPr>
            </w:pPr>
            <w:r w:rsidRPr="00906BEC">
              <w:rPr>
                <w:rFonts w:ascii="Calibri" w:hAnsi="Calibri" w:cs="Arial"/>
                <w:sz w:val="16"/>
                <w:szCs w:val="16"/>
              </w:rPr>
              <w:t>Pyruvate metabolism</w:t>
            </w:r>
          </w:p>
        </w:tc>
        <w:tc>
          <w:tcPr>
            <w:tcW w:w="2774" w:type="dxa"/>
            <w:vAlign w:val="center"/>
          </w:tcPr>
          <w:p w:rsidR="00EF1380" w:rsidRPr="00906BEC" w:rsidRDefault="00EF1380" w:rsidP="009B400B">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40</w:t>
            </w:r>
          </w:p>
        </w:tc>
        <w:tc>
          <w:tcPr>
            <w:tcW w:w="4138" w:type="dxa"/>
            <w:vAlign w:val="center"/>
          </w:tcPr>
          <w:p w:rsidR="00EF1380" w:rsidRPr="00906BEC" w:rsidRDefault="00EF1380" w:rsidP="009B400B">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906BEC">
              <w:rPr>
                <w:rFonts w:ascii="Calibri" w:hAnsi="Calibri" w:cs="Arial"/>
                <w:sz w:val="16"/>
                <w:szCs w:val="16"/>
              </w:rPr>
              <w:t>26/8</w:t>
            </w:r>
          </w:p>
        </w:tc>
      </w:tr>
    </w:tbl>
    <w:p w:rsidR="00EF1380" w:rsidRPr="007815B6" w:rsidRDefault="00CD2A4C" w:rsidP="00CD2A4C">
      <w:pPr>
        <w:pStyle w:val="Caption"/>
        <w:rPr>
          <w:rFonts w:ascii="Arial" w:hAnsi="Arial" w:cs="Arial"/>
          <w:color w:val="auto"/>
          <w:sz w:val="16"/>
          <w:szCs w:val="16"/>
        </w:rPr>
      </w:pPr>
      <w:bookmarkStart w:id="97" w:name="_Toc364683127"/>
      <w:bookmarkStart w:id="98" w:name="_Toc413666997"/>
      <w:proofErr w:type="gramStart"/>
      <w:r w:rsidRPr="00CD2A4C">
        <w:rPr>
          <w:rFonts w:ascii="Arial" w:hAnsi="Arial" w:cs="Arial"/>
          <w:color w:val="auto"/>
          <w:sz w:val="16"/>
        </w:rPr>
        <w:t xml:space="preserve">Table </w:t>
      </w:r>
      <w:r w:rsidRPr="00CD2A4C">
        <w:rPr>
          <w:rFonts w:ascii="Arial" w:hAnsi="Arial" w:cs="Arial"/>
          <w:color w:val="auto"/>
          <w:sz w:val="16"/>
        </w:rPr>
        <w:fldChar w:fldCharType="begin"/>
      </w:r>
      <w:r w:rsidRPr="00CD2A4C">
        <w:rPr>
          <w:rFonts w:ascii="Arial" w:hAnsi="Arial" w:cs="Arial"/>
          <w:color w:val="auto"/>
          <w:sz w:val="16"/>
        </w:rPr>
        <w:instrText xml:space="preserve"> SEQ Table \* ARABIC </w:instrText>
      </w:r>
      <w:r w:rsidRPr="00CD2A4C">
        <w:rPr>
          <w:rFonts w:ascii="Arial" w:hAnsi="Arial" w:cs="Arial"/>
          <w:color w:val="auto"/>
          <w:sz w:val="16"/>
        </w:rPr>
        <w:fldChar w:fldCharType="separate"/>
      </w:r>
      <w:r w:rsidR="00DC0376">
        <w:rPr>
          <w:rFonts w:ascii="Arial" w:hAnsi="Arial" w:cs="Arial"/>
          <w:noProof/>
          <w:color w:val="auto"/>
          <w:sz w:val="16"/>
        </w:rPr>
        <w:t>10</w:t>
      </w:r>
      <w:r w:rsidRPr="00CD2A4C">
        <w:rPr>
          <w:rFonts w:ascii="Arial" w:hAnsi="Arial" w:cs="Arial"/>
          <w:color w:val="auto"/>
          <w:sz w:val="16"/>
        </w:rPr>
        <w:fldChar w:fldCharType="end"/>
      </w:r>
      <w:r w:rsidR="00EF1380" w:rsidRPr="00283410">
        <w:rPr>
          <w:color w:val="auto"/>
        </w:rPr>
        <w:t>.</w:t>
      </w:r>
      <w:proofErr w:type="gramEnd"/>
      <w:r w:rsidR="00EF1380" w:rsidRPr="00283410">
        <w:rPr>
          <w:color w:val="auto"/>
        </w:rPr>
        <w:t xml:space="preserve"> </w:t>
      </w:r>
      <w:proofErr w:type="gramStart"/>
      <w:r w:rsidR="00EF1380" w:rsidRPr="00283410">
        <w:rPr>
          <w:rFonts w:ascii="Arial" w:hAnsi="Arial" w:cs="Arial"/>
          <w:color w:val="auto"/>
          <w:sz w:val="16"/>
          <w:szCs w:val="16"/>
        </w:rPr>
        <w:t>Coverage ratio.</w:t>
      </w:r>
      <w:proofErr w:type="gramEnd"/>
      <w:r w:rsidR="00EF1380" w:rsidRPr="00283410">
        <w:rPr>
          <w:rFonts w:ascii="Arial" w:hAnsi="Arial" w:cs="Arial"/>
          <w:color w:val="auto"/>
          <w:sz w:val="16"/>
          <w:szCs w:val="16"/>
        </w:rPr>
        <w:t xml:space="preserve">  </w:t>
      </w:r>
      <w:r w:rsidR="00EF1380" w:rsidRPr="00283410">
        <w:rPr>
          <w:rFonts w:ascii="Arial" w:hAnsi="Arial" w:cs="Arial"/>
          <w:i/>
          <w:color w:val="auto"/>
          <w:sz w:val="16"/>
          <w:szCs w:val="16"/>
        </w:rPr>
        <w:t xml:space="preserve">Number of </w:t>
      </w:r>
      <w:r w:rsidR="00EF1380">
        <w:rPr>
          <w:rFonts w:ascii="Arial" w:hAnsi="Arial" w:cs="Arial"/>
          <w:i/>
          <w:color w:val="auto"/>
          <w:sz w:val="16"/>
          <w:szCs w:val="16"/>
        </w:rPr>
        <w:t>proteins in the global</w:t>
      </w:r>
      <w:r w:rsidR="00EF1380" w:rsidRPr="00283410">
        <w:rPr>
          <w:rFonts w:ascii="Arial" w:hAnsi="Arial" w:cs="Arial"/>
          <w:i/>
          <w:color w:val="auto"/>
          <w:sz w:val="16"/>
          <w:szCs w:val="16"/>
        </w:rPr>
        <w:t xml:space="preserve"> and acetylated proteome dataset</w:t>
      </w:r>
      <w:r w:rsidR="00EF1380">
        <w:rPr>
          <w:rFonts w:ascii="Arial" w:hAnsi="Arial" w:cs="Arial"/>
          <w:i/>
          <w:color w:val="auto"/>
          <w:sz w:val="16"/>
          <w:szCs w:val="16"/>
        </w:rPr>
        <w:t>s</w:t>
      </w:r>
      <w:r w:rsidR="00EF1380" w:rsidRPr="00283410">
        <w:rPr>
          <w:rFonts w:ascii="Arial" w:hAnsi="Arial" w:cs="Arial"/>
          <w:i/>
          <w:color w:val="auto"/>
          <w:sz w:val="16"/>
          <w:szCs w:val="16"/>
        </w:rPr>
        <w:t xml:space="preserve"> found to match the total number of </w:t>
      </w:r>
      <w:r w:rsidR="00EF1380">
        <w:rPr>
          <w:rFonts w:ascii="Arial" w:hAnsi="Arial" w:cs="Arial"/>
          <w:i/>
          <w:color w:val="auto"/>
          <w:sz w:val="16"/>
          <w:szCs w:val="16"/>
        </w:rPr>
        <w:t>proteins</w:t>
      </w:r>
      <w:r w:rsidR="00EF1380" w:rsidRPr="00283410">
        <w:rPr>
          <w:rFonts w:ascii="Arial" w:hAnsi="Arial" w:cs="Arial"/>
          <w:i/>
          <w:color w:val="auto"/>
          <w:sz w:val="16"/>
          <w:szCs w:val="16"/>
        </w:rPr>
        <w:t xml:space="preserve"> taking part in </w:t>
      </w:r>
      <w:bookmarkEnd w:id="97"/>
      <w:r w:rsidR="00EF1380">
        <w:rPr>
          <w:rFonts w:ascii="Arial" w:hAnsi="Arial" w:cs="Arial"/>
          <w:i/>
          <w:color w:val="auto"/>
          <w:sz w:val="16"/>
          <w:szCs w:val="16"/>
        </w:rPr>
        <w:t xml:space="preserve">glycolysis, the TCA cycle, </w:t>
      </w:r>
      <w:r w:rsidR="00EF1380" w:rsidRPr="007815B6">
        <w:rPr>
          <w:rFonts w:ascii="Arial" w:hAnsi="Arial" w:cs="Arial"/>
          <w:i/>
          <w:color w:val="auto"/>
          <w:sz w:val="16"/>
          <w:szCs w:val="16"/>
        </w:rPr>
        <w:t>β-oxidation, and pyruvate metabolism</w:t>
      </w:r>
      <w:r w:rsidR="00F47107">
        <w:rPr>
          <w:rFonts w:ascii="Arial" w:hAnsi="Arial" w:cs="Arial"/>
          <w:i/>
          <w:color w:val="auto"/>
          <w:sz w:val="16"/>
          <w:szCs w:val="16"/>
        </w:rPr>
        <w:t xml:space="preserve"> pathways</w:t>
      </w:r>
      <w:r w:rsidR="00EF1380">
        <w:rPr>
          <w:rFonts w:ascii="Arial" w:hAnsi="Arial" w:cs="Arial"/>
          <w:i/>
          <w:color w:val="auto"/>
          <w:sz w:val="16"/>
          <w:szCs w:val="16"/>
        </w:rPr>
        <w:t>.</w:t>
      </w:r>
      <w:r w:rsidR="00EF1380">
        <w:rPr>
          <w:rFonts w:ascii="Arial" w:hAnsi="Arial" w:cs="Arial"/>
          <w:color w:val="auto"/>
          <w:sz w:val="16"/>
          <w:szCs w:val="16"/>
        </w:rPr>
        <w:t xml:space="preserve"> </w:t>
      </w:r>
      <w:r w:rsidR="00EF1380" w:rsidRPr="007815B6">
        <w:rPr>
          <w:rFonts w:ascii="Arial" w:hAnsi="Arial" w:cs="Arial"/>
          <w:i/>
          <w:color w:val="auto"/>
          <w:sz w:val="16"/>
          <w:szCs w:val="16"/>
        </w:rPr>
        <w:t>All pathway proteins column shows the total number of enzymes in each metabolic pathway</w:t>
      </w:r>
      <w:r w:rsidR="00EF1380">
        <w:rPr>
          <w:rFonts w:ascii="Arial" w:hAnsi="Arial" w:cs="Arial"/>
          <w:i/>
          <w:color w:val="auto"/>
          <w:sz w:val="16"/>
          <w:szCs w:val="16"/>
        </w:rPr>
        <w:t>;</w:t>
      </w:r>
      <w:r w:rsidR="00EF1380" w:rsidRPr="007815B6">
        <w:rPr>
          <w:rFonts w:ascii="Arial" w:hAnsi="Arial" w:cs="Arial"/>
          <w:i/>
          <w:color w:val="auto"/>
          <w:sz w:val="16"/>
          <w:szCs w:val="16"/>
        </w:rPr>
        <w:t xml:space="preserve"> </w:t>
      </w:r>
      <w:proofErr w:type="gramStart"/>
      <w:r w:rsidR="00EF1380" w:rsidRPr="007815B6">
        <w:rPr>
          <w:rFonts w:ascii="Arial" w:hAnsi="Arial" w:cs="Arial"/>
          <w:i/>
          <w:color w:val="auto"/>
          <w:sz w:val="16"/>
          <w:szCs w:val="16"/>
        </w:rPr>
        <w:t>All</w:t>
      </w:r>
      <w:proofErr w:type="gramEnd"/>
      <w:r w:rsidR="00EF1380" w:rsidRPr="007815B6">
        <w:rPr>
          <w:rFonts w:ascii="Arial" w:hAnsi="Arial" w:cs="Arial"/>
          <w:i/>
          <w:color w:val="auto"/>
          <w:sz w:val="16"/>
          <w:szCs w:val="16"/>
        </w:rPr>
        <w:t xml:space="preserve"> list proteins </w:t>
      </w:r>
      <w:r w:rsidR="00EF1380">
        <w:rPr>
          <w:rFonts w:ascii="Arial" w:hAnsi="Arial" w:cs="Arial"/>
          <w:i/>
          <w:color w:val="auto"/>
          <w:sz w:val="16"/>
          <w:szCs w:val="16"/>
        </w:rPr>
        <w:t xml:space="preserve">column </w:t>
      </w:r>
      <w:r w:rsidR="00EF1380" w:rsidRPr="007815B6">
        <w:rPr>
          <w:rFonts w:ascii="Arial" w:hAnsi="Arial" w:cs="Arial"/>
          <w:i/>
          <w:color w:val="auto"/>
          <w:sz w:val="16"/>
          <w:szCs w:val="16"/>
        </w:rPr>
        <w:t>show</w:t>
      </w:r>
      <w:r w:rsidR="00EF1380">
        <w:rPr>
          <w:rFonts w:ascii="Arial" w:hAnsi="Arial" w:cs="Arial"/>
          <w:i/>
          <w:color w:val="auto"/>
          <w:sz w:val="16"/>
          <w:szCs w:val="16"/>
        </w:rPr>
        <w:t>s</w:t>
      </w:r>
      <w:r w:rsidR="00EF1380" w:rsidRPr="007815B6">
        <w:rPr>
          <w:rFonts w:ascii="Arial" w:hAnsi="Arial" w:cs="Arial"/>
          <w:i/>
          <w:color w:val="auto"/>
          <w:sz w:val="16"/>
          <w:szCs w:val="16"/>
        </w:rPr>
        <w:t xml:space="preserve"> the number of enz</w:t>
      </w:r>
      <w:r w:rsidR="00EF1380">
        <w:rPr>
          <w:rFonts w:ascii="Arial" w:hAnsi="Arial" w:cs="Arial"/>
          <w:i/>
          <w:color w:val="auto"/>
          <w:sz w:val="16"/>
          <w:szCs w:val="16"/>
        </w:rPr>
        <w:t>ymes found in the global (left) and acetylated (right) proteome datasets.</w:t>
      </w:r>
      <w:bookmarkEnd w:id="98"/>
    </w:p>
    <w:p w:rsidR="00EF1380" w:rsidRPr="00436CA9" w:rsidRDefault="00EF1380" w:rsidP="00EF1380">
      <w:pPr>
        <w:pStyle w:val="Heading1"/>
        <w:rPr>
          <w:rFonts w:ascii="Arial" w:hAnsi="Arial" w:cs="Arial"/>
          <w:sz w:val="24"/>
          <w:szCs w:val="24"/>
        </w:rPr>
      </w:pPr>
      <w:bookmarkStart w:id="99" w:name="_Toc363210252"/>
      <w:bookmarkStart w:id="100" w:name="_Toc363210253"/>
      <w:bookmarkStart w:id="101" w:name="_Toc364682859"/>
      <w:bookmarkStart w:id="102" w:name="_Toc413753766"/>
      <w:bookmarkEnd w:id="99"/>
      <w:r w:rsidRPr="00436CA9">
        <w:rPr>
          <w:rFonts w:ascii="Arial" w:hAnsi="Arial" w:cs="Arial"/>
          <w:sz w:val="24"/>
          <w:szCs w:val="24"/>
        </w:rPr>
        <w:t>Functional annotations</w:t>
      </w:r>
      <w:bookmarkEnd w:id="100"/>
      <w:bookmarkEnd w:id="101"/>
      <w:bookmarkEnd w:id="102"/>
    </w:p>
    <w:p w:rsidR="00EF1380" w:rsidRPr="00DD3A12" w:rsidRDefault="00EF1380" w:rsidP="00EF1380">
      <w:pPr>
        <w:spacing w:line="360" w:lineRule="auto"/>
        <w:ind w:firstLine="709"/>
        <w:jc w:val="both"/>
        <w:rPr>
          <w:rFonts w:ascii="Arial" w:hAnsi="Arial" w:cs="Arial"/>
          <w:sz w:val="24"/>
          <w:szCs w:val="24"/>
        </w:rPr>
      </w:pPr>
      <w:r w:rsidRPr="00DD3A12">
        <w:rPr>
          <w:rFonts w:ascii="Arial" w:hAnsi="Arial" w:cs="Arial"/>
          <w:sz w:val="24"/>
          <w:szCs w:val="24"/>
        </w:rPr>
        <w:t>Protein representation in the mitochondrial fractions were taken from DAVID (</w:t>
      </w:r>
      <w:hyperlink r:id="rId43" w:history="1">
        <w:r w:rsidRPr="008152FF">
          <w:rPr>
            <w:rStyle w:val="Hyperlink"/>
            <w:rFonts w:ascii="Arial" w:hAnsi="Arial" w:cs="Arial"/>
            <w:bCs/>
            <w:color w:val="auto"/>
            <w:sz w:val="24"/>
            <w:szCs w:val="24"/>
          </w:rPr>
          <w:t>http</w:t>
        </w:r>
      </w:hyperlink>
      <w:hyperlink r:id="rId44" w:history="1">
        <w:proofErr w:type="gramStart"/>
        <w:r w:rsidRPr="008152FF">
          <w:rPr>
            <w:rStyle w:val="Hyperlink"/>
            <w:rFonts w:ascii="Arial" w:hAnsi="Arial" w:cs="Arial"/>
            <w:bCs/>
            <w:color w:val="auto"/>
            <w:sz w:val="24"/>
            <w:szCs w:val="24"/>
          </w:rPr>
          <w:t>:/</w:t>
        </w:r>
        <w:proofErr w:type="gramEnd"/>
        <w:r w:rsidRPr="008152FF">
          <w:rPr>
            <w:rStyle w:val="Hyperlink"/>
            <w:rFonts w:ascii="Arial" w:hAnsi="Arial" w:cs="Arial"/>
            <w:bCs/>
            <w:color w:val="auto"/>
            <w:sz w:val="24"/>
            <w:szCs w:val="24"/>
          </w:rPr>
          <w:t>/david.abcc.ncifcrf.gov/</w:t>
        </w:r>
      </w:hyperlink>
      <w:r w:rsidRPr="00DD3A12">
        <w:rPr>
          <w:rFonts w:ascii="Arial" w:hAnsi="Arial" w:cs="Arial"/>
          <w:sz w:val="24"/>
          <w:szCs w:val="24"/>
        </w:rPr>
        <w:t xml:space="preserve">). The enrichment scores of </w:t>
      </w:r>
      <w:r>
        <w:rPr>
          <w:rFonts w:ascii="Arial" w:hAnsi="Arial" w:cs="Arial"/>
          <w:sz w:val="24"/>
          <w:szCs w:val="24"/>
        </w:rPr>
        <w:t xml:space="preserve">the functional annotations in the three different </w:t>
      </w:r>
      <w:r w:rsidRPr="00DD3A12">
        <w:rPr>
          <w:rFonts w:ascii="Arial" w:hAnsi="Arial" w:cs="Arial"/>
          <w:sz w:val="24"/>
          <w:szCs w:val="24"/>
        </w:rPr>
        <w:t xml:space="preserve">GO terms </w:t>
      </w:r>
      <w:r>
        <w:rPr>
          <w:rFonts w:ascii="Arial" w:hAnsi="Arial" w:cs="Arial"/>
          <w:sz w:val="24"/>
          <w:szCs w:val="24"/>
        </w:rPr>
        <w:t>chosen according to the aims of this project were</w:t>
      </w:r>
      <w:r w:rsidRPr="00DD3A12">
        <w:rPr>
          <w:rFonts w:ascii="Arial" w:hAnsi="Arial" w:cs="Arial"/>
          <w:sz w:val="24"/>
          <w:szCs w:val="24"/>
        </w:rPr>
        <w:t xml:space="preserve"> </w:t>
      </w:r>
      <w:r>
        <w:rPr>
          <w:rFonts w:ascii="Arial" w:hAnsi="Arial" w:cs="Arial"/>
          <w:sz w:val="24"/>
          <w:szCs w:val="24"/>
        </w:rPr>
        <w:t>analysed. The three different GO terms were BP</w:t>
      </w:r>
      <w:r w:rsidRPr="00DD3A12">
        <w:rPr>
          <w:rFonts w:ascii="Arial" w:hAnsi="Arial" w:cs="Arial"/>
          <w:sz w:val="24"/>
          <w:szCs w:val="24"/>
        </w:rPr>
        <w:t>,</w:t>
      </w:r>
      <w:r>
        <w:rPr>
          <w:rFonts w:ascii="Arial" w:hAnsi="Arial" w:cs="Arial"/>
          <w:sz w:val="24"/>
          <w:szCs w:val="24"/>
        </w:rPr>
        <w:t xml:space="preserve"> which includes extensive biological fields, like translation and RNA processing, all of them accomplished by a systematic gathering of various molecular functions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&lt;EndNote&gt;&lt;Cite&gt;&lt;Author&gt;Dennis G&lt;/Author&gt;&lt;Year&gt;2003&lt;/Year&gt;&lt;RecNum&gt;396&lt;/RecNum&gt;&lt;DisplayText&gt;(86)&lt;/DisplayText&gt;&lt;record&gt;&lt;rec-number&gt;396&lt;/rec-number&gt;&lt;foreign-keys&gt;&lt;key app="EN" db-id="zxp9w5sa30aeafes0xox2eem00dz2z2aswad"&gt;396&lt;/key&gt;&lt;/foreign-keys&gt;&lt;ref-type name="Journal Article"&gt;17&lt;/ref-type&gt;&lt;contributors&gt;&lt;authors&gt;&lt;author&gt;Dennis G, &lt;/author&gt;&lt;author&gt;Sherman B,&lt;/author&gt;&lt;author&gt;Hosack D,&lt;/author&gt;&lt;author&gt;Yang J, &lt;/author&gt;&lt;author&gt;Gao W,&lt;/author&gt;&lt;author&gt;Lane C,&lt;/author&gt;&lt;author&gt;Lempicki R,&lt;/author&gt;&lt;/authors&gt;&lt;/contributors&gt;&lt;titles&gt;&lt;title&gt;DAVID: Database for Annotation, Visualization, and Integrated Discovery&lt;/title&gt;&lt;secondary-title&gt;Genome Biol&lt;/secondary-title&gt;&lt;/titles&gt;&lt;periodical&gt;&lt;full-title&gt;Genome Biol&lt;/full-title&gt;&lt;/periodical&gt;&lt;pages&gt;P3&lt;/pages&gt;&lt;volume&gt;4&lt;/volume&gt;&lt;number&gt;5&lt;/number&gt;&lt;dates&gt;&lt;year&gt;2003&lt;/year&gt;&lt;/dates&gt;&lt;urls&gt;&lt;/urls&gt;&lt;/record&gt;&lt;/Cite&gt;&lt;/EndNote&gt;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86" w:tooltip="Dennis G, 2003 #396" w:history="1">
        <w:r w:rsidR="00AB7E17">
          <w:rPr>
            <w:rFonts w:ascii="Arial" w:hAnsi="Arial" w:cs="Arial"/>
            <w:noProof/>
            <w:sz w:val="24"/>
            <w:szCs w:val="24"/>
          </w:rPr>
          <w:t>86</w:t>
        </w:r>
      </w:hyperlink>
      <w:r w:rsidR="00FC3C1A">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t>
      </w:r>
      <w:r w:rsidRPr="00DD3A12">
        <w:rPr>
          <w:rFonts w:ascii="Arial" w:hAnsi="Arial" w:cs="Arial"/>
          <w:sz w:val="24"/>
          <w:szCs w:val="24"/>
        </w:rPr>
        <w:t>C</w:t>
      </w:r>
      <w:r w:rsidR="008C3CDA">
        <w:rPr>
          <w:rFonts w:ascii="Arial" w:hAnsi="Arial" w:cs="Arial"/>
          <w:sz w:val="24"/>
          <w:szCs w:val="24"/>
        </w:rPr>
        <w:t>C</w:t>
      </w:r>
      <w:r>
        <w:rPr>
          <w:rFonts w:ascii="Arial" w:hAnsi="Arial" w:cs="Arial"/>
          <w:sz w:val="24"/>
          <w:szCs w:val="24"/>
        </w:rPr>
        <w:t xml:space="preserve">, which gathers different subcellular macromolecular complexes, structures and locations such as intracellular organelle part and cytoplasm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&lt;EndNote&gt;&lt;Cite&gt;&lt;Author&gt;Dennis G&lt;/Author&gt;&lt;Year&gt;2003&lt;/Year&gt;&lt;RecNum&gt;396&lt;/RecNum&gt;&lt;DisplayText&gt;(86)&lt;/DisplayText&gt;&lt;record&gt;&lt;rec-number&gt;396&lt;/rec-number&gt;&lt;foreign-keys&gt;&lt;key app="EN" db-id="zxp9w5sa30aeafes0xox2eem00dz2z2aswad"&gt;396&lt;/key&gt;&lt;/foreign-keys&gt;&lt;ref-type name="Journal Article"&gt;17&lt;/ref-type&gt;&lt;contributors&gt;&lt;authors&gt;&lt;author&gt;Dennis G, &lt;/author&gt;&lt;author&gt;Sherman B,&lt;/author&gt;&lt;author&gt;Hosack D,&lt;/author&gt;&lt;author&gt;Yang J, &lt;/author&gt;&lt;author&gt;Gao W,&lt;/author&gt;&lt;author&gt;Lane C,&lt;/author&gt;&lt;author&gt;Lempicki R,&lt;/author&gt;&lt;/authors&gt;&lt;/contributors&gt;&lt;titles&gt;&lt;title&gt;DAVID: Database for Annotation, Visualization, and Integrated Discovery&lt;/title&gt;&lt;secondary-title&gt;Genome Biol&lt;/secondary-title&gt;&lt;/titles&gt;&lt;periodical&gt;&lt;full-title&gt;Genome Biol&lt;/full-title&gt;&lt;/periodical&gt;&lt;pages&gt;P3&lt;/pages&gt;&lt;volume&gt;4&lt;/volume&gt;&lt;number&gt;5&lt;/number&gt;&lt;dates&gt;&lt;year&gt;2003&lt;/year&gt;&lt;/dates&gt;&lt;urls&gt;&lt;/urls&gt;&lt;/record&gt;&lt;/Cite&gt;&lt;/EndNote&gt;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86" w:tooltip="Dennis G, 2003 #396" w:history="1">
        <w:r w:rsidR="00AB7E17">
          <w:rPr>
            <w:rFonts w:ascii="Arial" w:hAnsi="Arial" w:cs="Arial"/>
            <w:noProof/>
            <w:sz w:val="24"/>
            <w:szCs w:val="24"/>
          </w:rPr>
          <w:t>86</w:t>
        </w:r>
      </w:hyperlink>
      <w:r w:rsidR="00FC3C1A">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xml:space="preserve">; </w:t>
      </w:r>
      <w:r w:rsidRPr="00DD3A12">
        <w:rPr>
          <w:rFonts w:ascii="Arial" w:hAnsi="Arial" w:cs="Arial"/>
          <w:sz w:val="24"/>
          <w:szCs w:val="24"/>
        </w:rPr>
        <w:t>and M</w:t>
      </w:r>
      <w:r w:rsidR="008C3CDA">
        <w:rPr>
          <w:rFonts w:ascii="Arial" w:hAnsi="Arial" w:cs="Arial"/>
          <w:sz w:val="24"/>
          <w:szCs w:val="24"/>
        </w:rPr>
        <w:t>F</w:t>
      </w:r>
      <w:r w:rsidRPr="00DD3A12">
        <w:rPr>
          <w:rFonts w:ascii="Arial" w:hAnsi="Arial" w:cs="Arial"/>
          <w:sz w:val="24"/>
          <w:szCs w:val="24"/>
        </w:rPr>
        <w:t xml:space="preserve">, </w:t>
      </w:r>
      <w:r>
        <w:rPr>
          <w:rFonts w:ascii="Arial" w:hAnsi="Arial" w:cs="Arial"/>
          <w:sz w:val="24"/>
          <w:szCs w:val="24"/>
        </w:rPr>
        <w:t xml:space="preserve">which includes tasks made by individual gene products, for example pryophosphatase activity and adenyl rinonucleotide binding </w:t>
      </w:r>
      <w:r w:rsidR="006C2756">
        <w:rPr>
          <w:rFonts w:ascii="Arial" w:hAnsi="Arial" w:cs="Arial"/>
          <w:sz w:val="24"/>
          <w:szCs w:val="24"/>
        </w:rPr>
        <w:fldChar w:fldCharType="begin"/>
      </w:r>
      <w:r w:rsidR="00FC3C1A">
        <w:rPr>
          <w:rFonts w:ascii="Arial" w:hAnsi="Arial" w:cs="Arial"/>
          <w:sz w:val="24"/>
          <w:szCs w:val="24"/>
        </w:rPr>
        <w:instrText xml:space="preserve"> ADDIN EN.CITE &lt;EndNote&gt;&lt;Cite&gt;&lt;Author&gt;Dennis G&lt;/Author&gt;&lt;Year&gt;2003&lt;/Year&gt;&lt;RecNum&gt;396&lt;/RecNum&gt;&lt;DisplayText&gt;(86)&lt;/DisplayText&gt;&lt;record&gt;&lt;rec-number&gt;396&lt;/rec-number&gt;&lt;foreign-keys&gt;&lt;key app="EN" db-id="zxp9w5sa30aeafes0xox2eem00dz2z2aswad"&gt;396&lt;/key&gt;&lt;/foreign-keys&gt;&lt;ref-type name="Journal Article"&gt;17&lt;/ref-type&gt;&lt;contributors&gt;&lt;authors&gt;&lt;author&gt;Dennis G, &lt;/author&gt;&lt;author&gt;Sherman B,&lt;/author&gt;&lt;author&gt;Hosack D,&lt;/author&gt;&lt;author&gt;Yang J, &lt;/author&gt;&lt;author&gt;Gao W,&lt;/author&gt;&lt;author&gt;Lane C,&lt;/author&gt;&lt;author&gt;Lempicki R,&lt;/author&gt;&lt;/authors&gt;&lt;/contributors&gt;&lt;titles&gt;&lt;title&gt;DAVID: Database for Annotation, Visualization, and Integrated Discovery&lt;/title&gt;&lt;secondary-title&gt;Genome Biol&lt;/secondary-title&gt;&lt;/titles&gt;&lt;periodical&gt;&lt;full-title&gt;Genome Biol&lt;/full-title&gt;&lt;/periodical&gt;&lt;pages&gt;P3&lt;/pages&gt;&lt;volume&gt;4&lt;/volume&gt;&lt;number&gt;5&lt;/number&gt;&lt;dates&gt;&lt;year&gt;2003&lt;/year&gt;&lt;/dates&gt;&lt;urls&gt;&lt;/urls&gt;&lt;/record&gt;&lt;/Cite&gt;&lt;/EndNote&gt;</w:instrText>
      </w:r>
      <w:r w:rsidR="006C2756">
        <w:rPr>
          <w:rFonts w:ascii="Arial" w:hAnsi="Arial" w:cs="Arial"/>
          <w:sz w:val="24"/>
          <w:szCs w:val="24"/>
        </w:rPr>
        <w:fldChar w:fldCharType="separate"/>
      </w:r>
      <w:r w:rsidR="00FC3C1A">
        <w:rPr>
          <w:rFonts w:ascii="Arial" w:hAnsi="Arial" w:cs="Arial"/>
          <w:noProof/>
          <w:sz w:val="24"/>
          <w:szCs w:val="24"/>
        </w:rPr>
        <w:t>(</w:t>
      </w:r>
      <w:hyperlink w:anchor="_ENREF_86" w:tooltip="Dennis G, 2003 #396" w:history="1">
        <w:r w:rsidR="00AB7E17">
          <w:rPr>
            <w:rFonts w:ascii="Arial" w:hAnsi="Arial" w:cs="Arial"/>
            <w:noProof/>
            <w:sz w:val="24"/>
            <w:szCs w:val="24"/>
          </w:rPr>
          <w:t>86</w:t>
        </w:r>
      </w:hyperlink>
      <w:r w:rsidR="00FC3C1A">
        <w:rPr>
          <w:rFonts w:ascii="Arial" w:hAnsi="Arial" w:cs="Arial"/>
          <w:noProof/>
          <w:sz w:val="24"/>
          <w:szCs w:val="24"/>
        </w:rPr>
        <w:t>)</w:t>
      </w:r>
      <w:r w:rsidR="006C2756">
        <w:rPr>
          <w:rFonts w:ascii="Arial" w:hAnsi="Arial" w:cs="Arial"/>
          <w:sz w:val="24"/>
          <w:szCs w:val="24"/>
        </w:rPr>
        <w:fldChar w:fldCharType="end"/>
      </w:r>
      <w:r>
        <w:rPr>
          <w:rFonts w:ascii="Arial" w:hAnsi="Arial" w:cs="Arial"/>
          <w:sz w:val="24"/>
          <w:szCs w:val="24"/>
        </w:rPr>
        <w:t>. The t</w:t>
      </w:r>
      <w:r w:rsidRPr="00DD3A12">
        <w:rPr>
          <w:rFonts w:ascii="Arial" w:hAnsi="Arial" w:cs="Arial"/>
          <w:sz w:val="24"/>
          <w:szCs w:val="24"/>
        </w:rPr>
        <w:t xml:space="preserve">op 10 </w:t>
      </w:r>
      <w:r>
        <w:rPr>
          <w:rFonts w:ascii="Arial" w:hAnsi="Arial" w:cs="Arial"/>
          <w:sz w:val="24"/>
          <w:szCs w:val="24"/>
        </w:rPr>
        <w:t xml:space="preserve">functional annotations in the aforementioned </w:t>
      </w:r>
      <w:r w:rsidRPr="00DD3A12">
        <w:rPr>
          <w:rFonts w:ascii="Arial" w:hAnsi="Arial" w:cs="Arial"/>
          <w:sz w:val="24"/>
          <w:szCs w:val="24"/>
        </w:rPr>
        <w:t>GO terms of the fifth level of ontology were plotted and ranked (Fig</w:t>
      </w:r>
      <w:r>
        <w:rPr>
          <w:rFonts w:ascii="Arial" w:hAnsi="Arial" w:cs="Arial"/>
          <w:sz w:val="24"/>
          <w:szCs w:val="24"/>
        </w:rPr>
        <w:t>ures 1</w:t>
      </w:r>
      <w:r w:rsidR="007C66F9">
        <w:rPr>
          <w:rFonts w:ascii="Arial" w:hAnsi="Arial" w:cs="Arial"/>
          <w:sz w:val="24"/>
          <w:szCs w:val="24"/>
        </w:rPr>
        <w:t>3</w:t>
      </w:r>
      <w:r>
        <w:rPr>
          <w:rFonts w:ascii="Arial" w:hAnsi="Arial" w:cs="Arial"/>
          <w:sz w:val="24"/>
          <w:szCs w:val="24"/>
        </w:rPr>
        <w:t>, 1</w:t>
      </w:r>
      <w:r w:rsidR="007C66F9">
        <w:rPr>
          <w:rFonts w:ascii="Arial" w:hAnsi="Arial" w:cs="Arial"/>
          <w:sz w:val="24"/>
          <w:szCs w:val="24"/>
        </w:rPr>
        <w:t>4</w:t>
      </w:r>
      <w:r>
        <w:rPr>
          <w:rFonts w:ascii="Arial" w:hAnsi="Arial" w:cs="Arial"/>
          <w:sz w:val="24"/>
          <w:szCs w:val="24"/>
        </w:rPr>
        <w:t>, and 1</w:t>
      </w:r>
      <w:r w:rsidR="007C66F9">
        <w:rPr>
          <w:rFonts w:ascii="Arial" w:hAnsi="Arial" w:cs="Arial"/>
          <w:sz w:val="24"/>
          <w:szCs w:val="24"/>
        </w:rPr>
        <w:t>5</w:t>
      </w:r>
      <w:r w:rsidRPr="00DD3A12">
        <w:rPr>
          <w:rFonts w:ascii="Arial" w:hAnsi="Arial" w:cs="Arial"/>
          <w:sz w:val="24"/>
          <w:szCs w:val="24"/>
        </w:rPr>
        <w:t>). The</w:t>
      </w:r>
      <w:r>
        <w:rPr>
          <w:rFonts w:ascii="Arial" w:hAnsi="Arial" w:cs="Arial"/>
          <w:sz w:val="24"/>
          <w:szCs w:val="24"/>
        </w:rPr>
        <w:t>se</w:t>
      </w:r>
      <w:r w:rsidRPr="00DD3A12">
        <w:rPr>
          <w:rFonts w:ascii="Arial" w:hAnsi="Arial" w:cs="Arial"/>
          <w:sz w:val="24"/>
          <w:szCs w:val="24"/>
        </w:rPr>
        <w:t xml:space="preserve"> </w:t>
      </w:r>
      <w:r>
        <w:rPr>
          <w:rFonts w:ascii="Arial" w:hAnsi="Arial" w:cs="Arial"/>
          <w:sz w:val="24"/>
          <w:szCs w:val="24"/>
        </w:rPr>
        <w:t xml:space="preserve">graphs show the </w:t>
      </w:r>
      <w:r w:rsidRPr="00DD3A12">
        <w:rPr>
          <w:rFonts w:ascii="Arial" w:hAnsi="Arial" w:cs="Arial"/>
          <w:sz w:val="24"/>
          <w:szCs w:val="24"/>
        </w:rPr>
        <w:t>enrichment score</w:t>
      </w:r>
      <w:r>
        <w:rPr>
          <w:rFonts w:ascii="Arial" w:hAnsi="Arial" w:cs="Arial"/>
          <w:sz w:val="24"/>
          <w:szCs w:val="24"/>
        </w:rPr>
        <w:t>s</w:t>
      </w:r>
      <w:r w:rsidR="00DD4EF9">
        <w:rPr>
          <w:rFonts w:ascii="Arial" w:hAnsi="Arial" w:cs="Arial"/>
          <w:sz w:val="24"/>
          <w:szCs w:val="24"/>
        </w:rPr>
        <w:t xml:space="preserve"> of every functional annotation in each GO term. Enrichment scores </w:t>
      </w:r>
      <w:r>
        <w:rPr>
          <w:rFonts w:ascii="Arial" w:hAnsi="Arial" w:cs="Arial"/>
          <w:sz w:val="24"/>
          <w:szCs w:val="24"/>
        </w:rPr>
        <w:t>are</w:t>
      </w:r>
      <w:r w:rsidRPr="00DD3A12">
        <w:rPr>
          <w:rFonts w:ascii="Arial" w:hAnsi="Arial" w:cs="Arial"/>
          <w:sz w:val="24"/>
          <w:szCs w:val="24"/>
        </w:rPr>
        <w:t xml:space="preserve"> a biological cluster of </w:t>
      </w:r>
      <w:r>
        <w:rPr>
          <w:rFonts w:ascii="Arial" w:hAnsi="Arial" w:cs="Arial"/>
          <w:sz w:val="24"/>
          <w:szCs w:val="24"/>
        </w:rPr>
        <w:t xml:space="preserve">a </w:t>
      </w:r>
      <w:r w:rsidRPr="00DD3A12">
        <w:rPr>
          <w:rFonts w:ascii="Arial" w:hAnsi="Arial" w:cs="Arial"/>
          <w:sz w:val="24"/>
          <w:szCs w:val="24"/>
        </w:rPr>
        <w:t>group</w:t>
      </w:r>
      <w:r>
        <w:rPr>
          <w:rFonts w:ascii="Arial" w:hAnsi="Arial" w:cs="Arial"/>
          <w:sz w:val="24"/>
          <w:szCs w:val="24"/>
        </w:rPr>
        <w:t xml:space="preserve"> of proteins</w:t>
      </w:r>
      <w:r w:rsidRPr="00DD3A12">
        <w:rPr>
          <w:rFonts w:ascii="Arial" w:hAnsi="Arial" w:cs="Arial"/>
          <w:sz w:val="24"/>
          <w:szCs w:val="24"/>
        </w:rPr>
        <w:t xml:space="preserve">, based on overall </w:t>
      </w:r>
      <w:r w:rsidRPr="00DD3A12">
        <w:rPr>
          <w:rFonts w:ascii="Arial" w:hAnsi="Arial" w:cs="Arial"/>
          <w:i/>
          <w:sz w:val="24"/>
          <w:szCs w:val="24"/>
        </w:rPr>
        <w:t>p</w:t>
      </w:r>
      <w:r w:rsidRPr="00DD3A12">
        <w:rPr>
          <w:rFonts w:ascii="Arial" w:hAnsi="Arial" w:cs="Arial"/>
          <w:sz w:val="24"/>
          <w:szCs w:val="24"/>
        </w:rPr>
        <w:t xml:space="preserve">-values of all the enriched </w:t>
      </w:r>
      <w:r>
        <w:rPr>
          <w:rFonts w:ascii="Arial" w:hAnsi="Arial" w:cs="Arial"/>
          <w:sz w:val="24"/>
          <w:szCs w:val="24"/>
        </w:rPr>
        <w:t xml:space="preserve">functional </w:t>
      </w:r>
      <w:r w:rsidRPr="00DD3A12">
        <w:rPr>
          <w:rFonts w:ascii="Arial" w:hAnsi="Arial" w:cs="Arial"/>
          <w:sz w:val="24"/>
          <w:szCs w:val="24"/>
        </w:rPr>
        <w:t>annotation terms</w:t>
      </w:r>
      <w:r w:rsidR="00772900">
        <w:rPr>
          <w:rFonts w:ascii="Arial" w:hAnsi="Arial" w:cs="Arial"/>
          <w:sz w:val="24"/>
          <w:szCs w:val="24"/>
        </w:rPr>
        <w:t xml:space="preserve"> (see Appendix 3 for the </w:t>
      </w:r>
      <w:r w:rsidR="00772900">
        <w:rPr>
          <w:rFonts w:ascii="Arial" w:hAnsi="Arial" w:cs="Arial"/>
          <w:i/>
          <w:sz w:val="24"/>
          <w:szCs w:val="24"/>
        </w:rPr>
        <w:t>p</w:t>
      </w:r>
      <w:r w:rsidR="00772900">
        <w:rPr>
          <w:rFonts w:ascii="Arial" w:hAnsi="Arial" w:cs="Arial"/>
          <w:sz w:val="24"/>
          <w:szCs w:val="24"/>
        </w:rPr>
        <w:t>-values of every functional annotation in each GO term for the global and acetylated proteome datasets)</w:t>
      </w:r>
      <w:r w:rsidRPr="00DD3A12">
        <w:rPr>
          <w:rFonts w:ascii="Arial" w:hAnsi="Arial" w:cs="Arial"/>
          <w:sz w:val="24"/>
          <w:szCs w:val="24"/>
        </w:rPr>
        <w:t xml:space="preserve">. </w:t>
      </w:r>
    </w:p>
    <w:p w:rsidR="00EF1380" w:rsidRDefault="00EF1380" w:rsidP="00EF1380">
      <w:pPr>
        <w:spacing w:line="360" w:lineRule="auto"/>
        <w:ind w:firstLine="709"/>
        <w:jc w:val="both"/>
        <w:rPr>
          <w:rFonts w:ascii="Arial" w:hAnsi="Arial" w:cs="Arial"/>
          <w:sz w:val="24"/>
          <w:szCs w:val="24"/>
        </w:rPr>
      </w:pPr>
      <w:r w:rsidRPr="00981B95">
        <w:rPr>
          <w:rFonts w:ascii="Arial" w:hAnsi="Arial" w:cs="Arial"/>
          <w:sz w:val="24"/>
          <w:szCs w:val="24"/>
        </w:rPr>
        <w:t xml:space="preserve">From the </w:t>
      </w:r>
      <w:r>
        <w:rPr>
          <w:rFonts w:ascii="Arial" w:hAnsi="Arial" w:cs="Arial"/>
          <w:sz w:val="24"/>
          <w:szCs w:val="24"/>
        </w:rPr>
        <w:t>three different GO terms chosen, the one that shared the most</w:t>
      </w:r>
      <w:r w:rsidRPr="00981B95">
        <w:rPr>
          <w:rFonts w:ascii="Arial" w:hAnsi="Arial" w:cs="Arial"/>
          <w:sz w:val="24"/>
          <w:szCs w:val="24"/>
        </w:rPr>
        <w:t xml:space="preserve"> </w:t>
      </w:r>
      <w:r>
        <w:rPr>
          <w:rFonts w:ascii="Arial" w:hAnsi="Arial" w:cs="Arial"/>
          <w:sz w:val="24"/>
          <w:szCs w:val="24"/>
        </w:rPr>
        <w:t>functional annotations, when comparing the global</w:t>
      </w:r>
      <w:r w:rsidRPr="00981B95">
        <w:rPr>
          <w:rFonts w:ascii="Arial" w:hAnsi="Arial" w:cs="Arial"/>
          <w:sz w:val="24"/>
          <w:szCs w:val="24"/>
        </w:rPr>
        <w:t xml:space="preserve"> and the </w:t>
      </w:r>
      <w:r>
        <w:rPr>
          <w:rFonts w:ascii="Arial" w:hAnsi="Arial" w:cs="Arial"/>
          <w:sz w:val="24"/>
          <w:szCs w:val="24"/>
        </w:rPr>
        <w:t>a</w:t>
      </w:r>
      <w:r w:rsidRPr="00981B95">
        <w:rPr>
          <w:rFonts w:ascii="Arial" w:hAnsi="Arial" w:cs="Arial"/>
          <w:sz w:val="24"/>
          <w:szCs w:val="24"/>
        </w:rPr>
        <w:t xml:space="preserve">cetylated proteome </w:t>
      </w:r>
      <w:r>
        <w:rPr>
          <w:rFonts w:ascii="Arial" w:hAnsi="Arial" w:cs="Arial"/>
          <w:sz w:val="24"/>
          <w:szCs w:val="24"/>
        </w:rPr>
        <w:t xml:space="preserve">datasets was BP. This analysis could indicate that the activation of the biological fields </w:t>
      </w:r>
      <w:r w:rsidR="00A22B6B">
        <w:rPr>
          <w:rFonts w:ascii="Arial" w:hAnsi="Arial" w:cs="Arial"/>
          <w:sz w:val="24"/>
          <w:szCs w:val="24"/>
        </w:rPr>
        <w:t xml:space="preserve">and various molecular functions </w:t>
      </w:r>
      <w:r>
        <w:rPr>
          <w:rFonts w:ascii="Arial" w:hAnsi="Arial" w:cs="Arial"/>
          <w:sz w:val="24"/>
          <w:szCs w:val="24"/>
        </w:rPr>
        <w:t xml:space="preserve">in BP GO term, at least in 8 out of 10 of the top 10 functional annotations, do not depend on acetylation. </w:t>
      </w:r>
      <w:r w:rsidRPr="00981B95">
        <w:rPr>
          <w:rFonts w:ascii="Arial" w:hAnsi="Arial" w:cs="Arial"/>
          <w:sz w:val="24"/>
          <w:szCs w:val="24"/>
        </w:rPr>
        <w:t xml:space="preserve">The </w:t>
      </w:r>
      <w:r>
        <w:rPr>
          <w:rFonts w:ascii="Arial" w:hAnsi="Arial" w:cs="Arial"/>
          <w:sz w:val="24"/>
          <w:szCs w:val="24"/>
        </w:rPr>
        <w:t xml:space="preserve">functional annotations </w:t>
      </w:r>
      <w:r w:rsidRPr="00981B95">
        <w:rPr>
          <w:rFonts w:ascii="Arial" w:hAnsi="Arial" w:cs="Arial"/>
          <w:sz w:val="24"/>
          <w:szCs w:val="24"/>
        </w:rPr>
        <w:t xml:space="preserve">shared </w:t>
      </w:r>
      <w:r>
        <w:rPr>
          <w:rFonts w:ascii="Arial" w:hAnsi="Arial" w:cs="Arial"/>
          <w:sz w:val="24"/>
          <w:szCs w:val="24"/>
        </w:rPr>
        <w:t xml:space="preserve">between the global and the acetylated proteome datasets in </w:t>
      </w:r>
      <w:r>
        <w:rPr>
          <w:rFonts w:ascii="Arial" w:hAnsi="Arial" w:cs="Arial"/>
          <w:sz w:val="24"/>
          <w:szCs w:val="24"/>
        </w:rPr>
        <w:lastRenderedPageBreak/>
        <w:t xml:space="preserve">the BP GO term </w:t>
      </w:r>
      <w:r w:rsidRPr="00981B95">
        <w:rPr>
          <w:rFonts w:ascii="Arial" w:hAnsi="Arial" w:cs="Arial"/>
          <w:sz w:val="24"/>
          <w:szCs w:val="24"/>
        </w:rPr>
        <w:t xml:space="preserve">were Translation, RNA processing, RNA metabolic process, RNA splicing, Translational elongation, mRNA metabolic process, mRNA processing, and Cellular protein metabolic process (Figure </w:t>
      </w:r>
      <w:r>
        <w:rPr>
          <w:rFonts w:ascii="Arial" w:hAnsi="Arial" w:cs="Arial"/>
          <w:sz w:val="24"/>
          <w:szCs w:val="24"/>
        </w:rPr>
        <w:t>1</w:t>
      </w:r>
      <w:r w:rsidR="007C66F9">
        <w:rPr>
          <w:rFonts w:ascii="Arial" w:hAnsi="Arial" w:cs="Arial"/>
          <w:sz w:val="24"/>
          <w:szCs w:val="24"/>
        </w:rPr>
        <w:t>3</w:t>
      </w:r>
      <w:r w:rsidRPr="00981B95">
        <w:rPr>
          <w:rFonts w:ascii="Arial" w:hAnsi="Arial" w:cs="Arial"/>
          <w:sz w:val="24"/>
          <w:szCs w:val="24"/>
        </w:rPr>
        <w:t xml:space="preserve">). Interestingly, and despite 8 out of 10 </w:t>
      </w:r>
      <w:r>
        <w:rPr>
          <w:rFonts w:ascii="Arial" w:hAnsi="Arial" w:cs="Arial"/>
          <w:sz w:val="24"/>
          <w:szCs w:val="24"/>
        </w:rPr>
        <w:t xml:space="preserve">functional annotations, aforementioned, were shared in the BP </w:t>
      </w:r>
      <w:r w:rsidRPr="00981B95">
        <w:rPr>
          <w:rFonts w:ascii="Arial" w:hAnsi="Arial" w:cs="Arial"/>
          <w:sz w:val="24"/>
          <w:szCs w:val="24"/>
        </w:rPr>
        <w:t xml:space="preserve">GO term </w:t>
      </w:r>
      <w:r>
        <w:rPr>
          <w:rFonts w:ascii="Arial" w:hAnsi="Arial" w:cs="Arial"/>
          <w:sz w:val="24"/>
          <w:szCs w:val="24"/>
        </w:rPr>
        <w:t>between the global and the acetylated proteome datasets</w:t>
      </w:r>
      <w:r w:rsidRPr="00981B95">
        <w:rPr>
          <w:rFonts w:ascii="Arial" w:hAnsi="Arial" w:cs="Arial"/>
          <w:sz w:val="24"/>
          <w:szCs w:val="24"/>
        </w:rPr>
        <w:t xml:space="preserve"> (Figure </w:t>
      </w:r>
      <w:r>
        <w:rPr>
          <w:rFonts w:ascii="Arial" w:hAnsi="Arial" w:cs="Arial"/>
          <w:sz w:val="24"/>
          <w:szCs w:val="24"/>
        </w:rPr>
        <w:t>1</w:t>
      </w:r>
      <w:r w:rsidR="007C66F9">
        <w:rPr>
          <w:rFonts w:ascii="Arial" w:hAnsi="Arial" w:cs="Arial"/>
          <w:sz w:val="24"/>
          <w:szCs w:val="24"/>
        </w:rPr>
        <w:t>3</w:t>
      </w:r>
      <w:r w:rsidRPr="00981B95">
        <w:rPr>
          <w:rFonts w:ascii="Arial" w:hAnsi="Arial" w:cs="Arial"/>
          <w:sz w:val="24"/>
          <w:szCs w:val="24"/>
        </w:rPr>
        <w:t xml:space="preserve">), the </w:t>
      </w:r>
      <w:r w:rsidR="00A22B6B">
        <w:rPr>
          <w:rFonts w:ascii="Arial" w:hAnsi="Arial" w:cs="Arial"/>
          <w:sz w:val="24"/>
          <w:szCs w:val="24"/>
        </w:rPr>
        <w:t>enrichment scores</w:t>
      </w:r>
      <w:r w:rsidRPr="00981B95">
        <w:rPr>
          <w:rFonts w:ascii="Arial" w:hAnsi="Arial" w:cs="Arial"/>
          <w:sz w:val="24"/>
          <w:szCs w:val="24"/>
        </w:rPr>
        <w:t xml:space="preserve"> were different. </w:t>
      </w:r>
      <w:r w:rsidR="005B44A9">
        <w:rPr>
          <w:rFonts w:ascii="Arial" w:hAnsi="Arial" w:cs="Arial"/>
          <w:sz w:val="24"/>
          <w:szCs w:val="24"/>
        </w:rPr>
        <w:t xml:space="preserve">An increase in the </w:t>
      </w:r>
      <w:r w:rsidR="005B44A9" w:rsidRPr="00981B95">
        <w:rPr>
          <w:rFonts w:ascii="Arial" w:hAnsi="Arial" w:cs="Arial"/>
          <w:sz w:val="24"/>
          <w:szCs w:val="24"/>
        </w:rPr>
        <w:t xml:space="preserve">enrichment </w:t>
      </w:r>
      <w:r w:rsidR="005B44A9">
        <w:rPr>
          <w:rFonts w:ascii="Arial" w:hAnsi="Arial" w:cs="Arial"/>
          <w:sz w:val="24"/>
          <w:szCs w:val="24"/>
        </w:rPr>
        <w:t>scores</w:t>
      </w:r>
      <w:r w:rsidR="00DD4EF9">
        <w:rPr>
          <w:rFonts w:ascii="Arial" w:hAnsi="Arial" w:cs="Arial"/>
          <w:sz w:val="24"/>
          <w:szCs w:val="24"/>
        </w:rPr>
        <w:t xml:space="preserve"> </w:t>
      </w:r>
      <w:r w:rsidR="005B44A9">
        <w:rPr>
          <w:rFonts w:ascii="Arial" w:hAnsi="Arial" w:cs="Arial"/>
          <w:sz w:val="24"/>
          <w:szCs w:val="24"/>
        </w:rPr>
        <w:t xml:space="preserve">might be related to an up-regulation associated with acetylation of a group of proteins in a specific functional annotation in any </w:t>
      </w:r>
      <w:r w:rsidR="005B44A9" w:rsidRPr="00981B95">
        <w:rPr>
          <w:rFonts w:ascii="Arial" w:hAnsi="Arial" w:cs="Arial"/>
          <w:sz w:val="24"/>
          <w:szCs w:val="24"/>
        </w:rPr>
        <w:t>GO term</w:t>
      </w:r>
      <w:r w:rsidR="005B44A9">
        <w:rPr>
          <w:rFonts w:ascii="Arial" w:hAnsi="Arial" w:cs="Arial"/>
          <w:sz w:val="24"/>
          <w:szCs w:val="24"/>
        </w:rPr>
        <w:t>, since this increase is expressed as a higher percentage of proteins contributing to that specific functional annotation</w:t>
      </w:r>
      <w:r w:rsidRPr="00981B95">
        <w:rPr>
          <w:rFonts w:ascii="Arial" w:hAnsi="Arial" w:cs="Arial"/>
          <w:sz w:val="24"/>
          <w:szCs w:val="24"/>
        </w:rPr>
        <w:t xml:space="preserve">. For example, </w:t>
      </w:r>
      <w:r>
        <w:rPr>
          <w:rFonts w:ascii="Arial" w:hAnsi="Arial" w:cs="Arial"/>
          <w:sz w:val="24"/>
          <w:szCs w:val="24"/>
        </w:rPr>
        <w:t xml:space="preserve">in the BP GO term, </w:t>
      </w:r>
      <w:r w:rsidRPr="00981B95">
        <w:rPr>
          <w:rFonts w:ascii="Arial" w:hAnsi="Arial" w:cs="Arial"/>
          <w:sz w:val="24"/>
          <w:szCs w:val="24"/>
        </w:rPr>
        <w:t xml:space="preserve">the </w:t>
      </w:r>
      <w:r>
        <w:rPr>
          <w:rFonts w:ascii="Arial" w:hAnsi="Arial" w:cs="Arial"/>
          <w:sz w:val="24"/>
          <w:szCs w:val="24"/>
        </w:rPr>
        <w:t xml:space="preserve">functional annotation Translational Elongation </w:t>
      </w:r>
      <w:r w:rsidRPr="00981B95">
        <w:rPr>
          <w:rFonts w:ascii="Arial" w:hAnsi="Arial" w:cs="Arial"/>
          <w:sz w:val="24"/>
          <w:szCs w:val="24"/>
        </w:rPr>
        <w:t xml:space="preserve">has an enrichment </w:t>
      </w:r>
      <w:r>
        <w:rPr>
          <w:rFonts w:ascii="Arial" w:hAnsi="Arial" w:cs="Arial"/>
          <w:sz w:val="24"/>
          <w:szCs w:val="24"/>
        </w:rPr>
        <w:t>score</w:t>
      </w:r>
      <w:r w:rsidRPr="00981B95">
        <w:rPr>
          <w:rFonts w:ascii="Arial" w:hAnsi="Arial" w:cs="Arial"/>
          <w:sz w:val="24"/>
          <w:szCs w:val="24"/>
        </w:rPr>
        <w:t xml:space="preserve"> of </w:t>
      </w:r>
      <w:r w:rsidR="00B35A96">
        <w:rPr>
          <w:rFonts w:ascii="Arial" w:hAnsi="Arial" w:cs="Arial"/>
          <w:sz w:val="24"/>
          <w:szCs w:val="24"/>
        </w:rPr>
        <w:t>5.53</w:t>
      </w:r>
      <w:r>
        <w:rPr>
          <w:rFonts w:ascii="Arial" w:hAnsi="Arial" w:cs="Arial"/>
          <w:sz w:val="24"/>
          <w:szCs w:val="24"/>
        </w:rPr>
        <w:t xml:space="preserve"> in the global </w:t>
      </w:r>
      <w:r w:rsidRPr="00981B95">
        <w:rPr>
          <w:rFonts w:ascii="Arial" w:hAnsi="Arial" w:cs="Arial"/>
          <w:sz w:val="24"/>
          <w:szCs w:val="24"/>
        </w:rPr>
        <w:t xml:space="preserve">proteome </w:t>
      </w:r>
      <w:r w:rsidR="00B35A96">
        <w:rPr>
          <w:rFonts w:ascii="Arial" w:hAnsi="Arial" w:cs="Arial"/>
          <w:sz w:val="24"/>
          <w:szCs w:val="24"/>
        </w:rPr>
        <w:t>dataset and 11.62</w:t>
      </w:r>
      <w:r>
        <w:rPr>
          <w:rFonts w:ascii="Arial" w:hAnsi="Arial" w:cs="Arial"/>
          <w:sz w:val="24"/>
          <w:szCs w:val="24"/>
        </w:rPr>
        <w:t xml:space="preserve"> in</w:t>
      </w:r>
      <w:r w:rsidRPr="00981B95">
        <w:rPr>
          <w:rFonts w:ascii="Arial" w:hAnsi="Arial" w:cs="Arial"/>
          <w:sz w:val="24"/>
          <w:szCs w:val="24"/>
        </w:rPr>
        <w:t xml:space="preserve"> the acetylated proteome </w:t>
      </w:r>
      <w:r>
        <w:rPr>
          <w:rFonts w:ascii="Arial" w:hAnsi="Arial" w:cs="Arial"/>
          <w:sz w:val="24"/>
          <w:szCs w:val="24"/>
        </w:rPr>
        <w:t xml:space="preserve">dataset </w:t>
      </w:r>
      <w:r w:rsidRPr="00981B95">
        <w:rPr>
          <w:rFonts w:ascii="Arial" w:hAnsi="Arial" w:cs="Arial"/>
          <w:sz w:val="24"/>
          <w:szCs w:val="24"/>
        </w:rPr>
        <w:t xml:space="preserve">(Figure </w:t>
      </w:r>
      <w:r>
        <w:rPr>
          <w:rFonts w:ascii="Arial" w:hAnsi="Arial" w:cs="Arial"/>
          <w:sz w:val="24"/>
          <w:szCs w:val="24"/>
        </w:rPr>
        <w:t>1</w:t>
      </w:r>
      <w:r w:rsidR="007C66F9">
        <w:rPr>
          <w:rFonts w:ascii="Arial" w:hAnsi="Arial" w:cs="Arial"/>
          <w:sz w:val="24"/>
          <w:szCs w:val="24"/>
        </w:rPr>
        <w:t>3</w:t>
      </w:r>
      <w:r>
        <w:rPr>
          <w:rFonts w:ascii="Arial" w:hAnsi="Arial" w:cs="Arial"/>
          <w:sz w:val="24"/>
          <w:szCs w:val="24"/>
        </w:rPr>
        <w:t>).</w:t>
      </w:r>
      <w:r w:rsidR="00B35A96">
        <w:rPr>
          <w:rFonts w:ascii="Arial" w:hAnsi="Arial" w:cs="Arial"/>
          <w:sz w:val="24"/>
          <w:szCs w:val="24"/>
        </w:rPr>
        <w:t xml:space="preserve"> This shift in</w:t>
      </w:r>
      <w:r>
        <w:rPr>
          <w:rFonts w:ascii="Arial" w:hAnsi="Arial" w:cs="Arial"/>
          <w:sz w:val="24"/>
          <w:szCs w:val="24"/>
        </w:rPr>
        <w:t xml:space="preserve"> the enrichment score</w:t>
      </w:r>
      <w:r w:rsidR="00B35A96">
        <w:rPr>
          <w:rFonts w:ascii="Arial" w:hAnsi="Arial" w:cs="Arial"/>
          <w:sz w:val="24"/>
          <w:szCs w:val="24"/>
        </w:rPr>
        <w:t>s</w:t>
      </w:r>
      <w:r>
        <w:rPr>
          <w:rFonts w:ascii="Arial" w:hAnsi="Arial" w:cs="Arial"/>
          <w:sz w:val="24"/>
          <w:szCs w:val="24"/>
        </w:rPr>
        <w:t xml:space="preserve"> </w:t>
      </w:r>
      <w:r w:rsidR="00B35A96">
        <w:rPr>
          <w:rFonts w:ascii="Arial" w:hAnsi="Arial" w:cs="Arial"/>
          <w:sz w:val="24"/>
          <w:szCs w:val="24"/>
        </w:rPr>
        <w:t>of</w:t>
      </w:r>
      <w:r>
        <w:rPr>
          <w:rFonts w:ascii="Arial" w:hAnsi="Arial" w:cs="Arial"/>
          <w:sz w:val="24"/>
          <w:szCs w:val="24"/>
        </w:rPr>
        <w:t xml:space="preserve"> these funct</w:t>
      </w:r>
      <w:r w:rsidR="00B35A96">
        <w:rPr>
          <w:rFonts w:ascii="Arial" w:hAnsi="Arial" w:cs="Arial"/>
          <w:sz w:val="24"/>
          <w:szCs w:val="24"/>
        </w:rPr>
        <w:t>ional annotations represents a 2</w:t>
      </w:r>
      <w:r>
        <w:rPr>
          <w:rFonts w:ascii="Arial" w:hAnsi="Arial" w:cs="Arial"/>
          <w:sz w:val="24"/>
          <w:szCs w:val="24"/>
        </w:rPr>
        <w:t xml:space="preserve">-fold increase. </w:t>
      </w:r>
      <w:r w:rsidR="00B35A96">
        <w:rPr>
          <w:rFonts w:ascii="Arial" w:hAnsi="Arial" w:cs="Arial"/>
          <w:sz w:val="24"/>
          <w:szCs w:val="24"/>
        </w:rPr>
        <w:t xml:space="preserve">Even </w:t>
      </w:r>
      <w:r>
        <w:rPr>
          <w:rFonts w:ascii="Arial" w:hAnsi="Arial" w:cs="Arial"/>
          <w:sz w:val="24"/>
          <w:szCs w:val="24"/>
        </w:rPr>
        <w:t>a decrease in the enrichment scores in the acetylated proteome dataset is expected, since not all proteins are substrate of acetylation</w:t>
      </w:r>
      <w:r w:rsidR="00B35A96">
        <w:rPr>
          <w:rFonts w:ascii="Arial" w:hAnsi="Arial" w:cs="Arial"/>
          <w:sz w:val="24"/>
          <w:szCs w:val="24"/>
        </w:rPr>
        <w:t>, this observation was not made in BP GO term, since the enrichment scores of every functional annotation in the acetylated proteome dataset are higher than in the global proteome dataset (Figure 1</w:t>
      </w:r>
      <w:r w:rsidR="007C66F9">
        <w:rPr>
          <w:rFonts w:ascii="Arial" w:hAnsi="Arial" w:cs="Arial"/>
          <w:sz w:val="24"/>
          <w:szCs w:val="24"/>
        </w:rPr>
        <w:t>3</w:t>
      </w:r>
      <w:r w:rsidR="00B35A96">
        <w:rPr>
          <w:rFonts w:ascii="Arial" w:hAnsi="Arial" w:cs="Arial"/>
          <w:sz w:val="24"/>
          <w:szCs w:val="24"/>
        </w:rPr>
        <w:t>)</w:t>
      </w:r>
      <w:r>
        <w:rPr>
          <w:rFonts w:ascii="Arial" w:hAnsi="Arial" w:cs="Arial"/>
          <w:sz w:val="24"/>
          <w:szCs w:val="24"/>
        </w:rPr>
        <w:t>.</w:t>
      </w:r>
    </w:p>
    <w:p w:rsidR="00DD6198" w:rsidRDefault="00DD6198" w:rsidP="00EF1380">
      <w:pPr>
        <w:spacing w:line="360" w:lineRule="auto"/>
        <w:ind w:firstLine="709"/>
        <w:jc w:val="both"/>
        <w:rPr>
          <w:rFonts w:ascii="Arial" w:hAnsi="Arial" w:cs="Arial"/>
          <w:sz w:val="24"/>
          <w:szCs w:val="24"/>
        </w:rPr>
      </w:pPr>
    </w:p>
    <w:p w:rsidR="00B7345A" w:rsidRDefault="00B7345A" w:rsidP="00B7345A">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3C988BB2" wp14:editId="4333F911">
            <wp:extent cx="5612130" cy="35617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graph.jpg"/>
                    <pic:cNvPicPr/>
                  </pic:nvPicPr>
                  <pic:blipFill>
                    <a:blip r:embed="rId45">
                      <a:extLst>
                        <a:ext uri="{28A0092B-C50C-407E-A947-70E740481C1C}">
                          <a14:useLocalDpi xmlns:a14="http://schemas.microsoft.com/office/drawing/2010/main" val="0"/>
                        </a:ext>
                      </a:extLst>
                    </a:blip>
                    <a:stretch>
                      <a:fillRect/>
                    </a:stretch>
                  </pic:blipFill>
                  <pic:spPr>
                    <a:xfrm>
                      <a:off x="0" y="0"/>
                      <a:ext cx="5612130" cy="3561715"/>
                    </a:xfrm>
                    <a:prstGeom prst="rect">
                      <a:avLst/>
                    </a:prstGeom>
                    <a:ln w="28575">
                      <a:noFill/>
                    </a:ln>
                  </pic:spPr>
                </pic:pic>
              </a:graphicData>
            </a:graphic>
          </wp:inline>
        </w:drawing>
      </w:r>
    </w:p>
    <w:p w:rsidR="00EF1380" w:rsidRPr="00B7345A" w:rsidRDefault="00EF1380" w:rsidP="00B7345A">
      <w:pPr>
        <w:spacing w:line="240" w:lineRule="auto"/>
        <w:jc w:val="both"/>
        <w:rPr>
          <w:rFonts w:ascii="Calibri" w:eastAsia="Times New Roman" w:hAnsi="Calibri" w:cs="Times New Roman"/>
          <w:b/>
          <w:bCs/>
        </w:rPr>
      </w:pPr>
      <w:bookmarkStart w:id="103" w:name="_Toc355873089"/>
      <w:bookmarkStart w:id="104" w:name="_Toc364682972"/>
      <w:bookmarkStart w:id="105" w:name="_Toc413419273"/>
      <w:proofErr w:type="gramStart"/>
      <w:r w:rsidRPr="00B7345A">
        <w:rPr>
          <w:rFonts w:ascii="Arial" w:hAnsi="Arial" w:cs="Arial"/>
          <w:b/>
          <w:sz w:val="16"/>
        </w:rPr>
        <w:t xml:space="preserve">Figure </w:t>
      </w:r>
      <w:r w:rsidR="006C2756" w:rsidRPr="00B7345A">
        <w:rPr>
          <w:rFonts w:ascii="Arial" w:hAnsi="Arial" w:cs="Arial"/>
          <w:b/>
          <w:sz w:val="16"/>
        </w:rPr>
        <w:fldChar w:fldCharType="begin"/>
      </w:r>
      <w:r w:rsidRPr="00B7345A">
        <w:rPr>
          <w:rFonts w:ascii="Arial" w:hAnsi="Arial" w:cs="Arial"/>
          <w:b/>
          <w:sz w:val="16"/>
        </w:rPr>
        <w:instrText xml:space="preserve"> SEQ Figure \* ARABIC </w:instrText>
      </w:r>
      <w:r w:rsidR="006C2756" w:rsidRPr="00B7345A">
        <w:rPr>
          <w:rFonts w:ascii="Arial" w:hAnsi="Arial" w:cs="Arial"/>
          <w:b/>
          <w:sz w:val="16"/>
        </w:rPr>
        <w:fldChar w:fldCharType="separate"/>
      </w:r>
      <w:r w:rsidR="00DC0376">
        <w:rPr>
          <w:rFonts w:ascii="Arial" w:hAnsi="Arial" w:cs="Arial"/>
          <w:b/>
          <w:noProof/>
          <w:sz w:val="16"/>
        </w:rPr>
        <w:t>13</w:t>
      </w:r>
      <w:r w:rsidR="006C2756" w:rsidRPr="00B7345A">
        <w:rPr>
          <w:rFonts w:ascii="Arial" w:hAnsi="Arial" w:cs="Arial"/>
          <w:b/>
          <w:sz w:val="16"/>
        </w:rPr>
        <w:fldChar w:fldCharType="end"/>
      </w:r>
      <w:r w:rsidRPr="00B7345A">
        <w:rPr>
          <w:rFonts w:ascii="Arial" w:hAnsi="Arial" w:cs="Arial"/>
          <w:b/>
          <w:sz w:val="16"/>
          <w:szCs w:val="16"/>
        </w:rPr>
        <w:t>.</w:t>
      </w:r>
      <w:proofErr w:type="gramEnd"/>
      <w:r w:rsidRPr="00B7345A">
        <w:rPr>
          <w:rFonts w:ascii="Arial" w:hAnsi="Arial" w:cs="Arial"/>
          <w:b/>
          <w:sz w:val="16"/>
          <w:szCs w:val="16"/>
        </w:rPr>
        <w:t xml:space="preserve"> </w:t>
      </w:r>
      <w:proofErr w:type="gramStart"/>
      <w:r w:rsidRPr="00B7345A">
        <w:rPr>
          <w:rFonts w:ascii="Arial" w:hAnsi="Arial" w:cs="Arial"/>
          <w:b/>
          <w:sz w:val="16"/>
          <w:szCs w:val="16"/>
        </w:rPr>
        <w:t>B</w:t>
      </w:r>
      <w:r w:rsidR="009A099C" w:rsidRPr="00B7345A">
        <w:rPr>
          <w:rFonts w:ascii="Arial" w:hAnsi="Arial" w:cs="Arial"/>
          <w:b/>
          <w:sz w:val="16"/>
          <w:szCs w:val="16"/>
        </w:rPr>
        <w:t>P</w:t>
      </w:r>
      <w:r w:rsidRPr="00B7345A">
        <w:rPr>
          <w:rFonts w:ascii="Arial" w:hAnsi="Arial" w:cs="Arial"/>
          <w:b/>
          <w:sz w:val="16"/>
          <w:szCs w:val="16"/>
        </w:rPr>
        <w:t xml:space="preserve"> enrichment scores.</w:t>
      </w:r>
      <w:proofErr w:type="gramEnd"/>
      <w:r w:rsidRPr="00B7345A">
        <w:rPr>
          <w:rFonts w:ascii="Arial" w:hAnsi="Arial" w:cs="Arial"/>
          <w:b/>
          <w:sz w:val="16"/>
          <w:szCs w:val="16"/>
        </w:rPr>
        <w:t xml:space="preserve"> </w:t>
      </w:r>
      <w:r w:rsidRPr="00B7345A">
        <w:rPr>
          <w:rFonts w:ascii="Arial" w:hAnsi="Arial" w:cs="Arial"/>
          <w:b/>
          <w:i/>
          <w:sz w:val="16"/>
          <w:szCs w:val="16"/>
        </w:rPr>
        <w:t>Enrichment scores</w:t>
      </w:r>
      <w:r w:rsidR="004F75B0" w:rsidRPr="00B7345A">
        <w:rPr>
          <w:rFonts w:ascii="Arial" w:hAnsi="Arial" w:cs="Arial"/>
          <w:b/>
          <w:i/>
          <w:sz w:val="16"/>
          <w:szCs w:val="16"/>
        </w:rPr>
        <w:t xml:space="preserve"> of the global</w:t>
      </w:r>
      <w:r w:rsidRPr="00B7345A">
        <w:rPr>
          <w:rFonts w:ascii="Arial" w:hAnsi="Arial" w:cs="Arial"/>
          <w:b/>
          <w:i/>
          <w:sz w:val="16"/>
          <w:szCs w:val="16"/>
        </w:rPr>
        <w:t xml:space="preserve"> proteome (left, blue) and the acetylated proteome (right, red)</w:t>
      </w:r>
      <w:r w:rsidR="009A099C" w:rsidRPr="00B7345A">
        <w:rPr>
          <w:rFonts w:ascii="Arial" w:hAnsi="Arial" w:cs="Arial"/>
          <w:b/>
          <w:i/>
          <w:sz w:val="16"/>
          <w:szCs w:val="16"/>
        </w:rPr>
        <w:t xml:space="preserve"> datasets</w:t>
      </w:r>
      <w:r w:rsidR="00B7345A">
        <w:rPr>
          <w:rFonts w:ascii="Arial" w:hAnsi="Arial" w:cs="Arial"/>
          <w:b/>
          <w:i/>
          <w:sz w:val="16"/>
          <w:szCs w:val="16"/>
        </w:rPr>
        <w:t xml:space="preserve"> </w:t>
      </w:r>
      <w:r w:rsidRPr="00B7345A">
        <w:rPr>
          <w:rFonts w:ascii="Arial" w:hAnsi="Arial" w:cs="Arial"/>
          <w:b/>
          <w:i/>
          <w:sz w:val="16"/>
          <w:szCs w:val="16"/>
        </w:rPr>
        <w:t>of the top ten functional annotations of the fifth level of ontology for BP GO term.</w:t>
      </w:r>
      <w:bookmarkEnd w:id="103"/>
      <w:r w:rsidRPr="00B7345A">
        <w:rPr>
          <w:rFonts w:ascii="Arial" w:hAnsi="Arial" w:cs="Arial"/>
          <w:b/>
          <w:i/>
          <w:sz w:val="16"/>
          <w:szCs w:val="16"/>
        </w:rPr>
        <w:t xml:space="preserve"> Functional annotations that were not found in both global and acetylated proteome datasets were scored as 0</w:t>
      </w:r>
      <w:bookmarkEnd w:id="104"/>
      <w:r w:rsidRPr="00B7345A">
        <w:rPr>
          <w:rFonts w:ascii="Arial" w:hAnsi="Arial" w:cs="Arial"/>
          <w:b/>
          <w:i/>
          <w:sz w:val="16"/>
          <w:szCs w:val="16"/>
        </w:rPr>
        <w:t>, since no comparison was feasible to be made amongst these functional annotations</w:t>
      </w:r>
      <w:r w:rsidR="004F75B0" w:rsidRPr="00B7345A">
        <w:rPr>
          <w:rFonts w:ascii="Arial" w:hAnsi="Arial" w:cs="Arial"/>
          <w:b/>
          <w:i/>
          <w:sz w:val="16"/>
          <w:szCs w:val="16"/>
        </w:rPr>
        <w:t xml:space="preserve">. </w:t>
      </w:r>
      <w:r w:rsidR="009A099C" w:rsidRPr="00B7345A">
        <w:rPr>
          <w:rFonts w:ascii="Arial" w:hAnsi="Arial" w:cs="Arial"/>
          <w:b/>
          <w:i/>
          <w:sz w:val="16"/>
          <w:szCs w:val="16"/>
        </w:rPr>
        <w:t xml:space="preserve">Differences in the enrichment </w:t>
      </w:r>
      <w:r w:rsidR="000C54C9" w:rsidRPr="00B7345A">
        <w:rPr>
          <w:rFonts w:ascii="Arial" w:hAnsi="Arial" w:cs="Arial"/>
          <w:b/>
          <w:i/>
          <w:sz w:val="16"/>
          <w:szCs w:val="16"/>
        </w:rPr>
        <w:t xml:space="preserve">scores were observed </w:t>
      </w:r>
      <w:r w:rsidR="0009438E" w:rsidRPr="00B7345A">
        <w:rPr>
          <w:rFonts w:ascii="Arial" w:hAnsi="Arial" w:cs="Arial"/>
          <w:b/>
          <w:i/>
          <w:sz w:val="16"/>
          <w:szCs w:val="16"/>
        </w:rPr>
        <w:t xml:space="preserve">in </w:t>
      </w:r>
      <w:r w:rsidR="009A099C" w:rsidRPr="00B7345A">
        <w:rPr>
          <w:rFonts w:ascii="Arial" w:hAnsi="Arial" w:cs="Arial"/>
          <w:b/>
          <w:i/>
          <w:sz w:val="16"/>
          <w:szCs w:val="16"/>
        </w:rPr>
        <w:t>the global and acetylated proteome datasets. For example</w:t>
      </w:r>
      <w:r w:rsidR="000C54C9" w:rsidRPr="00B7345A">
        <w:rPr>
          <w:rFonts w:ascii="Arial" w:hAnsi="Arial" w:cs="Arial"/>
          <w:b/>
          <w:i/>
          <w:sz w:val="16"/>
          <w:szCs w:val="16"/>
        </w:rPr>
        <w:t>,</w:t>
      </w:r>
      <w:r w:rsidR="00B35A96" w:rsidRPr="00B7345A">
        <w:rPr>
          <w:rFonts w:ascii="Arial" w:hAnsi="Arial" w:cs="Arial"/>
          <w:b/>
          <w:i/>
          <w:sz w:val="16"/>
          <w:szCs w:val="16"/>
        </w:rPr>
        <w:t xml:space="preserve"> </w:t>
      </w:r>
      <w:r w:rsidR="009A099C" w:rsidRPr="00B7345A">
        <w:rPr>
          <w:rFonts w:ascii="Arial" w:hAnsi="Arial" w:cs="Arial"/>
          <w:b/>
          <w:i/>
          <w:sz w:val="16"/>
          <w:szCs w:val="16"/>
        </w:rPr>
        <w:t xml:space="preserve">Translational elongation functional annotation has a higher enrichment score in the acetylated proteome dataset </w:t>
      </w:r>
      <w:r w:rsidR="00B35A96" w:rsidRPr="00B7345A">
        <w:rPr>
          <w:rFonts w:ascii="Arial" w:hAnsi="Arial" w:cs="Arial"/>
          <w:b/>
          <w:i/>
          <w:sz w:val="16"/>
          <w:szCs w:val="16"/>
        </w:rPr>
        <w:t>(11.62</w:t>
      </w:r>
      <w:r w:rsidR="009A099C" w:rsidRPr="00B7345A">
        <w:rPr>
          <w:rFonts w:ascii="Arial" w:hAnsi="Arial" w:cs="Arial"/>
          <w:b/>
          <w:i/>
          <w:sz w:val="16"/>
          <w:szCs w:val="16"/>
        </w:rPr>
        <w:t>) when compared t</w:t>
      </w:r>
      <w:r w:rsidR="00B35A96" w:rsidRPr="00B7345A">
        <w:rPr>
          <w:rFonts w:ascii="Arial" w:hAnsi="Arial" w:cs="Arial"/>
          <w:b/>
          <w:i/>
          <w:sz w:val="16"/>
          <w:szCs w:val="16"/>
        </w:rPr>
        <w:t>o the global proteome dataset (5.53</w:t>
      </w:r>
      <w:r w:rsidR="009A099C" w:rsidRPr="00B7345A">
        <w:rPr>
          <w:rFonts w:ascii="Arial" w:hAnsi="Arial" w:cs="Arial"/>
          <w:b/>
          <w:i/>
          <w:sz w:val="16"/>
          <w:szCs w:val="16"/>
        </w:rPr>
        <w:t xml:space="preserve">). </w:t>
      </w:r>
      <w:r w:rsidR="004F75B0" w:rsidRPr="00B7345A">
        <w:rPr>
          <w:rFonts w:ascii="Arial" w:hAnsi="Arial" w:cs="Arial"/>
          <w:b/>
          <w:i/>
          <w:sz w:val="16"/>
          <w:szCs w:val="16"/>
        </w:rPr>
        <w:t xml:space="preserve">The </w:t>
      </w:r>
      <w:r w:rsidR="00470033" w:rsidRPr="00B7345A">
        <w:rPr>
          <w:rFonts w:ascii="Arial" w:hAnsi="Arial" w:cs="Arial"/>
          <w:b/>
          <w:i/>
          <w:sz w:val="16"/>
          <w:szCs w:val="16"/>
        </w:rPr>
        <w:t>p</w:t>
      </w:r>
      <w:r w:rsidR="00470033" w:rsidRPr="00B7345A">
        <w:rPr>
          <w:rFonts w:ascii="Arial" w:hAnsi="Arial" w:cs="Arial"/>
          <w:b/>
          <w:sz w:val="16"/>
          <w:szCs w:val="16"/>
        </w:rPr>
        <w:t>-</w:t>
      </w:r>
      <w:r w:rsidR="00470033" w:rsidRPr="00B7345A">
        <w:rPr>
          <w:rFonts w:ascii="Arial" w:hAnsi="Arial" w:cs="Arial"/>
          <w:b/>
          <w:i/>
          <w:sz w:val="16"/>
          <w:szCs w:val="16"/>
        </w:rPr>
        <w:t xml:space="preserve">value </w:t>
      </w:r>
      <w:r w:rsidR="004F75B0" w:rsidRPr="00B7345A">
        <w:rPr>
          <w:rFonts w:ascii="Arial" w:hAnsi="Arial" w:cs="Arial"/>
          <w:b/>
          <w:i/>
          <w:sz w:val="16"/>
          <w:szCs w:val="16"/>
        </w:rPr>
        <w:t xml:space="preserve">of </w:t>
      </w:r>
      <w:r w:rsidR="00470033" w:rsidRPr="00B7345A">
        <w:rPr>
          <w:rFonts w:ascii="Arial" w:hAnsi="Arial" w:cs="Arial"/>
          <w:b/>
          <w:i/>
          <w:sz w:val="16"/>
          <w:szCs w:val="16"/>
        </w:rPr>
        <w:t>0.0</w:t>
      </w:r>
      <w:r w:rsidR="00002E01" w:rsidRPr="00B7345A">
        <w:rPr>
          <w:rFonts w:ascii="Arial" w:hAnsi="Arial" w:cs="Arial"/>
          <w:b/>
          <w:i/>
          <w:sz w:val="16"/>
          <w:szCs w:val="16"/>
        </w:rPr>
        <w:t>4</w:t>
      </w:r>
      <w:r w:rsidRPr="00B7345A">
        <w:rPr>
          <w:rFonts w:ascii="Arial" w:hAnsi="Arial" w:cs="Arial"/>
          <w:b/>
          <w:i/>
          <w:sz w:val="16"/>
          <w:szCs w:val="16"/>
        </w:rPr>
        <w:t xml:space="preserve"> </w:t>
      </w:r>
      <w:r w:rsidR="00470033" w:rsidRPr="00B7345A">
        <w:rPr>
          <w:rFonts w:ascii="Arial" w:hAnsi="Arial" w:cs="Arial"/>
          <w:b/>
          <w:i/>
          <w:sz w:val="16"/>
          <w:szCs w:val="16"/>
        </w:rPr>
        <w:t xml:space="preserve">indicates that there are statistically significant differences in the changes observed in the enrichment scores </w:t>
      </w:r>
      <w:r w:rsidR="004F75B0" w:rsidRPr="00B7345A">
        <w:rPr>
          <w:rFonts w:ascii="Arial" w:hAnsi="Arial" w:cs="Arial"/>
          <w:b/>
          <w:i/>
          <w:sz w:val="16"/>
          <w:szCs w:val="16"/>
        </w:rPr>
        <w:t xml:space="preserve">between </w:t>
      </w:r>
      <w:r w:rsidR="00470033" w:rsidRPr="00B7345A">
        <w:rPr>
          <w:rFonts w:ascii="Arial" w:hAnsi="Arial" w:cs="Arial"/>
          <w:b/>
          <w:i/>
          <w:sz w:val="16"/>
          <w:szCs w:val="16"/>
        </w:rPr>
        <w:t>the global and the acetylated proteome datasets.</w:t>
      </w:r>
      <w:r w:rsidR="000C54C9" w:rsidRPr="00B7345A">
        <w:rPr>
          <w:rFonts w:ascii="Arial" w:hAnsi="Arial" w:cs="Arial"/>
          <w:b/>
          <w:i/>
          <w:sz w:val="16"/>
          <w:szCs w:val="16"/>
        </w:rPr>
        <w:t xml:space="preserve"> The </w:t>
      </w:r>
      <w:r w:rsidR="00B7345A" w:rsidRPr="00B7345A">
        <w:rPr>
          <w:rFonts w:ascii="Arial" w:eastAsia="Times New Roman" w:hAnsi="Arial" w:cs="Arial"/>
          <w:b/>
          <w:bCs/>
          <w:i/>
          <w:sz w:val="16"/>
          <w:szCs w:val="16"/>
        </w:rPr>
        <w:t>Welch Two Sample t-test</w:t>
      </w:r>
      <w:r w:rsidR="00D01A30" w:rsidRPr="00B7345A">
        <w:rPr>
          <w:rFonts w:ascii="Arial" w:hAnsi="Arial" w:cs="Arial"/>
          <w:b/>
          <w:i/>
          <w:sz w:val="16"/>
          <w:szCs w:val="16"/>
        </w:rPr>
        <w:t xml:space="preserve"> was used to compare the global and the acetylated proteome datasets (Shapiro</w:t>
      </w:r>
      <w:r w:rsidR="000C54C9" w:rsidRPr="00B7345A">
        <w:rPr>
          <w:rFonts w:ascii="Arial" w:hAnsi="Arial" w:cs="Arial"/>
          <w:b/>
          <w:i/>
          <w:sz w:val="16"/>
          <w:szCs w:val="16"/>
        </w:rPr>
        <w:t xml:space="preserve">-Wilk test </w:t>
      </w:r>
      <w:r w:rsidR="00D01A30" w:rsidRPr="00B7345A">
        <w:rPr>
          <w:rFonts w:ascii="Arial" w:hAnsi="Arial" w:cs="Arial"/>
          <w:b/>
          <w:i/>
          <w:sz w:val="16"/>
          <w:szCs w:val="16"/>
        </w:rPr>
        <w:t>p-value: 0.</w:t>
      </w:r>
      <w:r w:rsidR="00B7345A">
        <w:rPr>
          <w:rFonts w:ascii="Arial" w:hAnsi="Arial" w:cs="Arial"/>
          <w:b/>
          <w:i/>
          <w:sz w:val="16"/>
          <w:szCs w:val="16"/>
        </w:rPr>
        <w:t>51</w:t>
      </w:r>
      <w:r w:rsidR="00D01A30" w:rsidRPr="00B7345A">
        <w:rPr>
          <w:rFonts w:ascii="Arial" w:hAnsi="Arial" w:cs="Arial"/>
          <w:b/>
          <w:i/>
          <w:sz w:val="16"/>
          <w:szCs w:val="16"/>
        </w:rPr>
        <w:t xml:space="preserve"> for the global proteome and 0.</w:t>
      </w:r>
      <w:r w:rsidR="00B7345A">
        <w:rPr>
          <w:rFonts w:ascii="Arial" w:hAnsi="Arial" w:cs="Arial"/>
          <w:b/>
          <w:i/>
          <w:sz w:val="16"/>
          <w:szCs w:val="16"/>
        </w:rPr>
        <w:t>37</w:t>
      </w:r>
      <w:r w:rsidR="00D01A30" w:rsidRPr="00B7345A">
        <w:rPr>
          <w:rFonts w:ascii="Arial" w:hAnsi="Arial" w:cs="Arial"/>
          <w:b/>
          <w:i/>
          <w:sz w:val="16"/>
          <w:szCs w:val="16"/>
        </w:rPr>
        <w:t xml:space="preserve"> for the acetylated proteome).</w:t>
      </w:r>
      <w:bookmarkEnd w:id="105"/>
    </w:p>
    <w:p w:rsidR="00EF1380" w:rsidRDefault="00EF1380" w:rsidP="00EF1380">
      <w:pPr>
        <w:spacing w:line="360" w:lineRule="auto"/>
        <w:ind w:firstLine="709"/>
        <w:jc w:val="both"/>
        <w:rPr>
          <w:rFonts w:ascii="Arial" w:hAnsi="Arial" w:cs="Arial"/>
          <w:sz w:val="24"/>
          <w:szCs w:val="24"/>
        </w:rPr>
      </w:pPr>
      <w:r w:rsidRPr="00981B95">
        <w:rPr>
          <w:rFonts w:ascii="Arial" w:hAnsi="Arial" w:cs="Arial"/>
          <w:sz w:val="24"/>
          <w:szCs w:val="24"/>
        </w:rPr>
        <w:t xml:space="preserve">For </w:t>
      </w:r>
      <w:r>
        <w:rPr>
          <w:rFonts w:ascii="Arial" w:hAnsi="Arial" w:cs="Arial"/>
          <w:sz w:val="24"/>
          <w:szCs w:val="24"/>
        </w:rPr>
        <w:t xml:space="preserve">the </w:t>
      </w:r>
      <w:r w:rsidRPr="00981B95">
        <w:rPr>
          <w:rFonts w:ascii="Arial" w:hAnsi="Arial" w:cs="Arial"/>
          <w:sz w:val="24"/>
          <w:szCs w:val="24"/>
        </w:rPr>
        <w:t xml:space="preserve">CC GO term, 7 out of 10 functional annotations were shared (Figure </w:t>
      </w:r>
      <w:r>
        <w:rPr>
          <w:rFonts w:ascii="Arial" w:hAnsi="Arial" w:cs="Arial"/>
          <w:sz w:val="24"/>
          <w:szCs w:val="24"/>
        </w:rPr>
        <w:t>1</w:t>
      </w:r>
      <w:r w:rsidR="007C66F9">
        <w:rPr>
          <w:rFonts w:ascii="Arial" w:hAnsi="Arial" w:cs="Arial"/>
          <w:sz w:val="24"/>
          <w:szCs w:val="24"/>
        </w:rPr>
        <w:t>4</w:t>
      </w:r>
      <w:r w:rsidRPr="00981B95">
        <w:rPr>
          <w:rFonts w:ascii="Arial" w:hAnsi="Arial" w:cs="Arial"/>
          <w:sz w:val="24"/>
          <w:szCs w:val="24"/>
        </w:rPr>
        <w:t>). These functional annotations were Intracellular organelle part, Cytoplasm, Ribonucleoprotein complex, Cytoplasmic part, Cytosol, Intracellular non-membrane-bounded organelle, Intracellular organelle lumen, and Intracellular orga</w:t>
      </w:r>
      <w:r>
        <w:rPr>
          <w:rFonts w:ascii="Arial" w:hAnsi="Arial" w:cs="Arial"/>
          <w:sz w:val="24"/>
          <w:szCs w:val="24"/>
        </w:rPr>
        <w:t>nelle part (Figure 1</w:t>
      </w:r>
      <w:r w:rsidR="007C66F9">
        <w:rPr>
          <w:rFonts w:ascii="Arial" w:hAnsi="Arial" w:cs="Arial"/>
          <w:sz w:val="24"/>
          <w:szCs w:val="24"/>
        </w:rPr>
        <w:t>4</w:t>
      </w:r>
      <w:r w:rsidRPr="00981B95">
        <w:rPr>
          <w:rFonts w:ascii="Arial" w:hAnsi="Arial" w:cs="Arial"/>
          <w:sz w:val="24"/>
          <w:szCs w:val="24"/>
        </w:rPr>
        <w:t xml:space="preserve">). As in </w:t>
      </w:r>
      <w:r>
        <w:rPr>
          <w:rFonts w:ascii="Arial" w:hAnsi="Arial" w:cs="Arial"/>
          <w:sz w:val="24"/>
          <w:szCs w:val="24"/>
        </w:rPr>
        <w:t xml:space="preserve">the </w:t>
      </w:r>
      <w:r w:rsidRPr="00981B95">
        <w:rPr>
          <w:rFonts w:ascii="Arial" w:hAnsi="Arial" w:cs="Arial"/>
          <w:sz w:val="24"/>
          <w:szCs w:val="24"/>
        </w:rPr>
        <w:t>BP</w:t>
      </w:r>
      <w:r>
        <w:rPr>
          <w:rFonts w:ascii="Arial" w:hAnsi="Arial" w:cs="Arial"/>
          <w:sz w:val="24"/>
          <w:szCs w:val="24"/>
        </w:rPr>
        <w:t xml:space="preserve"> GO term, a shift in the</w:t>
      </w:r>
      <w:r w:rsidRPr="00981B95">
        <w:rPr>
          <w:rFonts w:ascii="Arial" w:hAnsi="Arial" w:cs="Arial"/>
          <w:sz w:val="24"/>
          <w:szCs w:val="24"/>
        </w:rPr>
        <w:t xml:space="preserve"> enrichment </w:t>
      </w:r>
      <w:r w:rsidR="003E35AD">
        <w:rPr>
          <w:rFonts w:ascii="Arial" w:hAnsi="Arial" w:cs="Arial"/>
          <w:sz w:val="24"/>
          <w:szCs w:val="24"/>
        </w:rPr>
        <w:t xml:space="preserve">scores </w:t>
      </w:r>
      <w:r>
        <w:rPr>
          <w:rFonts w:ascii="Arial" w:hAnsi="Arial" w:cs="Arial"/>
          <w:sz w:val="24"/>
          <w:szCs w:val="24"/>
        </w:rPr>
        <w:t>was observed between the global</w:t>
      </w:r>
      <w:r w:rsidRPr="00981B95">
        <w:rPr>
          <w:rFonts w:ascii="Arial" w:hAnsi="Arial" w:cs="Arial"/>
          <w:sz w:val="24"/>
          <w:szCs w:val="24"/>
        </w:rPr>
        <w:t xml:space="preserve"> and the </w:t>
      </w:r>
      <w:r>
        <w:rPr>
          <w:rFonts w:ascii="Arial" w:hAnsi="Arial" w:cs="Arial"/>
          <w:sz w:val="24"/>
          <w:szCs w:val="24"/>
        </w:rPr>
        <w:t>a</w:t>
      </w:r>
      <w:r w:rsidRPr="00981B95">
        <w:rPr>
          <w:rFonts w:ascii="Arial" w:hAnsi="Arial" w:cs="Arial"/>
          <w:sz w:val="24"/>
          <w:szCs w:val="24"/>
        </w:rPr>
        <w:t>cetylated proteome dataset</w:t>
      </w:r>
      <w:r>
        <w:rPr>
          <w:rFonts w:ascii="Arial" w:hAnsi="Arial" w:cs="Arial"/>
          <w:sz w:val="24"/>
          <w:szCs w:val="24"/>
        </w:rPr>
        <w:t>s</w:t>
      </w:r>
      <w:r w:rsidRPr="00981B95">
        <w:rPr>
          <w:rFonts w:ascii="Arial" w:hAnsi="Arial" w:cs="Arial"/>
          <w:sz w:val="24"/>
          <w:szCs w:val="24"/>
        </w:rPr>
        <w:t xml:space="preserve">. </w:t>
      </w:r>
      <w:r>
        <w:rPr>
          <w:rFonts w:ascii="Arial" w:hAnsi="Arial" w:cs="Arial"/>
          <w:sz w:val="24"/>
          <w:szCs w:val="24"/>
        </w:rPr>
        <w:t xml:space="preserve">The functional annotation </w:t>
      </w:r>
      <w:r w:rsidR="00606014">
        <w:rPr>
          <w:rFonts w:ascii="Arial" w:hAnsi="Arial" w:cs="Arial"/>
          <w:sz w:val="24"/>
          <w:szCs w:val="24"/>
        </w:rPr>
        <w:t>Ribonucleoprotein complex</w:t>
      </w:r>
      <w:r>
        <w:rPr>
          <w:rFonts w:ascii="Arial" w:hAnsi="Arial" w:cs="Arial"/>
          <w:sz w:val="24"/>
          <w:szCs w:val="24"/>
        </w:rPr>
        <w:t xml:space="preserve"> was the one with the highest increase in its enrichment score in the CC GO term</w:t>
      </w:r>
      <w:r w:rsidR="00606014">
        <w:rPr>
          <w:rFonts w:ascii="Arial" w:hAnsi="Arial" w:cs="Arial"/>
          <w:sz w:val="24"/>
          <w:szCs w:val="24"/>
        </w:rPr>
        <w:t>, since there was a shift from 3.46</w:t>
      </w:r>
      <w:r>
        <w:rPr>
          <w:rFonts w:ascii="Arial" w:hAnsi="Arial" w:cs="Arial"/>
          <w:sz w:val="24"/>
          <w:szCs w:val="24"/>
        </w:rPr>
        <w:t xml:space="preserve"> in the global proteome dataset to </w:t>
      </w:r>
      <w:r w:rsidR="00606014">
        <w:rPr>
          <w:rFonts w:ascii="Arial" w:hAnsi="Arial" w:cs="Arial"/>
          <w:sz w:val="24"/>
          <w:szCs w:val="24"/>
        </w:rPr>
        <w:t xml:space="preserve">5.92 </w:t>
      </w:r>
      <w:r>
        <w:rPr>
          <w:rFonts w:ascii="Arial" w:hAnsi="Arial" w:cs="Arial"/>
          <w:sz w:val="24"/>
          <w:szCs w:val="24"/>
        </w:rPr>
        <w:t>observed in the acetylated proteome dataset</w:t>
      </w:r>
      <w:r w:rsidRPr="00981B95">
        <w:rPr>
          <w:rFonts w:ascii="Arial" w:hAnsi="Arial" w:cs="Arial"/>
          <w:sz w:val="24"/>
          <w:szCs w:val="24"/>
        </w:rPr>
        <w:t xml:space="preserve"> (Figure </w:t>
      </w:r>
      <w:r>
        <w:rPr>
          <w:rFonts w:ascii="Arial" w:hAnsi="Arial" w:cs="Arial"/>
          <w:sz w:val="24"/>
          <w:szCs w:val="24"/>
        </w:rPr>
        <w:t>1</w:t>
      </w:r>
      <w:r w:rsidR="007C66F9">
        <w:rPr>
          <w:rFonts w:ascii="Arial" w:hAnsi="Arial" w:cs="Arial"/>
          <w:sz w:val="24"/>
          <w:szCs w:val="24"/>
        </w:rPr>
        <w:t>4</w:t>
      </w:r>
      <w:r w:rsidRPr="00981B95">
        <w:rPr>
          <w:rFonts w:ascii="Arial" w:hAnsi="Arial" w:cs="Arial"/>
          <w:sz w:val="24"/>
          <w:szCs w:val="24"/>
        </w:rPr>
        <w:t>)</w:t>
      </w:r>
      <w:r>
        <w:rPr>
          <w:rFonts w:ascii="Arial" w:hAnsi="Arial" w:cs="Arial"/>
          <w:sz w:val="24"/>
          <w:szCs w:val="24"/>
        </w:rPr>
        <w:t xml:space="preserve">. The </w:t>
      </w:r>
      <w:r w:rsidR="0073333D">
        <w:rPr>
          <w:rFonts w:ascii="Arial" w:hAnsi="Arial" w:cs="Arial"/>
          <w:sz w:val="24"/>
          <w:szCs w:val="24"/>
        </w:rPr>
        <w:t>functional annotation</w:t>
      </w:r>
      <w:r>
        <w:rPr>
          <w:rFonts w:ascii="Arial" w:hAnsi="Arial" w:cs="Arial"/>
          <w:sz w:val="24"/>
          <w:szCs w:val="24"/>
        </w:rPr>
        <w:t xml:space="preserve"> Intracellular organelle part was the one with the highest decrease in its enrichment score in the CC GO term, </w:t>
      </w:r>
      <w:r w:rsidR="00606014">
        <w:rPr>
          <w:rFonts w:ascii="Arial" w:hAnsi="Arial" w:cs="Arial"/>
          <w:sz w:val="24"/>
          <w:szCs w:val="24"/>
        </w:rPr>
        <w:t>since there was a shift from 11.62</w:t>
      </w:r>
      <w:r>
        <w:rPr>
          <w:rFonts w:ascii="Arial" w:hAnsi="Arial" w:cs="Arial"/>
          <w:sz w:val="24"/>
          <w:szCs w:val="24"/>
        </w:rPr>
        <w:t xml:space="preserve"> in the global proteome dataset to </w:t>
      </w:r>
      <w:r w:rsidR="00606014">
        <w:rPr>
          <w:rFonts w:ascii="Arial" w:hAnsi="Arial" w:cs="Arial"/>
          <w:sz w:val="24"/>
          <w:szCs w:val="24"/>
        </w:rPr>
        <w:t xml:space="preserve">1.96 </w:t>
      </w:r>
      <w:r>
        <w:rPr>
          <w:rFonts w:ascii="Arial" w:hAnsi="Arial" w:cs="Arial"/>
          <w:sz w:val="24"/>
          <w:szCs w:val="24"/>
        </w:rPr>
        <w:t xml:space="preserve">observed in the </w:t>
      </w:r>
      <w:r>
        <w:rPr>
          <w:rFonts w:ascii="Arial" w:hAnsi="Arial" w:cs="Arial"/>
          <w:sz w:val="24"/>
          <w:szCs w:val="24"/>
        </w:rPr>
        <w:lastRenderedPageBreak/>
        <w:t>acetylated proteome dataset.</w:t>
      </w:r>
      <w:r w:rsidR="00606014">
        <w:rPr>
          <w:rFonts w:ascii="Arial" w:hAnsi="Arial" w:cs="Arial"/>
          <w:sz w:val="24"/>
          <w:szCs w:val="24"/>
        </w:rPr>
        <w:t xml:space="preserve"> This decrease in the enrichment scores indicates less proteins contributing to a specific functional annotation, which as aforesaid is expected, since not all proteins are substrate of acetylation.</w:t>
      </w:r>
    </w:p>
    <w:p w:rsidR="00B7345A" w:rsidRDefault="000C4092" w:rsidP="00B7345A">
      <w:pPr>
        <w:spacing w:line="360" w:lineRule="auto"/>
        <w:jc w:val="both"/>
        <w:rPr>
          <w:rFonts w:ascii="Arial" w:hAnsi="Arial" w:cs="Arial"/>
          <w:sz w:val="24"/>
          <w:szCs w:val="24"/>
        </w:rPr>
      </w:pPr>
      <w:r>
        <w:rPr>
          <w:rFonts w:ascii="Arial" w:hAnsi="Arial" w:cs="Arial"/>
          <w:noProof/>
          <w:sz w:val="24"/>
          <w:szCs w:val="24"/>
        </w:rPr>
        <w:drawing>
          <wp:inline distT="0" distB="0" distL="0" distR="0" wp14:anchorId="3BE6CD01" wp14:editId="20537250">
            <wp:extent cx="5612130" cy="3459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grapph.jpg"/>
                    <pic:cNvPicPr/>
                  </pic:nvPicPr>
                  <pic:blipFill>
                    <a:blip r:embed="rId46">
                      <a:extLst>
                        <a:ext uri="{28A0092B-C50C-407E-A947-70E740481C1C}">
                          <a14:useLocalDpi xmlns:a14="http://schemas.microsoft.com/office/drawing/2010/main" val="0"/>
                        </a:ext>
                      </a:extLst>
                    </a:blip>
                    <a:stretch>
                      <a:fillRect/>
                    </a:stretch>
                  </pic:blipFill>
                  <pic:spPr>
                    <a:xfrm>
                      <a:off x="0" y="0"/>
                      <a:ext cx="5612130" cy="3459480"/>
                    </a:xfrm>
                    <a:prstGeom prst="rect">
                      <a:avLst/>
                    </a:prstGeom>
                    <a:ln w="28575">
                      <a:noFill/>
                    </a:ln>
                  </pic:spPr>
                </pic:pic>
              </a:graphicData>
            </a:graphic>
          </wp:inline>
        </w:drawing>
      </w:r>
    </w:p>
    <w:p w:rsidR="00D01A30" w:rsidRPr="00B7345A" w:rsidRDefault="00D01A30" w:rsidP="00B7345A">
      <w:pPr>
        <w:spacing w:after="0" w:line="240" w:lineRule="auto"/>
        <w:jc w:val="both"/>
        <w:rPr>
          <w:rFonts w:ascii="Arial" w:hAnsi="Arial" w:cs="Arial"/>
          <w:b/>
          <w:i/>
          <w:sz w:val="16"/>
          <w:szCs w:val="16"/>
        </w:rPr>
      </w:pPr>
      <w:bookmarkStart w:id="106" w:name="_Toc364682973"/>
      <w:bookmarkStart w:id="107" w:name="_Toc413419274"/>
      <w:proofErr w:type="gramStart"/>
      <w:r w:rsidRPr="00B7345A">
        <w:rPr>
          <w:rFonts w:ascii="Arial" w:hAnsi="Arial" w:cs="Arial"/>
          <w:b/>
          <w:sz w:val="16"/>
        </w:rPr>
        <w:t xml:space="preserve">Figure </w:t>
      </w:r>
      <w:r w:rsidR="006C2756" w:rsidRPr="00B7345A">
        <w:rPr>
          <w:rFonts w:ascii="Arial" w:hAnsi="Arial" w:cs="Arial"/>
          <w:b/>
          <w:sz w:val="16"/>
        </w:rPr>
        <w:fldChar w:fldCharType="begin"/>
      </w:r>
      <w:r w:rsidRPr="00B7345A">
        <w:rPr>
          <w:rFonts w:ascii="Arial" w:hAnsi="Arial" w:cs="Arial"/>
          <w:b/>
          <w:sz w:val="16"/>
        </w:rPr>
        <w:instrText xml:space="preserve"> SEQ Figure \* ARABIC </w:instrText>
      </w:r>
      <w:r w:rsidR="006C2756" w:rsidRPr="00B7345A">
        <w:rPr>
          <w:rFonts w:ascii="Arial" w:hAnsi="Arial" w:cs="Arial"/>
          <w:b/>
          <w:sz w:val="16"/>
        </w:rPr>
        <w:fldChar w:fldCharType="separate"/>
      </w:r>
      <w:r w:rsidR="00DC0376">
        <w:rPr>
          <w:rFonts w:ascii="Arial" w:hAnsi="Arial" w:cs="Arial"/>
          <w:b/>
          <w:noProof/>
          <w:sz w:val="16"/>
        </w:rPr>
        <w:t>14</w:t>
      </w:r>
      <w:r w:rsidR="006C2756" w:rsidRPr="00B7345A">
        <w:rPr>
          <w:rFonts w:ascii="Arial" w:hAnsi="Arial" w:cs="Arial"/>
          <w:b/>
          <w:sz w:val="16"/>
        </w:rPr>
        <w:fldChar w:fldCharType="end"/>
      </w:r>
      <w:r w:rsidRPr="00B7345A">
        <w:rPr>
          <w:rFonts w:ascii="Arial" w:hAnsi="Arial" w:cs="Arial"/>
          <w:b/>
          <w:sz w:val="16"/>
          <w:szCs w:val="16"/>
        </w:rPr>
        <w:t>.</w:t>
      </w:r>
      <w:proofErr w:type="gramEnd"/>
      <w:r w:rsidRPr="00B7345A">
        <w:rPr>
          <w:rFonts w:ascii="Arial" w:hAnsi="Arial" w:cs="Arial"/>
          <w:b/>
          <w:sz w:val="16"/>
          <w:szCs w:val="16"/>
        </w:rPr>
        <w:t xml:space="preserve"> </w:t>
      </w:r>
      <w:bookmarkEnd w:id="106"/>
      <w:r w:rsidRPr="00B7345A">
        <w:rPr>
          <w:rFonts w:ascii="Arial" w:hAnsi="Arial" w:cs="Arial"/>
          <w:b/>
          <w:sz w:val="16"/>
          <w:szCs w:val="16"/>
        </w:rPr>
        <w:t xml:space="preserve">CC enrichment scores. </w:t>
      </w:r>
      <w:r w:rsidRPr="00B7345A">
        <w:rPr>
          <w:rFonts w:ascii="Arial" w:hAnsi="Arial" w:cs="Arial"/>
          <w:b/>
          <w:i/>
          <w:sz w:val="16"/>
          <w:szCs w:val="16"/>
        </w:rPr>
        <w:t>Enrichment scores of the global proteome (left, blue) and the acetylated proteome (right, red) datasets of the top ten functional annotations of the fifth level of ontology for CC GO term. Functional annotations that were not found in both global and acetylated proteome datasets were scored as 0, since no comparison was feasible to be made amongst these functional annotations. Differences in the enrichment scores were observed in the global and acetylated proteome datasets. For example the functional annotation Intracellular organelle part has a higher enrichment score i</w:t>
      </w:r>
      <w:r w:rsidR="00115A10" w:rsidRPr="00B7345A">
        <w:rPr>
          <w:rFonts w:ascii="Arial" w:hAnsi="Arial" w:cs="Arial"/>
          <w:b/>
          <w:i/>
          <w:sz w:val="16"/>
          <w:szCs w:val="16"/>
        </w:rPr>
        <w:t>n the global proteome dataset (11.62</w:t>
      </w:r>
      <w:r w:rsidRPr="00B7345A">
        <w:rPr>
          <w:rFonts w:ascii="Arial" w:hAnsi="Arial" w:cs="Arial"/>
          <w:b/>
          <w:i/>
          <w:sz w:val="16"/>
          <w:szCs w:val="16"/>
        </w:rPr>
        <w:t>) when compared to the acetylated proteome dataset (1</w:t>
      </w:r>
      <w:r w:rsidR="00115A10" w:rsidRPr="00B7345A">
        <w:rPr>
          <w:rFonts w:ascii="Arial" w:hAnsi="Arial" w:cs="Arial"/>
          <w:b/>
          <w:i/>
          <w:sz w:val="16"/>
          <w:szCs w:val="16"/>
        </w:rPr>
        <w:t>.96</w:t>
      </w:r>
      <w:r w:rsidRPr="00B7345A">
        <w:rPr>
          <w:rFonts w:ascii="Arial" w:hAnsi="Arial" w:cs="Arial"/>
          <w:b/>
          <w:i/>
          <w:sz w:val="16"/>
          <w:szCs w:val="16"/>
        </w:rPr>
        <w:t>); on the other hand, Ribonucleoprotein complex functional annotation has a higher enrichment score in the acetylated proteome dataset (</w:t>
      </w:r>
      <w:r w:rsidR="00CF26AF" w:rsidRPr="00B7345A">
        <w:rPr>
          <w:rFonts w:ascii="Arial" w:hAnsi="Arial" w:cs="Arial"/>
          <w:b/>
          <w:i/>
          <w:sz w:val="16"/>
          <w:szCs w:val="16"/>
        </w:rPr>
        <w:t>5.92</w:t>
      </w:r>
      <w:r w:rsidRPr="00B7345A">
        <w:rPr>
          <w:rFonts w:ascii="Arial" w:hAnsi="Arial" w:cs="Arial"/>
          <w:b/>
          <w:i/>
          <w:sz w:val="16"/>
          <w:szCs w:val="16"/>
        </w:rPr>
        <w:t>) when compared to</w:t>
      </w:r>
      <w:r w:rsidR="00CF26AF" w:rsidRPr="00B7345A">
        <w:rPr>
          <w:rFonts w:ascii="Arial" w:hAnsi="Arial" w:cs="Arial"/>
          <w:b/>
          <w:i/>
          <w:sz w:val="16"/>
          <w:szCs w:val="16"/>
        </w:rPr>
        <w:t xml:space="preserve"> the global proteome dataset (3.46</w:t>
      </w:r>
      <w:r w:rsidRPr="00B7345A">
        <w:rPr>
          <w:rFonts w:ascii="Arial" w:hAnsi="Arial" w:cs="Arial"/>
          <w:b/>
          <w:i/>
          <w:sz w:val="16"/>
          <w:szCs w:val="16"/>
        </w:rPr>
        <w:t>%). The p</w:t>
      </w:r>
      <w:r w:rsidRPr="00B7345A">
        <w:rPr>
          <w:rFonts w:ascii="Arial" w:hAnsi="Arial" w:cs="Arial"/>
          <w:b/>
          <w:sz w:val="16"/>
          <w:szCs w:val="16"/>
        </w:rPr>
        <w:t>-</w:t>
      </w:r>
      <w:r w:rsidR="00B7345A" w:rsidRPr="00B7345A">
        <w:rPr>
          <w:rFonts w:ascii="Arial" w:hAnsi="Arial" w:cs="Arial"/>
          <w:b/>
          <w:i/>
          <w:sz w:val="16"/>
          <w:szCs w:val="16"/>
        </w:rPr>
        <w:t>value of 0.57</w:t>
      </w:r>
      <w:r w:rsidRPr="00B7345A">
        <w:rPr>
          <w:rFonts w:ascii="Arial" w:hAnsi="Arial" w:cs="Arial"/>
          <w:b/>
          <w:i/>
          <w:sz w:val="16"/>
          <w:szCs w:val="16"/>
        </w:rPr>
        <w:t xml:space="preserve"> indicates that there are </w:t>
      </w:r>
      <w:r w:rsidR="000C4092">
        <w:rPr>
          <w:rFonts w:ascii="Arial" w:hAnsi="Arial" w:cs="Arial"/>
          <w:b/>
          <w:i/>
          <w:sz w:val="16"/>
          <w:szCs w:val="16"/>
        </w:rPr>
        <w:t xml:space="preserve">no </w:t>
      </w:r>
      <w:r w:rsidRPr="00B7345A">
        <w:rPr>
          <w:rFonts w:ascii="Arial" w:hAnsi="Arial" w:cs="Arial"/>
          <w:b/>
          <w:i/>
          <w:sz w:val="16"/>
          <w:szCs w:val="16"/>
        </w:rPr>
        <w:t xml:space="preserve">statistically significant differences in the changes observed in the enrichment scores between the global and the acetylated proteome datasets. </w:t>
      </w:r>
      <w:r w:rsidR="00B7345A" w:rsidRPr="00B7345A">
        <w:rPr>
          <w:rFonts w:ascii="Arial" w:eastAsia="Times New Roman" w:hAnsi="Arial" w:cs="Arial"/>
          <w:b/>
          <w:bCs/>
          <w:i/>
          <w:sz w:val="16"/>
          <w:szCs w:val="16"/>
        </w:rPr>
        <w:t>Wilcoxon rank sum test</w:t>
      </w:r>
      <w:r w:rsidR="00B7345A" w:rsidRPr="00B7345A">
        <w:rPr>
          <w:rFonts w:ascii="Calibri" w:eastAsia="Times New Roman" w:hAnsi="Calibri" w:cs="Times New Roman"/>
          <w:b/>
          <w:bCs/>
        </w:rPr>
        <w:t xml:space="preserve"> </w:t>
      </w:r>
      <w:r w:rsidRPr="00B7345A">
        <w:rPr>
          <w:rFonts w:ascii="Arial" w:hAnsi="Arial" w:cs="Arial"/>
          <w:b/>
          <w:i/>
          <w:sz w:val="16"/>
          <w:szCs w:val="16"/>
        </w:rPr>
        <w:t>was used to compare the global and the acetylated proteome datasets (Shapiro-Wilk test p-value: 0.</w:t>
      </w:r>
      <w:r w:rsidR="00B7345A" w:rsidRPr="00B7345A">
        <w:rPr>
          <w:rFonts w:ascii="Arial" w:hAnsi="Arial" w:cs="Arial"/>
          <w:b/>
          <w:i/>
          <w:sz w:val="16"/>
          <w:szCs w:val="16"/>
        </w:rPr>
        <w:t>37</w:t>
      </w:r>
      <w:r w:rsidRPr="00B7345A">
        <w:rPr>
          <w:rFonts w:ascii="Arial" w:hAnsi="Arial" w:cs="Arial"/>
          <w:b/>
          <w:i/>
          <w:sz w:val="16"/>
          <w:szCs w:val="16"/>
        </w:rPr>
        <w:t xml:space="preserve"> for the global proteome and 0.</w:t>
      </w:r>
      <w:r w:rsidR="00B7345A" w:rsidRPr="00B7345A">
        <w:rPr>
          <w:rFonts w:ascii="Arial" w:hAnsi="Arial" w:cs="Arial"/>
          <w:b/>
          <w:i/>
          <w:sz w:val="16"/>
          <w:szCs w:val="16"/>
        </w:rPr>
        <w:t>0</w:t>
      </w:r>
      <w:r w:rsidRPr="00B7345A">
        <w:rPr>
          <w:rFonts w:ascii="Arial" w:hAnsi="Arial" w:cs="Arial"/>
          <w:b/>
          <w:i/>
          <w:sz w:val="16"/>
          <w:szCs w:val="16"/>
        </w:rPr>
        <w:t>3 for the acetylated proteome).</w:t>
      </w:r>
      <w:bookmarkEnd w:id="107"/>
    </w:p>
    <w:p w:rsidR="007C66F9" w:rsidRPr="007C66F9" w:rsidRDefault="007C66F9" w:rsidP="007C66F9">
      <w:pPr>
        <w:spacing w:line="240" w:lineRule="auto"/>
        <w:ind w:firstLine="709"/>
        <w:jc w:val="both"/>
        <w:rPr>
          <w:rFonts w:ascii="Arial" w:hAnsi="Arial" w:cs="Arial"/>
          <w:sz w:val="16"/>
          <w:szCs w:val="16"/>
        </w:rPr>
      </w:pPr>
    </w:p>
    <w:p w:rsidR="00EF1380" w:rsidRDefault="00EF1380" w:rsidP="00EF1380">
      <w:pPr>
        <w:spacing w:line="360" w:lineRule="auto"/>
        <w:ind w:firstLine="709"/>
        <w:jc w:val="both"/>
        <w:rPr>
          <w:rFonts w:ascii="Arial" w:hAnsi="Arial" w:cs="Arial"/>
          <w:sz w:val="24"/>
          <w:szCs w:val="24"/>
        </w:rPr>
      </w:pPr>
      <w:r w:rsidRPr="00981B95">
        <w:rPr>
          <w:rFonts w:ascii="Arial" w:hAnsi="Arial" w:cs="Arial"/>
          <w:sz w:val="24"/>
          <w:szCs w:val="24"/>
        </w:rPr>
        <w:t xml:space="preserve">The results for </w:t>
      </w:r>
      <w:r>
        <w:rPr>
          <w:rFonts w:ascii="Arial" w:hAnsi="Arial" w:cs="Arial"/>
          <w:sz w:val="24"/>
          <w:szCs w:val="24"/>
        </w:rPr>
        <w:t xml:space="preserve">the </w:t>
      </w:r>
      <w:r w:rsidRPr="00981B95">
        <w:rPr>
          <w:rFonts w:ascii="Arial" w:hAnsi="Arial" w:cs="Arial"/>
          <w:sz w:val="24"/>
          <w:szCs w:val="24"/>
        </w:rPr>
        <w:t>MF GO term followed the same trend, although the number of functional ann</w:t>
      </w:r>
      <w:r>
        <w:rPr>
          <w:rFonts w:ascii="Arial" w:hAnsi="Arial" w:cs="Arial"/>
          <w:sz w:val="24"/>
          <w:szCs w:val="24"/>
        </w:rPr>
        <w:t>otations shared in between the global and the a</w:t>
      </w:r>
      <w:r w:rsidRPr="00981B95">
        <w:rPr>
          <w:rFonts w:ascii="Arial" w:hAnsi="Arial" w:cs="Arial"/>
          <w:sz w:val="24"/>
          <w:szCs w:val="24"/>
        </w:rPr>
        <w:t xml:space="preserve">cetylated proteome </w:t>
      </w:r>
      <w:r>
        <w:rPr>
          <w:rFonts w:ascii="Arial" w:hAnsi="Arial" w:cs="Arial"/>
          <w:sz w:val="24"/>
          <w:szCs w:val="24"/>
        </w:rPr>
        <w:t xml:space="preserve">datasets </w:t>
      </w:r>
      <w:r w:rsidRPr="00981B95">
        <w:rPr>
          <w:rFonts w:ascii="Arial" w:hAnsi="Arial" w:cs="Arial"/>
          <w:sz w:val="24"/>
          <w:szCs w:val="24"/>
        </w:rPr>
        <w:t xml:space="preserve">was the lowest, with </w:t>
      </w:r>
      <w:r>
        <w:rPr>
          <w:rFonts w:ascii="Arial" w:hAnsi="Arial" w:cs="Arial"/>
          <w:sz w:val="24"/>
          <w:szCs w:val="24"/>
        </w:rPr>
        <w:t xml:space="preserve">just </w:t>
      </w:r>
      <w:r w:rsidRPr="00981B95">
        <w:rPr>
          <w:rFonts w:ascii="Arial" w:hAnsi="Arial" w:cs="Arial"/>
          <w:sz w:val="24"/>
          <w:szCs w:val="24"/>
        </w:rPr>
        <w:t xml:space="preserve">6 of these </w:t>
      </w:r>
      <w:r>
        <w:rPr>
          <w:rFonts w:ascii="Arial" w:hAnsi="Arial" w:cs="Arial"/>
          <w:sz w:val="24"/>
          <w:szCs w:val="24"/>
        </w:rPr>
        <w:t xml:space="preserve">functional </w:t>
      </w:r>
      <w:r w:rsidRPr="00981B95">
        <w:rPr>
          <w:rFonts w:ascii="Arial" w:hAnsi="Arial" w:cs="Arial"/>
          <w:sz w:val="24"/>
          <w:szCs w:val="24"/>
        </w:rPr>
        <w:t xml:space="preserve">annotations shared (Figure </w:t>
      </w:r>
      <w:r>
        <w:rPr>
          <w:rFonts w:ascii="Arial" w:hAnsi="Arial" w:cs="Arial"/>
          <w:sz w:val="24"/>
          <w:szCs w:val="24"/>
        </w:rPr>
        <w:t>16</w:t>
      </w:r>
      <w:r w:rsidRPr="00981B95">
        <w:rPr>
          <w:rFonts w:ascii="Arial" w:hAnsi="Arial" w:cs="Arial"/>
          <w:sz w:val="24"/>
          <w:szCs w:val="24"/>
        </w:rPr>
        <w:t xml:space="preserve">). The functional annotations shared </w:t>
      </w:r>
      <w:r>
        <w:rPr>
          <w:rFonts w:ascii="Arial" w:hAnsi="Arial" w:cs="Arial"/>
          <w:sz w:val="24"/>
          <w:szCs w:val="24"/>
        </w:rPr>
        <w:t>in the MF GO term in between the global and the a</w:t>
      </w:r>
      <w:r w:rsidRPr="00981B95">
        <w:rPr>
          <w:rFonts w:ascii="Arial" w:hAnsi="Arial" w:cs="Arial"/>
          <w:sz w:val="24"/>
          <w:szCs w:val="24"/>
        </w:rPr>
        <w:t xml:space="preserve">cetylated proteome </w:t>
      </w:r>
      <w:r>
        <w:rPr>
          <w:rFonts w:ascii="Arial" w:hAnsi="Arial" w:cs="Arial"/>
          <w:sz w:val="24"/>
          <w:szCs w:val="24"/>
        </w:rPr>
        <w:t xml:space="preserve">dataset </w:t>
      </w:r>
      <w:r w:rsidRPr="00981B95">
        <w:rPr>
          <w:rFonts w:ascii="Arial" w:hAnsi="Arial" w:cs="Arial"/>
          <w:sz w:val="24"/>
          <w:szCs w:val="24"/>
        </w:rPr>
        <w:t xml:space="preserve">were Pyrophosphatase activity, Adenyl ribonucleotide binding, Guanyl ribonucleotide binding, Aminoacyl-tRNA ligase activity, Threonine-type peptidase activity, and Single-stranded DNA </w:t>
      </w:r>
      <w:r w:rsidRPr="00981B95">
        <w:rPr>
          <w:rFonts w:ascii="Arial" w:hAnsi="Arial" w:cs="Arial"/>
          <w:sz w:val="24"/>
          <w:szCs w:val="24"/>
        </w:rPr>
        <w:lastRenderedPageBreak/>
        <w:t xml:space="preserve">binding (Figure </w:t>
      </w:r>
      <w:r w:rsidR="007C66F9">
        <w:rPr>
          <w:rFonts w:ascii="Arial" w:hAnsi="Arial" w:cs="Arial"/>
          <w:sz w:val="24"/>
          <w:szCs w:val="24"/>
        </w:rPr>
        <w:t>15</w:t>
      </w:r>
      <w:r w:rsidRPr="00981B95">
        <w:rPr>
          <w:rFonts w:ascii="Arial" w:hAnsi="Arial" w:cs="Arial"/>
          <w:sz w:val="24"/>
          <w:szCs w:val="24"/>
        </w:rPr>
        <w:t xml:space="preserve">). </w:t>
      </w:r>
      <w:r>
        <w:rPr>
          <w:rFonts w:ascii="Arial" w:hAnsi="Arial" w:cs="Arial"/>
          <w:sz w:val="24"/>
          <w:szCs w:val="24"/>
        </w:rPr>
        <w:t>As in the BP and the CC GO terms the e</w:t>
      </w:r>
      <w:r w:rsidRPr="00981B95">
        <w:rPr>
          <w:rFonts w:ascii="Arial" w:hAnsi="Arial" w:cs="Arial"/>
          <w:sz w:val="24"/>
          <w:szCs w:val="24"/>
        </w:rPr>
        <w:t xml:space="preserve">nrichments </w:t>
      </w:r>
      <w:r>
        <w:rPr>
          <w:rFonts w:ascii="Arial" w:hAnsi="Arial" w:cs="Arial"/>
          <w:sz w:val="24"/>
          <w:szCs w:val="24"/>
        </w:rPr>
        <w:t>scores in the MF GO term also changed between the global and a</w:t>
      </w:r>
      <w:r w:rsidRPr="00981B95">
        <w:rPr>
          <w:rFonts w:ascii="Arial" w:hAnsi="Arial" w:cs="Arial"/>
          <w:sz w:val="24"/>
          <w:szCs w:val="24"/>
        </w:rPr>
        <w:t>cetylated proteome</w:t>
      </w:r>
      <w:r>
        <w:rPr>
          <w:rFonts w:ascii="Arial" w:hAnsi="Arial" w:cs="Arial"/>
          <w:sz w:val="24"/>
          <w:szCs w:val="24"/>
        </w:rPr>
        <w:t xml:space="preserve"> </w:t>
      </w:r>
      <w:proofErr w:type="gramStart"/>
      <w:r>
        <w:rPr>
          <w:rFonts w:ascii="Arial" w:hAnsi="Arial" w:cs="Arial"/>
          <w:sz w:val="24"/>
          <w:szCs w:val="24"/>
        </w:rPr>
        <w:t>datasets</w:t>
      </w:r>
      <w:r w:rsidRPr="00981B95">
        <w:rPr>
          <w:rFonts w:ascii="Arial" w:hAnsi="Arial" w:cs="Arial"/>
          <w:sz w:val="24"/>
          <w:szCs w:val="24"/>
        </w:rPr>
        <w:t>.</w:t>
      </w:r>
      <w:proofErr w:type="gramEnd"/>
      <w:r w:rsidRPr="00981B95">
        <w:rPr>
          <w:rFonts w:ascii="Arial" w:hAnsi="Arial" w:cs="Arial"/>
          <w:sz w:val="24"/>
          <w:szCs w:val="24"/>
        </w:rPr>
        <w:t xml:space="preserve"> </w:t>
      </w:r>
      <w:r>
        <w:rPr>
          <w:rFonts w:ascii="Arial" w:hAnsi="Arial" w:cs="Arial"/>
          <w:sz w:val="24"/>
          <w:szCs w:val="24"/>
        </w:rPr>
        <w:t xml:space="preserve">For example, </w:t>
      </w:r>
      <w:r w:rsidR="00115A10">
        <w:rPr>
          <w:rFonts w:ascii="Arial" w:hAnsi="Arial" w:cs="Arial"/>
          <w:sz w:val="24"/>
          <w:szCs w:val="24"/>
        </w:rPr>
        <w:t xml:space="preserve">Threonine-type peptidase activity </w:t>
      </w:r>
      <w:r>
        <w:rPr>
          <w:rFonts w:ascii="Arial" w:hAnsi="Arial" w:cs="Arial"/>
          <w:sz w:val="24"/>
          <w:szCs w:val="24"/>
        </w:rPr>
        <w:t xml:space="preserve">was the functional annotation with the largest change in its enrichment score in the MF GO term. In this functional annotation, a shift from </w:t>
      </w:r>
      <w:r w:rsidR="00115A10">
        <w:rPr>
          <w:rFonts w:ascii="Arial" w:hAnsi="Arial" w:cs="Arial"/>
          <w:sz w:val="24"/>
          <w:szCs w:val="24"/>
        </w:rPr>
        <w:t xml:space="preserve">2.62 </w:t>
      </w:r>
      <w:r>
        <w:rPr>
          <w:rFonts w:ascii="Arial" w:hAnsi="Arial" w:cs="Arial"/>
          <w:sz w:val="24"/>
          <w:szCs w:val="24"/>
        </w:rPr>
        <w:t>in th</w:t>
      </w:r>
      <w:r w:rsidR="00115A10">
        <w:rPr>
          <w:rFonts w:ascii="Arial" w:hAnsi="Arial" w:cs="Arial"/>
          <w:sz w:val="24"/>
          <w:szCs w:val="24"/>
        </w:rPr>
        <w:t>e global proteome dataset to 9.79</w:t>
      </w:r>
      <w:r>
        <w:rPr>
          <w:rFonts w:ascii="Arial" w:hAnsi="Arial" w:cs="Arial"/>
          <w:sz w:val="24"/>
          <w:szCs w:val="24"/>
        </w:rPr>
        <w:t xml:space="preserve"> in the acetylated proteome dataset </w:t>
      </w:r>
      <w:r w:rsidR="004A159A">
        <w:rPr>
          <w:rFonts w:ascii="Arial" w:hAnsi="Arial" w:cs="Arial"/>
          <w:sz w:val="24"/>
          <w:szCs w:val="24"/>
        </w:rPr>
        <w:t xml:space="preserve">was observed </w:t>
      </w:r>
      <w:r w:rsidRPr="00981B95">
        <w:rPr>
          <w:rFonts w:ascii="Arial" w:hAnsi="Arial" w:cs="Arial"/>
          <w:sz w:val="24"/>
          <w:szCs w:val="24"/>
        </w:rPr>
        <w:t xml:space="preserve">(Figure </w:t>
      </w:r>
      <w:r>
        <w:rPr>
          <w:rFonts w:ascii="Arial" w:hAnsi="Arial" w:cs="Arial"/>
          <w:sz w:val="24"/>
          <w:szCs w:val="24"/>
        </w:rPr>
        <w:t>1</w:t>
      </w:r>
      <w:r w:rsidR="007C66F9">
        <w:rPr>
          <w:rFonts w:ascii="Arial" w:hAnsi="Arial" w:cs="Arial"/>
          <w:sz w:val="24"/>
          <w:szCs w:val="24"/>
        </w:rPr>
        <w:t>5</w:t>
      </w:r>
      <w:r w:rsidRPr="00981B95">
        <w:rPr>
          <w:rFonts w:ascii="Arial" w:hAnsi="Arial" w:cs="Arial"/>
          <w:sz w:val="24"/>
          <w:szCs w:val="24"/>
        </w:rPr>
        <w:t>)</w:t>
      </w:r>
      <w:r w:rsidR="00115A10">
        <w:rPr>
          <w:rFonts w:ascii="Arial" w:hAnsi="Arial" w:cs="Arial"/>
          <w:sz w:val="24"/>
          <w:szCs w:val="24"/>
        </w:rPr>
        <w:t>, indicating an increase in the percentage of proteins contributing to this functional annotation</w:t>
      </w:r>
      <w:r w:rsidRPr="00981B95">
        <w:rPr>
          <w:rFonts w:ascii="Arial" w:hAnsi="Arial" w:cs="Arial"/>
          <w:sz w:val="24"/>
          <w:szCs w:val="24"/>
        </w:rPr>
        <w:t xml:space="preserve">. </w:t>
      </w:r>
      <w:r>
        <w:rPr>
          <w:rFonts w:ascii="Arial" w:hAnsi="Arial" w:cs="Arial"/>
          <w:sz w:val="24"/>
          <w:szCs w:val="24"/>
        </w:rPr>
        <w:t xml:space="preserve">On the other hand, the functional annotation with the highest decrease in its enrichment score in the MF GO term was </w:t>
      </w:r>
      <w:r w:rsidR="00115A10">
        <w:rPr>
          <w:rFonts w:ascii="Arial" w:hAnsi="Arial" w:cs="Arial"/>
          <w:sz w:val="24"/>
          <w:szCs w:val="24"/>
        </w:rPr>
        <w:t>Guanyl ribonucleotide binding</w:t>
      </w:r>
      <w:r>
        <w:rPr>
          <w:rFonts w:ascii="Arial" w:hAnsi="Arial" w:cs="Arial"/>
          <w:sz w:val="24"/>
          <w:szCs w:val="24"/>
        </w:rPr>
        <w:t xml:space="preserve">, since a shift from </w:t>
      </w:r>
      <w:r w:rsidR="00115A10">
        <w:rPr>
          <w:rFonts w:ascii="Arial" w:hAnsi="Arial" w:cs="Arial"/>
          <w:sz w:val="24"/>
          <w:szCs w:val="24"/>
        </w:rPr>
        <w:t>2.51</w:t>
      </w:r>
      <w:r>
        <w:rPr>
          <w:rFonts w:ascii="Arial" w:hAnsi="Arial" w:cs="Arial"/>
          <w:sz w:val="24"/>
          <w:szCs w:val="24"/>
        </w:rPr>
        <w:t xml:space="preserve"> in the total proteome dataset to </w:t>
      </w:r>
      <w:r w:rsidR="00115A10">
        <w:rPr>
          <w:rFonts w:ascii="Arial" w:hAnsi="Arial" w:cs="Arial"/>
          <w:sz w:val="24"/>
          <w:szCs w:val="24"/>
        </w:rPr>
        <w:t>2.31</w:t>
      </w:r>
      <w:r>
        <w:rPr>
          <w:rFonts w:ascii="Arial" w:hAnsi="Arial" w:cs="Arial"/>
          <w:sz w:val="24"/>
          <w:szCs w:val="24"/>
        </w:rPr>
        <w:t xml:space="preserve"> in the acetylated proteome dataset was observed.</w:t>
      </w:r>
    </w:p>
    <w:p w:rsidR="00EF1380" w:rsidRPr="00115A10" w:rsidRDefault="00FA2F30" w:rsidP="00EF1380">
      <w:pPr>
        <w:rPr>
          <w:b/>
          <w:color w:val="FF0000"/>
        </w:rPr>
      </w:pPr>
      <w:r>
        <w:rPr>
          <w:b/>
          <w:noProof/>
          <w:color w:val="FF0000"/>
        </w:rPr>
        <w:drawing>
          <wp:inline distT="0" distB="0" distL="0" distR="0" wp14:anchorId="3C551D76" wp14:editId="28580CC3">
            <wp:extent cx="5612130" cy="337375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 graph.jpg"/>
                    <pic:cNvPicPr/>
                  </pic:nvPicPr>
                  <pic:blipFill>
                    <a:blip r:embed="rId47">
                      <a:extLst>
                        <a:ext uri="{28A0092B-C50C-407E-A947-70E740481C1C}">
                          <a14:useLocalDpi xmlns:a14="http://schemas.microsoft.com/office/drawing/2010/main" val="0"/>
                        </a:ext>
                      </a:extLst>
                    </a:blip>
                    <a:stretch>
                      <a:fillRect/>
                    </a:stretch>
                  </pic:blipFill>
                  <pic:spPr>
                    <a:xfrm>
                      <a:off x="0" y="0"/>
                      <a:ext cx="5612130" cy="3373755"/>
                    </a:xfrm>
                    <a:prstGeom prst="rect">
                      <a:avLst/>
                    </a:prstGeom>
                    <a:ln w="28575">
                      <a:noFill/>
                    </a:ln>
                  </pic:spPr>
                </pic:pic>
              </a:graphicData>
            </a:graphic>
          </wp:inline>
        </w:drawing>
      </w:r>
    </w:p>
    <w:p w:rsidR="007743BA" w:rsidRPr="000C4092" w:rsidRDefault="00EF1380" w:rsidP="000C4092">
      <w:pPr>
        <w:jc w:val="both"/>
        <w:rPr>
          <w:rFonts w:ascii="Arial" w:hAnsi="Arial" w:cs="Arial"/>
          <w:b/>
          <w:i/>
          <w:sz w:val="16"/>
          <w:szCs w:val="16"/>
        </w:rPr>
      </w:pPr>
      <w:bookmarkStart w:id="108" w:name="_Toc364682974"/>
      <w:bookmarkStart w:id="109" w:name="_Toc413419275"/>
      <w:proofErr w:type="gramStart"/>
      <w:r w:rsidRPr="00CD2A4C">
        <w:rPr>
          <w:rFonts w:ascii="Arial" w:hAnsi="Arial" w:cs="Arial"/>
          <w:b/>
          <w:sz w:val="16"/>
          <w:szCs w:val="16"/>
        </w:rPr>
        <w:t xml:space="preserve">Figure </w:t>
      </w:r>
      <w:r w:rsidR="006C2756" w:rsidRPr="00CD2A4C">
        <w:rPr>
          <w:rFonts w:ascii="Arial" w:hAnsi="Arial" w:cs="Arial"/>
          <w:b/>
          <w:sz w:val="16"/>
          <w:szCs w:val="16"/>
        </w:rPr>
        <w:fldChar w:fldCharType="begin"/>
      </w:r>
      <w:r w:rsidRPr="00CD2A4C">
        <w:rPr>
          <w:rFonts w:ascii="Arial" w:hAnsi="Arial" w:cs="Arial"/>
          <w:b/>
          <w:sz w:val="16"/>
          <w:szCs w:val="16"/>
        </w:rPr>
        <w:instrText xml:space="preserve"> SEQ Figure \* ARABIC </w:instrText>
      </w:r>
      <w:r w:rsidR="006C2756" w:rsidRPr="00CD2A4C">
        <w:rPr>
          <w:rFonts w:ascii="Arial" w:hAnsi="Arial" w:cs="Arial"/>
          <w:b/>
          <w:sz w:val="16"/>
          <w:szCs w:val="16"/>
        </w:rPr>
        <w:fldChar w:fldCharType="separate"/>
      </w:r>
      <w:r w:rsidR="00DC0376">
        <w:rPr>
          <w:rFonts w:ascii="Arial" w:hAnsi="Arial" w:cs="Arial"/>
          <w:b/>
          <w:noProof/>
          <w:sz w:val="16"/>
          <w:szCs w:val="16"/>
        </w:rPr>
        <w:t>15</w:t>
      </w:r>
      <w:r w:rsidR="006C2756" w:rsidRPr="00CD2A4C">
        <w:rPr>
          <w:rFonts w:ascii="Arial" w:hAnsi="Arial" w:cs="Arial"/>
          <w:b/>
          <w:sz w:val="16"/>
          <w:szCs w:val="16"/>
        </w:rPr>
        <w:fldChar w:fldCharType="end"/>
      </w:r>
      <w:r w:rsidRPr="00CD2A4C">
        <w:rPr>
          <w:rFonts w:ascii="Arial" w:hAnsi="Arial" w:cs="Arial"/>
          <w:b/>
          <w:sz w:val="16"/>
          <w:szCs w:val="16"/>
          <w:lang w:val="en-US"/>
        </w:rPr>
        <w:t>.</w:t>
      </w:r>
      <w:bookmarkEnd w:id="108"/>
      <w:proofErr w:type="gramEnd"/>
      <w:r w:rsidRPr="00CD2A4C">
        <w:rPr>
          <w:rFonts w:ascii="Arial" w:hAnsi="Arial" w:cs="Arial"/>
          <w:b/>
          <w:sz w:val="16"/>
          <w:szCs w:val="16"/>
          <w:lang w:val="en-US"/>
        </w:rPr>
        <w:t xml:space="preserve"> </w:t>
      </w:r>
      <w:proofErr w:type="gramStart"/>
      <w:r w:rsidRPr="00CD2A4C">
        <w:rPr>
          <w:rFonts w:ascii="Arial" w:hAnsi="Arial" w:cs="Arial"/>
          <w:b/>
          <w:sz w:val="16"/>
          <w:szCs w:val="16"/>
          <w:lang w:val="en-US"/>
        </w:rPr>
        <w:t>M</w:t>
      </w:r>
      <w:r w:rsidR="0009438E" w:rsidRPr="00CD2A4C">
        <w:rPr>
          <w:rFonts w:ascii="Arial" w:hAnsi="Arial" w:cs="Arial"/>
          <w:b/>
          <w:sz w:val="16"/>
          <w:szCs w:val="16"/>
          <w:lang w:val="en-US"/>
        </w:rPr>
        <w:t>F</w:t>
      </w:r>
      <w:r w:rsidRPr="00CD2A4C">
        <w:rPr>
          <w:rFonts w:ascii="Arial" w:hAnsi="Arial" w:cs="Arial"/>
          <w:b/>
          <w:sz w:val="16"/>
          <w:szCs w:val="16"/>
          <w:lang w:val="en-US"/>
        </w:rPr>
        <w:t xml:space="preserve"> enrichment scores</w:t>
      </w:r>
      <w:r w:rsidRPr="000C4092">
        <w:rPr>
          <w:rFonts w:ascii="Arial" w:hAnsi="Arial" w:cs="Arial"/>
          <w:b/>
          <w:i/>
          <w:sz w:val="16"/>
          <w:szCs w:val="16"/>
          <w:lang w:val="en-US"/>
        </w:rPr>
        <w:t>.</w:t>
      </w:r>
      <w:proofErr w:type="gramEnd"/>
      <w:r w:rsidRPr="000C4092">
        <w:rPr>
          <w:rFonts w:ascii="Arial" w:hAnsi="Arial" w:cs="Arial"/>
          <w:b/>
          <w:i/>
          <w:sz w:val="16"/>
          <w:szCs w:val="16"/>
          <w:lang w:val="en-US"/>
        </w:rPr>
        <w:t xml:space="preserve"> </w:t>
      </w:r>
      <w:r w:rsidR="0009438E" w:rsidRPr="000C4092">
        <w:rPr>
          <w:rFonts w:ascii="Arial" w:hAnsi="Arial" w:cs="Arial"/>
          <w:b/>
          <w:i/>
          <w:sz w:val="16"/>
          <w:szCs w:val="16"/>
        </w:rPr>
        <w:t>Enrichment scores of the global proteome (left, blue) and the acetylated proteome (right, red) datasets</w:t>
      </w:r>
      <w:r w:rsidR="00CF26AF" w:rsidRPr="000C4092">
        <w:rPr>
          <w:rFonts w:ascii="Arial" w:hAnsi="Arial" w:cs="Arial"/>
          <w:b/>
          <w:i/>
          <w:sz w:val="16"/>
          <w:szCs w:val="16"/>
        </w:rPr>
        <w:t xml:space="preserve"> of</w:t>
      </w:r>
      <w:r w:rsidR="0009438E" w:rsidRPr="000C4092">
        <w:rPr>
          <w:rFonts w:ascii="Arial" w:hAnsi="Arial" w:cs="Arial"/>
          <w:b/>
          <w:i/>
          <w:sz w:val="16"/>
          <w:szCs w:val="16"/>
        </w:rPr>
        <w:t xml:space="preserve"> the top ten functional annotations of the fifth level of ontology for MF GO term. Functional annotations that were not found in both global and acetylated proteome datasets were scored as 0, since no comparison was feasible to be made amongst these functional annotations. Differences in the enrichment scores </w:t>
      </w:r>
      <w:r w:rsidR="007743BA" w:rsidRPr="000C4092">
        <w:rPr>
          <w:rFonts w:ascii="Arial" w:hAnsi="Arial" w:cs="Arial"/>
          <w:b/>
          <w:i/>
          <w:sz w:val="16"/>
          <w:szCs w:val="16"/>
        </w:rPr>
        <w:t xml:space="preserve">were observed </w:t>
      </w:r>
      <w:r w:rsidR="0009438E" w:rsidRPr="000C4092">
        <w:rPr>
          <w:rFonts w:ascii="Arial" w:hAnsi="Arial" w:cs="Arial"/>
          <w:b/>
          <w:i/>
          <w:sz w:val="16"/>
          <w:szCs w:val="16"/>
        </w:rPr>
        <w:t xml:space="preserve">in the global and acetylated proteome datasets. For example the functional annotation </w:t>
      </w:r>
      <w:r w:rsidR="00CF26AF" w:rsidRPr="000C4092">
        <w:rPr>
          <w:rFonts w:ascii="Arial" w:hAnsi="Arial" w:cs="Arial"/>
          <w:b/>
          <w:i/>
          <w:sz w:val="16"/>
          <w:szCs w:val="16"/>
        </w:rPr>
        <w:t>Guanyl ribonucleotide binding</w:t>
      </w:r>
      <w:r w:rsidR="00B528B6" w:rsidRPr="000C4092">
        <w:rPr>
          <w:rFonts w:ascii="Arial" w:hAnsi="Arial" w:cs="Arial"/>
          <w:b/>
          <w:i/>
          <w:sz w:val="16"/>
          <w:szCs w:val="16"/>
        </w:rPr>
        <w:t xml:space="preserve"> </w:t>
      </w:r>
      <w:r w:rsidR="0009438E" w:rsidRPr="000C4092">
        <w:rPr>
          <w:rFonts w:ascii="Arial" w:hAnsi="Arial" w:cs="Arial"/>
          <w:b/>
          <w:i/>
          <w:sz w:val="16"/>
          <w:szCs w:val="16"/>
        </w:rPr>
        <w:t>has a higher enrichment score in the global proteome dataset (</w:t>
      </w:r>
      <w:r w:rsidR="00CF26AF" w:rsidRPr="000C4092">
        <w:rPr>
          <w:rFonts w:ascii="Arial" w:hAnsi="Arial" w:cs="Arial"/>
          <w:b/>
          <w:i/>
          <w:sz w:val="16"/>
          <w:szCs w:val="16"/>
        </w:rPr>
        <w:t>2.51</w:t>
      </w:r>
      <w:r w:rsidR="0009438E" w:rsidRPr="000C4092">
        <w:rPr>
          <w:rFonts w:ascii="Arial" w:hAnsi="Arial" w:cs="Arial"/>
          <w:b/>
          <w:i/>
          <w:sz w:val="16"/>
          <w:szCs w:val="16"/>
        </w:rPr>
        <w:t>) when compared to the acetylated proteome dataset (</w:t>
      </w:r>
      <w:r w:rsidR="00CF26AF" w:rsidRPr="000C4092">
        <w:rPr>
          <w:rFonts w:ascii="Arial" w:hAnsi="Arial" w:cs="Arial"/>
          <w:b/>
          <w:i/>
          <w:sz w:val="16"/>
          <w:szCs w:val="16"/>
        </w:rPr>
        <w:t>2.31</w:t>
      </w:r>
      <w:r w:rsidR="0009438E" w:rsidRPr="000C4092">
        <w:rPr>
          <w:rFonts w:ascii="Arial" w:hAnsi="Arial" w:cs="Arial"/>
          <w:b/>
          <w:i/>
          <w:sz w:val="16"/>
          <w:szCs w:val="16"/>
        </w:rPr>
        <w:t xml:space="preserve">); on the other hand, </w:t>
      </w:r>
      <w:r w:rsidR="00CF26AF" w:rsidRPr="000C4092">
        <w:rPr>
          <w:rFonts w:ascii="Arial" w:hAnsi="Arial" w:cs="Arial"/>
          <w:b/>
          <w:i/>
          <w:sz w:val="16"/>
          <w:szCs w:val="16"/>
        </w:rPr>
        <w:t xml:space="preserve">Threonine-type peptidase activity </w:t>
      </w:r>
      <w:r w:rsidR="0009438E" w:rsidRPr="000C4092">
        <w:rPr>
          <w:rFonts w:ascii="Arial" w:hAnsi="Arial" w:cs="Arial"/>
          <w:b/>
          <w:i/>
          <w:sz w:val="16"/>
          <w:szCs w:val="16"/>
        </w:rPr>
        <w:t>functional annotation has a higher enrichment score in the acetylated proteome dataset (</w:t>
      </w:r>
      <w:r w:rsidR="00B528B6" w:rsidRPr="000C4092">
        <w:rPr>
          <w:rFonts w:ascii="Arial" w:hAnsi="Arial" w:cs="Arial"/>
          <w:b/>
          <w:i/>
          <w:sz w:val="16"/>
          <w:szCs w:val="16"/>
        </w:rPr>
        <w:t>9</w:t>
      </w:r>
      <w:r w:rsidR="00CF26AF" w:rsidRPr="000C4092">
        <w:rPr>
          <w:rFonts w:ascii="Arial" w:hAnsi="Arial" w:cs="Arial"/>
          <w:b/>
          <w:i/>
          <w:sz w:val="16"/>
          <w:szCs w:val="16"/>
        </w:rPr>
        <w:t>.79</w:t>
      </w:r>
      <w:r w:rsidR="0009438E" w:rsidRPr="000C4092">
        <w:rPr>
          <w:rFonts w:ascii="Arial" w:hAnsi="Arial" w:cs="Arial"/>
          <w:b/>
          <w:i/>
          <w:sz w:val="16"/>
          <w:szCs w:val="16"/>
        </w:rPr>
        <w:t>) when compared to the global proteome dataset (</w:t>
      </w:r>
      <w:r w:rsidR="00CF26AF" w:rsidRPr="000C4092">
        <w:rPr>
          <w:rFonts w:ascii="Arial" w:hAnsi="Arial" w:cs="Arial"/>
          <w:b/>
          <w:i/>
          <w:sz w:val="16"/>
          <w:szCs w:val="16"/>
        </w:rPr>
        <w:t>2.62</w:t>
      </w:r>
      <w:r w:rsidR="0009438E" w:rsidRPr="000C4092">
        <w:rPr>
          <w:rFonts w:ascii="Arial" w:hAnsi="Arial" w:cs="Arial"/>
          <w:b/>
          <w:i/>
          <w:sz w:val="16"/>
          <w:szCs w:val="16"/>
        </w:rPr>
        <w:t xml:space="preserve">). </w:t>
      </w:r>
      <w:r w:rsidR="007743BA" w:rsidRPr="000C4092">
        <w:rPr>
          <w:rFonts w:ascii="Arial" w:hAnsi="Arial" w:cs="Arial"/>
          <w:b/>
          <w:i/>
          <w:sz w:val="16"/>
          <w:szCs w:val="16"/>
        </w:rPr>
        <w:t xml:space="preserve">The p-value of 0.02 indicates that there are statistically significant differences in the changes observed in the enrichment scores between the global and the acetylated proteome datasets. The </w:t>
      </w:r>
      <w:r w:rsidR="000C4092" w:rsidRPr="000C4092">
        <w:rPr>
          <w:rFonts w:ascii="Arial" w:eastAsia="Times New Roman" w:hAnsi="Arial" w:cs="Arial"/>
          <w:b/>
          <w:bCs/>
          <w:i/>
          <w:sz w:val="16"/>
          <w:szCs w:val="16"/>
        </w:rPr>
        <w:t xml:space="preserve">Welch Two Sample t-test </w:t>
      </w:r>
      <w:r w:rsidR="007743BA" w:rsidRPr="000C4092">
        <w:rPr>
          <w:rFonts w:ascii="Arial" w:hAnsi="Arial" w:cs="Arial"/>
          <w:b/>
          <w:i/>
          <w:sz w:val="16"/>
          <w:szCs w:val="16"/>
        </w:rPr>
        <w:t>was used to compare the global and the acetylated proteome datasets (Shapiro-Wilk test p-value: 0.</w:t>
      </w:r>
      <w:r w:rsidR="000C4092" w:rsidRPr="000C4092">
        <w:rPr>
          <w:rFonts w:ascii="Arial" w:hAnsi="Arial" w:cs="Arial"/>
          <w:b/>
          <w:i/>
          <w:sz w:val="16"/>
          <w:szCs w:val="16"/>
        </w:rPr>
        <w:t>57</w:t>
      </w:r>
      <w:r w:rsidR="007743BA" w:rsidRPr="000C4092">
        <w:rPr>
          <w:rFonts w:ascii="Arial" w:hAnsi="Arial" w:cs="Arial"/>
          <w:b/>
          <w:i/>
          <w:sz w:val="16"/>
          <w:szCs w:val="16"/>
        </w:rPr>
        <w:t xml:space="preserve"> for the global proteome and 0</w:t>
      </w:r>
      <w:r w:rsidR="000C4092" w:rsidRPr="000C4092">
        <w:rPr>
          <w:rFonts w:ascii="Arial" w:hAnsi="Arial" w:cs="Arial"/>
          <w:b/>
          <w:i/>
          <w:sz w:val="16"/>
          <w:szCs w:val="16"/>
        </w:rPr>
        <w:t>.1</w:t>
      </w:r>
      <w:r w:rsidR="007743BA" w:rsidRPr="000C4092">
        <w:rPr>
          <w:rFonts w:ascii="Arial" w:hAnsi="Arial" w:cs="Arial"/>
          <w:b/>
          <w:i/>
          <w:sz w:val="16"/>
          <w:szCs w:val="16"/>
        </w:rPr>
        <w:t xml:space="preserve"> for the acetylated proteome).</w:t>
      </w:r>
      <w:bookmarkEnd w:id="109"/>
    </w:p>
    <w:p w:rsidR="00575217" w:rsidRDefault="007743BA" w:rsidP="009F771C">
      <w:pPr>
        <w:spacing w:line="360" w:lineRule="auto"/>
        <w:jc w:val="both"/>
        <w:rPr>
          <w:rFonts w:ascii="Arial" w:eastAsia="Times New Roman" w:hAnsi="Arial" w:cs="Arial"/>
          <w:bCs/>
          <w:kern w:val="36"/>
          <w:sz w:val="24"/>
          <w:szCs w:val="24"/>
        </w:rPr>
      </w:pPr>
      <w:bookmarkStart w:id="110" w:name="_Toc363210255"/>
      <w:bookmarkStart w:id="111" w:name="_Toc364682861"/>
      <w:r w:rsidRPr="009F771C">
        <w:rPr>
          <w:rFonts w:ascii="Arial" w:eastAsia="Times New Roman" w:hAnsi="Arial" w:cs="Arial"/>
          <w:bCs/>
          <w:kern w:val="36"/>
          <w:sz w:val="24"/>
          <w:szCs w:val="24"/>
        </w:rPr>
        <w:lastRenderedPageBreak/>
        <w:tab/>
        <w:t>Th</w:t>
      </w:r>
      <w:r w:rsidR="00FA2F30">
        <w:rPr>
          <w:rFonts w:ascii="Arial" w:eastAsia="Times New Roman" w:hAnsi="Arial" w:cs="Arial"/>
          <w:bCs/>
          <w:kern w:val="36"/>
          <w:sz w:val="24"/>
          <w:szCs w:val="24"/>
        </w:rPr>
        <w:t>e</w:t>
      </w:r>
      <w:r w:rsidRPr="009F771C">
        <w:rPr>
          <w:rFonts w:ascii="Arial" w:eastAsia="Times New Roman" w:hAnsi="Arial" w:cs="Arial"/>
          <w:bCs/>
          <w:kern w:val="36"/>
          <w:sz w:val="24"/>
          <w:szCs w:val="24"/>
        </w:rPr>
        <w:t xml:space="preserve"> </w:t>
      </w:r>
      <w:r w:rsidR="00FA2F30">
        <w:rPr>
          <w:rFonts w:ascii="Arial" w:eastAsia="Times New Roman" w:hAnsi="Arial" w:cs="Arial"/>
          <w:bCs/>
          <w:kern w:val="36"/>
          <w:sz w:val="24"/>
          <w:szCs w:val="24"/>
        </w:rPr>
        <w:t>differences</w:t>
      </w:r>
      <w:r w:rsidRPr="009F771C">
        <w:rPr>
          <w:rFonts w:ascii="Arial" w:eastAsia="Times New Roman" w:hAnsi="Arial" w:cs="Arial"/>
          <w:bCs/>
          <w:kern w:val="36"/>
          <w:sz w:val="24"/>
          <w:szCs w:val="24"/>
        </w:rPr>
        <w:t xml:space="preserve"> observed in the enrichment scores </w:t>
      </w:r>
      <w:r w:rsidR="009F771C" w:rsidRPr="009F771C">
        <w:rPr>
          <w:rFonts w:ascii="Arial" w:eastAsia="Times New Roman" w:hAnsi="Arial" w:cs="Arial"/>
          <w:bCs/>
          <w:kern w:val="36"/>
          <w:sz w:val="24"/>
          <w:szCs w:val="24"/>
        </w:rPr>
        <w:t>of</w:t>
      </w:r>
      <w:r w:rsidRPr="009F771C">
        <w:rPr>
          <w:rFonts w:ascii="Arial" w:eastAsia="Times New Roman" w:hAnsi="Arial" w:cs="Arial"/>
          <w:bCs/>
          <w:kern w:val="36"/>
          <w:sz w:val="24"/>
          <w:szCs w:val="24"/>
        </w:rPr>
        <w:t xml:space="preserve"> the top </w:t>
      </w:r>
      <w:r w:rsidR="00825ACC">
        <w:rPr>
          <w:rFonts w:ascii="Arial" w:eastAsia="Times New Roman" w:hAnsi="Arial" w:cs="Arial"/>
          <w:bCs/>
          <w:kern w:val="36"/>
          <w:sz w:val="24"/>
          <w:szCs w:val="24"/>
        </w:rPr>
        <w:t>ten</w:t>
      </w:r>
      <w:r w:rsidRPr="009F771C">
        <w:rPr>
          <w:rFonts w:ascii="Arial" w:eastAsia="Times New Roman" w:hAnsi="Arial" w:cs="Arial"/>
          <w:bCs/>
          <w:kern w:val="36"/>
          <w:sz w:val="24"/>
          <w:szCs w:val="24"/>
        </w:rPr>
        <w:t xml:space="preserve"> functional annotations </w:t>
      </w:r>
      <w:r w:rsidR="009F771C" w:rsidRPr="009F771C">
        <w:rPr>
          <w:rFonts w:ascii="Arial" w:eastAsia="Times New Roman" w:hAnsi="Arial" w:cs="Arial"/>
          <w:bCs/>
          <w:kern w:val="36"/>
          <w:sz w:val="24"/>
          <w:szCs w:val="24"/>
        </w:rPr>
        <w:t>in</w:t>
      </w:r>
      <w:r w:rsidRPr="009F771C">
        <w:rPr>
          <w:rFonts w:ascii="Arial" w:eastAsia="Times New Roman" w:hAnsi="Arial" w:cs="Arial"/>
          <w:bCs/>
          <w:kern w:val="36"/>
          <w:sz w:val="24"/>
          <w:szCs w:val="24"/>
        </w:rPr>
        <w:t xml:space="preserve"> the GO terms chosen, BP, CC, and MF, give a global overview of the results</w:t>
      </w:r>
      <w:r w:rsidR="009F771C" w:rsidRPr="009F771C">
        <w:rPr>
          <w:rFonts w:ascii="Arial" w:eastAsia="Times New Roman" w:hAnsi="Arial" w:cs="Arial"/>
          <w:bCs/>
          <w:kern w:val="36"/>
          <w:sz w:val="24"/>
          <w:szCs w:val="24"/>
        </w:rPr>
        <w:t xml:space="preserve">, </w:t>
      </w:r>
      <w:r w:rsidRPr="009F771C">
        <w:rPr>
          <w:rFonts w:ascii="Arial" w:eastAsia="Times New Roman" w:hAnsi="Arial" w:cs="Arial"/>
          <w:bCs/>
          <w:kern w:val="36"/>
          <w:sz w:val="24"/>
          <w:szCs w:val="24"/>
        </w:rPr>
        <w:t>but since the aims of this project are based on changes in metabolic enzymes</w:t>
      </w:r>
      <w:r w:rsidR="009F771C" w:rsidRPr="009F771C">
        <w:rPr>
          <w:rFonts w:ascii="Arial" w:eastAsia="Times New Roman" w:hAnsi="Arial" w:cs="Arial"/>
          <w:bCs/>
          <w:kern w:val="36"/>
          <w:sz w:val="24"/>
          <w:szCs w:val="24"/>
        </w:rPr>
        <w:t xml:space="preserve">, the top ten functional annotations related to extensive biological fields accomplished by a systemic gathering of various molecular functions in metabolic processes were chosen for BP GO term. Different subcellular macromolecular complexes, structures and locations </w:t>
      </w:r>
      <w:r w:rsidR="009F771C">
        <w:rPr>
          <w:rFonts w:ascii="Arial" w:eastAsia="Times New Roman" w:hAnsi="Arial" w:cs="Arial"/>
          <w:bCs/>
          <w:kern w:val="36"/>
          <w:sz w:val="24"/>
          <w:szCs w:val="24"/>
        </w:rPr>
        <w:t>in which</w:t>
      </w:r>
      <w:r w:rsidR="009F771C" w:rsidRPr="009F771C">
        <w:rPr>
          <w:rFonts w:ascii="Arial" w:eastAsia="Times New Roman" w:hAnsi="Arial" w:cs="Arial"/>
          <w:bCs/>
          <w:kern w:val="36"/>
          <w:sz w:val="24"/>
          <w:szCs w:val="24"/>
        </w:rPr>
        <w:t xml:space="preserve"> metabolism takes place were chosen for </w:t>
      </w:r>
      <w:r w:rsidR="009F771C">
        <w:rPr>
          <w:rFonts w:ascii="Arial" w:eastAsia="Times New Roman" w:hAnsi="Arial" w:cs="Arial"/>
          <w:bCs/>
          <w:kern w:val="36"/>
          <w:sz w:val="24"/>
          <w:szCs w:val="24"/>
        </w:rPr>
        <w:t>CC</w:t>
      </w:r>
      <w:r w:rsidR="009F771C" w:rsidRPr="009F771C">
        <w:rPr>
          <w:rFonts w:ascii="Arial" w:eastAsia="Times New Roman" w:hAnsi="Arial" w:cs="Arial"/>
          <w:bCs/>
          <w:kern w:val="36"/>
          <w:sz w:val="24"/>
          <w:szCs w:val="24"/>
        </w:rPr>
        <w:t xml:space="preserve"> GO term</w:t>
      </w:r>
      <w:r w:rsidR="00825ACC">
        <w:rPr>
          <w:rFonts w:ascii="Arial" w:eastAsia="Times New Roman" w:hAnsi="Arial" w:cs="Arial"/>
          <w:bCs/>
          <w:kern w:val="36"/>
          <w:sz w:val="24"/>
          <w:szCs w:val="24"/>
        </w:rPr>
        <w:t xml:space="preserve"> and t</w:t>
      </w:r>
      <w:r w:rsidR="009F771C" w:rsidRPr="009F771C">
        <w:rPr>
          <w:rFonts w:ascii="Arial" w:eastAsia="Times New Roman" w:hAnsi="Arial" w:cs="Arial"/>
          <w:bCs/>
          <w:kern w:val="36"/>
          <w:sz w:val="24"/>
          <w:szCs w:val="24"/>
        </w:rPr>
        <w:t>asks made by individual gene products in metabolism were chosen for MF GO term.</w:t>
      </w:r>
    </w:p>
    <w:p w:rsidR="00135070" w:rsidRDefault="00825ACC" w:rsidP="00BF474E">
      <w:pPr>
        <w:spacing w:line="360" w:lineRule="auto"/>
        <w:ind w:firstLine="709"/>
        <w:jc w:val="both"/>
        <w:rPr>
          <w:rFonts w:ascii="Arial" w:hAnsi="Arial" w:cs="Arial"/>
          <w:sz w:val="24"/>
          <w:szCs w:val="24"/>
        </w:rPr>
      </w:pPr>
      <w:r w:rsidRPr="00981B95">
        <w:rPr>
          <w:rFonts w:ascii="Arial" w:hAnsi="Arial" w:cs="Arial"/>
          <w:sz w:val="24"/>
          <w:szCs w:val="24"/>
        </w:rPr>
        <w:t xml:space="preserve">From </w:t>
      </w:r>
      <w:r w:rsidR="004A159A">
        <w:rPr>
          <w:rFonts w:ascii="Arial" w:hAnsi="Arial" w:cs="Arial"/>
          <w:sz w:val="24"/>
          <w:szCs w:val="24"/>
        </w:rPr>
        <w:t xml:space="preserve">the </w:t>
      </w:r>
      <w:r>
        <w:rPr>
          <w:rFonts w:ascii="Arial" w:hAnsi="Arial" w:cs="Arial"/>
          <w:sz w:val="24"/>
          <w:szCs w:val="24"/>
        </w:rPr>
        <w:t>three different GO terms chosen, the one that shared the most</w:t>
      </w:r>
      <w:r w:rsidRPr="00981B95">
        <w:rPr>
          <w:rFonts w:ascii="Arial" w:hAnsi="Arial" w:cs="Arial"/>
          <w:sz w:val="24"/>
          <w:szCs w:val="24"/>
        </w:rPr>
        <w:t xml:space="preserve"> </w:t>
      </w:r>
      <w:r>
        <w:rPr>
          <w:rFonts w:ascii="Arial" w:hAnsi="Arial" w:cs="Arial"/>
          <w:sz w:val="24"/>
          <w:szCs w:val="24"/>
        </w:rPr>
        <w:t>top 10 metaboli</w:t>
      </w:r>
      <w:r w:rsidR="005B44A9">
        <w:rPr>
          <w:rFonts w:ascii="Arial" w:hAnsi="Arial" w:cs="Arial"/>
          <w:sz w:val="24"/>
          <w:szCs w:val="24"/>
        </w:rPr>
        <w:t>sm</w:t>
      </w:r>
      <w:r>
        <w:rPr>
          <w:rFonts w:ascii="Arial" w:hAnsi="Arial" w:cs="Arial"/>
          <w:sz w:val="24"/>
          <w:szCs w:val="24"/>
        </w:rPr>
        <w:t>-related functional annotations, when comparing the global</w:t>
      </w:r>
      <w:r w:rsidRPr="00981B95">
        <w:rPr>
          <w:rFonts w:ascii="Arial" w:hAnsi="Arial" w:cs="Arial"/>
          <w:sz w:val="24"/>
          <w:szCs w:val="24"/>
        </w:rPr>
        <w:t xml:space="preserve"> and the </w:t>
      </w:r>
      <w:r>
        <w:rPr>
          <w:rFonts w:ascii="Arial" w:hAnsi="Arial" w:cs="Arial"/>
          <w:sz w:val="24"/>
          <w:szCs w:val="24"/>
        </w:rPr>
        <w:t>a</w:t>
      </w:r>
      <w:r w:rsidRPr="00981B95">
        <w:rPr>
          <w:rFonts w:ascii="Arial" w:hAnsi="Arial" w:cs="Arial"/>
          <w:sz w:val="24"/>
          <w:szCs w:val="24"/>
        </w:rPr>
        <w:t xml:space="preserve">cetylated proteome </w:t>
      </w:r>
      <w:r>
        <w:rPr>
          <w:rFonts w:ascii="Arial" w:hAnsi="Arial" w:cs="Arial"/>
          <w:sz w:val="24"/>
          <w:szCs w:val="24"/>
        </w:rPr>
        <w:t xml:space="preserve">datasets was CC, contrasting with the top 10 </w:t>
      </w:r>
      <w:r w:rsidR="004A159A">
        <w:rPr>
          <w:rFonts w:ascii="Arial" w:hAnsi="Arial" w:cs="Arial"/>
          <w:sz w:val="24"/>
          <w:szCs w:val="24"/>
        </w:rPr>
        <w:t>global overview</w:t>
      </w:r>
      <w:r>
        <w:rPr>
          <w:rFonts w:ascii="Arial" w:hAnsi="Arial" w:cs="Arial"/>
          <w:sz w:val="24"/>
          <w:szCs w:val="24"/>
        </w:rPr>
        <w:t xml:space="preserve"> in which BP shared the most functional annotations. </w:t>
      </w:r>
      <w:r w:rsidR="004A159A">
        <w:rPr>
          <w:rFonts w:ascii="Arial" w:hAnsi="Arial" w:cs="Arial"/>
          <w:sz w:val="24"/>
          <w:szCs w:val="24"/>
        </w:rPr>
        <w:t>T</w:t>
      </w:r>
      <w:r>
        <w:rPr>
          <w:rFonts w:ascii="Arial" w:hAnsi="Arial" w:cs="Arial"/>
          <w:sz w:val="24"/>
          <w:szCs w:val="24"/>
        </w:rPr>
        <w:t xml:space="preserve">his analysis could </w:t>
      </w:r>
      <w:r w:rsidR="004A159A">
        <w:rPr>
          <w:rFonts w:ascii="Arial" w:hAnsi="Arial" w:cs="Arial"/>
          <w:sz w:val="24"/>
          <w:szCs w:val="24"/>
        </w:rPr>
        <w:t xml:space="preserve">also </w:t>
      </w:r>
      <w:r>
        <w:rPr>
          <w:rFonts w:ascii="Arial" w:hAnsi="Arial" w:cs="Arial"/>
          <w:sz w:val="24"/>
          <w:szCs w:val="24"/>
        </w:rPr>
        <w:t xml:space="preserve">indicate that the activation of </w:t>
      </w:r>
      <w:r w:rsidR="00A22B6B">
        <w:rPr>
          <w:rFonts w:ascii="Arial" w:hAnsi="Arial" w:cs="Arial"/>
          <w:sz w:val="24"/>
          <w:szCs w:val="24"/>
        </w:rPr>
        <w:t xml:space="preserve">subcellular macromolecular complexes, structures and locations </w:t>
      </w:r>
      <w:r>
        <w:rPr>
          <w:rFonts w:ascii="Arial" w:hAnsi="Arial" w:cs="Arial"/>
          <w:sz w:val="24"/>
          <w:szCs w:val="24"/>
        </w:rPr>
        <w:t xml:space="preserve">in </w:t>
      </w:r>
      <w:r w:rsidR="00A22B6B">
        <w:rPr>
          <w:rFonts w:ascii="Arial" w:hAnsi="Arial" w:cs="Arial"/>
          <w:sz w:val="24"/>
          <w:szCs w:val="24"/>
        </w:rPr>
        <w:t>CC</w:t>
      </w:r>
      <w:r>
        <w:rPr>
          <w:rFonts w:ascii="Arial" w:hAnsi="Arial" w:cs="Arial"/>
          <w:sz w:val="24"/>
          <w:szCs w:val="24"/>
        </w:rPr>
        <w:t xml:space="preserve"> GO term, at least in </w:t>
      </w:r>
      <w:r w:rsidR="00A22B6B">
        <w:rPr>
          <w:rFonts w:ascii="Arial" w:hAnsi="Arial" w:cs="Arial"/>
          <w:sz w:val="24"/>
          <w:szCs w:val="24"/>
        </w:rPr>
        <w:t>9</w:t>
      </w:r>
      <w:r>
        <w:rPr>
          <w:rFonts w:ascii="Arial" w:hAnsi="Arial" w:cs="Arial"/>
          <w:sz w:val="24"/>
          <w:szCs w:val="24"/>
        </w:rPr>
        <w:t xml:space="preserve"> out of 10 of the top 10 </w:t>
      </w:r>
      <w:r w:rsidR="00A22B6B">
        <w:rPr>
          <w:rFonts w:ascii="Arial" w:hAnsi="Arial" w:cs="Arial"/>
          <w:sz w:val="24"/>
          <w:szCs w:val="24"/>
        </w:rPr>
        <w:t>metaboli</w:t>
      </w:r>
      <w:r w:rsidR="005B44A9">
        <w:rPr>
          <w:rFonts w:ascii="Arial" w:hAnsi="Arial" w:cs="Arial"/>
          <w:sz w:val="24"/>
          <w:szCs w:val="24"/>
        </w:rPr>
        <w:t>sm</w:t>
      </w:r>
      <w:r w:rsidR="00A22B6B">
        <w:rPr>
          <w:rFonts w:ascii="Arial" w:hAnsi="Arial" w:cs="Arial"/>
          <w:sz w:val="24"/>
          <w:szCs w:val="24"/>
        </w:rPr>
        <w:t xml:space="preserve">-related </w:t>
      </w:r>
      <w:r>
        <w:rPr>
          <w:rFonts w:ascii="Arial" w:hAnsi="Arial" w:cs="Arial"/>
          <w:sz w:val="24"/>
          <w:szCs w:val="24"/>
        </w:rPr>
        <w:t>functional annotations, do not depend on acetylation</w:t>
      </w:r>
      <w:r w:rsidR="004A159A">
        <w:rPr>
          <w:rFonts w:ascii="Arial" w:hAnsi="Arial" w:cs="Arial"/>
          <w:sz w:val="24"/>
          <w:szCs w:val="24"/>
        </w:rPr>
        <w:t>, in accordance to BP GO term in the global overview</w:t>
      </w:r>
      <w:r>
        <w:rPr>
          <w:rFonts w:ascii="Arial" w:hAnsi="Arial" w:cs="Arial"/>
          <w:sz w:val="24"/>
          <w:szCs w:val="24"/>
        </w:rPr>
        <w:t xml:space="preserve">. </w:t>
      </w:r>
      <w:r w:rsidRPr="00981B95">
        <w:rPr>
          <w:rFonts w:ascii="Arial" w:hAnsi="Arial" w:cs="Arial"/>
          <w:sz w:val="24"/>
          <w:szCs w:val="24"/>
        </w:rPr>
        <w:t xml:space="preserve">The </w:t>
      </w:r>
      <w:r>
        <w:rPr>
          <w:rFonts w:ascii="Arial" w:hAnsi="Arial" w:cs="Arial"/>
          <w:sz w:val="24"/>
          <w:szCs w:val="24"/>
        </w:rPr>
        <w:t xml:space="preserve">functional annotations </w:t>
      </w:r>
      <w:r w:rsidRPr="00981B95">
        <w:rPr>
          <w:rFonts w:ascii="Arial" w:hAnsi="Arial" w:cs="Arial"/>
          <w:sz w:val="24"/>
          <w:szCs w:val="24"/>
        </w:rPr>
        <w:t xml:space="preserve">shared </w:t>
      </w:r>
      <w:r>
        <w:rPr>
          <w:rFonts w:ascii="Arial" w:hAnsi="Arial" w:cs="Arial"/>
          <w:sz w:val="24"/>
          <w:szCs w:val="24"/>
        </w:rPr>
        <w:t xml:space="preserve">between the global and the acetylated proteome datasets in the </w:t>
      </w:r>
      <w:r w:rsidR="00A22B6B">
        <w:rPr>
          <w:rFonts w:ascii="Arial" w:hAnsi="Arial" w:cs="Arial"/>
          <w:sz w:val="24"/>
          <w:szCs w:val="24"/>
        </w:rPr>
        <w:t>CC</w:t>
      </w:r>
      <w:r>
        <w:rPr>
          <w:rFonts w:ascii="Arial" w:hAnsi="Arial" w:cs="Arial"/>
          <w:sz w:val="24"/>
          <w:szCs w:val="24"/>
        </w:rPr>
        <w:t xml:space="preserve"> GO term </w:t>
      </w:r>
      <w:r w:rsidRPr="00981B95">
        <w:rPr>
          <w:rFonts w:ascii="Arial" w:hAnsi="Arial" w:cs="Arial"/>
          <w:sz w:val="24"/>
          <w:szCs w:val="24"/>
        </w:rPr>
        <w:t xml:space="preserve">were </w:t>
      </w:r>
      <w:r w:rsidR="00A22B6B" w:rsidRPr="00A22B6B">
        <w:rPr>
          <w:rFonts w:ascii="Arial" w:hAnsi="Arial" w:cs="Arial"/>
          <w:sz w:val="24"/>
          <w:szCs w:val="24"/>
        </w:rPr>
        <w:t>Mitochondrial part, Mitochondrion, Mitochondrial lumen</w:t>
      </w:r>
      <w:r w:rsidR="00A22B6B">
        <w:rPr>
          <w:rFonts w:ascii="Arial" w:hAnsi="Arial" w:cs="Arial"/>
          <w:sz w:val="24"/>
          <w:szCs w:val="24"/>
        </w:rPr>
        <w:t xml:space="preserve">, </w:t>
      </w:r>
      <w:r w:rsidR="00A22B6B" w:rsidRPr="00A22B6B">
        <w:rPr>
          <w:rFonts w:ascii="Arial" w:hAnsi="Arial" w:cs="Arial"/>
          <w:sz w:val="24"/>
          <w:szCs w:val="24"/>
        </w:rPr>
        <w:t>Mitochondrial matrix</w:t>
      </w:r>
      <w:r w:rsidR="00A22B6B">
        <w:rPr>
          <w:rFonts w:ascii="Arial" w:hAnsi="Arial" w:cs="Arial"/>
          <w:sz w:val="24"/>
          <w:szCs w:val="24"/>
        </w:rPr>
        <w:t xml:space="preserve">, </w:t>
      </w:r>
      <w:r w:rsidR="00A22B6B" w:rsidRPr="00A22B6B">
        <w:rPr>
          <w:rFonts w:ascii="Arial" w:hAnsi="Arial" w:cs="Arial"/>
          <w:sz w:val="24"/>
          <w:szCs w:val="24"/>
        </w:rPr>
        <w:t>Mitochondrial envelope</w:t>
      </w:r>
      <w:r w:rsidR="00A22B6B">
        <w:rPr>
          <w:rFonts w:ascii="Arial" w:hAnsi="Arial" w:cs="Arial"/>
          <w:sz w:val="24"/>
          <w:szCs w:val="24"/>
        </w:rPr>
        <w:t xml:space="preserve">, </w:t>
      </w:r>
      <w:r w:rsidR="00A22B6B" w:rsidRPr="00A22B6B">
        <w:rPr>
          <w:rFonts w:ascii="Arial" w:hAnsi="Arial" w:cs="Arial"/>
          <w:sz w:val="24"/>
          <w:szCs w:val="24"/>
        </w:rPr>
        <w:t>Mitochondrial membrane, Mitochondrial inner membrane</w:t>
      </w:r>
      <w:r w:rsidR="00A22B6B">
        <w:rPr>
          <w:rFonts w:ascii="Arial" w:hAnsi="Arial" w:cs="Arial"/>
          <w:sz w:val="24"/>
          <w:szCs w:val="24"/>
        </w:rPr>
        <w:t xml:space="preserve">, </w:t>
      </w:r>
      <w:r w:rsidR="00A22B6B" w:rsidRPr="00A22B6B">
        <w:rPr>
          <w:rFonts w:ascii="Arial" w:hAnsi="Arial" w:cs="Arial"/>
          <w:sz w:val="24"/>
          <w:szCs w:val="24"/>
        </w:rPr>
        <w:t>Mitochondrial membrane part</w:t>
      </w:r>
      <w:r w:rsidR="00A22B6B">
        <w:rPr>
          <w:rFonts w:ascii="Arial" w:hAnsi="Arial" w:cs="Arial"/>
          <w:sz w:val="24"/>
          <w:szCs w:val="24"/>
        </w:rPr>
        <w:t xml:space="preserve">, </w:t>
      </w:r>
      <w:r w:rsidR="00A22B6B" w:rsidRPr="00A22B6B">
        <w:rPr>
          <w:rFonts w:ascii="Arial" w:hAnsi="Arial" w:cs="Arial"/>
          <w:sz w:val="24"/>
          <w:szCs w:val="24"/>
        </w:rPr>
        <w:t>Mitochondrial nucleoid</w:t>
      </w:r>
      <w:r w:rsidR="00A22B6B">
        <w:rPr>
          <w:rFonts w:ascii="Arial" w:hAnsi="Arial" w:cs="Arial"/>
          <w:sz w:val="24"/>
          <w:szCs w:val="24"/>
        </w:rPr>
        <w:t xml:space="preserve">, and </w:t>
      </w:r>
      <w:r w:rsidR="00A22B6B" w:rsidRPr="00A22B6B">
        <w:rPr>
          <w:rFonts w:ascii="Arial" w:hAnsi="Arial" w:cs="Arial"/>
          <w:sz w:val="24"/>
          <w:szCs w:val="24"/>
        </w:rPr>
        <w:t>Mitochondrial respiratory chain</w:t>
      </w:r>
      <w:r w:rsidRPr="00981B95">
        <w:rPr>
          <w:rFonts w:ascii="Arial" w:hAnsi="Arial" w:cs="Arial"/>
          <w:sz w:val="24"/>
          <w:szCs w:val="24"/>
        </w:rPr>
        <w:t xml:space="preserve"> (Figure </w:t>
      </w:r>
      <w:r>
        <w:rPr>
          <w:rFonts w:ascii="Arial" w:hAnsi="Arial" w:cs="Arial"/>
          <w:sz w:val="24"/>
          <w:szCs w:val="24"/>
        </w:rPr>
        <w:t>1</w:t>
      </w:r>
      <w:r w:rsidR="007C66F9">
        <w:rPr>
          <w:rFonts w:ascii="Arial" w:hAnsi="Arial" w:cs="Arial"/>
          <w:sz w:val="24"/>
          <w:szCs w:val="24"/>
        </w:rPr>
        <w:t>6</w:t>
      </w:r>
      <w:r w:rsidRPr="00981B95">
        <w:rPr>
          <w:rFonts w:ascii="Arial" w:hAnsi="Arial" w:cs="Arial"/>
          <w:sz w:val="24"/>
          <w:szCs w:val="24"/>
        </w:rPr>
        <w:t xml:space="preserve">). </w:t>
      </w:r>
      <w:r w:rsidR="00BF474E">
        <w:rPr>
          <w:rFonts w:ascii="Arial" w:hAnsi="Arial" w:cs="Arial"/>
          <w:sz w:val="24"/>
          <w:szCs w:val="24"/>
        </w:rPr>
        <w:t xml:space="preserve">Contrasting the observations made in the global overview, </w:t>
      </w:r>
      <w:r w:rsidRPr="00981B95">
        <w:rPr>
          <w:rFonts w:ascii="Arial" w:hAnsi="Arial" w:cs="Arial"/>
          <w:sz w:val="24"/>
          <w:szCs w:val="24"/>
        </w:rPr>
        <w:t xml:space="preserve">and despite </w:t>
      </w:r>
      <w:r w:rsidR="00A22B6B">
        <w:rPr>
          <w:rFonts w:ascii="Arial" w:hAnsi="Arial" w:cs="Arial"/>
          <w:sz w:val="24"/>
          <w:szCs w:val="24"/>
        </w:rPr>
        <w:t>9</w:t>
      </w:r>
      <w:r w:rsidRPr="00981B95">
        <w:rPr>
          <w:rFonts w:ascii="Arial" w:hAnsi="Arial" w:cs="Arial"/>
          <w:sz w:val="24"/>
          <w:szCs w:val="24"/>
        </w:rPr>
        <w:t xml:space="preserve"> out of 10 </w:t>
      </w:r>
      <w:r w:rsidR="00A22B6B">
        <w:rPr>
          <w:rFonts w:ascii="Arial" w:hAnsi="Arial" w:cs="Arial"/>
          <w:sz w:val="24"/>
          <w:szCs w:val="24"/>
        </w:rPr>
        <w:t>metaboli</w:t>
      </w:r>
      <w:r w:rsidR="005B44A9">
        <w:rPr>
          <w:rFonts w:ascii="Arial" w:hAnsi="Arial" w:cs="Arial"/>
          <w:sz w:val="24"/>
          <w:szCs w:val="24"/>
        </w:rPr>
        <w:t>sm</w:t>
      </w:r>
      <w:r w:rsidR="00A22B6B">
        <w:rPr>
          <w:rFonts w:ascii="Arial" w:hAnsi="Arial" w:cs="Arial"/>
          <w:sz w:val="24"/>
          <w:szCs w:val="24"/>
        </w:rPr>
        <w:t xml:space="preserve">-related </w:t>
      </w:r>
      <w:r>
        <w:rPr>
          <w:rFonts w:ascii="Arial" w:hAnsi="Arial" w:cs="Arial"/>
          <w:sz w:val="24"/>
          <w:szCs w:val="24"/>
        </w:rPr>
        <w:t xml:space="preserve">functional annotations, aforementioned, were shared in the </w:t>
      </w:r>
      <w:r w:rsidR="00A22B6B">
        <w:rPr>
          <w:rFonts w:ascii="Arial" w:hAnsi="Arial" w:cs="Arial"/>
          <w:sz w:val="24"/>
          <w:szCs w:val="24"/>
        </w:rPr>
        <w:t>CC</w:t>
      </w:r>
      <w:r>
        <w:rPr>
          <w:rFonts w:ascii="Arial" w:hAnsi="Arial" w:cs="Arial"/>
          <w:sz w:val="24"/>
          <w:szCs w:val="24"/>
        </w:rPr>
        <w:t xml:space="preserve"> </w:t>
      </w:r>
      <w:r w:rsidRPr="00981B95">
        <w:rPr>
          <w:rFonts w:ascii="Arial" w:hAnsi="Arial" w:cs="Arial"/>
          <w:sz w:val="24"/>
          <w:szCs w:val="24"/>
        </w:rPr>
        <w:t xml:space="preserve">GO term </w:t>
      </w:r>
      <w:r>
        <w:rPr>
          <w:rFonts w:ascii="Arial" w:hAnsi="Arial" w:cs="Arial"/>
          <w:sz w:val="24"/>
          <w:szCs w:val="24"/>
        </w:rPr>
        <w:t>between the global and the acetylated proteome datasets</w:t>
      </w:r>
      <w:r w:rsidRPr="00981B95">
        <w:rPr>
          <w:rFonts w:ascii="Arial" w:hAnsi="Arial" w:cs="Arial"/>
          <w:sz w:val="24"/>
          <w:szCs w:val="24"/>
        </w:rPr>
        <w:t xml:space="preserve">, the enrichment </w:t>
      </w:r>
      <w:r w:rsidR="00A22B6B">
        <w:rPr>
          <w:rFonts w:ascii="Arial" w:hAnsi="Arial" w:cs="Arial"/>
          <w:sz w:val="24"/>
          <w:szCs w:val="24"/>
        </w:rPr>
        <w:t>scores</w:t>
      </w:r>
      <w:r w:rsidRPr="00981B95">
        <w:rPr>
          <w:rFonts w:ascii="Arial" w:hAnsi="Arial" w:cs="Arial"/>
          <w:sz w:val="24"/>
          <w:szCs w:val="24"/>
        </w:rPr>
        <w:t xml:space="preserve"> </w:t>
      </w:r>
      <w:r w:rsidR="00BF474E">
        <w:rPr>
          <w:rFonts w:ascii="Arial" w:hAnsi="Arial" w:cs="Arial"/>
          <w:sz w:val="24"/>
          <w:szCs w:val="24"/>
        </w:rPr>
        <w:t>did not show major differences</w:t>
      </w:r>
      <w:r w:rsidR="0040430C">
        <w:rPr>
          <w:rFonts w:ascii="Arial" w:hAnsi="Arial" w:cs="Arial"/>
          <w:sz w:val="24"/>
          <w:szCs w:val="24"/>
        </w:rPr>
        <w:t xml:space="preserve"> except Mitochondrial nucleoid which decreased from 8.55 in the acetylated proteome to 4.95 in the global proteome </w:t>
      </w:r>
      <w:r w:rsidR="00BF474E" w:rsidRPr="00981B95">
        <w:rPr>
          <w:rFonts w:ascii="Arial" w:hAnsi="Arial" w:cs="Arial"/>
          <w:sz w:val="24"/>
          <w:szCs w:val="24"/>
        </w:rPr>
        <w:t xml:space="preserve">(Figure </w:t>
      </w:r>
      <w:r w:rsidR="00BF474E">
        <w:rPr>
          <w:rFonts w:ascii="Arial" w:hAnsi="Arial" w:cs="Arial"/>
          <w:sz w:val="24"/>
          <w:szCs w:val="24"/>
        </w:rPr>
        <w:t>1</w:t>
      </w:r>
      <w:r w:rsidR="007C66F9">
        <w:rPr>
          <w:rFonts w:ascii="Arial" w:hAnsi="Arial" w:cs="Arial"/>
          <w:sz w:val="24"/>
          <w:szCs w:val="24"/>
        </w:rPr>
        <w:t>6</w:t>
      </w:r>
      <w:r w:rsidR="00BF474E" w:rsidRPr="00981B95">
        <w:rPr>
          <w:rFonts w:ascii="Arial" w:hAnsi="Arial" w:cs="Arial"/>
          <w:sz w:val="24"/>
          <w:szCs w:val="24"/>
        </w:rPr>
        <w:t>)</w:t>
      </w:r>
      <w:r w:rsidR="00BF474E">
        <w:rPr>
          <w:rFonts w:ascii="Arial" w:hAnsi="Arial" w:cs="Arial"/>
          <w:sz w:val="24"/>
          <w:szCs w:val="24"/>
        </w:rPr>
        <w:t>.</w:t>
      </w:r>
      <w:r w:rsidRPr="00981B95">
        <w:rPr>
          <w:rFonts w:ascii="Arial" w:hAnsi="Arial" w:cs="Arial"/>
          <w:sz w:val="24"/>
          <w:szCs w:val="24"/>
        </w:rPr>
        <w:t xml:space="preserve"> </w:t>
      </w:r>
      <w:r w:rsidR="00876935">
        <w:rPr>
          <w:rFonts w:ascii="Arial" w:hAnsi="Arial" w:cs="Arial"/>
          <w:sz w:val="24"/>
          <w:szCs w:val="24"/>
        </w:rPr>
        <w:t xml:space="preserve">Even the differences observed were not very evident; the functional annotation </w:t>
      </w:r>
      <w:proofErr w:type="gramStart"/>
      <w:r w:rsidR="00876935">
        <w:rPr>
          <w:rFonts w:ascii="Arial" w:hAnsi="Arial" w:cs="Arial"/>
          <w:sz w:val="24"/>
          <w:szCs w:val="24"/>
        </w:rPr>
        <w:t>Mitochondrial</w:t>
      </w:r>
      <w:proofErr w:type="gramEnd"/>
      <w:r w:rsidR="00876935">
        <w:rPr>
          <w:rFonts w:ascii="Arial" w:hAnsi="Arial" w:cs="Arial"/>
          <w:sz w:val="24"/>
          <w:szCs w:val="24"/>
        </w:rPr>
        <w:t xml:space="preserve"> membrane part was the one with the highest increase, from 3.51 in the global proteome dataset to 2.83 in the acetylated proteome dataset. </w:t>
      </w:r>
      <w:r w:rsidR="005B44A9">
        <w:rPr>
          <w:rFonts w:ascii="Arial" w:hAnsi="Arial" w:cs="Arial"/>
          <w:sz w:val="24"/>
          <w:szCs w:val="24"/>
        </w:rPr>
        <w:t xml:space="preserve">This apparent lack of changes in the enrichments scores is </w:t>
      </w:r>
      <w:r w:rsidR="00876935">
        <w:rPr>
          <w:rFonts w:ascii="Arial" w:hAnsi="Arial" w:cs="Arial"/>
          <w:sz w:val="24"/>
          <w:szCs w:val="24"/>
        </w:rPr>
        <w:t xml:space="preserve">supported by </w:t>
      </w:r>
      <w:r w:rsidR="005B44A9">
        <w:rPr>
          <w:rFonts w:ascii="Arial" w:hAnsi="Arial" w:cs="Arial"/>
          <w:sz w:val="24"/>
          <w:szCs w:val="24"/>
        </w:rPr>
        <w:t xml:space="preserve">statistical analysis </w:t>
      </w:r>
      <w:r w:rsidR="00876935">
        <w:rPr>
          <w:rFonts w:ascii="Arial" w:hAnsi="Arial" w:cs="Arial"/>
          <w:sz w:val="24"/>
          <w:szCs w:val="24"/>
        </w:rPr>
        <w:t xml:space="preserve">which </w:t>
      </w:r>
      <w:r w:rsidR="005B44A9">
        <w:rPr>
          <w:rFonts w:ascii="Arial" w:hAnsi="Arial" w:cs="Arial"/>
          <w:sz w:val="24"/>
          <w:szCs w:val="24"/>
        </w:rPr>
        <w:lastRenderedPageBreak/>
        <w:t>show</w:t>
      </w:r>
      <w:r w:rsidR="00876935">
        <w:rPr>
          <w:rFonts w:ascii="Arial" w:hAnsi="Arial" w:cs="Arial"/>
          <w:sz w:val="24"/>
          <w:szCs w:val="24"/>
        </w:rPr>
        <w:t>ed</w:t>
      </w:r>
      <w:r w:rsidR="005B44A9">
        <w:rPr>
          <w:rFonts w:ascii="Arial" w:hAnsi="Arial" w:cs="Arial"/>
          <w:sz w:val="24"/>
          <w:szCs w:val="24"/>
        </w:rPr>
        <w:t xml:space="preserve"> </w:t>
      </w:r>
      <w:r w:rsidR="00876935">
        <w:rPr>
          <w:rFonts w:ascii="Arial" w:hAnsi="Arial" w:cs="Arial"/>
          <w:sz w:val="24"/>
          <w:szCs w:val="24"/>
        </w:rPr>
        <w:t xml:space="preserve">no statistically </w:t>
      </w:r>
      <w:r w:rsidR="005B44A9">
        <w:rPr>
          <w:rFonts w:ascii="Arial" w:hAnsi="Arial" w:cs="Arial"/>
          <w:sz w:val="24"/>
          <w:szCs w:val="24"/>
        </w:rPr>
        <w:t>significant difference between the global and acetylated proteome datasets</w:t>
      </w:r>
      <w:r w:rsidR="00BF474E">
        <w:rPr>
          <w:rFonts w:ascii="Arial" w:hAnsi="Arial" w:cs="Arial"/>
          <w:sz w:val="24"/>
          <w:szCs w:val="24"/>
        </w:rPr>
        <w:t xml:space="preserve"> (Figure 1</w:t>
      </w:r>
      <w:r w:rsidR="007C66F9">
        <w:rPr>
          <w:rFonts w:ascii="Arial" w:hAnsi="Arial" w:cs="Arial"/>
          <w:sz w:val="24"/>
          <w:szCs w:val="24"/>
        </w:rPr>
        <w:t>6</w:t>
      </w:r>
      <w:r w:rsidR="00BF474E">
        <w:rPr>
          <w:rFonts w:ascii="Arial" w:hAnsi="Arial" w:cs="Arial"/>
          <w:sz w:val="24"/>
          <w:szCs w:val="24"/>
        </w:rPr>
        <w:t>)</w:t>
      </w:r>
      <w:r w:rsidR="005B44A9">
        <w:rPr>
          <w:rFonts w:ascii="Arial" w:hAnsi="Arial" w:cs="Arial"/>
          <w:sz w:val="24"/>
          <w:szCs w:val="24"/>
        </w:rPr>
        <w:t xml:space="preserve">. </w:t>
      </w:r>
    </w:p>
    <w:p w:rsidR="009F771C" w:rsidRDefault="0040430C" w:rsidP="009F771C">
      <w:pPr>
        <w:spacing w:line="360" w:lineRule="auto"/>
        <w:jc w:val="both"/>
        <w:rPr>
          <w:rFonts w:ascii="Arial" w:eastAsia="Times New Roman" w:hAnsi="Arial" w:cs="Arial"/>
          <w:bCs/>
          <w:kern w:val="36"/>
          <w:sz w:val="24"/>
          <w:szCs w:val="24"/>
        </w:rPr>
      </w:pPr>
      <w:r>
        <w:rPr>
          <w:rFonts w:ascii="Arial" w:eastAsia="Times New Roman" w:hAnsi="Arial" w:cs="Arial"/>
          <w:bCs/>
          <w:noProof/>
          <w:kern w:val="36"/>
          <w:sz w:val="24"/>
          <w:szCs w:val="24"/>
        </w:rPr>
        <w:drawing>
          <wp:inline distT="0" distB="0" distL="0" distR="0" wp14:anchorId="54EE66F6" wp14:editId="58F0C834">
            <wp:extent cx="5612130" cy="3373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metabol grapph.jpg"/>
                    <pic:cNvPicPr/>
                  </pic:nvPicPr>
                  <pic:blipFill>
                    <a:blip r:embed="rId48">
                      <a:extLst>
                        <a:ext uri="{28A0092B-C50C-407E-A947-70E740481C1C}">
                          <a14:useLocalDpi xmlns:a14="http://schemas.microsoft.com/office/drawing/2010/main" val="0"/>
                        </a:ext>
                      </a:extLst>
                    </a:blip>
                    <a:stretch>
                      <a:fillRect/>
                    </a:stretch>
                  </pic:blipFill>
                  <pic:spPr>
                    <a:xfrm>
                      <a:off x="0" y="0"/>
                      <a:ext cx="5612130" cy="3373755"/>
                    </a:xfrm>
                    <a:prstGeom prst="rect">
                      <a:avLst/>
                    </a:prstGeom>
                  </pic:spPr>
                </pic:pic>
              </a:graphicData>
            </a:graphic>
          </wp:inline>
        </w:drawing>
      </w:r>
    </w:p>
    <w:p w:rsidR="00BF474E" w:rsidRPr="00AF433C" w:rsidRDefault="00BF474E" w:rsidP="00E2034F">
      <w:pPr>
        <w:jc w:val="both"/>
        <w:rPr>
          <w:rFonts w:ascii="Arial" w:hAnsi="Arial" w:cs="Arial"/>
          <w:b/>
          <w:i/>
          <w:sz w:val="16"/>
          <w:szCs w:val="16"/>
        </w:rPr>
      </w:pPr>
      <w:bookmarkStart w:id="112" w:name="_Toc413419276"/>
      <w:proofErr w:type="gramStart"/>
      <w:r w:rsidRPr="00CD2A4C">
        <w:rPr>
          <w:rFonts w:ascii="Arial" w:hAnsi="Arial" w:cs="Arial"/>
          <w:b/>
          <w:sz w:val="16"/>
          <w:szCs w:val="16"/>
        </w:rPr>
        <w:t xml:space="preserve">Figure </w:t>
      </w:r>
      <w:r w:rsidR="006C2756" w:rsidRPr="00CD2A4C">
        <w:rPr>
          <w:rFonts w:ascii="Arial" w:hAnsi="Arial" w:cs="Arial"/>
          <w:b/>
          <w:sz w:val="16"/>
          <w:szCs w:val="16"/>
        </w:rPr>
        <w:fldChar w:fldCharType="begin"/>
      </w:r>
      <w:r w:rsidRPr="00CD2A4C">
        <w:rPr>
          <w:rFonts w:ascii="Arial" w:hAnsi="Arial" w:cs="Arial"/>
          <w:b/>
          <w:sz w:val="16"/>
          <w:szCs w:val="16"/>
        </w:rPr>
        <w:instrText xml:space="preserve"> SEQ Figure \* ARABIC </w:instrText>
      </w:r>
      <w:r w:rsidR="006C2756" w:rsidRPr="00CD2A4C">
        <w:rPr>
          <w:rFonts w:ascii="Arial" w:hAnsi="Arial" w:cs="Arial"/>
          <w:b/>
          <w:sz w:val="16"/>
          <w:szCs w:val="16"/>
        </w:rPr>
        <w:fldChar w:fldCharType="separate"/>
      </w:r>
      <w:r w:rsidR="00DC0376">
        <w:rPr>
          <w:rFonts w:ascii="Arial" w:hAnsi="Arial" w:cs="Arial"/>
          <w:b/>
          <w:noProof/>
          <w:sz w:val="16"/>
          <w:szCs w:val="16"/>
        </w:rPr>
        <w:t>16</w:t>
      </w:r>
      <w:r w:rsidR="006C2756" w:rsidRPr="00CD2A4C">
        <w:rPr>
          <w:rFonts w:ascii="Arial" w:hAnsi="Arial" w:cs="Arial"/>
          <w:b/>
          <w:sz w:val="16"/>
          <w:szCs w:val="16"/>
        </w:rPr>
        <w:fldChar w:fldCharType="end"/>
      </w:r>
      <w:r w:rsidRPr="00CD2A4C">
        <w:rPr>
          <w:rFonts w:ascii="Arial" w:hAnsi="Arial" w:cs="Arial"/>
          <w:b/>
          <w:sz w:val="16"/>
          <w:szCs w:val="16"/>
          <w:lang w:val="en-US"/>
        </w:rPr>
        <w:t>.</w:t>
      </w:r>
      <w:proofErr w:type="gramEnd"/>
      <w:r w:rsidRPr="00CD2A4C">
        <w:rPr>
          <w:rFonts w:ascii="Arial" w:hAnsi="Arial" w:cs="Arial"/>
          <w:b/>
          <w:sz w:val="16"/>
          <w:szCs w:val="16"/>
          <w:lang w:val="en-US"/>
        </w:rPr>
        <w:t xml:space="preserve"> </w:t>
      </w:r>
      <w:r w:rsidR="00BA292C" w:rsidRPr="00CD2A4C">
        <w:rPr>
          <w:rFonts w:ascii="Arial" w:hAnsi="Arial" w:cs="Arial"/>
          <w:b/>
          <w:sz w:val="16"/>
          <w:szCs w:val="16"/>
          <w:lang w:val="en-US"/>
        </w:rPr>
        <w:t>CC</w:t>
      </w:r>
      <w:r w:rsidRPr="00CD2A4C">
        <w:rPr>
          <w:rFonts w:ascii="Arial" w:hAnsi="Arial" w:cs="Arial"/>
          <w:b/>
          <w:sz w:val="16"/>
          <w:szCs w:val="16"/>
          <w:lang w:val="en-US"/>
        </w:rPr>
        <w:t xml:space="preserve"> metabolism-related enrichment scores</w:t>
      </w:r>
      <w:r w:rsidRPr="00AF433C">
        <w:rPr>
          <w:rFonts w:ascii="Arial" w:hAnsi="Arial" w:cs="Arial"/>
          <w:b/>
          <w:i/>
          <w:sz w:val="16"/>
          <w:szCs w:val="16"/>
          <w:lang w:val="en-US"/>
        </w:rPr>
        <w:t xml:space="preserve">. </w:t>
      </w:r>
      <w:r w:rsidRPr="00AF433C">
        <w:rPr>
          <w:rFonts w:ascii="Arial" w:hAnsi="Arial" w:cs="Arial"/>
          <w:b/>
          <w:i/>
          <w:sz w:val="16"/>
          <w:szCs w:val="16"/>
        </w:rPr>
        <w:t>Enrichment scores of the global proteome (left, blue) and the acetylated proteome (right, red) datasets of the top ten metabolism-related functional annotations of t</w:t>
      </w:r>
      <w:r w:rsidR="00BA292C">
        <w:rPr>
          <w:rFonts w:ascii="Arial" w:hAnsi="Arial" w:cs="Arial"/>
          <w:b/>
          <w:i/>
          <w:sz w:val="16"/>
          <w:szCs w:val="16"/>
        </w:rPr>
        <w:t>he fifth level of ontology for CC</w:t>
      </w:r>
      <w:r w:rsidRPr="00AF433C">
        <w:rPr>
          <w:rFonts w:ascii="Arial" w:hAnsi="Arial" w:cs="Arial"/>
          <w:b/>
          <w:i/>
          <w:sz w:val="16"/>
          <w:szCs w:val="16"/>
        </w:rPr>
        <w:t xml:space="preserve"> GO term. Functional annotations that were not found in both global and acetylated proteome datasets were scored as 0, since no comparison was feasible to be made amongst these functional annotations. The </w:t>
      </w:r>
      <w:r w:rsidR="0040430C">
        <w:rPr>
          <w:rFonts w:ascii="Arial" w:hAnsi="Arial" w:cs="Arial"/>
          <w:b/>
          <w:i/>
          <w:sz w:val="16"/>
          <w:szCs w:val="16"/>
        </w:rPr>
        <w:t xml:space="preserve">only functional annotation that showed </w:t>
      </w:r>
      <w:r w:rsidRPr="00AF433C">
        <w:rPr>
          <w:rFonts w:ascii="Arial" w:hAnsi="Arial" w:cs="Arial"/>
          <w:b/>
          <w:i/>
          <w:sz w:val="16"/>
          <w:szCs w:val="16"/>
        </w:rPr>
        <w:t>major differences after comparing the global and acetylated proteome datasets</w:t>
      </w:r>
      <w:r w:rsidR="0040430C">
        <w:rPr>
          <w:rFonts w:ascii="Arial" w:hAnsi="Arial" w:cs="Arial"/>
          <w:b/>
          <w:i/>
          <w:sz w:val="16"/>
          <w:szCs w:val="16"/>
        </w:rPr>
        <w:t xml:space="preserve"> was </w:t>
      </w:r>
      <w:proofErr w:type="gramStart"/>
      <w:r w:rsidR="0040430C">
        <w:rPr>
          <w:rFonts w:ascii="Arial" w:hAnsi="Arial" w:cs="Arial"/>
          <w:b/>
          <w:i/>
          <w:sz w:val="16"/>
          <w:szCs w:val="16"/>
        </w:rPr>
        <w:t>Mitochondrial</w:t>
      </w:r>
      <w:proofErr w:type="gramEnd"/>
      <w:r w:rsidR="0040430C">
        <w:rPr>
          <w:rFonts w:ascii="Arial" w:hAnsi="Arial" w:cs="Arial"/>
          <w:b/>
          <w:i/>
          <w:sz w:val="16"/>
          <w:szCs w:val="16"/>
        </w:rPr>
        <w:t xml:space="preserve"> nucleoid, which enrichment score changed from 8.55 in the acetylated proteome to 4.95 in the global proteome</w:t>
      </w:r>
      <w:r w:rsidRPr="00AF433C">
        <w:rPr>
          <w:rFonts w:ascii="Arial" w:hAnsi="Arial" w:cs="Arial"/>
          <w:b/>
          <w:i/>
          <w:sz w:val="16"/>
          <w:szCs w:val="16"/>
        </w:rPr>
        <w:t xml:space="preserve">. </w:t>
      </w:r>
      <w:r w:rsidR="0040430C">
        <w:rPr>
          <w:rFonts w:ascii="Arial" w:hAnsi="Arial" w:cs="Arial"/>
          <w:b/>
          <w:i/>
          <w:sz w:val="16"/>
          <w:szCs w:val="16"/>
        </w:rPr>
        <w:t xml:space="preserve">This lack of evident differences in the </w:t>
      </w:r>
      <w:r w:rsidR="00E2034F" w:rsidRPr="00AF433C">
        <w:rPr>
          <w:rFonts w:ascii="Arial" w:hAnsi="Arial" w:cs="Arial"/>
          <w:b/>
          <w:i/>
          <w:sz w:val="16"/>
          <w:szCs w:val="16"/>
        </w:rPr>
        <w:t xml:space="preserve">enrichment scores </w:t>
      </w:r>
      <w:r w:rsidR="0040430C">
        <w:rPr>
          <w:rFonts w:ascii="Arial" w:hAnsi="Arial" w:cs="Arial"/>
          <w:b/>
          <w:i/>
          <w:sz w:val="16"/>
          <w:szCs w:val="16"/>
        </w:rPr>
        <w:t xml:space="preserve">is supported by </w:t>
      </w:r>
      <w:r w:rsidR="00E2034F" w:rsidRPr="00AF433C">
        <w:rPr>
          <w:rFonts w:ascii="Arial" w:hAnsi="Arial" w:cs="Arial"/>
          <w:b/>
          <w:i/>
          <w:sz w:val="16"/>
          <w:szCs w:val="16"/>
        </w:rPr>
        <w:t>t</w:t>
      </w:r>
      <w:r w:rsidRPr="00AF433C">
        <w:rPr>
          <w:rFonts w:ascii="Arial" w:hAnsi="Arial" w:cs="Arial"/>
          <w:b/>
          <w:i/>
          <w:sz w:val="16"/>
          <w:szCs w:val="16"/>
        </w:rPr>
        <w:t>he p-value of 0</w:t>
      </w:r>
      <w:r w:rsidR="0040430C">
        <w:rPr>
          <w:rFonts w:ascii="Arial" w:hAnsi="Arial" w:cs="Arial"/>
          <w:b/>
          <w:i/>
          <w:sz w:val="16"/>
          <w:szCs w:val="16"/>
        </w:rPr>
        <w:t>.62</w:t>
      </w:r>
      <w:r w:rsidR="00AA62AE">
        <w:rPr>
          <w:rFonts w:ascii="Arial" w:hAnsi="Arial" w:cs="Arial"/>
          <w:b/>
          <w:i/>
          <w:sz w:val="16"/>
          <w:szCs w:val="16"/>
        </w:rPr>
        <w:t xml:space="preserve">, </w:t>
      </w:r>
      <w:r w:rsidRPr="00AF433C">
        <w:rPr>
          <w:rFonts w:ascii="Arial" w:hAnsi="Arial" w:cs="Arial"/>
          <w:b/>
          <w:i/>
          <w:sz w:val="16"/>
          <w:szCs w:val="16"/>
        </w:rPr>
        <w:t>indicat</w:t>
      </w:r>
      <w:r w:rsidR="00AA62AE">
        <w:rPr>
          <w:rFonts w:ascii="Arial" w:hAnsi="Arial" w:cs="Arial"/>
          <w:b/>
          <w:i/>
          <w:sz w:val="16"/>
          <w:szCs w:val="16"/>
        </w:rPr>
        <w:t>ing</w:t>
      </w:r>
      <w:r w:rsidRPr="00AF433C">
        <w:rPr>
          <w:rFonts w:ascii="Arial" w:hAnsi="Arial" w:cs="Arial"/>
          <w:b/>
          <w:i/>
          <w:sz w:val="16"/>
          <w:szCs w:val="16"/>
        </w:rPr>
        <w:t xml:space="preserve"> that there are </w:t>
      </w:r>
      <w:r w:rsidR="00AA62AE">
        <w:rPr>
          <w:rFonts w:ascii="Arial" w:hAnsi="Arial" w:cs="Arial"/>
          <w:b/>
          <w:i/>
          <w:sz w:val="16"/>
          <w:szCs w:val="16"/>
        </w:rPr>
        <w:t xml:space="preserve">no </w:t>
      </w:r>
      <w:r w:rsidRPr="00AF433C">
        <w:rPr>
          <w:rFonts w:ascii="Arial" w:hAnsi="Arial" w:cs="Arial"/>
          <w:b/>
          <w:i/>
          <w:sz w:val="16"/>
          <w:szCs w:val="16"/>
        </w:rPr>
        <w:t xml:space="preserve">statistically significant differences in the changes observed in the enrichment scores between the global and the acetylated proteome datasets. The </w:t>
      </w:r>
      <w:r w:rsidR="00AA62AE" w:rsidRPr="00AA62AE">
        <w:rPr>
          <w:rFonts w:ascii="Arial" w:eastAsia="Times New Roman" w:hAnsi="Arial" w:cs="Arial"/>
          <w:b/>
          <w:bCs/>
          <w:i/>
          <w:sz w:val="16"/>
          <w:szCs w:val="16"/>
        </w:rPr>
        <w:t>Wilcoxon rank sum test with continuity correction</w:t>
      </w:r>
      <w:r w:rsidR="00AA62AE">
        <w:rPr>
          <w:rFonts w:ascii="Calibri" w:eastAsia="Times New Roman" w:hAnsi="Calibri" w:cs="Times New Roman"/>
          <w:b/>
          <w:bCs/>
          <w:color w:val="FF0000"/>
        </w:rPr>
        <w:t xml:space="preserve"> </w:t>
      </w:r>
      <w:r w:rsidRPr="00AF433C">
        <w:rPr>
          <w:rFonts w:ascii="Arial" w:hAnsi="Arial" w:cs="Arial"/>
          <w:b/>
          <w:i/>
          <w:sz w:val="16"/>
          <w:szCs w:val="16"/>
        </w:rPr>
        <w:t>was used to compare the global and the acetylated proteome datasets (Shapiro-Wilk test p-value: 0.</w:t>
      </w:r>
      <w:r w:rsidR="00AA62AE">
        <w:rPr>
          <w:rFonts w:ascii="Arial" w:hAnsi="Arial" w:cs="Arial"/>
          <w:b/>
          <w:i/>
          <w:sz w:val="16"/>
          <w:szCs w:val="16"/>
        </w:rPr>
        <w:t>14</w:t>
      </w:r>
      <w:r w:rsidRPr="00AF433C">
        <w:rPr>
          <w:rFonts w:ascii="Arial" w:hAnsi="Arial" w:cs="Arial"/>
          <w:b/>
          <w:i/>
          <w:sz w:val="16"/>
          <w:szCs w:val="16"/>
        </w:rPr>
        <w:t xml:space="preserve"> for the global proteome and </w:t>
      </w:r>
      <w:r w:rsidR="00AA62AE" w:rsidRPr="00AA62AE">
        <w:rPr>
          <w:rFonts w:ascii="Arial" w:hAnsi="Arial" w:cs="Arial"/>
          <w:b/>
          <w:i/>
          <w:sz w:val="16"/>
          <w:szCs w:val="16"/>
        </w:rPr>
        <w:t>6.167e-05</w:t>
      </w:r>
      <w:r w:rsidR="00AA62AE">
        <w:rPr>
          <w:rFonts w:ascii="Arial" w:hAnsi="Arial" w:cs="Arial"/>
          <w:b/>
          <w:i/>
          <w:sz w:val="16"/>
          <w:szCs w:val="16"/>
        </w:rPr>
        <w:t xml:space="preserve"> </w:t>
      </w:r>
      <w:r w:rsidRPr="00AF433C">
        <w:rPr>
          <w:rFonts w:ascii="Arial" w:hAnsi="Arial" w:cs="Arial"/>
          <w:b/>
          <w:i/>
          <w:sz w:val="16"/>
          <w:szCs w:val="16"/>
        </w:rPr>
        <w:t>for the acetylated proteome).</w:t>
      </w:r>
      <w:bookmarkEnd w:id="112"/>
    </w:p>
    <w:p w:rsidR="0073333D" w:rsidRDefault="00AF433C" w:rsidP="00876935">
      <w:pPr>
        <w:spacing w:after="0" w:line="360" w:lineRule="auto"/>
        <w:ind w:firstLine="720"/>
        <w:jc w:val="both"/>
        <w:rPr>
          <w:rFonts w:ascii="Arial" w:hAnsi="Arial" w:cs="Arial"/>
          <w:sz w:val="24"/>
          <w:szCs w:val="24"/>
        </w:rPr>
      </w:pPr>
      <w:r w:rsidRPr="00981B95">
        <w:rPr>
          <w:rFonts w:ascii="Arial" w:hAnsi="Arial" w:cs="Arial"/>
          <w:sz w:val="24"/>
          <w:szCs w:val="24"/>
        </w:rPr>
        <w:t xml:space="preserve">For </w:t>
      </w:r>
      <w:r>
        <w:rPr>
          <w:rFonts w:ascii="Arial" w:hAnsi="Arial" w:cs="Arial"/>
          <w:sz w:val="24"/>
          <w:szCs w:val="24"/>
        </w:rPr>
        <w:t>the BP</w:t>
      </w:r>
      <w:r w:rsidRPr="00981B95">
        <w:rPr>
          <w:rFonts w:ascii="Arial" w:hAnsi="Arial" w:cs="Arial"/>
          <w:sz w:val="24"/>
          <w:szCs w:val="24"/>
        </w:rPr>
        <w:t xml:space="preserve"> GO term, 7 out of 10 </w:t>
      </w:r>
      <w:r w:rsidR="0073333D">
        <w:rPr>
          <w:rFonts w:ascii="Arial" w:hAnsi="Arial" w:cs="Arial"/>
          <w:sz w:val="24"/>
          <w:szCs w:val="24"/>
        </w:rPr>
        <w:t xml:space="preserve">metabolism-related </w:t>
      </w:r>
      <w:r w:rsidRPr="00981B95">
        <w:rPr>
          <w:rFonts w:ascii="Arial" w:hAnsi="Arial" w:cs="Arial"/>
          <w:sz w:val="24"/>
          <w:szCs w:val="24"/>
        </w:rPr>
        <w:t xml:space="preserve">functional annotations were shared (Figure </w:t>
      </w:r>
      <w:r w:rsidR="0073333D">
        <w:rPr>
          <w:rFonts w:ascii="Arial" w:hAnsi="Arial" w:cs="Arial"/>
          <w:sz w:val="24"/>
          <w:szCs w:val="24"/>
        </w:rPr>
        <w:t>1</w:t>
      </w:r>
      <w:r w:rsidR="007C66F9">
        <w:rPr>
          <w:rFonts w:ascii="Arial" w:hAnsi="Arial" w:cs="Arial"/>
          <w:sz w:val="24"/>
          <w:szCs w:val="24"/>
        </w:rPr>
        <w:t>7</w:t>
      </w:r>
      <w:r w:rsidRPr="00981B95">
        <w:rPr>
          <w:rFonts w:ascii="Arial" w:hAnsi="Arial" w:cs="Arial"/>
          <w:sz w:val="24"/>
          <w:szCs w:val="24"/>
        </w:rPr>
        <w:t xml:space="preserve">). These functional annotations were </w:t>
      </w:r>
      <w:r w:rsidR="0073333D" w:rsidRPr="0073333D">
        <w:rPr>
          <w:rFonts w:ascii="Arial" w:hAnsi="Arial" w:cs="Arial"/>
          <w:sz w:val="24"/>
          <w:szCs w:val="24"/>
        </w:rPr>
        <w:t>RNA metabolic process</w:t>
      </w:r>
      <w:r w:rsidR="0073333D">
        <w:rPr>
          <w:rFonts w:ascii="Arial" w:hAnsi="Arial" w:cs="Arial"/>
          <w:sz w:val="24"/>
          <w:szCs w:val="24"/>
        </w:rPr>
        <w:t xml:space="preserve">, </w:t>
      </w:r>
      <w:r w:rsidR="0073333D" w:rsidRPr="0073333D">
        <w:rPr>
          <w:rFonts w:ascii="Arial" w:hAnsi="Arial" w:cs="Arial"/>
          <w:sz w:val="24"/>
          <w:szCs w:val="24"/>
        </w:rPr>
        <w:t>mRNA metabolic process</w:t>
      </w:r>
      <w:r w:rsidR="0073333D">
        <w:rPr>
          <w:rFonts w:ascii="Arial" w:hAnsi="Arial" w:cs="Arial"/>
          <w:sz w:val="24"/>
          <w:szCs w:val="24"/>
        </w:rPr>
        <w:t xml:space="preserve">, </w:t>
      </w:r>
      <w:r w:rsidR="0073333D" w:rsidRPr="0073333D">
        <w:rPr>
          <w:rFonts w:ascii="Arial" w:hAnsi="Arial" w:cs="Arial"/>
          <w:sz w:val="24"/>
          <w:szCs w:val="24"/>
        </w:rPr>
        <w:t>Cellular protein metabolic process</w:t>
      </w:r>
      <w:r w:rsidR="0073333D">
        <w:rPr>
          <w:rFonts w:ascii="Arial" w:hAnsi="Arial" w:cs="Arial"/>
          <w:sz w:val="24"/>
          <w:szCs w:val="24"/>
        </w:rPr>
        <w:t xml:space="preserve">, </w:t>
      </w:r>
      <w:proofErr w:type="gramStart"/>
      <w:r w:rsidR="0073333D" w:rsidRPr="0073333D">
        <w:rPr>
          <w:rFonts w:ascii="Arial" w:hAnsi="Arial" w:cs="Arial"/>
          <w:sz w:val="24"/>
          <w:szCs w:val="24"/>
        </w:rPr>
        <w:t>ncRNA</w:t>
      </w:r>
      <w:proofErr w:type="gramEnd"/>
      <w:r w:rsidR="0073333D" w:rsidRPr="0073333D">
        <w:rPr>
          <w:rFonts w:ascii="Arial" w:hAnsi="Arial" w:cs="Arial"/>
          <w:sz w:val="24"/>
          <w:szCs w:val="24"/>
        </w:rPr>
        <w:t xml:space="preserve"> metabolic process</w:t>
      </w:r>
      <w:r w:rsidR="0073333D">
        <w:rPr>
          <w:rFonts w:ascii="Arial" w:hAnsi="Arial" w:cs="Arial"/>
          <w:sz w:val="24"/>
          <w:szCs w:val="24"/>
        </w:rPr>
        <w:t xml:space="preserve">, </w:t>
      </w:r>
      <w:r w:rsidR="0073333D" w:rsidRPr="0073333D">
        <w:rPr>
          <w:rFonts w:ascii="Arial" w:hAnsi="Arial" w:cs="Arial"/>
          <w:sz w:val="24"/>
          <w:szCs w:val="24"/>
        </w:rPr>
        <w:t>Negative regulation of cellular protein metabolic process</w:t>
      </w:r>
      <w:r w:rsidR="0073333D">
        <w:rPr>
          <w:rFonts w:ascii="Arial" w:hAnsi="Arial" w:cs="Arial"/>
          <w:sz w:val="24"/>
          <w:szCs w:val="24"/>
        </w:rPr>
        <w:t xml:space="preserve">, </w:t>
      </w:r>
      <w:r w:rsidR="0073333D" w:rsidRPr="0073333D">
        <w:rPr>
          <w:rFonts w:ascii="Arial" w:hAnsi="Arial" w:cs="Arial"/>
          <w:sz w:val="24"/>
          <w:szCs w:val="24"/>
        </w:rPr>
        <w:t>Negative regulation of protein metabolic process</w:t>
      </w:r>
      <w:r w:rsidR="0073333D">
        <w:rPr>
          <w:rFonts w:ascii="Arial" w:hAnsi="Arial" w:cs="Arial"/>
          <w:sz w:val="24"/>
          <w:szCs w:val="24"/>
        </w:rPr>
        <w:t xml:space="preserve">, and </w:t>
      </w:r>
      <w:r w:rsidR="0073333D" w:rsidRPr="0073333D">
        <w:rPr>
          <w:rFonts w:ascii="Arial" w:hAnsi="Arial" w:cs="Arial"/>
          <w:sz w:val="24"/>
          <w:szCs w:val="24"/>
        </w:rPr>
        <w:t>Regulation of protein metabolic process</w:t>
      </w:r>
      <w:r w:rsidR="0073333D">
        <w:rPr>
          <w:rFonts w:ascii="Arial" w:hAnsi="Arial" w:cs="Arial"/>
          <w:sz w:val="24"/>
          <w:szCs w:val="24"/>
        </w:rPr>
        <w:t xml:space="preserve"> </w:t>
      </w:r>
      <w:r>
        <w:rPr>
          <w:rFonts w:ascii="Arial" w:hAnsi="Arial" w:cs="Arial"/>
          <w:sz w:val="24"/>
          <w:szCs w:val="24"/>
        </w:rPr>
        <w:t>(Figure 1</w:t>
      </w:r>
      <w:r w:rsidR="007C66F9">
        <w:rPr>
          <w:rFonts w:ascii="Arial" w:hAnsi="Arial" w:cs="Arial"/>
          <w:sz w:val="24"/>
          <w:szCs w:val="24"/>
        </w:rPr>
        <w:t>7</w:t>
      </w:r>
      <w:r w:rsidRPr="00981B95">
        <w:rPr>
          <w:rFonts w:ascii="Arial" w:hAnsi="Arial" w:cs="Arial"/>
          <w:sz w:val="24"/>
          <w:szCs w:val="24"/>
        </w:rPr>
        <w:t xml:space="preserve">). </w:t>
      </w:r>
      <w:r w:rsidR="0073333D">
        <w:rPr>
          <w:rFonts w:ascii="Arial" w:hAnsi="Arial" w:cs="Arial"/>
          <w:sz w:val="24"/>
          <w:szCs w:val="24"/>
        </w:rPr>
        <w:t xml:space="preserve">Opposed to the observations made in CC GO term, in BP GO term </w:t>
      </w:r>
      <w:r>
        <w:rPr>
          <w:rFonts w:ascii="Arial" w:hAnsi="Arial" w:cs="Arial"/>
          <w:sz w:val="24"/>
          <w:szCs w:val="24"/>
        </w:rPr>
        <w:t xml:space="preserve">a </w:t>
      </w:r>
      <w:r w:rsidR="00AA62AE">
        <w:rPr>
          <w:rFonts w:ascii="Arial" w:hAnsi="Arial" w:cs="Arial"/>
          <w:sz w:val="24"/>
          <w:szCs w:val="24"/>
        </w:rPr>
        <w:t xml:space="preserve">more evident </w:t>
      </w:r>
      <w:r>
        <w:rPr>
          <w:rFonts w:ascii="Arial" w:hAnsi="Arial" w:cs="Arial"/>
          <w:sz w:val="24"/>
          <w:szCs w:val="24"/>
        </w:rPr>
        <w:t>shift in the</w:t>
      </w:r>
      <w:r w:rsidRPr="00981B95">
        <w:rPr>
          <w:rFonts w:ascii="Arial" w:hAnsi="Arial" w:cs="Arial"/>
          <w:sz w:val="24"/>
          <w:szCs w:val="24"/>
        </w:rPr>
        <w:t xml:space="preserve"> enrichment </w:t>
      </w:r>
      <w:r>
        <w:rPr>
          <w:rFonts w:ascii="Arial" w:hAnsi="Arial" w:cs="Arial"/>
          <w:sz w:val="24"/>
          <w:szCs w:val="24"/>
        </w:rPr>
        <w:t>scores</w:t>
      </w:r>
      <w:r w:rsidR="00BA292C">
        <w:rPr>
          <w:rFonts w:ascii="Arial" w:hAnsi="Arial" w:cs="Arial"/>
          <w:sz w:val="24"/>
          <w:szCs w:val="24"/>
        </w:rPr>
        <w:t xml:space="preserve"> </w:t>
      </w:r>
      <w:r>
        <w:rPr>
          <w:rFonts w:ascii="Arial" w:hAnsi="Arial" w:cs="Arial"/>
          <w:sz w:val="24"/>
          <w:szCs w:val="24"/>
        </w:rPr>
        <w:t>was observed between the global</w:t>
      </w:r>
      <w:r w:rsidRPr="00981B95">
        <w:rPr>
          <w:rFonts w:ascii="Arial" w:hAnsi="Arial" w:cs="Arial"/>
          <w:sz w:val="24"/>
          <w:szCs w:val="24"/>
        </w:rPr>
        <w:t xml:space="preserve"> and the </w:t>
      </w:r>
      <w:r>
        <w:rPr>
          <w:rFonts w:ascii="Arial" w:hAnsi="Arial" w:cs="Arial"/>
          <w:sz w:val="24"/>
          <w:szCs w:val="24"/>
        </w:rPr>
        <w:t>a</w:t>
      </w:r>
      <w:r w:rsidRPr="00981B95">
        <w:rPr>
          <w:rFonts w:ascii="Arial" w:hAnsi="Arial" w:cs="Arial"/>
          <w:sz w:val="24"/>
          <w:szCs w:val="24"/>
        </w:rPr>
        <w:t>cetylated proteome dataset</w:t>
      </w:r>
      <w:r>
        <w:rPr>
          <w:rFonts w:ascii="Arial" w:hAnsi="Arial" w:cs="Arial"/>
          <w:sz w:val="24"/>
          <w:szCs w:val="24"/>
        </w:rPr>
        <w:t>s</w:t>
      </w:r>
      <w:r w:rsidRPr="00981B95">
        <w:rPr>
          <w:rFonts w:ascii="Arial" w:hAnsi="Arial" w:cs="Arial"/>
          <w:sz w:val="24"/>
          <w:szCs w:val="24"/>
        </w:rPr>
        <w:t xml:space="preserve">. </w:t>
      </w:r>
      <w:r>
        <w:rPr>
          <w:rFonts w:ascii="Arial" w:hAnsi="Arial" w:cs="Arial"/>
          <w:sz w:val="24"/>
          <w:szCs w:val="24"/>
        </w:rPr>
        <w:t>Th</w:t>
      </w:r>
      <w:r w:rsidR="0073333D">
        <w:rPr>
          <w:rFonts w:ascii="Arial" w:hAnsi="Arial" w:cs="Arial"/>
          <w:sz w:val="24"/>
          <w:szCs w:val="24"/>
        </w:rPr>
        <w:t xml:space="preserve">is shift was </w:t>
      </w:r>
      <w:r w:rsidR="0073333D" w:rsidRPr="00876935">
        <w:rPr>
          <w:rFonts w:ascii="Arial" w:hAnsi="Arial" w:cs="Arial"/>
          <w:sz w:val="24"/>
          <w:szCs w:val="24"/>
        </w:rPr>
        <w:t xml:space="preserve">mainly in </w:t>
      </w:r>
      <w:r w:rsidR="00876935" w:rsidRPr="00BA292C">
        <w:rPr>
          <w:rFonts w:ascii="Arial" w:eastAsia="Times New Roman" w:hAnsi="Arial" w:cs="Arial"/>
          <w:color w:val="000000"/>
          <w:sz w:val="24"/>
          <w:szCs w:val="24"/>
        </w:rPr>
        <w:t>Negative regulation of cellular protein metabolic process</w:t>
      </w:r>
      <w:r w:rsidR="00876935" w:rsidRPr="00876935">
        <w:rPr>
          <w:rFonts w:ascii="Arial" w:eastAsia="Times New Roman" w:hAnsi="Arial" w:cs="Arial"/>
          <w:color w:val="000000"/>
          <w:sz w:val="24"/>
          <w:szCs w:val="24"/>
        </w:rPr>
        <w:t xml:space="preserve"> functional annotation, </w:t>
      </w:r>
      <w:r w:rsidR="0073333D" w:rsidRPr="00876935">
        <w:rPr>
          <w:rFonts w:ascii="Arial" w:hAnsi="Arial" w:cs="Arial"/>
          <w:sz w:val="24"/>
          <w:szCs w:val="24"/>
        </w:rPr>
        <w:lastRenderedPageBreak/>
        <w:t xml:space="preserve">showing higher </w:t>
      </w:r>
      <w:r w:rsidR="0073333D">
        <w:rPr>
          <w:rFonts w:ascii="Arial" w:hAnsi="Arial" w:cs="Arial"/>
          <w:sz w:val="24"/>
          <w:szCs w:val="24"/>
        </w:rPr>
        <w:t xml:space="preserve">enrichment scores in the </w:t>
      </w:r>
      <w:r w:rsidR="00876935">
        <w:rPr>
          <w:rFonts w:ascii="Arial" w:hAnsi="Arial" w:cs="Arial"/>
          <w:sz w:val="24"/>
          <w:szCs w:val="24"/>
        </w:rPr>
        <w:t xml:space="preserve">acetylated proteome </w:t>
      </w:r>
      <w:r w:rsidR="0073333D">
        <w:rPr>
          <w:rFonts w:ascii="Arial" w:hAnsi="Arial" w:cs="Arial"/>
          <w:sz w:val="24"/>
          <w:szCs w:val="24"/>
        </w:rPr>
        <w:t xml:space="preserve">dataset </w:t>
      </w:r>
      <w:r w:rsidR="00876935">
        <w:rPr>
          <w:rFonts w:ascii="Arial" w:hAnsi="Arial" w:cs="Arial"/>
          <w:sz w:val="24"/>
          <w:szCs w:val="24"/>
        </w:rPr>
        <w:t>(3.9</w:t>
      </w:r>
      <w:r w:rsidR="008E3BF8">
        <w:rPr>
          <w:rFonts w:ascii="Arial" w:hAnsi="Arial" w:cs="Arial"/>
          <w:sz w:val="24"/>
          <w:szCs w:val="24"/>
        </w:rPr>
        <w:t>6</w:t>
      </w:r>
      <w:r w:rsidR="00876935">
        <w:rPr>
          <w:rFonts w:ascii="Arial" w:hAnsi="Arial" w:cs="Arial"/>
          <w:sz w:val="24"/>
          <w:szCs w:val="24"/>
        </w:rPr>
        <w:t xml:space="preserve">) </w:t>
      </w:r>
      <w:r w:rsidR="0073333D">
        <w:rPr>
          <w:rFonts w:ascii="Arial" w:hAnsi="Arial" w:cs="Arial"/>
          <w:sz w:val="24"/>
          <w:szCs w:val="24"/>
        </w:rPr>
        <w:t xml:space="preserve">when compared to the </w:t>
      </w:r>
      <w:r w:rsidR="00876935">
        <w:rPr>
          <w:rFonts w:ascii="Arial" w:hAnsi="Arial" w:cs="Arial"/>
          <w:sz w:val="24"/>
          <w:szCs w:val="24"/>
        </w:rPr>
        <w:t>global</w:t>
      </w:r>
      <w:r w:rsidR="0073333D">
        <w:rPr>
          <w:rFonts w:ascii="Arial" w:hAnsi="Arial" w:cs="Arial"/>
          <w:sz w:val="24"/>
          <w:szCs w:val="24"/>
        </w:rPr>
        <w:t xml:space="preserve"> proteome dataset </w:t>
      </w:r>
      <w:r w:rsidR="00876935">
        <w:rPr>
          <w:rFonts w:ascii="Arial" w:hAnsi="Arial" w:cs="Arial"/>
          <w:sz w:val="24"/>
          <w:szCs w:val="24"/>
        </w:rPr>
        <w:t xml:space="preserve">(2.34) </w:t>
      </w:r>
      <w:r w:rsidR="0073333D">
        <w:rPr>
          <w:rFonts w:ascii="Arial" w:hAnsi="Arial" w:cs="Arial"/>
          <w:sz w:val="24"/>
          <w:szCs w:val="24"/>
        </w:rPr>
        <w:t>(Figure 1</w:t>
      </w:r>
      <w:r w:rsidR="007C66F9">
        <w:rPr>
          <w:rFonts w:ascii="Arial" w:hAnsi="Arial" w:cs="Arial"/>
          <w:sz w:val="24"/>
          <w:szCs w:val="24"/>
        </w:rPr>
        <w:t>7</w:t>
      </w:r>
      <w:r w:rsidR="0073333D">
        <w:rPr>
          <w:rFonts w:ascii="Arial" w:hAnsi="Arial" w:cs="Arial"/>
          <w:sz w:val="24"/>
          <w:szCs w:val="24"/>
        </w:rPr>
        <w:t xml:space="preserve">). </w:t>
      </w:r>
      <w:r w:rsidR="00BD6DF5">
        <w:rPr>
          <w:rFonts w:ascii="Arial" w:hAnsi="Arial" w:cs="Arial"/>
          <w:sz w:val="24"/>
          <w:szCs w:val="24"/>
        </w:rPr>
        <w:t>Even t</w:t>
      </w:r>
      <w:r w:rsidR="0073333D">
        <w:rPr>
          <w:rFonts w:ascii="Arial" w:hAnsi="Arial" w:cs="Arial"/>
          <w:sz w:val="24"/>
          <w:szCs w:val="24"/>
        </w:rPr>
        <w:t xml:space="preserve">he other functional annotations did not show </w:t>
      </w:r>
      <w:r w:rsidR="005966B9">
        <w:rPr>
          <w:rFonts w:ascii="Arial" w:hAnsi="Arial" w:cs="Arial"/>
          <w:sz w:val="24"/>
          <w:szCs w:val="24"/>
        </w:rPr>
        <w:t>great</w:t>
      </w:r>
      <w:r w:rsidR="0073333D">
        <w:rPr>
          <w:rFonts w:ascii="Arial" w:hAnsi="Arial" w:cs="Arial"/>
          <w:sz w:val="24"/>
          <w:szCs w:val="24"/>
        </w:rPr>
        <w:t xml:space="preserve"> differences between the global and </w:t>
      </w:r>
      <w:r w:rsidR="00BD6DF5">
        <w:rPr>
          <w:rFonts w:ascii="Arial" w:hAnsi="Arial" w:cs="Arial"/>
          <w:sz w:val="24"/>
          <w:szCs w:val="24"/>
        </w:rPr>
        <w:t xml:space="preserve">the </w:t>
      </w:r>
      <w:r w:rsidR="0073333D">
        <w:rPr>
          <w:rFonts w:ascii="Arial" w:hAnsi="Arial" w:cs="Arial"/>
          <w:sz w:val="24"/>
          <w:szCs w:val="24"/>
        </w:rPr>
        <w:t>acetylated proteome datasets</w:t>
      </w:r>
      <w:r w:rsidR="008E3BF8">
        <w:rPr>
          <w:rFonts w:ascii="Arial" w:hAnsi="Arial" w:cs="Arial"/>
          <w:sz w:val="24"/>
          <w:szCs w:val="24"/>
        </w:rPr>
        <w:t>,</w:t>
      </w:r>
      <w:r w:rsidR="0073333D">
        <w:rPr>
          <w:rFonts w:ascii="Arial" w:hAnsi="Arial" w:cs="Arial"/>
          <w:sz w:val="24"/>
          <w:szCs w:val="24"/>
        </w:rPr>
        <w:t xml:space="preserve"> </w:t>
      </w:r>
      <w:r w:rsidR="00BD6DF5">
        <w:rPr>
          <w:rFonts w:ascii="Arial" w:hAnsi="Arial" w:cs="Arial"/>
          <w:sz w:val="24"/>
          <w:szCs w:val="24"/>
        </w:rPr>
        <w:t xml:space="preserve">all these functional annotations showed higher enrichment scores in the acetylated proteome dataset </w:t>
      </w:r>
      <w:r w:rsidR="0073333D">
        <w:rPr>
          <w:rFonts w:ascii="Arial" w:hAnsi="Arial" w:cs="Arial"/>
          <w:sz w:val="24"/>
          <w:szCs w:val="24"/>
        </w:rPr>
        <w:t>(Figure 1</w:t>
      </w:r>
      <w:r w:rsidR="007C66F9">
        <w:rPr>
          <w:rFonts w:ascii="Arial" w:hAnsi="Arial" w:cs="Arial"/>
          <w:sz w:val="24"/>
          <w:szCs w:val="24"/>
        </w:rPr>
        <w:t>7</w:t>
      </w:r>
      <w:r w:rsidR="0073333D">
        <w:rPr>
          <w:rFonts w:ascii="Arial" w:hAnsi="Arial" w:cs="Arial"/>
          <w:sz w:val="24"/>
          <w:szCs w:val="24"/>
        </w:rPr>
        <w:t>)</w:t>
      </w:r>
      <w:r w:rsidR="00BD6DF5">
        <w:rPr>
          <w:rFonts w:ascii="Arial" w:hAnsi="Arial" w:cs="Arial"/>
          <w:sz w:val="24"/>
          <w:szCs w:val="24"/>
        </w:rPr>
        <w:t>.</w:t>
      </w:r>
    </w:p>
    <w:p w:rsidR="00BF474E" w:rsidRDefault="00BD6DF5" w:rsidP="009F771C">
      <w:pPr>
        <w:spacing w:line="360" w:lineRule="auto"/>
        <w:jc w:val="both"/>
        <w:rPr>
          <w:rFonts w:ascii="Arial" w:eastAsia="Times New Roman" w:hAnsi="Arial" w:cs="Arial"/>
          <w:bCs/>
          <w:kern w:val="36"/>
          <w:sz w:val="24"/>
          <w:szCs w:val="24"/>
        </w:rPr>
      </w:pPr>
      <w:r>
        <w:rPr>
          <w:rFonts w:ascii="Arial" w:eastAsia="Times New Roman" w:hAnsi="Arial" w:cs="Arial"/>
          <w:bCs/>
          <w:noProof/>
          <w:kern w:val="36"/>
          <w:sz w:val="24"/>
          <w:szCs w:val="24"/>
        </w:rPr>
        <w:drawing>
          <wp:inline distT="0" distB="0" distL="0" distR="0" wp14:anchorId="283D4EC1" wp14:editId="5303101D">
            <wp:extent cx="5612130" cy="3368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metabol graph.jpg"/>
                    <pic:cNvPicPr/>
                  </pic:nvPicPr>
                  <pic:blipFill>
                    <a:blip r:embed="rId49">
                      <a:extLst>
                        <a:ext uri="{28A0092B-C50C-407E-A947-70E740481C1C}">
                          <a14:useLocalDpi xmlns:a14="http://schemas.microsoft.com/office/drawing/2010/main" val="0"/>
                        </a:ext>
                      </a:extLst>
                    </a:blip>
                    <a:stretch>
                      <a:fillRect/>
                    </a:stretch>
                  </pic:blipFill>
                  <pic:spPr>
                    <a:xfrm>
                      <a:off x="0" y="0"/>
                      <a:ext cx="5612130" cy="3368040"/>
                    </a:xfrm>
                    <a:prstGeom prst="rect">
                      <a:avLst/>
                    </a:prstGeom>
                  </pic:spPr>
                </pic:pic>
              </a:graphicData>
            </a:graphic>
          </wp:inline>
        </w:drawing>
      </w:r>
    </w:p>
    <w:p w:rsidR="0073333D" w:rsidRPr="00AF433C" w:rsidRDefault="0073333D" w:rsidP="00EB150C">
      <w:pPr>
        <w:jc w:val="both"/>
        <w:rPr>
          <w:rFonts w:ascii="Arial" w:hAnsi="Arial" w:cs="Arial"/>
          <w:b/>
          <w:i/>
          <w:sz w:val="16"/>
          <w:szCs w:val="16"/>
        </w:rPr>
      </w:pPr>
      <w:bookmarkStart w:id="113" w:name="_Toc413419277"/>
      <w:proofErr w:type="gramStart"/>
      <w:r w:rsidRPr="00CD2A4C">
        <w:rPr>
          <w:rFonts w:ascii="Arial" w:hAnsi="Arial" w:cs="Arial"/>
          <w:b/>
          <w:sz w:val="16"/>
          <w:szCs w:val="16"/>
        </w:rPr>
        <w:t xml:space="preserve">Figure </w:t>
      </w:r>
      <w:r w:rsidR="006C2756" w:rsidRPr="00CD2A4C">
        <w:rPr>
          <w:rFonts w:ascii="Arial" w:hAnsi="Arial" w:cs="Arial"/>
          <w:b/>
          <w:sz w:val="16"/>
          <w:szCs w:val="16"/>
        </w:rPr>
        <w:fldChar w:fldCharType="begin"/>
      </w:r>
      <w:r w:rsidRPr="00CD2A4C">
        <w:rPr>
          <w:rFonts w:ascii="Arial" w:hAnsi="Arial" w:cs="Arial"/>
          <w:b/>
          <w:sz w:val="16"/>
          <w:szCs w:val="16"/>
        </w:rPr>
        <w:instrText xml:space="preserve"> SEQ Figure \* ARABIC </w:instrText>
      </w:r>
      <w:r w:rsidR="006C2756" w:rsidRPr="00CD2A4C">
        <w:rPr>
          <w:rFonts w:ascii="Arial" w:hAnsi="Arial" w:cs="Arial"/>
          <w:b/>
          <w:sz w:val="16"/>
          <w:szCs w:val="16"/>
        </w:rPr>
        <w:fldChar w:fldCharType="separate"/>
      </w:r>
      <w:r w:rsidR="00DC0376">
        <w:rPr>
          <w:rFonts w:ascii="Arial" w:hAnsi="Arial" w:cs="Arial"/>
          <w:b/>
          <w:noProof/>
          <w:sz w:val="16"/>
          <w:szCs w:val="16"/>
        </w:rPr>
        <w:t>17</w:t>
      </w:r>
      <w:r w:rsidR="006C2756" w:rsidRPr="00CD2A4C">
        <w:rPr>
          <w:rFonts w:ascii="Arial" w:hAnsi="Arial" w:cs="Arial"/>
          <w:b/>
          <w:sz w:val="16"/>
          <w:szCs w:val="16"/>
        </w:rPr>
        <w:fldChar w:fldCharType="end"/>
      </w:r>
      <w:r w:rsidRPr="00CD2A4C">
        <w:rPr>
          <w:rFonts w:ascii="Arial" w:hAnsi="Arial" w:cs="Arial"/>
          <w:b/>
          <w:sz w:val="16"/>
          <w:szCs w:val="16"/>
          <w:lang w:val="en-US"/>
        </w:rPr>
        <w:t>.</w:t>
      </w:r>
      <w:proofErr w:type="gramEnd"/>
      <w:r w:rsidRPr="00AF433C">
        <w:rPr>
          <w:rFonts w:ascii="Arial" w:hAnsi="Arial" w:cs="Arial"/>
          <w:b/>
          <w:i/>
          <w:sz w:val="16"/>
          <w:szCs w:val="16"/>
          <w:lang w:val="en-US"/>
        </w:rPr>
        <w:t xml:space="preserve"> </w:t>
      </w:r>
      <w:proofErr w:type="gramStart"/>
      <w:r w:rsidR="008E3BF8" w:rsidRPr="00A34CDA">
        <w:rPr>
          <w:rFonts w:ascii="Arial" w:hAnsi="Arial" w:cs="Arial"/>
          <w:b/>
          <w:sz w:val="16"/>
          <w:szCs w:val="16"/>
          <w:lang w:val="en-US"/>
        </w:rPr>
        <w:t>BP</w:t>
      </w:r>
      <w:r w:rsidRPr="00A34CDA">
        <w:rPr>
          <w:rFonts w:ascii="Arial" w:hAnsi="Arial" w:cs="Arial"/>
          <w:b/>
          <w:sz w:val="16"/>
          <w:szCs w:val="16"/>
          <w:lang w:val="en-US"/>
        </w:rPr>
        <w:t xml:space="preserve"> metabolism-related enrichment scores</w:t>
      </w:r>
      <w:r w:rsidRPr="00AF433C">
        <w:rPr>
          <w:rFonts w:ascii="Arial" w:hAnsi="Arial" w:cs="Arial"/>
          <w:b/>
          <w:i/>
          <w:sz w:val="16"/>
          <w:szCs w:val="16"/>
          <w:lang w:val="en-US"/>
        </w:rPr>
        <w:t>.</w:t>
      </w:r>
      <w:proofErr w:type="gramEnd"/>
      <w:r w:rsidRPr="00AF433C">
        <w:rPr>
          <w:rFonts w:ascii="Arial" w:hAnsi="Arial" w:cs="Arial"/>
          <w:b/>
          <w:i/>
          <w:sz w:val="16"/>
          <w:szCs w:val="16"/>
          <w:lang w:val="en-US"/>
        </w:rPr>
        <w:t xml:space="preserve"> </w:t>
      </w:r>
      <w:r w:rsidRPr="00AF433C">
        <w:rPr>
          <w:rFonts w:ascii="Arial" w:hAnsi="Arial" w:cs="Arial"/>
          <w:b/>
          <w:i/>
          <w:sz w:val="16"/>
          <w:szCs w:val="16"/>
        </w:rPr>
        <w:t>Enrichment scores of the global proteome (left, blue) and the acetylate</w:t>
      </w:r>
      <w:r w:rsidR="008E3BF8">
        <w:rPr>
          <w:rFonts w:ascii="Arial" w:hAnsi="Arial" w:cs="Arial"/>
          <w:b/>
          <w:i/>
          <w:sz w:val="16"/>
          <w:szCs w:val="16"/>
        </w:rPr>
        <w:t>d proteome (right, red) dataset</w:t>
      </w:r>
      <w:r w:rsidR="005966B9">
        <w:rPr>
          <w:rFonts w:ascii="Arial" w:hAnsi="Arial" w:cs="Arial"/>
          <w:b/>
          <w:i/>
          <w:sz w:val="16"/>
          <w:szCs w:val="16"/>
        </w:rPr>
        <w:t>s</w:t>
      </w:r>
      <w:r w:rsidR="008E3BF8">
        <w:rPr>
          <w:rFonts w:ascii="Arial" w:hAnsi="Arial" w:cs="Arial"/>
          <w:b/>
          <w:i/>
          <w:sz w:val="16"/>
          <w:szCs w:val="16"/>
        </w:rPr>
        <w:t xml:space="preserve"> </w:t>
      </w:r>
      <w:r w:rsidRPr="00AF433C">
        <w:rPr>
          <w:rFonts w:ascii="Arial" w:hAnsi="Arial" w:cs="Arial"/>
          <w:b/>
          <w:i/>
          <w:sz w:val="16"/>
          <w:szCs w:val="16"/>
        </w:rPr>
        <w:t>of the top ten metabolism-related functional annotations of t</w:t>
      </w:r>
      <w:r w:rsidR="00BA292C">
        <w:rPr>
          <w:rFonts w:ascii="Arial" w:hAnsi="Arial" w:cs="Arial"/>
          <w:b/>
          <w:i/>
          <w:sz w:val="16"/>
          <w:szCs w:val="16"/>
        </w:rPr>
        <w:t xml:space="preserve">he fifth level of ontology for </w:t>
      </w:r>
      <w:r w:rsidR="008E3BF8">
        <w:rPr>
          <w:rFonts w:ascii="Arial" w:hAnsi="Arial" w:cs="Arial"/>
          <w:b/>
          <w:i/>
          <w:sz w:val="16"/>
          <w:szCs w:val="16"/>
        </w:rPr>
        <w:t>BP</w:t>
      </w:r>
      <w:r w:rsidRPr="00AF433C">
        <w:rPr>
          <w:rFonts w:ascii="Arial" w:hAnsi="Arial" w:cs="Arial"/>
          <w:b/>
          <w:i/>
          <w:sz w:val="16"/>
          <w:szCs w:val="16"/>
        </w:rPr>
        <w:t xml:space="preserve"> GO term. Functional annotations that were not found in both global and acetylated proteome datasets were scored as 0</w:t>
      </w:r>
      <w:r w:rsidR="008E3BF8">
        <w:rPr>
          <w:rFonts w:ascii="Arial" w:hAnsi="Arial" w:cs="Arial"/>
          <w:b/>
          <w:i/>
          <w:sz w:val="16"/>
          <w:szCs w:val="16"/>
        </w:rPr>
        <w:t xml:space="preserve"> </w:t>
      </w:r>
      <w:r w:rsidRPr="00AF433C">
        <w:rPr>
          <w:rFonts w:ascii="Arial" w:hAnsi="Arial" w:cs="Arial"/>
          <w:b/>
          <w:i/>
          <w:sz w:val="16"/>
          <w:szCs w:val="16"/>
        </w:rPr>
        <w:t>since no comparison was feasible to be made amongs</w:t>
      </w:r>
      <w:r w:rsidR="005966B9">
        <w:rPr>
          <w:rFonts w:ascii="Arial" w:hAnsi="Arial" w:cs="Arial"/>
          <w:b/>
          <w:i/>
          <w:sz w:val="16"/>
          <w:szCs w:val="16"/>
        </w:rPr>
        <w:t>t these functional annotations. Only Negative regulation of cellular protein metabolic process</w:t>
      </w:r>
      <w:r w:rsidR="00EB150C" w:rsidRPr="00EB150C">
        <w:rPr>
          <w:rFonts w:ascii="Arial" w:hAnsi="Arial" w:cs="Arial"/>
          <w:b/>
          <w:i/>
          <w:sz w:val="16"/>
          <w:szCs w:val="16"/>
        </w:rPr>
        <w:t xml:space="preserve"> </w:t>
      </w:r>
      <w:r w:rsidR="005966B9">
        <w:rPr>
          <w:rFonts w:ascii="Arial" w:hAnsi="Arial" w:cs="Arial"/>
          <w:b/>
          <w:i/>
          <w:sz w:val="16"/>
          <w:szCs w:val="16"/>
        </w:rPr>
        <w:t xml:space="preserve">functional annotation </w:t>
      </w:r>
      <w:r w:rsidR="00EB150C" w:rsidRPr="00EB150C">
        <w:rPr>
          <w:rFonts w:ascii="Arial" w:hAnsi="Arial" w:cs="Arial"/>
          <w:b/>
          <w:i/>
          <w:sz w:val="16"/>
          <w:szCs w:val="16"/>
        </w:rPr>
        <w:t>show</w:t>
      </w:r>
      <w:r w:rsidR="005966B9">
        <w:rPr>
          <w:rFonts w:ascii="Arial" w:hAnsi="Arial" w:cs="Arial"/>
          <w:b/>
          <w:i/>
          <w:sz w:val="16"/>
          <w:szCs w:val="16"/>
        </w:rPr>
        <w:t>ed</w:t>
      </w:r>
      <w:r w:rsidR="00EB150C" w:rsidRPr="00EB150C">
        <w:rPr>
          <w:rFonts w:ascii="Arial" w:hAnsi="Arial" w:cs="Arial"/>
          <w:b/>
          <w:i/>
          <w:sz w:val="16"/>
          <w:szCs w:val="16"/>
        </w:rPr>
        <w:t xml:space="preserve"> </w:t>
      </w:r>
      <w:r w:rsidR="005966B9">
        <w:rPr>
          <w:rFonts w:ascii="Arial" w:hAnsi="Arial" w:cs="Arial"/>
          <w:b/>
          <w:i/>
          <w:sz w:val="16"/>
          <w:szCs w:val="16"/>
        </w:rPr>
        <w:t xml:space="preserve">evident </w:t>
      </w:r>
      <w:r w:rsidR="00EB150C" w:rsidRPr="00EB150C">
        <w:rPr>
          <w:rFonts w:ascii="Arial" w:hAnsi="Arial" w:cs="Arial"/>
          <w:b/>
          <w:i/>
          <w:sz w:val="16"/>
          <w:szCs w:val="16"/>
        </w:rPr>
        <w:t>differences in the enrichment scores</w:t>
      </w:r>
      <w:r w:rsidR="00EB150C">
        <w:rPr>
          <w:rFonts w:ascii="Arial" w:hAnsi="Arial" w:cs="Arial"/>
          <w:sz w:val="24"/>
          <w:szCs w:val="24"/>
        </w:rPr>
        <w:t xml:space="preserve"> </w:t>
      </w:r>
      <w:r w:rsidRPr="00AF433C">
        <w:rPr>
          <w:rFonts w:ascii="Arial" w:hAnsi="Arial" w:cs="Arial"/>
          <w:b/>
          <w:i/>
          <w:sz w:val="16"/>
          <w:szCs w:val="16"/>
        </w:rPr>
        <w:t xml:space="preserve">after comparing the global and acetylated proteome datasets. </w:t>
      </w:r>
      <w:r w:rsidR="00BD6DF5">
        <w:rPr>
          <w:rFonts w:ascii="Arial" w:hAnsi="Arial" w:cs="Arial"/>
          <w:b/>
          <w:i/>
          <w:sz w:val="16"/>
          <w:szCs w:val="16"/>
        </w:rPr>
        <w:t xml:space="preserve">The lack of </w:t>
      </w:r>
      <w:r w:rsidRPr="00AF433C">
        <w:rPr>
          <w:rFonts w:ascii="Arial" w:hAnsi="Arial" w:cs="Arial"/>
          <w:b/>
          <w:i/>
          <w:sz w:val="16"/>
          <w:szCs w:val="16"/>
        </w:rPr>
        <w:t>evident differences in the enrichment scores</w:t>
      </w:r>
      <w:r w:rsidR="00EB150C">
        <w:rPr>
          <w:rFonts w:ascii="Arial" w:hAnsi="Arial" w:cs="Arial"/>
          <w:b/>
          <w:i/>
          <w:sz w:val="16"/>
          <w:szCs w:val="16"/>
        </w:rPr>
        <w:t xml:space="preserve"> of the functional annotations</w:t>
      </w:r>
      <w:r w:rsidR="00BD6DF5">
        <w:rPr>
          <w:rFonts w:ascii="Arial" w:hAnsi="Arial" w:cs="Arial"/>
          <w:b/>
          <w:i/>
          <w:sz w:val="16"/>
          <w:szCs w:val="16"/>
        </w:rPr>
        <w:t xml:space="preserve"> is supported by </w:t>
      </w:r>
      <w:r w:rsidRPr="00AF433C">
        <w:rPr>
          <w:rFonts w:ascii="Arial" w:hAnsi="Arial" w:cs="Arial"/>
          <w:b/>
          <w:i/>
          <w:sz w:val="16"/>
          <w:szCs w:val="16"/>
        </w:rPr>
        <w:t>the p-value of 0.</w:t>
      </w:r>
      <w:r w:rsidR="00BD6DF5">
        <w:rPr>
          <w:rFonts w:ascii="Arial" w:hAnsi="Arial" w:cs="Arial"/>
          <w:b/>
          <w:i/>
          <w:sz w:val="16"/>
          <w:szCs w:val="16"/>
        </w:rPr>
        <w:t>1</w:t>
      </w:r>
      <w:r w:rsidRPr="00AF433C">
        <w:rPr>
          <w:rFonts w:ascii="Arial" w:hAnsi="Arial" w:cs="Arial"/>
          <w:b/>
          <w:i/>
          <w:sz w:val="16"/>
          <w:szCs w:val="16"/>
        </w:rPr>
        <w:t xml:space="preserve"> indicat</w:t>
      </w:r>
      <w:r w:rsidR="00BD6DF5">
        <w:rPr>
          <w:rFonts w:ascii="Arial" w:hAnsi="Arial" w:cs="Arial"/>
          <w:b/>
          <w:i/>
          <w:sz w:val="16"/>
          <w:szCs w:val="16"/>
        </w:rPr>
        <w:t>ing</w:t>
      </w:r>
      <w:r w:rsidRPr="00AF433C">
        <w:rPr>
          <w:rFonts w:ascii="Arial" w:hAnsi="Arial" w:cs="Arial"/>
          <w:b/>
          <w:i/>
          <w:sz w:val="16"/>
          <w:szCs w:val="16"/>
        </w:rPr>
        <w:t xml:space="preserve"> that there are </w:t>
      </w:r>
      <w:r w:rsidR="00BD6DF5">
        <w:rPr>
          <w:rFonts w:ascii="Arial" w:hAnsi="Arial" w:cs="Arial"/>
          <w:b/>
          <w:i/>
          <w:sz w:val="16"/>
          <w:szCs w:val="16"/>
        </w:rPr>
        <w:t xml:space="preserve">no </w:t>
      </w:r>
      <w:r w:rsidRPr="00AF433C">
        <w:rPr>
          <w:rFonts w:ascii="Arial" w:hAnsi="Arial" w:cs="Arial"/>
          <w:b/>
          <w:i/>
          <w:sz w:val="16"/>
          <w:szCs w:val="16"/>
        </w:rPr>
        <w:t xml:space="preserve">statistically significant differences in the changes observed in the enrichment scores between the global and the acetylated proteome datasets. The </w:t>
      </w:r>
      <w:r w:rsidR="00BD6DF5" w:rsidRPr="00BD6DF5">
        <w:rPr>
          <w:rFonts w:ascii="Arial" w:eastAsia="Times New Roman" w:hAnsi="Arial" w:cs="Arial"/>
          <w:b/>
          <w:bCs/>
          <w:i/>
          <w:sz w:val="16"/>
          <w:szCs w:val="16"/>
        </w:rPr>
        <w:t>Welch Two Sample t-test</w:t>
      </w:r>
      <w:r w:rsidRPr="00AF433C">
        <w:rPr>
          <w:rFonts w:ascii="Arial" w:eastAsia="Times New Roman" w:hAnsi="Arial" w:cs="Arial"/>
          <w:b/>
          <w:bCs/>
          <w:i/>
          <w:sz w:val="16"/>
          <w:szCs w:val="16"/>
        </w:rPr>
        <w:t xml:space="preserve"> </w:t>
      </w:r>
      <w:r w:rsidRPr="00AF433C">
        <w:rPr>
          <w:rFonts w:ascii="Arial" w:hAnsi="Arial" w:cs="Arial"/>
          <w:b/>
          <w:i/>
          <w:sz w:val="16"/>
          <w:szCs w:val="16"/>
        </w:rPr>
        <w:t>was used to compare the global and the acetylated proteome datasets (Shapiro-Wilk test p-value: 0.</w:t>
      </w:r>
      <w:r w:rsidR="00BD6DF5">
        <w:rPr>
          <w:rFonts w:ascii="Arial" w:hAnsi="Arial" w:cs="Arial"/>
          <w:b/>
          <w:i/>
          <w:sz w:val="16"/>
          <w:szCs w:val="16"/>
        </w:rPr>
        <w:t xml:space="preserve">58 </w:t>
      </w:r>
      <w:r w:rsidRPr="00AF433C">
        <w:rPr>
          <w:rFonts w:ascii="Arial" w:hAnsi="Arial" w:cs="Arial"/>
          <w:b/>
          <w:i/>
          <w:sz w:val="16"/>
          <w:szCs w:val="16"/>
        </w:rPr>
        <w:t>for the global proteome and 0.0</w:t>
      </w:r>
      <w:r w:rsidR="00BD6DF5">
        <w:rPr>
          <w:rFonts w:ascii="Arial" w:hAnsi="Arial" w:cs="Arial"/>
          <w:b/>
          <w:i/>
          <w:sz w:val="16"/>
          <w:szCs w:val="16"/>
        </w:rPr>
        <w:t>6</w:t>
      </w:r>
      <w:r w:rsidRPr="00AF433C">
        <w:rPr>
          <w:rFonts w:ascii="Arial" w:hAnsi="Arial" w:cs="Arial"/>
          <w:b/>
          <w:i/>
          <w:sz w:val="16"/>
          <w:szCs w:val="16"/>
        </w:rPr>
        <w:t xml:space="preserve"> for the acetylated proteome).</w:t>
      </w:r>
      <w:bookmarkEnd w:id="113"/>
    </w:p>
    <w:p w:rsidR="00FA0AD1" w:rsidRDefault="00FA0AD1" w:rsidP="00FA0AD1">
      <w:pPr>
        <w:spacing w:line="360" w:lineRule="auto"/>
        <w:ind w:firstLine="709"/>
        <w:jc w:val="both"/>
        <w:rPr>
          <w:rFonts w:ascii="Arial" w:hAnsi="Arial" w:cs="Arial"/>
          <w:sz w:val="24"/>
          <w:szCs w:val="24"/>
        </w:rPr>
      </w:pPr>
      <w:r w:rsidRPr="00981B95">
        <w:rPr>
          <w:rFonts w:ascii="Arial" w:hAnsi="Arial" w:cs="Arial"/>
          <w:sz w:val="24"/>
          <w:szCs w:val="24"/>
        </w:rPr>
        <w:t xml:space="preserve">The results for MF GO term </w:t>
      </w:r>
      <w:r>
        <w:rPr>
          <w:rFonts w:ascii="Arial" w:hAnsi="Arial" w:cs="Arial"/>
          <w:sz w:val="24"/>
          <w:szCs w:val="24"/>
        </w:rPr>
        <w:t xml:space="preserve">showed that any of the </w:t>
      </w:r>
      <w:r w:rsidR="005966B9">
        <w:rPr>
          <w:rFonts w:ascii="Arial" w:hAnsi="Arial" w:cs="Arial"/>
          <w:sz w:val="24"/>
          <w:szCs w:val="24"/>
        </w:rPr>
        <w:t xml:space="preserve">metabolism-related </w:t>
      </w:r>
      <w:r>
        <w:rPr>
          <w:rFonts w:ascii="Arial" w:hAnsi="Arial" w:cs="Arial"/>
          <w:sz w:val="24"/>
          <w:szCs w:val="24"/>
        </w:rPr>
        <w:t>functional annotations were shared in between the global and acetylated proteome datasets (Figure 1</w:t>
      </w:r>
      <w:r w:rsidR="007C66F9">
        <w:rPr>
          <w:rFonts w:ascii="Arial" w:hAnsi="Arial" w:cs="Arial"/>
          <w:sz w:val="24"/>
          <w:szCs w:val="24"/>
        </w:rPr>
        <w:t>8</w:t>
      </w:r>
      <w:r>
        <w:rPr>
          <w:rFonts w:ascii="Arial" w:hAnsi="Arial" w:cs="Arial"/>
          <w:sz w:val="24"/>
          <w:szCs w:val="24"/>
        </w:rPr>
        <w:t xml:space="preserve">). Only seven metabolism-related functional annotations were found in the fifth level of ontology in </w:t>
      </w:r>
      <w:r w:rsidR="005966B9">
        <w:rPr>
          <w:rFonts w:ascii="Arial" w:hAnsi="Arial" w:cs="Arial"/>
          <w:sz w:val="24"/>
          <w:szCs w:val="24"/>
        </w:rPr>
        <w:t>the global proteome, whereas ju</w:t>
      </w:r>
      <w:r>
        <w:rPr>
          <w:rFonts w:ascii="Arial" w:hAnsi="Arial" w:cs="Arial"/>
          <w:sz w:val="24"/>
          <w:szCs w:val="24"/>
        </w:rPr>
        <w:t>s</w:t>
      </w:r>
      <w:r w:rsidR="005966B9">
        <w:rPr>
          <w:rFonts w:ascii="Arial" w:hAnsi="Arial" w:cs="Arial"/>
          <w:sz w:val="24"/>
          <w:szCs w:val="24"/>
        </w:rPr>
        <w:t>t</w:t>
      </w:r>
      <w:r>
        <w:rPr>
          <w:rFonts w:ascii="Arial" w:hAnsi="Arial" w:cs="Arial"/>
          <w:sz w:val="24"/>
          <w:szCs w:val="24"/>
        </w:rPr>
        <w:t xml:space="preserve"> one metabolism-related functional annotation was found in the acetylated proteome dataset (Figure 1</w:t>
      </w:r>
      <w:r w:rsidR="007C66F9">
        <w:rPr>
          <w:rFonts w:ascii="Arial" w:hAnsi="Arial" w:cs="Arial"/>
          <w:sz w:val="24"/>
          <w:szCs w:val="24"/>
        </w:rPr>
        <w:t>8</w:t>
      </w:r>
      <w:r>
        <w:rPr>
          <w:rFonts w:ascii="Arial" w:hAnsi="Arial" w:cs="Arial"/>
          <w:sz w:val="24"/>
          <w:szCs w:val="24"/>
        </w:rPr>
        <w:t xml:space="preserve">).  The functional annotations found in the global proteome datasets are </w:t>
      </w:r>
      <w:r w:rsidRPr="00FA0AD1">
        <w:rPr>
          <w:rFonts w:ascii="Arial" w:hAnsi="Arial" w:cs="Arial"/>
          <w:sz w:val="24"/>
          <w:szCs w:val="24"/>
        </w:rPr>
        <w:t>Lactate dehydrogenase activity</w:t>
      </w:r>
      <w:r>
        <w:rPr>
          <w:rFonts w:ascii="Arial" w:hAnsi="Arial" w:cs="Arial"/>
          <w:sz w:val="24"/>
          <w:szCs w:val="24"/>
        </w:rPr>
        <w:t>, β</w:t>
      </w:r>
      <w:r w:rsidRPr="00FA0AD1">
        <w:rPr>
          <w:rFonts w:ascii="Arial" w:hAnsi="Arial" w:cs="Arial"/>
          <w:sz w:val="24"/>
          <w:szCs w:val="24"/>
        </w:rPr>
        <w:t xml:space="preserve">-hydroxyacyl-CoA dehydrogenase </w:t>
      </w:r>
      <w:r w:rsidRPr="00FA0AD1">
        <w:rPr>
          <w:rFonts w:ascii="Arial" w:hAnsi="Arial" w:cs="Arial"/>
          <w:sz w:val="24"/>
          <w:szCs w:val="24"/>
        </w:rPr>
        <w:lastRenderedPageBreak/>
        <w:t>activity</w:t>
      </w:r>
      <w:r>
        <w:rPr>
          <w:rFonts w:ascii="Arial" w:hAnsi="Arial" w:cs="Arial"/>
          <w:sz w:val="24"/>
          <w:szCs w:val="24"/>
        </w:rPr>
        <w:t xml:space="preserve">, </w:t>
      </w:r>
      <w:r w:rsidRPr="00FA0AD1">
        <w:rPr>
          <w:rFonts w:ascii="Arial" w:hAnsi="Arial" w:cs="Arial"/>
          <w:sz w:val="24"/>
          <w:szCs w:val="24"/>
        </w:rPr>
        <w:t>Isocitrate dehydrogenase activity</w:t>
      </w:r>
      <w:r>
        <w:rPr>
          <w:rFonts w:ascii="Arial" w:hAnsi="Arial" w:cs="Arial"/>
          <w:sz w:val="24"/>
          <w:szCs w:val="24"/>
        </w:rPr>
        <w:t xml:space="preserve">, </w:t>
      </w:r>
      <w:r w:rsidRPr="00FA0AD1">
        <w:rPr>
          <w:rFonts w:ascii="Arial" w:hAnsi="Arial" w:cs="Arial"/>
          <w:sz w:val="24"/>
          <w:szCs w:val="24"/>
        </w:rPr>
        <w:t>Enoyl-CoA hydratase activity</w:t>
      </w:r>
      <w:r>
        <w:rPr>
          <w:rFonts w:ascii="Arial" w:hAnsi="Arial" w:cs="Arial"/>
          <w:sz w:val="24"/>
          <w:szCs w:val="24"/>
        </w:rPr>
        <w:t xml:space="preserve">, </w:t>
      </w:r>
      <w:r w:rsidRPr="00FA0AD1">
        <w:rPr>
          <w:rFonts w:ascii="Arial" w:hAnsi="Arial" w:cs="Arial"/>
          <w:sz w:val="24"/>
          <w:szCs w:val="24"/>
        </w:rPr>
        <w:t>Phosphoglycerate kinase activity</w:t>
      </w:r>
      <w:r>
        <w:rPr>
          <w:rFonts w:ascii="Arial" w:hAnsi="Arial" w:cs="Arial"/>
          <w:sz w:val="24"/>
          <w:szCs w:val="24"/>
        </w:rPr>
        <w:t xml:space="preserve">, </w:t>
      </w:r>
      <w:r w:rsidRPr="00FA0AD1">
        <w:rPr>
          <w:rFonts w:ascii="Arial" w:hAnsi="Arial" w:cs="Arial"/>
          <w:sz w:val="24"/>
          <w:szCs w:val="24"/>
        </w:rPr>
        <w:t>Fructose-bisphosphate aldolase activity</w:t>
      </w:r>
      <w:r>
        <w:rPr>
          <w:rFonts w:ascii="Arial" w:hAnsi="Arial" w:cs="Arial"/>
          <w:sz w:val="24"/>
          <w:szCs w:val="24"/>
        </w:rPr>
        <w:t xml:space="preserve"> and </w:t>
      </w:r>
      <w:r w:rsidRPr="00FA0AD1">
        <w:rPr>
          <w:rFonts w:ascii="Arial" w:hAnsi="Arial" w:cs="Arial"/>
          <w:sz w:val="24"/>
          <w:szCs w:val="24"/>
        </w:rPr>
        <w:t>Malic enzyme activity</w:t>
      </w:r>
      <w:r>
        <w:rPr>
          <w:rFonts w:ascii="Arial" w:hAnsi="Arial" w:cs="Arial"/>
          <w:sz w:val="24"/>
          <w:szCs w:val="24"/>
        </w:rPr>
        <w:t xml:space="preserve">. On the other hand, the functional annotation found in the acetylated proteome dataset was Malate dehydrogenase activity. </w:t>
      </w:r>
      <w:r w:rsidR="00FB164C">
        <w:rPr>
          <w:rFonts w:ascii="Arial" w:hAnsi="Arial" w:cs="Arial"/>
          <w:sz w:val="24"/>
          <w:szCs w:val="24"/>
        </w:rPr>
        <w:t>As expected and due to the aims of this project all the functional annotations depicted in this analysis belong to metabolic pathways (Figure 1</w:t>
      </w:r>
      <w:r w:rsidR="007C66F9">
        <w:rPr>
          <w:rFonts w:ascii="Arial" w:hAnsi="Arial" w:cs="Arial"/>
          <w:sz w:val="24"/>
          <w:szCs w:val="24"/>
        </w:rPr>
        <w:t>8</w:t>
      </w:r>
      <w:r w:rsidR="00FB164C">
        <w:rPr>
          <w:rFonts w:ascii="Arial" w:hAnsi="Arial" w:cs="Arial"/>
          <w:sz w:val="24"/>
          <w:szCs w:val="24"/>
        </w:rPr>
        <w:t>). Lactate dehydrogenase, malic enzyme and malate dehydrogenase take part in pyruvate metabolism; β</w:t>
      </w:r>
      <w:r w:rsidR="00FB164C" w:rsidRPr="00FA0AD1">
        <w:rPr>
          <w:rFonts w:ascii="Arial" w:hAnsi="Arial" w:cs="Arial"/>
          <w:sz w:val="24"/>
          <w:szCs w:val="24"/>
        </w:rPr>
        <w:t>-hydroxyacyl-CoA dehydrogenase</w:t>
      </w:r>
      <w:r w:rsidR="00FB164C">
        <w:rPr>
          <w:rFonts w:ascii="Arial" w:hAnsi="Arial" w:cs="Arial"/>
          <w:sz w:val="24"/>
          <w:szCs w:val="24"/>
        </w:rPr>
        <w:t xml:space="preserve"> and enoyl-CoA hydratase are enzymes of the β-oxidation pathway; phosphoglycerate kinase and fructose bisphosphate aldolase are glycolytic enzymes; isocitrate dehydrogenase takes part in the TCA cycle.</w:t>
      </w:r>
    </w:p>
    <w:p w:rsidR="0073333D" w:rsidRDefault="00BD6DF5" w:rsidP="009F771C">
      <w:pPr>
        <w:spacing w:line="360" w:lineRule="auto"/>
        <w:jc w:val="both"/>
        <w:rPr>
          <w:rFonts w:ascii="Arial" w:eastAsia="Times New Roman" w:hAnsi="Arial" w:cs="Arial"/>
          <w:bCs/>
          <w:kern w:val="36"/>
          <w:sz w:val="24"/>
          <w:szCs w:val="24"/>
        </w:rPr>
      </w:pPr>
      <w:r>
        <w:rPr>
          <w:rFonts w:ascii="Arial" w:eastAsia="Times New Roman" w:hAnsi="Arial" w:cs="Arial"/>
          <w:bCs/>
          <w:noProof/>
          <w:kern w:val="36"/>
          <w:sz w:val="24"/>
          <w:szCs w:val="24"/>
        </w:rPr>
        <w:drawing>
          <wp:inline distT="0" distB="0" distL="0" distR="0" wp14:anchorId="378E05BF" wp14:editId="5E7F48BA">
            <wp:extent cx="5612130" cy="3373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metabol graph.jpg"/>
                    <pic:cNvPicPr/>
                  </pic:nvPicPr>
                  <pic:blipFill>
                    <a:blip r:embed="rId50">
                      <a:extLst>
                        <a:ext uri="{28A0092B-C50C-407E-A947-70E740481C1C}">
                          <a14:useLocalDpi xmlns:a14="http://schemas.microsoft.com/office/drawing/2010/main" val="0"/>
                        </a:ext>
                      </a:extLst>
                    </a:blip>
                    <a:stretch>
                      <a:fillRect/>
                    </a:stretch>
                  </pic:blipFill>
                  <pic:spPr>
                    <a:xfrm>
                      <a:off x="0" y="0"/>
                      <a:ext cx="5612130" cy="3373755"/>
                    </a:xfrm>
                    <a:prstGeom prst="rect">
                      <a:avLst/>
                    </a:prstGeom>
                  </pic:spPr>
                </pic:pic>
              </a:graphicData>
            </a:graphic>
          </wp:inline>
        </w:drawing>
      </w:r>
    </w:p>
    <w:p w:rsidR="00FB164C" w:rsidRPr="00AF433C" w:rsidRDefault="00FB164C" w:rsidP="00FB164C">
      <w:pPr>
        <w:jc w:val="both"/>
        <w:rPr>
          <w:rFonts w:ascii="Arial" w:hAnsi="Arial" w:cs="Arial"/>
          <w:b/>
          <w:i/>
          <w:sz w:val="16"/>
          <w:szCs w:val="16"/>
        </w:rPr>
      </w:pPr>
      <w:bookmarkStart w:id="114" w:name="_Toc413419278"/>
      <w:proofErr w:type="gramStart"/>
      <w:r w:rsidRPr="00CD2A4C">
        <w:rPr>
          <w:rFonts w:ascii="Arial" w:hAnsi="Arial" w:cs="Arial"/>
          <w:b/>
          <w:sz w:val="16"/>
          <w:szCs w:val="16"/>
        </w:rPr>
        <w:t xml:space="preserve">Figure </w:t>
      </w:r>
      <w:r w:rsidR="006C2756" w:rsidRPr="00CD2A4C">
        <w:rPr>
          <w:rFonts w:ascii="Arial" w:hAnsi="Arial" w:cs="Arial"/>
          <w:b/>
          <w:sz w:val="16"/>
          <w:szCs w:val="16"/>
        </w:rPr>
        <w:fldChar w:fldCharType="begin"/>
      </w:r>
      <w:r w:rsidRPr="00CD2A4C">
        <w:rPr>
          <w:rFonts w:ascii="Arial" w:hAnsi="Arial" w:cs="Arial"/>
          <w:b/>
          <w:sz w:val="16"/>
          <w:szCs w:val="16"/>
        </w:rPr>
        <w:instrText xml:space="preserve"> SEQ Figure \* ARABIC </w:instrText>
      </w:r>
      <w:r w:rsidR="006C2756" w:rsidRPr="00CD2A4C">
        <w:rPr>
          <w:rFonts w:ascii="Arial" w:hAnsi="Arial" w:cs="Arial"/>
          <w:b/>
          <w:sz w:val="16"/>
          <w:szCs w:val="16"/>
        </w:rPr>
        <w:fldChar w:fldCharType="separate"/>
      </w:r>
      <w:r w:rsidR="00DC0376">
        <w:rPr>
          <w:rFonts w:ascii="Arial" w:hAnsi="Arial" w:cs="Arial"/>
          <w:b/>
          <w:noProof/>
          <w:sz w:val="16"/>
          <w:szCs w:val="16"/>
        </w:rPr>
        <w:t>18</w:t>
      </w:r>
      <w:r w:rsidR="006C2756" w:rsidRPr="00CD2A4C">
        <w:rPr>
          <w:rFonts w:ascii="Arial" w:hAnsi="Arial" w:cs="Arial"/>
          <w:b/>
          <w:sz w:val="16"/>
          <w:szCs w:val="16"/>
        </w:rPr>
        <w:fldChar w:fldCharType="end"/>
      </w:r>
      <w:r w:rsidRPr="00AF433C">
        <w:rPr>
          <w:rFonts w:ascii="Arial" w:hAnsi="Arial" w:cs="Arial"/>
          <w:b/>
          <w:i/>
          <w:sz w:val="16"/>
          <w:szCs w:val="16"/>
          <w:lang w:val="en-US"/>
        </w:rPr>
        <w:t>.</w:t>
      </w:r>
      <w:proofErr w:type="gramEnd"/>
      <w:r w:rsidRPr="00AF433C">
        <w:rPr>
          <w:rFonts w:ascii="Arial" w:hAnsi="Arial" w:cs="Arial"/>
          <w:b/>
          <w:i/>
          <w:sz w:val="16"/>
          <w:szCs w:val="16"/>
          <w:lang w:val="en-US"/>
        </w:rPr>
        <w:t xml:space="preserve"> </w:t>
      </w:r>
      <w:proofErr w:type="gramStart"/>
      <w:r w:rsidRPr="00A34CDA">
        <w:rPr>
          <w:rFonts w:ascii="Arial" w:hAnsi="Arial" w:cs="Arial"/>
          <w:b/>
          <w:sz w:val="16"/>
          <w:szCs w:val="16"/>
          <w:lang w:val="en-US"/>
        </w:rPr>
        <w:t>MF metabolism-related enrichment scores</w:t>
      </w:r>
      <w:r w:rsidRPr="00AF433C">
        <w:rPr>
          <w:rFonts w:ascii="Arial" w:hAnsi="Arial" w:cs="Arial"/>
          <w:b/>
          <w:i/>
          <w:sz w:val="16"/>
          <w:szCs w:val="16"/>
          <w:lang w:val="en-US"/>
        </w:rPr>
        <w:t>.</w:t>
      </w:r>
      <w:proofErr w:type="gramEnd"/>
      <w:r w:rsidRPr="00AF433C">
        <w:rPr>
          <w:rFonts w:ascii="Arial" w:hAnsi="Arial" w:cs="Arial"/>
          <w:b/>
          <w:i/>
          <w:sz w:val="16"/>
          <w:szCs w:val="16"/>
          <w:lang w:val="en-US"/>
        </w:rPr>
        <w:t xml:space="preserve"> </w:t>
      </w:r>
      <w:r w:rsidRPr="00AF433C">
        <w:rPr>
          <w:rFonts w:ascii="Arial" w:hAnsi="Arial" w:cs="Arial"/>
          <w:b/>
          <w:i/>
          <w:sz w:val="16"/>
          <w:szCs w:val="16"/>
        </w:rPr>
        <w:t>Enrichment scores of the global proteome (left, blue) and the acetylated proteome (right, red) datasets</w:t>
      </w:r>
      <w:r w:rsidR="00BD6DF5">
        <w:rPr>
          <w:rFonts w:ascii="Arial" w:hAnsi="Arial" w:cs="Arial"/>
          <w:b/>
          <w:i/>
          <w:sz w:val="16"/>
          <w:szCs w:val="16"/>
        </w:rPr>
        <w:t xml:space="preserve"> </w:t>
      </w:r>
      <w:r w:rsidRPr="00AF433C">
        <w:rPr>
          <w:rFonts w:ascii="Arial" w:hAnsi="Arial" w:cs="Arial"/>
          <w:b/>
          <w:i/>
          <w:sz w:val="16"/>
          <w:szCs w:val="16"/>
        </w:rPr>
        <w:t>of the metabolism-related functional annotations of t</w:t>
      </w:r>
      <w:r>
        <w:rPr>
          <w:rFonts w:ascii="Arial" w:hAnsi="Arial" w:cs="Arial"/>
          <w:b/>
          <w:i/>
          <w:sz w:val="16"/>
          <w:szCs w:val="16"/>
        </w:rPr>
        <w:t>he fifth level of ontology for MF</w:t>
      </w:r>
      <w:r w:rsidRPr="00AF433C">
        <w:rPr>
          <w:rFonts w:ascii="Arial" w:hAnsi="Arial" w:cs="Arial"/>
          <w:b/>
          <w:i/>
          <w:sz w:val="16"/>
          <w:szCs w:val="16"/>
        </w:rPr>
        <w:t xml:space="preserve"> GO term. </w:t>
      </w:r>
      <w:r w:rsidR="00367FE5">
        <w:rPr>
          <w:rFonts w:ascii="Arial" w:hAnsi="Arial" w:cs="Arial"/>
          <w:b/>
          <w:i/>
          <w:sz w:val="16"/>
          <w:szCs w:val="16"/>
        </w:rPr>
        <w:t>Unlike all the previously described f</w:t>
      </w:r>
      <w:r w:rsidRPr="00AF433C">
        <w:rPr>
          <w:rFonts w:ascii="Arial" w:hAnsi="Arial" w:cs="Arial"/>
          <w:b/>
          <w:i/>
          <w:sz w:val="16"/>
          <w:szCs w:val="16"/>
        </w:rPr>
        <w:t xml:space="preserve">unctional annotations </w:t>
      </w:r>
      <w:r w:rsidR="00367FE5">
        <w:rPr>
          <w:rFonts w:ascii="Arial" w:hAnsi="Arial" w:cs="Arial"/>
          <w:b/>
          <w:i/>
          <w:sz w:val="16"/>
          <w:szCs w:val="16"/>
        </w:rPr>
        <w:t xml:space="preserve">in each GO term, the metabolism-related functional annotations in MF GO term were not shared in between the global and acetylated proteome datasets. Additionally, only seven functional annotations were found at this level of ontology in the global proteome dataset, and just one was found in the acetylated proteome dataset. *No comparison was made in between the global and acetylated proteome datasets, since there were not enough observations. The only </w:t>
      </w:r>
      <w:r w:rsidR="005966B9">
        <w:rPr>
          <w:rFonts w:ascii="Arial" w:hAnsi="Arial" w:cs="Arial"/>
          <w:b/>
          <w:i/>
          <w:sz w:val="16"/>
          <w:szCs w:val="16"/>
        </w:rPr>
        <w:t xml:space="preserve">statistical </w:t>
      </w:r>
      <w:r w:rsidR="00367FE5">
        <w:rPr>
          <w:rFonts w:ascii="Arial" w:hAnsi="Arial" w:cs="Arial"/>
          <w:b/>
          <w:i/>
          <w:sz w:val="16"/>
          <w:szCs w:val="16"/>
        </w:rPr>
        <w:t xml:space="preserve">analysis that could be made is the </w:t>
      </w:r>
      <w:r w:rsidRPr="00AF433C">
        <w:rPr>
          <w:rFonts w:ascii="Arial" w:hAnsi="Arial" w:cs="Arial"/>
          <w:b/>
          <w:i/>
          <w:sz w:val="16"/>
          <w:szCs w:val="16"/>
        </w:rPr>
        <w:t xml:space="preserve">Shapiro-Wilk test </w:t>
      </w:r>
      <w:r w:rsidR="00367FE5">
        <w:rPr>
          <w:rFonts w:ascii="Arial" w:hAnsi="Arial" w:cs="Arial"/>
          <w:b/>
          <w:i/>
          <w:sz w:val="16"/>
          <w:szCs w:val="16"/>
        </w:rPr>
        <w:t>for the metabolism-related functional annotations found in the global proteome dataset (</w:t>
      </w:r>
      <w:r w:rsidRPr="00AF433C">
        <w:rPr>
          <w:rFonts w:ascii="Arial" w:hAnsi="Arial" w:cs="Arial"/>
          <w:b/>
          <w:i/>
          <w:sz w:val="16"/>
          <w:szCs w:val="16"/>
        </w:rPr>
        <w:t>p-value: 0.</w:t>
      </w:r>
      <w:r w:rsidR="00BD6DF5">
        <w:rPr>
          <w:rFonts w:ascii="Arial" w:hAnsi="Arial" w:cs="Arial"/>
          <w:b/>
          <w:i/>
          <w:sz w:val="16"/>
          <w:szCs w:val="16"/>
        </w:rPr>
        <w:t>1</w:t>
      </w:r>
      <w:r w:rsidR="00367FE5">
        <w:rPr>
          <w:rFonts w:ascii="Arial" w:hAnsi="Arial" w:cs="Arial"/>
          <w:b/>
          <w:i/>
          <w:sz w:val="16"/>
          <w:szCs w:val="16"/>
        </w:rPr>
        <w:t>6)</w:t>
      </w:r>
      <w:r w:rsidRPr="00AF433C">
        <w:rPr>
          <w:rFonts w:ascii="Arial" w:hAnsi="Arial" w:cs="Arial"/>
          <w:b/>
          <w:i/>
          <w:sz w:val="16"/>
          <w:szCs w:val="16"/>
        </w:rPr>
        <w:t>.</w:t>
      </w:r>
      <w:bookmarkEnd w:id="114"/>
    </w:p>
    <w:p w:rsidR="005966B9" w:rsidRDefault="005966B9">
      <w:pPr>
        <w:rPr>
          <w:rFonts w:ascii="Arial" w:eastAsia="Times New Roman" w:hAnsi="Arial" w:cs="Arial"/>
          <w:b/>
          <w:bCs/>
          <w:kern w:val="36"/>
          <w:sz w:val="24"/>
          <w:szCs w:val="24"/>
        </w:rPr>
      </w:pPr>
      <w:r>
        <w:rPr>
          <w:rFonts w:ascii="Arial" w:hAnsi="Arial" w:cs="Arial"/>
          <w:sz w:val="24"/>
          <w:szCs w:val="24"/>
        </w:rPr>
        <w:br w:type="page"/>
      </w:r>
    </w:p>
    <w:p w:rsidR="00EF1380" w:rsidRPr="00436CA9" w:rsidRDefault="00EF1380" w:rsidP="00EF1380">
      <w:pPr>
        <w:pStyle w:val="Heading1"/>
        <w:rPr>
          <w:rFonts w:ascii="Arial" w:hAnsi="Arial" w:cs="Arial"/>
          <w:sz w:val="24"/>
          <w:szCs w:val="24"/>
        </w:rPr>
      </w:pPr>
      <w:bookmarkStart w:id="115" w:name="_Toc413753767"/>
      <w:r w:rsidRPr="00436CA9">
        <w:rPr>
          <w:rFonts w:ascii="Arial" w:hAnsi="Arial" w:cs="Arial"/>
          <w:sz w:val="24"/>
          <w:szCs w:val="24"/>
        </w:rPr>
        <w:lastRenderedPageBreak/>
        <w:t>Matching pathways</w:t>
      </w:r>
      <w:bookmarkEnd w:id="110"/>
      <w:bookmarkEnd w:id="111"/>
      <w:bookmarkEnd w:id="115"/>
    </w:p>
    <w:p w:rsidR="00EF1380" w:rsidRDefault="00EF1380" w:rsidP="00EF1380">
      <w:pPr>
        <w:spacing w:line="360" w:lineRule="auto"/>
        <w:ind w:firstLine="709"/>
        <w:jc w:val="both"/>
        <w:rPr>
          <w:rFonts w:ascii="Arial" w:hAnsi="Arial" w:cs="Arial"/>
          <w:sz w:val="24"/>
          <w:szCs w:val="24"/>
        </w:rPr>
      </w:pPr>
      <w:r w:rsidRPr="00F315C8">
        <w:rPr>
          <w:rFonts w:ascii="Arial" w:hAnsi="Arial" w:cs="Arial"/>
          <w:sz w:val="24"/>
          <w:szCs w:val="24"/>
        </w:rPr>
        <w:t xml:space="preserve">The analysis of the different pathways was made through Reactome </w:t>
      </w:r>
      <w:r w:rsidRPr="00F315C8">
        <w:rPr>
          <w:rStyle w:val="sectionname"/>
          <w:rFonts w:ascii="Arial" w:hAnsi="Arial" w:cs="Arial"/>
          <w:sz w:val="24"/>
          <w:szCs w:val="24"/>
        </w:rPr>
        <w:t>(</w:t>
      </w:r>
      <w:hyperlink r:id="rId51" w:history="1">
        <w:r w:rsidRPr="008152FF">
          <w:rPr>
            <w:rStyle w:val="Hyperlink"/>
            <w:rFonts w:ascii="Arial" w:hAnsi="Arial" w:cs="Arial"/>
            <w:color w:val="auto"/>
            <w:sz w:val="24"/>
            <w:szCs w:val="24"/>
          </w:rPr>
          <w:t>http://www.reactome.org/</w:t>
        </w:r>
      </w:hyperlink>
      <w:r w:rsidRPr="008152FF">
        <w:rPr>
          <w:rStyle w:val="sectionname"/>
          <w:rFonts w:ascii="Arial" w:hAnsi="Arial" w:cs="Arial"/>
          <w:sz w:val="24"/>
          <w:szCs w:val="24"/>
          <w:u w:val="single"/>
        </w:rPr>
        <w:t>)</w:t>
      </w:r>
      <w:r w:rsidRPr="00F315C8">
        <w:rPr>
          <w:rStyle w:val="sectionname"/>
          <w:rFonts w:ascii="Arial" w:hAnsi="Arial" w:cs="Arial"/>
          <w:sz w:val="24"/>
          <w:szCs w:val="24"/>
        </w:rPr>
        <w:t>, manually curated and peer-reviewed open access software.</w:t>
      </w:r>
      <w:r w:rsidRPr="007E785D">
        <w:rPr>
          <w:rStyle w:val="sectionname"/>
          <w:rFonts w:ascii="Arial" w:hAnsi="Arial" w:cs="Arial"/>
        </w:rPr>
        <w:t xml:space="preserve"> </w:t>
      </w:r>
      <w:r>
        <w:rPr>
          <w:rStyle w:val="sectionname"/>
          <w:rFonts w:ascii="Arial" w:hAnsi="Arial" w:cs="Arial"/>
        </w:rPr>
        <w:t>Twenty four d</w:t>
      </w:r>
      <w:r w:rsidRPr="00283410">
        <w:rPr>
          <w:rFonts w:ascii="Arial" w:hAnsi="Arial" w:cs="Arial"/>
          <w:sz w:val="24"/>
          <w:szCs w:val="24"/>
        </w:rPr>
        <w:t xml:space="preserve">ifferent pathways </w:t>
      </w:r>
      <w:r>
        <w:rPr>
          <w:rFonts w:ascii="Arial" w:hAnsi="Arial" w:cs="Arial"/>
          <w:sz w:val="24"/>
          <w:szCs w:val="24"/>
        </w:rPr>
        <w:t xml:space="preserve">were found to </w:t>
      </w:r>
      <w:r w:rsidRPr="00283410">
        <w:rPr>
          <w:rFonts w:ascii="Arial" w:hAnsi="Arial" w:cs="Arial"/>
          <w:sz w:val="24"/>
          <w:szCs w:val="24"/>
        </w:rPr>
        <w:t xml:space="preserve">match the </w:t>
      </w:r>
      <w:r>
        <w:rPr>
          <w:rFonts w:ascii="Arial" w:hAnsi="Arial" w:cs="Arial"/>
          <w:sz w:val="24"/>
          <w:szCs w:val="24"/>
        </w:rPr>
        <w:t>global proteome, from which twenty three were found to match the a</w:t>
      </w:r>
      <w:r w:rsidRPr="00283410">
        <w:rPr>
          <w:rFonts w:ascii="Arial" w:hAnsi="Arial" w:cs="Arial"/>
          <w:sz w:val="24"/>
          <w:szCs w:val="24"/>
        </w:rPr>
        <w:t>cetylated proteome dataset</w:t>
      </w:r>
      <w:r>
        <w:rPr>
          <w:rFonts w:ascii="Arial" w:hAnsi="Arial" w:cs="Arial"/>
          <w:sz w:val="24"/>
          <w:szCs w:val="24"/>
        </w:rPr>
        <w:t xml:space="preserve">, since no entities for Reproduction pathway were found in the acetylated proteome dataset (Table </w:t>
      </w:r>
      <w:r w:rsidR="00806F63">
        <w:rPr>
          <w:rFonts w:ascii="Arial" w:hAnsi="Arial" w:cs="Arial"/>
          <w:sz w:val="24"/>
          <w:szCs w:val="24"/>
        </w:rPr>
        <w:t>11</w:t>
      </w:r>
      <w:r>
        <w:rPr>
          <w:rFonts w:ascii="Arial" w:hAnsi="Arial" w:cs="Arial"/>
          <w:sz w:val="24"/>
          <w:szCs w:val="24"/>
        </w:rPr>
        <w:t>).</w:t>
      </w:r>
      <w:r w:rsidRPr="00283410">
        <w:rPr>
          <w:rFonts w:ascii="Arial" w:hAnsi="Arial" w:cs="Arial"/>
          <w:sz w:val="24"/>
          <w:szCs w:val="24"/>
        </w:rPr>
        <w:t xml:space="preserve"> </w:t>
      </w:r>
      <w:r>
        <w:rPr>
          <w:rFonts w:ascii="Arial" w:hAnsi="Arial" w:cs="Arial"/>
          <w:sz w:val="24"/>
          <w:szCs w:val="24"/>
        </w:rPr>
        <w:t xml:space="preserve">Furthermore </w:t>
      </w:r>
      <w:r w:rsidR="006E0BE8">
        <w:rPr>
          <w:rFonts w:ascii="Arial" w:hAnsi="Arial" w:cs="Arial"/>
          <w:sz w:val="24"/>
          <w:szCs w:val="24"/>
        </w:rPr>
        <w:t xml:space="preserve">to </w:t>
      </w:r>
      <w:r>
        <w:rPr>
          <w:rFonts w:ascii="Arial" w:hAnsi="Arial" w:cs="Arial"/>
          <w:sz w:val="24"/>
          <w:szCs w:val="24"/>
        </w:rPr>
        <w:t xml:space="preserve">Reproduction pathway not </w:t>
      </w:r>
      <w:r w:rsidR="006E0BE8">
        <w:rPr>
          <w:rFonts w:ascii="Arial" w:hAnsi="Arial" w:cs="Arial"/>
          <w:sz w:val="24"/>
          <w:szCs w:val="24"/>
        </w:rPr>
        <w:t xml:space="preserve">being </w:t>
      </w:r>
      <w:r>
        <w:rPr>
          <w:rFonts w:ascii="Arial" w:hAnsi="Arial" w:cs="Arial"/>
          <w:sz w:val="24"/>
          <w:szCs w:val="24"/>
        </w:rPr>
        <w:t xml:space="preserve">found in the acetylated proteome dataset, there was a change in the number of entities found in the global and acetylated proteome </w:t>
      </w:r>
      <w:r w:rsidR="006E0BE8">
        <w:rPr>
          <w:rFonts w:ascii="Arial" w:hAnsi="Arial" w:cs="Arial"/>
          <w:sz w:val="24"/>
          <w:szCs w:val="24"/>
        </w:rPr>
        <w:t xml:space="preserve">datasets </w:t>
      </w:r>
      <w:r>
        <w:rPr>
          <w:rFonts w:ascii="Arial" w:hAnsi="Arial" w:cs="Arial"/>
          <w:sz w:val="24"/>
          <w:szCs w:val="24"/>
        </w:rPr>
        <w:t xml:space="preserve">in each pathway, as well as the coverage in every pathway (Table </w:t>
      </w:r>
      <w:r w:rsidR="00806F63">
        <w:rPr>
          <w:rFonts w:ascii="Arial" w:hAnsi="Arial" w:cs="Arial"/>
          <w:sz w:val="24"/>
          <w:szCs w:val="24"/>
        </w:rPr>
        <w:t>11</w:t>
      </w:r>
      <w:r>
        <w:rPr>
          <w:rFonts w:ascii="Arial" w:hAnsi="Arial" w:cs="Arial"/>
          <w:sz w:val="24"/>
          <w:szCs w:val="24"/>
        </w:rPr>
        <w:t xml:space="preserve">). The global proteome showed more entities in every pathway, and an 11-46% higher coverage of pathways when compared to the acetylated proteome. This finding can also be related to stoichiometry and that not every enzyme is substrate for acetylation. </w:t>
      </w:r>
    </w:p>
    <w:p w:rsidR="00EF1380" w:rsidRDefault="00EF1380" w:rsidP="00EF1380">
      <w:pPr>
        <w:spacing w:line="360" w:lineRule="auto"/>
        <w:ind w:firstLine="709"/>
        <w:jc w:val="both"/>
        <w:rPr>
          <w:rFonts w:ascii="Arial" w:hAnsi="Arial" w:cs="Arial"/>
          <w:sz w:val="24"/>
        </w:rPr>
      </w:pPr>
      <w:r w:rsidRPr="006672F2">
        <w:rPr>
          <w:rFonts w:ascii="Arial" w:hAnsi="Arial" w:cs="Arial"/>
          <w:sz w:val="24"/>
        </w:rPr>
        <w:t xml:space="preserve">From all the pathways matching the global and the acetylated proteome datasets, Metabolism pathway was chosen, according to the aims of this project, in order to interrogate which metabolic enzymes in the global and in the acetylated proteome datasets take part in this pathway. For the global proteome, 10 glycolytic enzymes were found to take part in this pathway, whereas 3 TCA cycle enzymes were found to take part (Table </w:t>
      </w:r>
      <w:r w:rsidR="00806F63">
        <w:rPr>
          <w:rFonts w:ascii="Arial" w:hAnsi="Arial" w:cs="Arial"/>
          <w:sz w:val="24"/>
        </w:rPr>
        <w:t>12</w:t>
      </w:r>
      <w:r w:rsidRPr="006672F2">
        <w:rPr>
          <w:rFonts w:ascii="Arial" w:hAnsi="Arial" w:cs="Arial"/>
          <w:sz w:val="24"/>
        </w:rPr>
        <w:t xml:space="preserve">). In terms of β-oxidation, 1 enzyme was found in Metabolism pathway, whilst 3 enzymes in pyruvate metabolism were also found to take part in this pathway (Table </w:t>
      </w:r>
      <w:r w:rsidR="00806F63">
        <w:rPr>
          <w:rFonts w:ascii="Arial" w:hAnsi="Arial" w:cs="Arial"/>
          <w:sz w:val="24"/>
        </w:rPr>
        <w:t>12</w:t>
      </w:r>
      <w:r w:rsidRPr="006672F2">
        <w:rPr>
          <w:rFonts w:ascii="Arial" w:hAnsi="Arial" w:cs="Arial"/>
          <w:sz w:val="24"/>
        </w:rPr>
        <w:t xml:space="preserve">). For the acetylated proteome, 9 glycolytic enzymes were found to take part in Metabolism pathway, whilst 3 TCA </w:t>
      </w:r>
      <w:r>
        <w:rPr>
          <w:rFonts w:ascii="Arial" w:hAnsi="Arial" w:cs="Arial"/>
          <w:sz w:val="24"/>
        </w:rPr>
        <w:t xml:space="preserve">cycle </w:t>
      </w:r>
      <w:r w:rsidRPr="006672F2">
        <w:rPr>
          <w:rFonts w:ascii="Arial" w:hAnsi="Arial" w:cs="Arial"/>
          <w:sz w:val="24"/>
        </w:rPr>
        <w:t xml:space="preserve">enzymes were found (Table </w:t>
      </w:r>
      <w:r w:rsidR="00806F63">
        <w:rPr>
          <w:rFonts w:ascii="Arial" w:hAnsi="Arial" w:cs="Arial"/>
          <w:sz w:val="24"/>
        </w:rPr>
        <w:t>12</w:t>
      </w:r>
      <w:r w:rsidRPr="006672F2">
        <w:rPr>
          <w:rFonts w:ascii="Arial" w:hAnsi="Arial" w:cs="Arial"/>
          <w:sz w:val="24"/>
        </w:rPr>
        <w:t xml:space="preserve">). Regarding β-oxidation there were no enzymes found in this pathway, whereas 2 enzymes in pyruvate metabolism were found to match this pathway (Table </w:t>
      </w:r>
      <w:r w:rsidR="00806F63">
        <w:rPr>
          <w:rFonts w:ascii="Arial" w:hAnsi="Arial" w:cs="Arial"/>
          <w:sz w:val="24"/>
        </w:rPr>
        <w:t>12</w:t>
      </w:r>
      <w:r w:rsidRPr="006672F2">
        <w:rPr>
          <w:rFonts w:ascii="Arial" w:hAnsi="Arial" w:cs="Arial"/>
          <w:sz w:val="24"/>
        </w:rPr>
        <w:t>).</w:t>
      </w:r>
    </w:p>
    <w:p w:rsidR="003512B8" w:rsidRDefault="003512B8">
      <w:pPr>
        <w:rPr>
          <w:rFonts w:ascii="Arial" w:hAnsi="Arial" w:cs="Arial"/>
          <w:sz w:val="24"/>
        </w:rPr>
      </w:pPr>
      <w:r>
        <w:rPr>
          <w:rFonts w:ascii="Arial" w:hAnsi="Arial" w:cs="Arial"/>
          <w:sz w:val="24"/>
        </w:rPr>
        <w:br w:type="page"/>
      </w:r>
    </w:p>
    <w:tbl>
      <w:tblPr>
        <w:tblStyle w:val="LightList1"/>
        <w:tblW w:w="8931" w:type="dxa"/>
        <w:tblLayout w:type="fixed"/>
        <w:tblLook w:val="04A0" w:firstRow="1" w:lastRow="0" w:firstColumn="1" w:lastColumn="0" w:noHBand="0" w:noVBand="1"/>
      </w:tblPr>
      <w:tblGrid>
        <w:gridCol w:w="1384"/>
        <w:gridCol w:w="1134"/>
        <w:gridCol w:w="1276"/>
        <w:gridCol w:w="1134"/>
        <w:gridCol w:w="850"/>
        <w:gridCol w:w="1276"/>
        <w:gridCol w:w="992"/>
        <w:gridCol w:w="885"/>
      </w:tblGrid>
      <w:tr w:rsidR="00EF1380" w:rsidRPr="009606FF" w:rsidTr="009B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tcPr>
          <w:p w:rsidR="00EF1380" w:rsidRPr="009606FF" w:rsidRDefault="00EF1380" w:rsidP="009B400B">
            <w:pPr>
              <w:rPr>
                <w:rFonts w:eastAsiaTheme="minorHAnsi"/>
                <w:sz w:val="24"/>
                <w:lang w:eastAsia="en-US"/>
              </w:rPr>
            </w:pPr>
          </w:p>
        </w:tc>
        <w:tc>
          <w:tcPr>
            <w:tcW w:w="3260" w:type="dxa"/>
            <w:gridSpan w:val="3"/>
          </w:tcPr>
          <w:p w:rsidR="00EF1380" w:rsidRPr="009606FF" w:rsidRDefault="00EF1380" w:rsidP="009B400B">
            <w:pPr>
              <w:cnfStyle w:val="100000000000" w:firstRow="1" w:lastRow="0" w:firstColumn="0" w:lastColumn="0" w:oddVBand="0" w:evenVBand="0" w:oddHBand="0" w:evenHBand="0" w:firstRowFirstColumn="0" w:firstRowLastColumn="0" w:lastRowFirstColumn="0" w:lastRowLastColumn="0"/>
              <w:rPr>
                <w:rFonts w:eastAsiaTheme="minorHAnsi"/>
                <w:i/>
                <w:sz w:val="20"/>
                <w:lang w:eastAsia="en-US"/>
              </w:rPr>
            </w:pPr>
            <w:r w:rsidRPr="009606FF">
              <w:rPr>
                <w:rFonts w:eastAsiaTheme="minorHAnsi"/>
                <w:sz w:val="20"/>
                <w:lang w:eastAsia="en-US"/>
              </w:rPr>
              <w:t>Global proteome</w:t>
            </w:r>
          </w:p>
        </w:tc>
        <w:tc>
          <w:tcPr>
            <w:tcW w:w="3153" w:type="dxa"/>
            <w:gridSpan w:val="3"/>
          </w:tcPr>
          <w:p w:rsidR="00EF1380" w:rsidRPr="009606FF" w:rsidRDefault="00EF1380" w:rsidP="009B400B">
            <w:pPr>
              <w:cnfStyle w:val="100000000000" w:firstRow="1" w:lastRow="0" w:firstColumn="0" w:lastColumn="0" w:oddVBand="0" w:evenVBand="0" w:oddHBand="0" w:evenHBand="0" w:firstRowFirstColumn="0" w:firstRowLastColumn="0" w:lastRowFirstColumn="0" w:lastRowLastColumn="0"/>
              <w:rPr>
                <w:rFonts w:eastAsiaTheme="minorHAnsi"/>
                <w:i/>
                <w:sz w:val="20"/>
                <w:lang w:eastAsia="en-US"/>
              </w:rPr>
            </w:pPr>
            <w:r w:rsidRPr="009606FF">
              <w:rPr>
                <w:rFonts w:eastAsiaTheme="minorHAnsi"/>
                <w:sz w:val="20"/>
                <w:lang w:eastAsia="en-US"/>
              </w:rPr>
              <w:t>Acetylated proteome</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sz w:val="16"/>
                <w:szCs w:val="20"/>
                <w:lang w:eastAsia="en-US"/>
              </w:rPr>
            </w:pPr>
            <w:r w:rsidRPr="009606FF">
              <w:rPr>
                <w:rFonts w:eastAsiaTheme="minorHAnsi"/>
                <w:sz w:val="16"/>
                <w:szCs w:val="20"/>
                <w:lang w:eastAsia="en-US"/>
              </w:rPr>
              <w:t>Pathway name</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sz w:val="16"/>
                <w:szCs w:val="20"/>
                <w:lang w:eastAsia="en-US"/>
              </w:rPr>
              <w:t>Entities total</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sz w:val="16"/>
                <w:szCs w:val="20"/>
                <w:lang w:eastAsia="en-US"/>
              </w:rPr>
              <w:t>Entities found</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sz w:val="16"/>
                <w:szCs w:val="20"/>
                <w:lang w:eastAsia="en-US"/>
              </w:rPr>
              <w:t>Coverage (%)</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i/>
                <w:sz w:val="16"/>
                <w:szCs w:val="20"/>
                <w:lang w:eastAsia="en-US"/>
              </w:rPr>
              <w:t>p</w:t>
            </w:r>
            <w:r w:rsidRPr="009606FF">
              <w:rPr>
                <w:rFonts w:eastAsiaTheme="minorHAnsi"/>
                <w:b/>
                <w:sz w:val="16"/>
                <w:szCs w:val="20"/>
                <w:lang w:eastAsia="en-US"/>
              </w:rPr>
              <w:t>-value</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sz w:val="16"/>
                <w:szCs w:val="20"/>
                <w:lang w:eastAsia="en-US"/>
              </w:rPr>
              <w:t>Entities found</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sz w:val="16"/>
                <w:szCs w:val="20"/>
                <w:lang w:eastAsia="en-US"/>
              </w:rPr>
              <w:t>Coverage (%)</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b/>
                <w:sz w:val="16"/>
                <w:szCs w:val="20"/>
                <w:lang w:eastAsia="en-US"/>
              </w:rPr>
            </w:pPr>
            <w:r w:rsidRPr="009606FF">
              <w:rPr>
                <w:rFonts w:eastAsiaTheme="minorHAnsi"/>
                <w:b/>
                <w:i/>
                <w:sz w:val="16"/>
                <w:szCs w:val="20"/>
                <w:lang w:eastAsia="en-US"/>
              </w:rPr>
              <w:t>p</w:t>
            </w:r>
            <w:r w:rsidRPr="009606FF">
              <w:rPr>
                <w:rFonts w:eastAsiaTheme="minorHAnsi"/>
                <w:b/>
                <w:sz w:val="16"/>
                <w:szCs w:val="20"/>
                <w:lang w:eastAsia="en-US"/>
              </w:rPr>
              <w:t>-value</w:t>
            </w:r>
          </w:p>
        </w:tc>
      </w:tr>
      <w:tr w:rsidR="00EF1380" w:rsidRPr="009606FF" w:rsidTr="004022CD">
        <w:trPr>
          <w:trHeight w:val="282"/>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DNA Replication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104</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70</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67.3</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bCs/>
                <w:sz w:val="16"/>
                <w:szCs w:val="16"/>
                <w:lang w:eastAsia="en-US"/>
              </w:rPr>
            </w:pPr>
            <w:r w:rsidRPr="009606FF">
              <w:rPr>
                <w:rFonts w:eastAsiaTheme="minorHAnsi" w:cs="Arial"/>
                <w:bCs/>
                <w:sz w:val="16"/>
                <w:szCs w:val="16"/>
                <w:lang w:eastAsia="en-US"/>
              </w:rPr>
              <w:t>8.88E-05</w:t>
            </w:r>
          </w:p>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29</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27.8</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bCs/>
                <w:sz w:val="16"/>
                <w:szCs w:val="16"/>
                <w:lang w:eastAsia="en-US"/>
              </w:rPr>
            </w:pPr>
            <w:r w:rsidRPr="009606FF">
              <w:rPr>
                <w:rFonts w:eastAsiaTheme="minorHAnsi" w:cs="Arial"/>
                <w:bCs/>
                <w:sz w:val="16"/>
                <w:szCs w:val="16"/>
                <w:lang w:eastAsia="en-US"/>
              </w:rPr>
              <w:t>1.81E-07</w:t>
            </w:r>
          </w:p>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tabs>
                <w:tab w:val="left" w:pos="1080"/>
              </w:tabs>
              <w:rPr>
                <w:rFonts w:eastAsiaTheme="minorHAnsi" w:cs="Arial"/>
                <w:sz w:val="16"/>
                <w:szCs w:val="16"/>
                <w:lang w:eastAsia="en-US"/>
              </w:rPr>
            </w:pPr>
            <w:r w:rsidRPr="009606FF">
              <w:rPr>
                <w:rFonts w:eastAsiaTheme="minorHAnsi" w:cs="Arial"/>
                <w:sz w:val="16"/>
                <w:szCs w:val="16"/>
                <w:lang w:eastAsia="en-US"/>
              </w:rPr>
              <w:t>Apoptosis</w:t>
            </w:r>
            <w:r w:rsidRPr="009606FF">
              <w:rPr>
                <w:rFonts w:eastAsiaTheme="minorHAnsi" w:cs="Arial"/>
                <w:sz w:val="16"/>
                <w:szCs w:val="16"/>
                <w:lang w:eastAsia="en-US"/>
              </w:rPr>
              <w:tab/>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161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80</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49.6</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bCs/>
                <w:sz w:val="16"/>
                <w:szCs w:val="16"/>
                <w:lang w:eastAsia="en-US"/>
              </w:rPr>
            </w:pPr>
            <w:r w:rsidRPr="009606FF">
              <w:rPr>
                <w:rFonts w:eastAsiaTheme="minorHAnsi" w:cs="Arial"/>
                <w:bCs/>
                <w:sz w:val="16"/>
                <w:szCs w:val="16"/>
                <w:lang w:eastAsia="en-US"/>
              </w:rPr>
              <w:t>0.001</w:t>
            </w:r>
          </w:p>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37</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22.9</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bCs/>
                <w:sz w:val="16"/>
                <w:szCs w:val="16"/>
                <w:lang w:eastAsia="en-US"/>
              </w:rPr>
            </w:pPr>
            <w:r w:rsidRPr="009606FF">
              <w:rPr>
                <w:rFonts w:eastAsiaTheme="minorHAnsi" w:cs="Arial"/>
                <w:bCs/>
                <w:sz w:val="16"/>
                <w:szCs w:val="16"/>
                <w:lang w:eastAsia="en-US"/>
              </w:rPr>
              <w:t>4.39E-07</w:t>
            </w:r>
          </w:p>
        </w:tc>
      </w:tr>
      <w:tr w:rsidR="00EF1380" w:rsidRPr="009606FF" w:rsidTr="004022CD">
        <w:trPr>
          <w:trHeight w:val="178"/>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Cell Cycle</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532</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205</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38.5</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0.068</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69</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12.9</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0.001</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Metabolism of proteins</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685</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307</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44.8</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0.105</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114</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16.6</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bCs/>
                <w:sz w:val="16"/>
                <w:szCs w:val="16"/>
                <w:lang w:eastAsia="en-US"/>
              </w:rPr>
            </w:pPr>
            <w:r w:rsidRPr="009606FF">
              <w:rPr>
                <w:rFonts w:eastAsiaTheme="minorHAnsi" w:cs="Arial"/>
                <w:bCs/>
                <w:sz w:val="16"/>
                <w:szCs w:val="16"/>
                <w:lang w:eastAsia="en-US"/>
              </w:rPr>
              <w:t>2.57E-10</w:t>
            </w:r>
          </w:p>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p>
        </w:tc>
      </w:tr>
      <w:tr w:rsidR="00EF1380" w:rsidRPr="009606FF" w:rsidTr="004022CD">
        <w:trPr>
          <w:trHeight w:val="252"/>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Membrane Trafficking</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206</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103</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50</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0.401</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28</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13.5</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0.024</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Muscle contraction</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26</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50.9</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0.411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8</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15.6</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0.096</w:t>
            </w:r>
          </w:p>
        </w:tc>
      </w:tr>
      <w:tr w:rsidR="00EF1380" w:rsidRPr="009606FF" w:rsidTr="004022CD">
        <w:trPr>
          <w:trHeight w:val="267"/>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Gene Expression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1141</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464</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40.6</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0.643</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173</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15.1</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bCs/>
                <w:sz w:val="16"/>
                <w:szCs w:val="16"/>
                <w:lang w:eastAsia="en-US"/>
              </w:rPr>
            </w:pPr>
            <w:r w:rsidRPr="009606FF">
              <w:rPr>
                <w:rFonts w:eastAsiaTheme="minorHAnsi" w:cs="Arial"/>
                <w:bCs/>
                <w:sz w:val="16"/>
                <w:szCs w:val="16"/>
                <w:lang w:eastAsia="en-US"/>
              </w:rPr>
              <w:t>3.70E-12</w:t>
            </w:r>
          </w:p>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Cellular responses to stress</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236</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108</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45.7</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0.882</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27</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11.4</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0.132</w:t>
            </w:r>
          </w:p>
        </w:tc>
      </w:tr>
      <w:tr w:rsidR="00EF1380" w:rsidRPr="009606FF" w:rsidTr="004022CD">
        <w:trPr>
          <w:trHeight w:val="274"/>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Chromatin organization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183</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85</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46.4</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0.902</w:t>
            </w:r>
          </w:p>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10</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5.4</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0.969</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DNA Repair</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114</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45</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39.4</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0.906</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12</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10.5</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0.340</w:t>
            </w:r>
          </w:p>
        </w:tc>
      </w:tr>
      <w:tr w:rsidR="00EF1380" w:rsidRPr="009606FF" w:rsidTr="004022CD">
        <w:trPr>
          <w:trHeight w:val="252"/>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Cell-Cell communication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138</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35</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25.3</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0.979</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7.9</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0.705</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Organelle biogenesis and maintenance</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55</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20</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36.3</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0.983</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5.4</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0.874</w:t>
            </w:r>
          </w:p>
        </w:tc>
      </w:tr>
      <w:tr w:rsidR="00EF1380" w:rsidRPr="009606FF" w:rsidTr="004022CD">
        <w:trPr>
          <w:trHeight w:val="280"/>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Circadian Clock</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55</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14</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25.4</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0.996</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7.2</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0.733</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Hemostasis</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490</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183</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37.3</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0.999</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41</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8.3</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0.722</w:t>
            </w:r>
          </w:p>
        </w:tc>
      </w:tr>
      <w:tr w:rsidR="00EF1380" w:rsidRPr="009606FF" w:rsidTr="004022CD">
        <w:trPr>
          <w:trHeight w:val="269"/>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Reproduction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26</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11.5</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0.999</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Binding and Uptake of Ligands by Scavenger Receptors</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195</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5.6</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2.5</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0.999</w:t>
            </w:r>
          </w:p>
        </w:tc>
      </w:tr>
      <w:tr w:rsidR="00EF1380" w:rsidRPr="009606FF" w:rsidTr="004022CD">
        <w:trPr>
          <w:trHeight w:val="271"/>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Developmental Biology</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509</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173</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33.9</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34</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6.6</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0.976</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Disease</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1309</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481</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36.7</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144</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11</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0.007</w:t>
            </w:r>
          </w:p>
        </w:tc>
      </w:tr>
      <w:tr w:rsidR="00EF1380" w:rsidRPr="009606FF" w:rsidTr="004022CD">
        <w:trPr>
          <w:trHeight w:val="430"/>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Extracellular matrix organization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268</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43</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16</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9</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3.3</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0.999</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Immune System</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1427</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445</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31.1</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89</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6.2</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0.999</w:t>
            </w:r>
          </w:p>
        </w:tc>
      </w:tr>
      <w:tr w:rsidR="00EF1380" w:rsidRPr="009606FF" w:rsidTr="004022CD">
        <w:trPr>
          <w:trHeight w:val="270"/>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Metabolism</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1587</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551</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34.7</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129</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8.1</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0.925</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Neuronal System</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280</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58</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20.7</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9</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3.2</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0.999</w:t>
            </w:r>
          </w:p>
        </w:tc>
      </w:tr>
      <w:tr w:rsidR="00EF1380" w:rsidRPr="009606FF" w:rsidTr="004022CD">
        <w:trPr>
          <w:trHeight w:val="273"/>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Signal Transduction</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1994</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357</w:t>
            </w:r>
          </w:p>
        </w:tc>
        <w:tc>
          <w:tcPr>
            <w:tcW w:w="1134"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17.9</w:t>
            </w:r>
          </w:p>
        </w:tc>
        <w:tc>
          <w:tcPr>
            <w:tcW w:w="850"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70</w:t>
            </w:r>
          </w:p>
        </w:tc>
        <w:tc>
          <w:tcPr>
            <w:tcW w:w="992"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3.5</w:t>
            </w:r>
          </w:p>
        </w:tc>
        <w:tc>
          <w:tcPr>
            <w:tcW w:w="885" w:type="dxa"/>
          </w:tcPr>
          <w:p w:rsidR="00EF1380" w:rsidRPr="009606FF" w:rsidRDefault="00EF1380" w:rsidP="009B400B">
            <w:pPr>
              <w:cnfStyle w:val="000000000000" w:firstRow="0" w:lastRow="0" w:firstColumn="0" w:lastColumn="0" w:oddVBand="0" w:evenVBand="0" w:oddHBand="0"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r>
      <w:tr w:rsidR="00EF1380" w:rsidRPr="009606FF" w:rsidTr="004022C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84" w:type="dxa"/>
          </w:tcPr>
          <w:p w:rsidR="00EF1380" w:rsidRPr="009606FF" w:rsidRDefault="00EF1380" w:rsidP="009B400B">
            <w:pPr>
              <w:rPr>
                <w:rFonts w:eastAsiaTheme="minorHAnsi" w:cs="Arial"/>
                <w:sz w:val="16"/>
                <w:szCs w:val="16"/>
                <w:lang w:eastAsia="en-US"/>
              </w:rPr>
            </w:pPr>
            <w:r w:rsidRPr="009606FF">
              <w:rPr>
                <w:rFonts w:eastAsiaTheme="minorHAnsi" w:cs="Arial"/>
                <w:sz w:val="16"/>
                <w:szCs w:val="16"/>
                <w:lang w:eastAsia="en-US"/>
              </w:rPr>
              <w:t>Transmembrane transport of small molecules</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549</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100</w:t>
            </w:r>
          </w:p>
        </w:tc>
        <w:tc>
          <w:tcPr>
            <w:tcW w:w="1134"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18.2</w:t>
            </w:r>
          </w:p>
        </w:tc>
        <w:tc>
          <w:tcPr>
            <w:tcW w:w="850"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c>
          <w:tcPr>
            <w:tcW w:w="1276"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14</w:t>
            </w:r>
          </w:p>
        </w:tc>
        <w:tc>
          <w:tcPr>
            <w:tcW w:w="992"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2.5</w:t>
            </w:r>
          </w:p>
        </w:tc>
        <w:tc>
          <w:tcPr>
            <w:tcW w:w="885" w:type="dxa"/>
          </w:tcPr>
          <w:p w:rsidR="00EF1380" w:rsidRPr="009606FF" w:rsidRDefault="00EF1380" w:rsidP="009B400B">
            <w:pPr>
              <w:cnfStyle w:val="000000100000" w:firstRow="0" w:lastRow="0" w:firstColumn="0" w:lastColumn="0" w:oddVBand="0" w:evenVBand="0" w:oddHBand="1" w:evenHBand="0" w:firstRowFirstColumn="0" w:firstRowLastColumn="0" w:lastRowFirstColumn="0" w:lastRowLastColumn="0"/>
              <w:rPr>
                <w:rFonts w:eastAsiaTheme="minorHAnsi" w:cs="Arial"/>
                <w:sz w:val="16"/>
                <w:szCs w:val="16"/>
                <w:lang w:eastAsia="en-US"/>
              </w:rPr>
            </w:pPr>
            <w:r w:rsidRPr="009606FF">
              <w:rPr>
                <w:rFonts w:eastAsiaTheme="minorHAnsi" w:cs="Arial"/>
                <w:sz w:val="16"/>
                <w:szCs w:val="16"/>
                <w:lang w:eastAsia="en-US"/>
              </w:rPr>
              <w:t>1</w:t>
            </w:r>
          </w:p>
        </w:tc>
      </w:tr>
    </w:tbl>
    <w:p w:rsidR="00EF1380" w:rsidRPr="00D03AD2" w:rsidRDefault="00CD2A4C" w:rsidP="002E4C6B">
      <w:pPr>
        <w:pStyle w:val="Caption"/>
        <w:jc w:val="both"/>
        <w:rPr>
          <w:rFonts w:ascii="Arial" w:hAnsi="Arial" w:cs="Arial"/>
          <w:color w:val="auto"/>
          <w:sz w:val="16"/>
          <w:szCs w:val="16"/>
        </w:rPr>
      </w:pPr>
      <w:bookmarkStart w:id="116" w:name="_Toc355873095"/>
      <w:bookmarkStart w:id="117" w:name="_Toc413666998"/>
      <w:bookmarkStart w:id="118" w:name="_Toc364682976"/>
      <w:proofErr w:type="gramStart"/>
      <w:r w:rsidRPr="009B171E">
        <w:rPr>
          <w:rFonts w:ascii="Arial" w:hAnsi="Arial" w:cs="Arial"/>
          <w:color w:val="auto"/>
          <w:sz w:val="16"/>
          <w:szCs w:val="16"/>
        </w:rPr>
        <w:t xml:space="preserve">Table </w:t>
      </w:r>
      <w:r w:rsidRPr="009B171E">
        <w:rPr>
          <w:rFonts w:ascii="Arial" w:hAnsi="Arial" w:cs="Arial"/>
          <w:color w:val="auto"/>
          <w:sz w:val="16"/>
          <w:szCs w:val="16"/>
        </w:rPr>
        <w:fldChar w:fldCharType="begin"/>
      </w:r>
      <w:r w:rsidRPr="009B171E">
        <w:rPr>
          <w:rFonts w:ascii="Arial" w:hAnsi="Arial" w:cs="Arial"/>
          <w:color w:val="auto"/>
          <w:sz w:val="16"/>
          <w:szCs w:val="16"/>
        </w:rPr>
        <w:instrText xml:space="preserve"> SEQ Table \* ARABIC </w:instrText>
      </w:r>
      <w:r w:rsidRPr="009B171E">
        <w:rPr>
          <w:rFonts w:ascii="Arial" w:hAnsi="Arial" w:cs="Arial"/>
          <w:color w:val="auto"/>
          <w:sz w:val="16"/>
          <w:szCs w:val="16"/>
        </w:rPr>
        <w:fldChar w:fldCharType="separate"/>
      </w:r>
      <w:r w:rsidR="00DC0376">
        <w:rPr>
          <w:rFonts w:ascii="Arial" w:hAnsi="Arial" w:cs="Arial"/>
          <w:noProof/>
          <w:color w:val="auto"/>
          <w:sz w:val="16"/>
          <w:szCs w:val="16"/>
        </w:rPr>
        <w:t>11</w:t>
      </w:r>
      <w:r w:rsidRPr="009B171E">
        <w:rPr>
          <w:rFonts w:ascii="Arial" w:hAnsi="Arial" w:cs="Arial"/>
          <w:color w:val="auto"/>
          <w:sz w:val="16"/>
          <w:szCs w:val="16"/>
        </w:rPr>
        <w:fldChar w:fldCharType="end"/>
      </w:r>
      <w:r w:rsidR="00EF1380" w:rsidRPr="00F315C8">
        <w:rPr>
          <w:rFonts w:ascii="Arial" w:hAnsi="Arial" w:cs="Arial"/>
          <w:color w:val="auto"/>
          <w:sz w:val="16"/>
          <w:szCs w:val="16"/>
        </w:rPr>
        <w:t>.</w:t>
      </w:r>
      <w:proofErr w:type="gramEnd"/>
      <w:r w:rsidR="00EF1380" w:rsidRPr="00F315C8">
        <w:rPr>
          <w:rFonts w:ascii="Arial" w:hAnsi="Arial" w:cs="Arial"/>
          <w:color w:val="auto"/>
          <w:sz w:val="16"/>
          <w:szCs w:val="16"/>
        </w:rPr>
        <w:t xml:space="preserve"> </w:t>
      </w:r>
      <w:proofErr w:type="gramStart"/>
      <w:r w:rsidR="00EF1380" w:rsidRPr="00F315C8">
        <w:rPr>
          <w:rFonts w:ascii="Arial" w:hAnsi="Arial" w:cs="Arial"/>
          <w:color w:val="auto"/>
          <w:sz w:val="16"/>
          <w:szCs w:val="16"/>
        </w:rPr>
        <w:t>Matching pathways.</w:t>
      </w:r>
      <w:proofErr w:type="gramEnd"/>
      <w:r w:rsidR="00EF1380" w:rsidRPr="00F315C8">
        <w:rPr>
          <w:rFonts w:ascii="Arial" w:hAnsi="Arial" w:cs="Arial"/>
          <w:color w:val="auto"/>
          <w:sz w:val="16"/>
          <w:szCs w:val="16"/>
        </w:rPr>
        <w:t xml:space="preserve"> </w:t>
      </w:r>
      <w:r w:rsidR="004022CD" w:rsidRPr="004022CD">
        <w:rPr>
          <w:rFonts w:ascii="Arial" w:hAnsi="Arial" w:cs="Arial"/>
          <w:i/>
          <w:color w:val="auto"/>
          <w:sz w:val="16"/>
          <w:szCs w:val="16"/>
        </w:rPr>
        <w:t>Different</w:t>
      </w:r>
      <w:r w:rsidR="004022CD">
        <w:rPr>
          <w:rFonts w:ascii="Arial" w:hAnsi="Arial" w:cs="Arial"/>
          <w:color w:val="auto"/>
          <w:sz w:val="16"/>
          <w:szCs w:val="16"/>
        </w:rPr>
        <w:t xml:space="preserve"> p</w:t>
      </w:r>
      <w:r w:rsidR="00EF1380" w:rsidRPr="00F315C8">
        <w:rPr>
          <w:rFonts w:ascii="Arial" w:hAnsi="Arial" w:cs="Arial"/>
          <w:i/>
          <w:color w:val="auto"/>
          <w:sz w:val="16"/>
          <w:szCs w:val="16"/>
        </w:rPr>
        <w:t xml:space="preserve">athways </w:t>
      </w:r>
      <w:r w:rsidR="004022CD">
        <w:rPr>
          <w:rFonts w:ascii="Arial" w:hAnsi="Arial" w:cs="Arial"/>
          <w:i/>
          <w:color w:val="auto"/>
          <w:sz w:val="16"/>
          <w:szCs w:val="16"/>
        </w:rPr>
        <w:t xml:space="preserve">found in the analysis, </w:t>
      </w:r>
      <w:r w:rsidR="00EF1380" w:rsidRPr="00F315C8">
        <w:rPr>
          <w:rFonts w:ascii="Arial" w:hAnsi="Arial" w:cs="Arial"/>
          <w:i/>
          <w:color w:val="auto"/>
          <w:sz w:val="16"/>
          <w:szCs w:val="16"/>
        </w:rPr>
        <w:t xml:space="preserve">and the number of proteins </w:t>
      </w:r>
      <w:r w:rsidR="00EF1380">
        <w:rPr>
          <w:rFonts w:ascii="Arial" w:hAnsi="Arial" w:cs="Arial"/>
          <w:i/>
          <w:color w:val="auto"/>
          <w:sz w:val="16"/>
          <w:szCs w:val="16"/>
        </w:rPr>
        <w:t xml:space="preserve">(Entities found) </w:t>
      </w:r>
      <w:r w:rsidR="00EF1380" w:rsidRPr="00F315C8">
        <w:rPr>
          <w:rFonts w:ascii="Arial" w:hAnsi="Arial" w:cs="Arial"/>
          <w:i/>
          <w:color w:val="auto"/>
          <w:sz w:val="16"/>
          <w:szCs w:val="16"/>
        </w:rPr>
        <w:t xml:space="preserve">matching the total number of proteins </w:t>
      </w:r>
      <w:r w:rsidR="00EF1380">
        <w:rPr>
          <w:rFonts w:ascii="Arial" w:hAnsi="Arial" w:cs="Arial"/>
          <w:i/>
          <w:color w:val="auto"/>
          <w:sz w:val="16"/>
          <w:szCs w:val="16"/>
        </w:rPr>
        <w:t xml:space="preserve">(Entities total) </w:t>
      </w:r>
      <w:r w:rsidR="00EF1380" w:rsidRPr="00F315C8">
        <w:rPr>
          <w:rFonts w:ascii="Arial" w:hAnsi="Arial" w:cs="Arial"/>
          <w:i/>
          <w:color w:val="auto"/>
          <w:sz w:val="16"/>
          <w:szCs w:val="16"/>
        </w:rPr>
        <w:t xml:space="preserve">in each </w:t>
      </w:r>
      <w:r w:rsidR="004022CD">
        <w:rPr>
          <w:rFonts w:ascii="Arial" w:hAnsi="Arial" w:cs="Arial"/>
          <w:i/>
          <w:color w:val="auto"/>
          <w:sz w:val="16"/>
          <w:szCs w:val="16"/>
        </w:rPr>
        <w:t xml:space="preserve">of these </w:t>
      </w:r>
      <w:r w:rsidR="00EF1380" w:rsidRPr="00F315C8">
        <w:rPr>
          <w:rFonts w:ascii="Arial" w:hAnsi="Arial" w:cs="Arial"/>
          <w:i/>
          <w:color w:val="auto"/>
          <w:sz w:val="16"/>
          <w:szCs w:val="16"/>
        </w:rPr>
        <w:t>pathway</w:t>
      </w:r>
      <w:r w:rsidR="004022CD">
        <w:rPr>
          <w:rFonts w:ascii="Arial" w:hAnsi="Arial" w:cs="Arial"/>
          <w:i/>
          <w:color w:val="auto"/>
          <w:sz w:val="16"/>
          <w:szCs w:val="16"/>
        </w:rPr>
        <w:t>s</w:t>
      </w:r>
      <w:r w:rsidR="00EF1380" w:rsidRPr="00F315C8">
        <w:rPr>
          <w:rFonts w:ascii="Arial" w:hAnsi="Arial" w:cs="Arial"/>
          <w:i/>
          <w:color w:val="auto"/>
          <w:sz w:val="16"/>
          <w:szCs w:val="16"/>
        </w:rPr>
        <w:t xml:space="preserve"> for the </w:t>
      </w:r>
      <w:r w:rsidR="00EF1380">
        <w:rPr>
          <w:rFonts w:ascii="Arial" w:hAnsi="Arial" w:cs="Arial"/>
          <w:i/>
          <w:color w:val="auto"/>
          <w:sz w:val="16"/>
          <w:szCs w:val="16"/>
        </w:rPr>
        <w:t>global</w:t>
      </w:r>
      <w:r w:rsidR="00EF1380" w:rsidRPr="00F315C8">
        <w:rPr>
          <w:rFonts w:ascii="Arial" w:hAnsi="Arial" w:cs="Arial"/>
          <w:i/>
          <w:color w:val="auto"/>
          <w:sz w:val="16"/>
          <w:szCs w:val="16"/>
        </w:rPr>
        <w:t xml:space="preserve"> and </w:t>
      </w:r>
      <w:r w:rsidR="00EF1380">
        <w:rPr>
          <w:rFonts w:ascii="Arial" w:hAnsi="Arial" w:cs="Arial"/>
          <w:i/>
          <w:color w:val="auto"/>
          <w:sz w:val="16"/>
          <w:szCs w:val="16"/>
        </w:rPr>
        <w:t xml:space="preserve">the </w:t>
      </w:r>
      <w:r w:rsidR="00EF1380" w:rsidRPr="00F315C8">
        <w:rPr>
          <w:rFonts w:ascii="Arial" w:hAnsi="Arial" w:cs="Arial"/>
          <w:i/>
          <w:color w:val="auto"/>
          <w:sz w:val="16"/>
          <w:szCs w:val="16"/>
        </w:rPr>
        <w:t>acetylated proteome dataset</w:t>
      </w:r>
      <w:r w:rsidR="00EF1380">
        <w:rPr>
          <w:rFonts w:ascii="Arial" w:hAnsi="Arial" w:cs="Arial"/>
          <w:i/>
          <w:color w:val="auto"/>
          <w:sz w:val="16"/>
          <w:szCs w:val="16"/>
        </w:rPr>
        <w:t>s</w:t>
      </w:r>
      <w:r w:rsidR="00EF1380" w:rsidRPr="00F315C8">
        <w:rPr>
          <w:rFonts w:ascii="Arial" w:hAnsi="Arial" w:cs="Arial"/>
          <w:i/>
          <w:color w:val="auto"/>
          <w:sz w:val="16"/>
          <w:szCs w:val="16"/>
        </w:rPr>
        <w:t xml:space="preserve">. </w:t>
      </w:r>
      <w:bookmarkEnd w:id="116"/>
      <w:r w:rsidR="00EF1380">
        <w:rPr>
          <w:rFonts w:ascii="Arial" w:hAnsi="Arial" w:cs="Arial"/>
          <w:i/>
          <w:color w:val="auto"/>
          <w:sz w:val="16"/>
          <w:szCs w:val="16"/>
        </w:rPr>
        <w:t>Coverage, expressed as %, is the ratio between the Entities found and the Entities total.</w:t>
      </w:r>
      <w:bookmarkEnd w:id="117"/>
      <w:r w:rsidR="00EF1380">
        <w:rPr>
          <w:rFonts w:ascii="Arial" w:hAnsi="Arial" w:cs="Arial"/>
          <w:i/>
          <w:color w:val="auto"/>
          <w:sz w:val="16"/>
          <w:szCs w:val="16"/>
        </w:rPr>
        <w:t xml:space="preserve"> </w:t>
      </w:r>
      <w:bookmarkStart w:id="119" w:name="_Toc364682862"/>
      <w:bookmarkEnd w:id="118"/>
    </w:p>
    <w:p w:rsidR="00EF1380" w:rsidRDefault="00EF1380" w:rsidP="00EF1380">
      <w:pPr>
        <w:spacing w:line="360" w:lineRule="auto"/>
        <w:ind w:firstLine="720"/>
        <w:jc w:val="both"/>
        <w:rPr>
          <w:rFonts w:ascii="Arial" w:hAnsi="Arial" w:cs="Arial"/>
          <w:sz w:val="24"/>
          <w:lang w:val="en-US"/>
        </w:rPr>
      </w:pPr>
      <w:r w:rsidRPr="006672F2">
        <w:rPr>
          <w:rFonts w:ascii="Arial" w:hAnsi="Arial" w:cs="Arial"/>
          <w:sz w:val="24"/>
        </w:rPr>
        <w:t xml:space="preserve">The glycolytic enzyme that was not found to match Metabolism in the acetylated proteome dataset is hexokinase. The three same TCA cycle enzymes were found to match Metabolism pathway in both the global and the acetylated </w:t>
      </w:r>
      <w:r w:rsidRPr="006672F2">
        <w:rPr>
          <w:rFonts w:ascii="Arial" w:hAnsi="Arial" w:cs="Arial"/>
          <w:sz w:val="24"/>
        </w:rPr>
        <w:lastRenderedPageBreak/>
        <w:t xml:space="preserve">proteome datasets. </w:t>
      </w:r>
      <w:r w:rsidRPr="006672F2">
        <w:rPr>
          <w:rFonts w:ascii="Arial" w:hAnsi="Arial" w:cs="Arial"/>
          <w:sz w:val="24"/>
          <w:szCs w:val="16"/>
        </w:rPr>
        <w:t xml:space="preserve">Phosphoenolpyruvate carboxykinase is the pyruvate metabolism enzyme that was not found to match Metabolism pathway in the acetylated proteome dataset. Enoyl-CoA hydratase, the </w:t>
      </w:r>
      <w:r w:rsidRPr="006672F2">
        <w:rPr>
          <w:rFonts w:ascii="Arial" w:hAnsi="Arial" w:cs="Arial"/>
          <w:sz w:val="24"/>
        </w:rPr>
        <w:t>β-oxidation enzyme that was found to match this pathway in the global proteome, was not found in the acetylated proteome dataset. That the enzymes mentioned above could not be found to match Metabolism pathway in the acetylated proteome dat</w:t>
      </w:r>
      <w:r>
        <w:rPr>
          <w:rFonts w:ascii="Arial" w:hAnsi="Arial" w:cs="Arial"/>
          <w:sz w:val="24"/>
        </w:rPr>
        <w:t>a</w:t>
      </w:r>
      <w:r w:rsidRPr="006672F2">
        <w:rPr>
          <w:rFonts w:ascii="Arial" w:hAnsi="Arial" w:cs="Arial"/>
          <w:sz w:val="24"/>
        </w:rPr>
        <w:t xml:space="preserve">set might be due to these enzymes having few lysine residues amenable </w:t>
      </w:r>
      <w:r w:rsidR="00A956BF">
        <w:rPr>
          <w:rFonts w:ascii="Arial" w:hAnsi="Arial" w:cs="Arial"/>
          <w:sz w:val="24"/>
        </w:rPr>
        <w:t>to acetylation</w:t>
      </w:r>
      <w:r w:rsidRPr="006672F2">
        <w:rPr>
          <w:rFonts w:ascii="Arial" w:hAnsi="Arial" w:cs="Arial"/>
          <w:sz w:val="24"/>
        </w:rPr>
        <w:t xml:space="preserve"> </w:t>
      </w:r>
      <w:r w:rsidRPr="006672F2">
        <w:rPr>
          <w:rFonts w:ascii="Arial" w:hAnsi="Arial" w:cs="Arial"/>
          <w:sz w:val="24"/>
          <w:lang w:val="en-US"/>
        </w:rPr>
        <w:t xml:space="preserve">(see Appendix 2 for the complete list of acetylated lysine residues), compared to the enzymes that were found to match this pathway. </w:t>
      </w:r>
    </w:p>
    <w:p w:rsidR="00DC0376" w:rsidRDefault="00DC0376" w:rsidP="00EF1380">
      <w:pPr>
        <w:spacing w:line="360" w:lineRule="auto"/>
        <w:ind w:firstLine="720"/>
        <w:jc w:val="both"/>
        <w:rPr>
          <w:rFonts w:ascii="Arial" w:hAnsi="Arial" w:cs="Arial"/>
          <w:sz w:val="24"/>
          <w:lang w:val="en-US"/>
        </w:rPr>
      </w:pPr>
    </w:p>
    <w:tbl>
      <w:tblPr>
        <w:tblStyle w:val="LightList1"/>
        <w:tblW w:w="0" w:type="auto"/>
        <w:tblInd w:w="108" w:type="dxa"/>
        <w:tblLook w:val="04A0" w:firstRow="1" w:lastRow="0" w:firstColumn="1" w:lastColumn="0" w:noHBand="0" w:noVBand="1"/>
      </w:tblPr>
      <w:tblGrid>
        <w:gridCol w:w="2902"/>
        <w:gridCol w:w="3010"/>
        <w:gridCol w:w="3010"/>
      </w:tblGrid>
      <w:tr w:rsidR="00EF1380" w:rsidTr="009B400B">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902" w:type="dxa"/>
          </w:tcPr>
          <w:p w:rsidR="00EF1380" w:rsidRPr="00417B63" w:rsidRDefault="00EF1380" w:rsidP="009F0FCB">
            <w:pPr>
              <w:jc w:val="center"/>
              <w:rPr>
                <w:sz w:val="20"/>
              </w:rPr>
            </w:pPr>
            <w:r w:rsidRPr="00417B63">
              <w:rPr>
                <w:sz w:val="20"/>
              </w:rPr>
              <w:t>Pathway name</w:t>
            </w:r>
          </w:p>
        </w:tc>
        <w:tc>
          <w:tcPr>
            <w:tcW w:w="3010" w:type="dxa"/>
          </w:tcPr>
          <w:p w:rsidR="00EF1380" w:rsidRPr="00417B63" w:rsidRDefault="00EF1380" w:rsidP="009B400B">
            <w:pPr>
              <w:jc w:val="center"/>
              <w:cnfStyle w:val="100000000000" w:firstRow="1" w:lastRow="0" w:firstColumn="0" w:lastColumn="0" w:oddVBand="0" w:evenVBand="0" w:oddHBand="0" w:evenHBand="0" w:firstRowFirstColumn="0" w:firstRowLastColumn="0" w:lastRowFirstColumn="0" w:lastRowLastColumn="0"/>
              <w:rPr>
                <w:sz w:val="20"/>
              </w:rPr>
            </w:pPr>
            <w:r w:rsidRPr="00417B63">
              <w:rPr>
                <w:sz w:val="20"/>
              </w:rPr>
              <w:t>Global proteome</w:t>
            </w:r>
          </w:p>
        </w:tc>
        <w:tc>
          <w:tcPr>
            <w:tcW w:w="3010" w:type="dxa"/>
          </w:tcPr>
          <w:p w:rsidR="00EF1380" w:rsidRPr="00417B63" w:rsidRDefault="00EF1380" w:rsidP="009B400B">
            <w:pPr>
              <w:jc w:val="center"/>
              <w:cnfStyle w:val="100000000000" w:firstRow="1" w:lastRow="0" w:firstColumn="0" w:lastColumn="0" w:oddVBand="0" w:evenVBand="0" w:oddHBand="0" w:evenHBand="0" w:firstRowFirstColumn="0" w:firstRowLastColumn="0" w:lastRowFirstColumn="0" w:lastRowLastColumn="0"/>
              <w:rPr>
                <w:sz w:val="20"/>
              </w:rPr>
            </w:pPr>
            <w:r w:rsidRPr="00417B63">
              <w:rPr>
                <w:sz w:val="20"/>
              </w:rPr>
              <w:t>Acetylated proteome</w:t>
            </w:r>
          </w:p>
        </w:tc>
      </w:tr>
      <w:tr w:rsidR="00EF1380" w:rsidTr="009B400B">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902" w:type="dxa"/>
            <w:vAlign w:val="center"/>
          </w:tcPr>
          <w:p w:rsidR="00EF1380" w:rsidRPr="00417B63" w:rsidRDefault="00EF1380" w:rsidP="009B400B">
            <w:pPr>
              <w:jc w:val="center"/>
              <w:rPr>
                <w:rFonts w:cs="Arial"/>
                <w:b w:val="0"/>
                <w:sz w:val="16"/>
                <w:szCs w:val="16"/>
              </w:rPr>
            </w:pPr>
            <w:r w:rsidRPr="00417B63">
              <w:rPr>
                <w:b w:val="0"/>
                <w:sz w:val="16"/>
                <w:szCs w:val="16"/>
              </w:rPr>
              <w:t>Metabolism</w:t>
            </w:r>
          </w:p>
        </w:tc>
        <w:tc>
          <w:tcPr>
            <w:tcW w:w="3010" w:type="dxa"/>
          </w:tcPr>
          <w:p w:rsidR="00EF1380" w:rsidRPr="00364715"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64715">
              <w:rPr>
                <w:sz w:val="16"/>
                <w:szCs w:val="16"/>
              </w:rPr>
              <w:t>Enolase (Gly</w:t>
            </w:r>
            <w:r w:rsidRPr="003A442B">
              <w:rPr>
                <w:sz w:val="16"/>
                <w:szCs w:val="16"/>
              </w:rPr>
              <w:t>colysis</w:t>
            </w:r>
            <w:r w:rsidRPr="00364715">
              <w:rPr>
                <w:sz w:val="16"/>
                <w:szCs w:val="16"/>
              </w:rPr>
              <w:t>)</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Enoyl-CoA hydratase (</w:t>
            </w:r>
            <w:r w:rsidRPr="003A442B">
              <w:rPr>
                <w:rFonts w:cs="Arial"/>
                <w:sz w:val="16"/>
                <w:szCs w:val="16"/>
              </w:rPr>
              <w:t>β-oxidation</w:t>
            </w:r>
            <w:r w:rsidRPr="003A442B">
              <w:rPr>
                <w:sz w:val="16"/>
                <w:szCs w:val="16"/>
              </w:rPr>
              <w:t>)</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Fructose-bisphosphate aldolase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Glucose-6-phosphate isomerase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Glyceraldehyde-3-phosphate dehydrogenase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Hexokinase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Isocitrate dehydrogenase (the TCA cycle)</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Lactate dehydrogenase (Pyruvate metabolism)</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Malate dehydrogenase (the TCA cycle)</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Malic enzyme (Pyruvate metabolism)</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Phosphoenolpyruvate carboxykinase (Pyruvate metabolism)</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Phosphofructokinase (Glycolysis)</w:t>
            </w:r>
          </w:p>
          <w:p w:rsidR="00EF1380" w:rsidRPr="003A442B" w:rsidRDefault="00EF1380" w:rsidP="009B400B">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Phosphoglycerate kinase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Phosphoglycerate mutase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Pyruvate kinase (Glycolysis/Pyruvate metabolism)</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Succinate dehydrogenase (the TCA cycle)</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Triosephosphate isomerase (Glycolysis)</w:t>
            </w:r>
          </w:p>
        </w:tc>
        <w:tc>
          <w:tcPr>
            <w:tcW w:w="3010" w:type="dxa"/>
          </w:tcPr>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Enolase (Glycolysis)</w:t>
            </w:r>
          </w:p>
          <w:p w:rsidR="00EF1380"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Fructose-bisphosphate aldolase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Glucose-6-phosphate isomerase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Glyceraldehyde-3-phosphate dehydrogenase (Glycolysis)</w:t>
            </w:r>
          </w:p>
          <w:p w:rsidR="00EF1380"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Isocitrate dehydrogenase (the TCA cycle)</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Lactate dehydrogenase (Pyruvate metabolism)</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Malate dehydrogenase (the TCA cycle)</w:t>
            </w:r>
          </w:p>
          <w:p w:rsidR="00EF1380"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p>
          <w:p w:rsidR="00EF1380"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p>
          <w:p w:rsidR="00EF1380"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Phosphofructokinase (Glycolysis)</w:t>
            </w:r>
          </w:p>
          <w:p w:rsidR="00EF1380" w:rsidRPr="003A442B" w:rsidRDefault="00EF1380" w:rsidP="009B400B">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Phosphoglycerate kinase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Phosphoglycerate mutase (Glycolysis)</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Pyruvate kinase (Glycolysis/Pyruvate metabolism)</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Succinate dehydrogenase (the TCA cycle)</w:t>
            </w:r>
          </w:p>
          <w:p w:rsidR="00EF1380" w:rsidRPr="003A442B" w:rsidRDefault="00EF1380" w:rsidP="009B400B">
            <w:pPr>
              <w:cnfStyle w:val="000000100000" w:firstRow="0" w:lastRow="0" w:firstColumn="0" w:lastColumn="0" w:oddVBand="0" w:evenVBand="0" w:oddHBand="1" w:evenHBand="0" w:firstRowFirstColumn="0" w:firstRowLastColumn="0" w:lastRowFirstColumn="0" w:lastRowLastColumn="0"/>
              <w:rPr>
                <w:sz w:val="16"/>
                <w:szCs w:val="16"/>
              </w:rPr>
            </w:pPr>
            <w:r w:rsidRPr="003A442B">
              <w:rPr>
                <w:sz w:val="16"/>
                <w:szCs w:val="16"/>
              </w:rPr>
              <w:t>Triosephosphate isomerase (Glycolysis)</w:t>
            </w:r>
          </w:p>
          <w:p w:rsidR="00EF1380" w:rsidRPr="003A442B" w:rsidRDefault="00EF1380" w:rsidP="009B400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p>
        </w:tc>
      </w:tr>
    </w:tbl>
    <w:p w:rsidR="00575217" w:rsidRPr="006E0BE8" w:rsidRDefault="00CD2A4C" w:rsidP="002E4C6B">
      <w:pPr>
        <w:pStyle w:val="Caption"/>
        <w:jc w:val="both"/>
        <w:rPr>
          <w:rFonts w:ascii="Arial" w:hAnsi="Arial" w:cs="Arial"/>
          <w:i/>
          <w:color w:val="auto"/>
          <w:sz w:val="16"/>
          <w:szCs w:val="16"/>
        </w:rPr>
      </w:pPr>
      <w:bookmarkStart w:id="120" w:name="_Toc413666999"/>
      <w:proofErr w:type="gramStart"/>
      <w:r w:rsidRPr="00CD2A4C">
        <w:rPr>
          <w:rFonts w:ascii="Arial" w:hAnsi="Arial" w:cs="Arial"/>
          <w:color w:val="auto"/>
          <w:sz w:val="16"/>
        </w:rPr>
        <w:t xml:space="preserve">Table </w:t>
      </w:r>
      <w:r w:rsidRPr="00CD2A4C">
        <w:rPr>
          <w:rFonts w:ascii="Arial" w:hAnsi="Arial" w:cs="Arial"/>
          <w:color w:val="auto"/>
          <w:sz w:val="16"/>
        </w:rPr>
        <w:fldChar w:fldCharType="begin"/>
      </w:r>
      <w:r w:rsidRPr="00CD2A4C">
        <w:rPr>
          <w:rFonts w:ascii="Arial" w:hAnsi="Arial" w:cs="Arial"/>
          <w:color w:val="auto"/>
          <w:sz w:val="16"/>
        </w:rPr>
        <w:instrText xml:space="preserve"> SEQ Table \* ARABIC </w:instrText>
      </w:r>
      <w:r w:rsidRPr="00CD2A4C">
        <w:rPr>
          <w:rFonts w:ascii="Arial" w:hAnsi="Arial" w:cs="Arial"/>
          <w:color w:val="auto"/>
          <w:sz w:val="16"/>
        </w:rPr>
        <w:fldChar w:fldCharType="separate"/>
      </w:r>
      <w:r w:rsidR="00DC0376">
        <w:rPr>
          <w:rFonts w:ascii="Arial" w:hAnsi="Arial" w:cs="Arial"/>
          <w:noProof/>
          <w:color w:val="auto"/>
          <w:sz w:val="16"/>
        </w:rPr>
        <w:t>12</w:t>
      </w:r>
      <w:r w:rsidRPr="00CD2A4C">
        <w:rPr>
          <w:rFonts w:ascii="Arial" w:hAnsi="Arial" w:cs="Arial"/>
          <w:color w:val="auto"/>
          <w:sz w:val="16"/>
        </w:rPr>
        <w:fldChar w:fldCharType="end"/>
      </w:r>
      <w:r w:rsidR="00EF1380" w:rsidRPr="00707C74">
        <w:rPr>
          <w:rFonts w:ascii="Arial" w:hAnsi="Arial" w:cs="Arial"/>
          <w:color w:val="auto"/>
          <w:sz w:val="16"/>
          <w:szCs w:val="16"/>
        </w:rPr>
        <w:t>.</w:t>
      </w:r>
      <w:proofErr w:type="gramEnd"/>
      <w:r w:rsidR="00EF1380" w:rsidRPr="00707C74">
        <w:rPr>
          <w:rFonts w:ascii="Arial" w:hAnsi="Arial" w:cs="Arial"/>
          <w:color w:val="auto"/>
          <w:sz w:val="16"/>
          <w:szCs w:val="16"/>
        </w:rPr>
        <w:t xml:space="preserve"> </w:t>
      </w:r>
      <w:proofErr w:type="gramStart"/>
      <w:r w:rsidR="00EF1380" w:rsidRPr="00707C74">
        <w:rPr>
          <w:rFonts w:ascii="Arial" w:hAnsi="Arial" w:cs="Arial"/>
          <w:color w:val="auto"/>
          <w:sz w:val="16"/>
          <w:szCs w:val="16"/>
        </w:rPr>
        <w:t>Enzymes matching Metabolism pathway.</w:t>
      </w:r>
      <w:proofErr w:type="gramEnd"/>
      <w:r w:rsidR="00EF1380" w:rsidRPr="00707C74">
        <w:rPr>
          <w:rFonts w:ascii="Arial" w:hAnsi="Arial" w:cs="Arial"/>
          <w:color w:val="auto"/>
          <w:sz w:val="16"/>
          <w:szCs w:val="16"/>
        </w:rPr>
        <w:t xml:space="preserve"> </w:t>
      </w:r>
      <w:r w:rsidR="009F0FCB" w:rsidRPr="009F0FCB">
        <w:rPr>
          <w:rFonts w:ascii="Arial" w:hAnsi="Arial" w:cs="Arial"/>
          <w:i/>
          <w:color w:val="auto"/>
          <w:sz w:val="16"/>
          <w:szCs w:val="16"/>
        </w:rPr>
        <w:t>From the total number of entities found to match the global and acetylated proteome datasets</w:t>
      </w:r>
      <w:r w:rsidR="009F0FCB">
        <w:rPr>
          <w:rFonts w:ascii="Arial" w:hAnsi="Arial" w:cs="Arial"/>
          <w:i/>
          <w:color w:val="auto"/>
          <w:sz w:val="16"/>
          <w:szCs w:val="16"/>
        </w:rPr>
        <w:t xml:space="preserve"> in Metabolism pathway (Table </w:t>
      </w:r>
      <w:r w:rsidR="00806F63">
        <w:rPr>
          <w:rFonts w:ascii="Arial" w:hAnsi="Arial" w:cs="Arial"/>
          <w:i/>
          <w:color w:val="auto"/>
          <w:sz w:val="16"/>
          <w:szCs w:val="16"/>
        </w:rPr>
        <w:t>11</w:t>
      </w:r>
      <w:r w:rsidR="009F0FCB">
        <w:rPr>
          <w:rFonts w:ascii="Arial" w:hAnsi="Arial" w:cs="Arial"/>
          <w:i/>
          <w:color w:val="auto"/>
          <w:sz w:val="16"/>
          <w:szCs w:val="16"/>
        </w:rPr>
        <w:t>)</w:t>
      </w:r>
      <w:r w:rsidR="009F0FCB" w:rsidRPr="009F0FCB">
        <w:rPr>
          <w:rFonts w:ascii="Arial" w:hAnsi="Arial" w:cs="Arial"/>
          <w:i/>
          <w:color w:val="auto"/>
          <w:sz w:val="16"/>
          <w:szCs w:val="16"/>
        </w:rPr>
        <w:t xml:space="preserve">, just the metabolic enzymes found to match this pathway are shown. </w:t>
      </w:r>
      <w:r w:rsidR="00DD0FDA">
        <w:rPr>
          <w:rFonts w:ascii="Arial" w:hAnsi="Arial" w:cs="Arial"/>
          <w:i/>
          <w:color w:val="auto"/>
          <w:sz w:val="16"/>
          <w:szCs w:val="16"/>
        </w:rPr>
        <w:t xml:space="preserve">These enzymes have been selected upon the interest in metabolism. </w:t>
      </w:r>
      <w:r w:rsidR="00EF1380" w:rsidRPr="009F0FCB">
        <w:rPr>
          <w:rFonts w:ascii="Arial" w:hAnsi="Arial" w:cs="Arial"/>
          <w:i/>
          <w:color w:val="auto"/>
          <w:sz w:val="16"/>
          <w:szCs w:val="16"/>
        </w:rPr>
        <w:t>In parentheses, the metabolic pathway in which each enzyme takes part; blank, enzyme not found in the acetylated proteome dataset.</w:t>
      </w:r>
      <w:bookmarkEnd w:id="120"/>
      <w:r w:rsidR="00DD0FDA">
        <w:rPr>
          <w:rFonts w:ascii="Arial" w:hAnsi="Arial" w:cs="Arial"/>
          <w:i/>
          <w:color w:val="auto"/>
          <w:sz w:val="16"/>
          <w:szCs w:val="16"/>
        </w:rPr>
        <w:t xml:space="preserve"> </w:t>
      </w:r>
    </w:p>
    <w:p w:rsidR="00DD6198" w:rsidRDefault="00DD6198">
      <w:pPr>
        <w:rPr>
          <w:rFonts w:ascii="Arial" w:eastAsia="Times New Roman" w:hAnsi="Arial" w:cs="Arial"/>
          <w:b/>
          <w:bCs/>
          <w:kern w:val="36"/>
          <w:sz w:val="24"/>
          <w:szCs w:val="28"/>
        </w:rPr>
      </w:pPr>
      <w:r>
        <w:rPr>
          <w:rFonts w:ascii="Arial" w:hAnsi="Arial" w:cs="Arial"/>
          <w:sz w:val="24"/>
          <w:szCs w:val="28"/>
        </w:rPr>
        <w:br w:type="page"/>
      </w:r>
    </w:p>
    <w:p w:rsidR="00EF1380" w:rsidRPr="00436CA9" w:rsidRDefault="00EF1380" w:rsidP="00EF1380">
      <w:pPr>
        <w:pStyle w:val="Heading1"/>
        <w:rPr>
          <w:rFonts w:ascii="Arial" w:hAnsi="Arial" w:cs="Arial"/>
          <w:sz w:val="24"/>
          <w:szCs w:val="28"/>
        </w:rPr>
      </w:pPr>
      <w:bookmarkStart w:id="121" w:name="_Toc413753768"/>
      <w:r w:rsidRPr="00436CA9">
        <w:rPr>
          <w:rFonts w:ascii="Arial" w:hAnsi="Arial" w:cs="Arial"/>
          <w:sz w:val="24"/>
          <w:szCs w:val="28"/>
        </w:rPr>
        <w:lastRenderedPageBreak/>
        <w:t>Action of SCFAs on acetyl-CoA and CoA</w:t>
      </w:r>
      <w:bookmarkEnd w:id="121"/>
    </w:p>
    <w:p w:rsidR="00803AB7" w:rsidRPr="00575217" w:rsidRDefault="00EE7781" w:rsidP="00EE7781">
      <w:pPr>
        <w:spacing w:line="360" w:lineRule="auto"/>
        <w:ind w:firstLine="709"/>
        <w:jc w:val="both"/>
        <w:rPr>
          <w:rFonts w:ascii="Arial" w:eastAsia="Times New Roman" w:hAnsi="Arial" w:cs="Arial"/>
          <w:sz w:val="24"/>
          <w:szCs w:val="24"/>
        </w:rPr>
      </w:pPr>
      <w:r w:rsidRPr="00575217">
        <w:rPr>
          <w:rFonts w:ascii="Arial" w:eastAsia="Times New Roman" w:hAnsi="Arial" w:cs="Arial"/>
          <w:sz w:val="24"/>
          <w:szCs w:val="24"/>
        </w:rPr>
        <w:t>As it has been shown</w:t>
      </w:r>
      <w:r w:rsidR="00C975C7" w:rsidRPr="00575217">
        <w:rPr>
          <w:rFonts w:ascii="Arial" w:eastAsia="Times New Roman" w:hAnsi="Arial" w:cs="Arial"/>
          <w:sz w:val="24"/>
          <w:szCs w:val="24"/>
        </w:rPr>
        <w:t xml:space="preserve"> by </w:t>
      </w:r>
      <w:r w:rsidR="00C975C7" w:rsidRPr="00575217">
        <w:rPr>
          <w:rFonts w:ascii="Arial" w:eastAsia="Times New Roman" w:hAnsi="Arial" w:cs="Arial"/>
          <w:sz w:val="24"/>
          <w:szCs w:val="24"/>
          <w:lang w:val="en-US"/>
        </w:rPr>
        <w:t xml:space="preserve">quantitatively examining the data through </w:t>
      </w:r>
      <w:r w:rsidR="00803AB7" w:rsidRPr="00575217">
        <w:rPr>
          <w:rFonts w:ascii="Arial" w:eastAsia="Times New Roman" w:hAnsi="Arial" w:cs="Arial"/>
          <w:sz w:val="24"/>
          <w:szCs w:val="24"/>
          <w:lang w:val="en-US"/>
        </w:rPr>
        <w:t>bioinformatics approaches</w:t>
      </w:r>
      <w:r w:rsidRPr="00575217">
        <w:rPr>
          <w:rFonts w:ascii="Arial" w:eastAsia="Times New Roman" w:hAnsi="Arial" w:cs="Arial"/>
          <w:sz w:val="24"/>
          <w:szCs w:val="24"/>
        </w:rPr>
        <w:t>, not all metabolic enzymes are suitable of being acetylated (</w:t>
      </w:r>
      <w:r w:rsidR="006E0BE8">
        <w:rPr>
          <w:rFonts w:ascii="Arial" w:eastAsia="Times New Roman" w:hAnsi="Arial" w:cs="Arial"/>
          <w:sz w:val="24"/>
          <w:szCs w:val="24"/>
        </w:rPr>
        <w:t>Representation and acetylation of metabolic pathways</w:t>
      </w:r>
      <w:r w:rsidRPr="00575217">
        <w:rPr>
          <w:rFonts w:ascii="Arial" w:eastAsia="Times New Roman" w:hAnsi="Arial" w:cs="Arial"/>
          <w:sz w:val="24"/>
          <w:szCs w:val="24"/>
        </w:rPr>
        <w:t>)</w:t>
      </w:r>
      <w:r w:rsidR="00BE7487">
        <w:rPr>
          <w:rFonts w:ascii="Arial" w:eastAsia="Times New Roman" w:hAnsi="Arial" w:cs="Arial"/>
          <w:sz w:val="24"/>
          <w:szCs w:val="24"/>
        </w:rPr>
        <w:t>,</w:t>
      </w:r>
      <w:r w:rsidRPr="00575217">
        <w:rPr>
          <w:rFonts w:ascii="Arial" w:eastAsia="Times New Roman" w:hAnsi="Arial" w:cs="Arial"/>
          <w:sz w:val="24"/>
          <w:szCs w:val="24"/>
        </w:rPr>
        <w:t xml:space="preserve"> </w:t>
      </w:r>
      <w:r w:rsidR="00BE7487">
        <w:rPr>
          <w:rFonts w:ascii="Arial" w:eastAsia="Times New Roman" w:hAnsi="Arial" w:cs="Arial"/>
          <w:sz w:val="24"/>
          <w:szCs w:val="24"/>
        </w:rPr>
        <w:t>t</w:t>
      </w:r>
      <w:r w:rsidRPr="00575217">
        <w:rPr>
          <w:rFonts w:ascii="Arial" w:eastAsia="Times New Roman" w:hAnsi="Arial" w:cs="Arial"/>
          <w:sz w:val="24"/>
          <w:szCs w:val="24"/>
        </w:rPr>
        <w:t xml:space="preserve">here are differences in the enrichment scores of the global and </w:t>
      </w:r>
      <w:r w:rsidR="00966E91" w:rsidRPr="00575217">
        <w:rPr>
          <w:rFonts w:ascii="Arial" w:eastAsia="Times New Roman" w:hAnsi="Arial" w:cs="Arial"/>
          <w:sz w:val="24"/>
          <w:szCs w:val="24"/>
        </w:rPr>
        <w:t xml:space="preserve">the </w:t>
      </w:r>
      <w:r w:rsidRPr="00575217">
        <w:rPr>
          <w:rFonts w:ascii="Arial" w:eastAsia="Times New Roman" w:hAnsi="Arial" w:cs="Arial"/>
          <w:sz w:val="24"/>
          <w:szCs w:val="24"/>
        </w:rPr>
        <w:t xml:space="preserve">acetylated proteome </w:t>
      </w:r>
      <w:r w:rsidR="00C975C7" w:rsidRPr="00575217">
        <w:rPr>
          <w:rFonts w:ascii="Arial" w:eastAsia="Times New Roman" w:hAnsi="Arial" w:cs="Arial"/>
          <w:sz w:val="24"/>
          <w:szCs w:val="24"/>
        </w:rPr>
        <w:t>dataset</w:t>
      </w:r>
      <w:r w:rsidR="00BE7487">
        <w:rPr>
          <w:rFonts w:ascii="Arial" w:eastAsia="Times New Roman" w:hAnsi="Arial" w:cs="Arial"/>
          <w:sz w:val="24"/>
          <w:szCs w:val="24"/>
        </w:rPr>
        <w:t>s</w:t>
      </w:r>
      <w:r w:rsidR="00C975C7" w:rsidRPr="00575217">
        <w:rPr>
          <w:rFonts w:ascii="Arial" w:eastAsia="Times New Roman" w:hAnsi="Arial" w:cs="Arial"/>
          <w:sz w:val="24"/>
          <w:szCs w:val="24"/>
        </w:rPr>
        <w:t xml:space="preserve"> </w:t>
      </w:r>
      <w:r w:rsidRPr="00575217">
        <w:rPr>
          <w:rFonts w:ascii="Arial" w:eastAsia="Times New Roman" w:hAnsi="Arial" w:cs="Arial"/>
          <w:sz w:val="24"/>
          <w:szCs w:val="24"/>
        </w:rPr>
        <w:t xml:space="preserve">(Functional annotations), the number of enzymes </w:t>
      </w:r>
      <w:r w:rsidR="00C975C7" w:rsidRPr="00575217">
        <w:rPr>
          <w:rFonts w:ascii="Arial" w:eastAsia="Times New Roman" w:hAnsi="Arial" w:cs="Arial"/>
          <w:sz w:val="24"/>
          <w:szCs w:val="24"/>
        </w:rPr>
        <w:t xml:space="preserve">matching the metabolic pathways analysed is higher in the global proteome when </w:t>
      </w:r>
      <w:r w:rsidRPr="00575217">
        <w:rPr>
          <w:rFonts w:ascii="Arial" w:eastAsia="Times New Roman" w:hAnsi="Arial" w:cs="Arial"/>
          <w:sz w:val="24"/>
          <w:szCs w:val="24"/>
        </w:rPr>
        <w:t>compared to the acetylated proteome (</w:t>
      </w:r>
      <w:r w:rsidR="00966E91" w:rsidRPr="00575217">
        <w:rPr>
          <w:rFonts w:ascii="Arial" w:eastAsia="Times New Roman" w:hAnsi="Arial" w:cs="Arial"/>
          <w:sz w:val="24"/>
          <w:szCs w:val="24"/>
        </w:rPr>
        <w:t>P</w:t>
      </w:r>
      <w:r w:rsidRPr="00575217">
        <w:rPr>
          <w:rFonts w:ascii="Arial" w:eastAsia="Times New Roman" w:hAnsi="Arial" w:cs="Arial"/>
          <w:sz w:val="24"/>
          <w:szCs w:val="24"/>
        </w:rPr>
        <w:t xml:space="preserve">ercentage coverage of pathways) and </w:t>
      </w:r>
      <w:r w:rsidR="00C975C7" w:rsidRPr="00575217">
        <w:rPr>
          <w:rFonts w:ascii="Arial" w:eastAsia="Times New Roman" w:hAnsi="Arial" w:cs="Arial"/>
          <w:sz w:val="24"/>
          <w:szCs w:val="24"/>
        </w:rPr>
        <w:t xml:space="preserve">more enzymes in the Metabolism pathway were found to match the global proteome compared to the acetylated proteome </w:t>
      </w:r>
      <w:r w:rsidR="00966E91" w:rsidRPr="00575217">
        <w:rPr>
          <w:rFonts w:ascii="Arial" w:eastAsia="Times New Roman" w:hAnsi="Arial" w:cs="Arial"/>
          <w:sz w:val="24"/>
          <w:szCs w:val="24"/>
        </w:rPr>
        <w:t xml:space="preserve">dataset </w:t>
      </w:r>
      <w:r w:rsidR="00C975C7" w:rsidRPr="00575217">
        <w:rPr>
          <w:rFonts w:ascii="Arial" w:eastAsia="Times New Roman" w:hAnsi="Arial" w:cs="Arial"/>
          <w:sz w:val="24"/>
          <w:szCs w:val="24"/>
        </w:rPr>
        <w:t xml:space="preserve">(Matching pathways). </w:t>
      </w:r>
    </w:p>
    <w:p w:rsidR="00C975C7" w:rsidRPr="00575217" w:rsidRDefault="00C975C7" w:rsidP="00EE7781">
      <w:pPr>
        <w:spacing w:line="360" w:lineRule="auto"/>
        <w:ind w:firstLine="709"/>
        <w:jc w:val="both"/>
        <w:rPr>
          <w:rFonts w:ascii="Arial" w:eastAsia="Times New Roman" w:hAnsi="Arial" w:cs="Arial"/>
          <w:sz w:val="24"/>
          <w:szCs w:val="24"/>
        </w:rPr>
      </w:pPr>
      <w:r w:rsidRPr="00575217">
        <w:rPr>
          <w:rFonts w:ascii="Arial" w:eastAsia="Times New Roman" w:hAnsi="Arial" w:cs="Arial"/>
          <w:sz w:val="24"/>
          <w:szCs w:val="24"/>
        </w:rPr>
        <w:t>Although functional proteomics and bioinformatics are a valuable tool</w:t>
      </w:r>
      <w:r w:rsidR="00966E91" w:rsidRPr="00575217">
        <w:rPr>
          <w:rFonts w:ascii="Arial" w:eastAsia="Times New Roman" w:hAnsi="Arial" w:cs="Arial"/>
          <w:sz w:val="24"/>
          <w:szCs w:val="24"/>
        </w:rPr>
        <w:t xml:space="preserve"> to elucidate the role(s) of SCFAs</w:t>
      </w:r>
      <w:r w:rsidRPr="00575217">
        <w:rPr>
          <w:rFonts w:ascii="Arial" w:eastAsia="Times New Roman" w:hAnsi="Arial" w:cs="Arial"/>
          <w:sz w:val="24"/>
          <w:szCs w:val="24"/>
        </w:rPr>
        <w:t>, there are some other approaches</w:t>
      </w:r>
      <w:r w:rsidR="00803AB7" w:rsidRPr="00575217">
        <w:rPr>
          <w:rFonts w:ascii="Arial" w:eastAsia="Times New Roman" w:hAnsi="Arial" w:cs="Arial"/>
          <w:sz w:val="24"/>
          <w:szCs w:val="24"/>
        </w:rPr>
        <w:t xml:space="preserve">. </w:t>
      </w:r>
      <w:r w:rsidRPr="00575217">
        <w:rPr>
          <w:rFonts w:ascii="Arial" w:eastAsia="Times New Roman" w:hAnsi="Arial" w:cs="Arial"/>
          <w:sz w:val="24"/>
          <w:szCs w:val="24"/>
        </w:rPr>
        <w:t xml:space="preserve"> </w:t>
      </w:r>
      <w:r w:rsidR="00803AB7" w:rsidRPr="00575217">
        <w:rPr>
          <w:rFonts w:ascii="Arial" w:eastAsia="Times New Roman" w:hAnsi="Arial" w:cs="Arial"/>
          <w:sz w:val="24"/>
          <w:szCs w:val="24"/>
        </w:rPr>
        <w:t xml:space="preserve">One of these approaches is to model the action of these SCFAs in a time course simulation and to model the effect of increasing concentrations of SCFAs on acetyl-CoA and CoA levels.  </w:t>
      </w:r>
    </w:p>
    <w:p w:rsidR="00EF1380" w:rsidRDefault="00EF1380" w:rsidP="00EF1380">
      <w:pPr>
        <w:spacing w:line="360" w:lineRule="auto"/>
        <w:ind w:firstLine="709"/>
        <w:jc w:val="both"/>
        <w:rPr>
          <w:rFonts w:ascii="Arial" w:hAnsi="Arial" w:cs="Arial"/>
          <w:sz w:val="24"/>
        </w:rPr>
      </w:pPr>
      <w:r>
        <w:rPr>
          <w:rFonts w:ascii="Arial" w:hAnsi="Arial" w:cs="Arial"/>
          <w:sz w:val="24"/>
        </w:rPr>
        <w:t xml:space="preserve">A comparison of butyrate_v3-1 and SCFA Uptake and Oxidation v4 was made </w:t>
      </w:r>
      <w:r w:rsidR="00803AB7">
        <w:rPr>
          <w:rFonts w:ascii="Arial" w:hAnsi="Arial" w:cs="Arial"/>
          <w:sz w:val="24"/>
        </w:rPr>
        <w:t xml:space="preserve">to model </w:t>
      </w:r>
      <w:r>
        <w:rPr>
          <w:rFonts w:ascii="Arial" w:hAnsi="Arial" w:cs="Arial"/>
          <w:sz w:val="24"/>
        </w:rPr>
        <w:t xml:space="preserve">the effect of </w:t>
      </w:r>
      <w:r w:rsidR="00BE7487">
        <w:rPr>
          <w:rFonts w:ascii="Arial" w:hAnsi="Arial" w:cs="Arial"/>
          <w:sz w:val="24"/>
        </w:rPr>
        <w:t>acetate, butyrate and propionate</w:t>
      </w:r>
      <w:r>
        <w:rPr>
          <w:rFonts w:ascii="Arial" w:hAnsi="Arial" w:cs="Arial"/>
          <w:sz w:val="24"/>
        </w:rPr>
        <w:t xml:space="preserve"> on butyryl-CoA, propionyl-CoA, acetyl-CoA and in CoA levels during a time course simulation. The simulation of the action of increasing concentrations of acetate, butyrate and propionate on acetyl-CoA and CoA was also compared using the</w:t>
      </w:r>
      <w:r w:rsidR="00803AB7">
        <w:rPr>
          <w:rFonts w:ascii="Arial" w:hAnsi="Arial" w:cs="Arial"/>
          <w:sz w:val="24"/>
        </w:rPr>
        <w:t>se</w:t>
      </w:r>
      <w:r>
        <w:rPr>
          <w:rFonts w:ascii="Arial" w:hAnsi="Arial" w:cs="Arial"/>
          <w:sz w:val="24"/>
        </w:rPr>
        <w:t xml:space="preserve"> two models. </w:t>
      </w:r>
    </w:p>
    <w:p w:rsidR="00EF1380" w:rsidRDefault="00EF1380" w:rsidP="00EF1380">
      <w:pPr>
        <w:spacing w:line="360" w:lineRule="auto"/>
        <w:ind w:firstLine="709"/>
        <w:jc w:val="both"/>
        <w:rPr>
          <w:rFonts w:ascii="Arial" w:hAnsi="Arial" w:cs="Arial"/>
          <w:sz w:val="24"/>
        </w:rPr>
      </w:pPr>
      <w:r w:rsidRPr="00716BEA">
        <w:rPr>
          <w:rFonts w:ascii="Arial" w:hAnsi="Arial" w:cs="Arial"/>
          <w:sz w:val="24"/>
        </w:rPr>
        <w:t xml:space="preserve">The action of acetate, butyrate and propionate </w:t>
      </w:r>
      <w:r>
        <w:rPr>
          <w:rFonts w:ascii="Arial" w:hAnsi="Arial" w:cs="Arial"/>
          <w:sz w:val="24"/>
        </w:rPr>
        <w:t xml:space="preserve">at physiological ranges (1-52mM in the case of acetate and 1-20mM in the case of both butyrate and propionate) </w:t>
      </w:r>
      <w:r w:rsidRPr="00716BEA">
        <w:rPr>
          <w:rFonts w:ascii="Arial" w:hAnsi="Arial" w:cs="Arial"/>
          <w:sz w:val="24"/>
        </w:rPr>
        <w:t xml:space="preserve">on </w:t>
      </w:r>
      <w:r>
        <w:rPr>
          <w:rFonts w:ascii="Arial" w:hAnsi="Arial" w:cs="Arial"/>
          <w:sz w:val="24"/>
        </w:rPr>
        <w:t xml:space="preserve">their </w:t>
      </w:r>
      <w:r w:rsidRPr="00716BEA">
        <w:rPr>
          <w:rFonts w:ascii="Arial" w:hAnsi="Arial" w:cs="Arial"/>
          <w:sz w:val="24"/>
        </w:rPr>
        <w:t>acyl forms</w:t>
      </w:r>
      <w:r>
        <w:rPr>
          <w:rFonts w:ascii="Arial" w:hAnsi="Arial" w:cs="Arial"/>
          <w:sz w:val="24"/>
        </w:rPr>
        <w:t>, butyryl-CoA and propionyl-CoA</w:t>
      </w:r>
      <w:r w:rsidRPr="00716BEA">
        <w:rPr>
          <w:rFonts w:ascii="Arial" w:hAnsi="Arial" w:cs="Arial"/>
          <w:sz w:val="24"/>
        </w:rPr>
        <w:t xml:space="preserve"> </w:t>
      </w:r>
      <w:r>
        <w:rPr>
          <w:rFonts w:ascii="Arial" w:hAnsi="Arial" w:cs="Arial"/>
          <w:sz w:val="24"/>
        </w:rPr>
        <w:t xml:space="preserve">as well as in acetyl-CoA and CoA at different time points </w:t>
      </w:r>
      <w:r w:rsidRPr="00716BEA">
        <w:rPr>
          <w:rFonts w:ascii="Arial" w:hAnsi="Arial" w:cs="Arial"/>
          <w:sz w:val="24"/>
        </w:rPr>
        <w:t xml:space="preserve">was simulated by using </w:t>
      </w:r>
      <w:r>
        <w:rPr>
          <w:rFonts w:ascii="Arial" w:hAnsi="Arial" w:cs="Arial"/>
          <w:sz w:val="24"/>
        </w:rPr>
        <w:t>the two models aforementioned</w:t>
      </w:r>
      <w:r w:rsidRPr="00716BEA">
        <w:rPr>
          <w:rFonts w:ascii="Arial" w:hAnsi="Arial" w:cs="Arial"/>
          <w:sz w:val="24"/>
        </w:rPr>
        <w:t xml:space="preserve">. The simulations were run at 1000 intervals, with different time points ranging from 10 to 10000 seconds. </w:t>
      </w:r>
      <w:r>
        <w:rPr>
          <w:rFonts w:ascii="Arial" w:hAnsi="Arial" w:cs="Arial"/>
          <w:sz w:val="24"/>
        </w:rPr>
        <w:t>When using the butyrate_v3-1 model, the effect of SCFAs in the concentrations of butyryl-CoA, propionyl-CoA and acetyl-CoA as well as in CoA became evident after the first time point of 0.1 seconds (Figure 1</w:t>
      </w:r>
      <w:r w:rsidR="007C66F9">
        <w:rPr>
          <w:rFonts w:ascii="Arial" w:hAnsi="Arial" w:cs="Arial"/>
          <w:sz w:val="24"/>
        </w:rPr>
        <w:t>9</w:t>
      </w:r>
      <w:r>
        <w:rPr>
          <w:rFonts w:ascii="Arial" w:hAnsi="Arial" w:cs="Arial"/>
          <w:sz w:val="24"/>
        </w:rPr>
        <w:t>)</w:t>
      </w:r>
      <w:r w:rsidRPr="00716BEA">
        <w:rPr>
          <w:rFonts w:ascii="Arial" w:hAnsi="Arial" w:cs="Arial"/>
          <w:sz w:val="24"/>
        </w:rPr>
        <w:t xml:space="preserve">. There were no </w:t>
      </w:r>
      <w:r>
        <w:rPr>
          <w:rFonts w:ascii="Arial" w:hAnsi="Arial" w:cs="Arial"/>
          <w:sz w:val="24"/>
        </w:rPr>
        <w:t xml:space="preserve">changes in the concentrations after 100 </w:t>
      </w:r>
      <w:r>
        <w:rPr>
          <w:rFonts w:ascii="Arial" w:hAnsi="Arial" w:cs="Arial"/>
          <w:sz w:val="24"/>
        </w:rPr>
        <w:lastRenderedPageBreak/>
        <w:t xml:space="preserve">seconds time point, since at 1000 and 10000 seconds time points the concentrations remained the same as in the 100 seconds time point </w:t>
      </w:r>
      <w:r w:rsidRPr="00716BEA">
        <w:rPr>
          <w:rFonts w:ascii="Arial" w:hAnsi="Arial" w:cs="Arial"/>
          <w:sz w:val="24"/>
        </w:rPr>
        <w:t>(</w:t>
      </w:r>
      <w:r>
        <w:rPr>
          <w:rFonts w:ascii="Arial" w:hAnsi="Arial" w:cs="Arial"/>
          <w:sz w:val="24"/>
        </w:rPr>
        <w:t>Figure 1</w:t>
      </w:r>
      <w:r w:rsidR="007C66F9">
        <w:rPr>
          <w:rFonts w:ascii="Arial" w:hAnsi="Arial" w:cs="Arial"/>
          <w:sz w:val="24"/>
        </w:rPr>
        <w:t>9</w:t>
      </w:r>
      <w:r w:rsidRPr="00716BEA">
        <w:rPr>
          <w:rFonts w:ascii="Arial" w:hAnsi="Arial" w:cs="Arial"/>
          <w:sz w:val="24"/>
        </w:rPr>
        <w:t xml:space="preserve">). </w:t>
      </w:r>
    </w:p>
    <w:p w:rsidR="00EF1380" w:rsidRDefault="00EF1380" w:rsidP="00EF1380">
      <w:pPr>
        <w:spacing w:line="360" w:lineRule="auto"/>
        <w:jc w:val="center"/>
        <w:rPr>
          <w:rFonts w:ascii="Arial" w:hAnsi="Arial" w:cs="Arial"/>
          <w:sz w:val="24"/>
        </w:rPr>
      </w:pPr>
      <w:r>
        <w:rPr>
          <w:rFonts w:ascii="Arial" w:hAnsi="Arial" w:cs="Arial"/>
          <w:noProof/>
          <w:sz w:val="24"/>
        </w:rPr>
        <w:drawing>
          <wp:inline distT="0" distB="0" distL="0" distR="0" wp14:anchorId="0B41E1DA" wp14:editId="7982282E">
            <wp:extent cx="5510254" cy="3235357"/>
            <wp:effectExtent l="38100" t="38100" r="33655" b="412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course butyrate_v3-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18162" cy="3240000"/>
                    </a:xfrm>
                    <a:prstGeom prst="rect">
                      <a:avLst/>
                    </a:prstGeom>
                    <a:ln w="28575">
                      <a:solidFill>
                        <a:schemeClr val="tx1"/>
                      </a:solidFill>
                    </a:ln>
                  </pic:spPr>
                </pic:pic>
              </a:graphicData>
            </a:graphic>
          </wp:inline>
        </w:drawing>
      </w:r>
    </w:p>
    <w:p w:rsidR="00EF1380" w:rsidRPr="004207BA" w:rsidRDefault="00EF1380" w:rsidP="00EF1380">
      <w:pPr>
        <w:pStyle w:val="Caption"/>
        <w:jc w:val="both"/>
        <w:rPr>
          <w:rFonts w:ascii="Arial" w:hAnsi="Arial" w:cs="Arial"/>
          <w:i/>
          <w:color w:val="auto"/>
          <w:sz w:val="16"/>
          <w:szCs w:val="16"/>
        </w:rPr>
      </w:pPr>
      <w:bookmarkStart w:id="122" w:name="_Toc413419279"/>
      <w:proofErr w:type="gramStart"/>
      <w:r w:rsidRPr="001678F7">
        <w:rPr>
          <w:rFonts w:ascii="Arial" w:hAnsi="Arial" w:cs="Arial"/>
          <w:color w:val="auto"/>
          <w:sz w:val="16"/>
          <w:szCs w:val="16"/>
        </w:rPr>
        <w:t xml:space="preserve">Figure </w:t>
      </w:r>
      <w:r w:rsidR="006C2756" w:rsidRPr="001678F7">
        <w:rPr>
          <w:rFonts w:ascii="Arial" w:hAnsi="Arial" w:cs="Arial"/>
          <w:color w:val="auto"/>
          <w:sz w:val="16"/>
          <w:szCs w:val="16"/>
        </w:rPr>
        <w:fldChar w:fldCharType="begin"/>
      </w:r>
      <w:r w:rsidRPr="001678F7">
        <w:rPr>
          <w:rFonts w:ascii="Arial" w:hAnsi="Arial" w:cs="Arial"/>
          <w:color w:val="auto"/>
          <w:sz w:val="16"/>
          <w:szCs w:val="16"/>
        </w:rPr>
        <w:instrText xml:space="preserve"> SEQ Figure \* ARABIC </w:instrText>
      </w:r>
      <w:r w:rsidR="006C2756" w:rsidRPr="001678F7">
        <w:rPr>
          <w:rFonts w:ascii="Arial" w:hAnsi="Arial" w:cs="Arial"/>
          <w:color w:val="auto"/>
          <w:sz w:val="16"/>
          <w:szCs w:val="16"/>
        </w:rPr>
        <w:fldChar w:fldCharType="separate"/>
      </w:r>
      <w:r w:rsidR="00DC0376">
        <w:rPr>
          <w:rFonts w:ascii="Arial" w:hAnsi="Arial" w:cs="Arial"/>
          <w:noProof/>
          <w:color w:val="auto"/>
          <w:sz w:val="16"/>
          <w:szCs w:val="16"/>
        </w:rPr>
        <w:t>19</w:t>
      </w:r>
      <w:r w:rsidR="006C2756" w:rsidRPr="001678F7">
        <w:rPr>
          <w:rFonts w:ascii="Arial" w:hAnsi="Arial" w:cs="Arial"/>
          <w:color w:val="auto"/>
          <w:sz w:val="16"/>
          <w:szCs w:val="16"/>
        </w:rPr>
        <w:fldChar w:fldCharType="end"/>
      </w:r>
      <w:r w:rsidRPr="001678F7">
        <w:rPr>
          <w:rFonts w:ascii="Arial" w:hAnsi="Arial" w:cs="Arial"/>
          <w:color w:val="auto"/>
          <w:sz w:val="16"/>
          <w:szCs w:val="16"/>
        </w:rPr>
        <w:t>.</w:t>
      </w:r>
      <w:proofErr w:type="gramEnd"/>
      <w:r w:rsidRPr="001678F7">
        <w:rPr>
          <w:rFonts w:ascii="Arial" w:hAnsi="Arial" w:cs="Arial"/>
          <w:color w:val="auto"/>
          <w:sz w:val="16"/>
          <w:szCs w:val="16"/>
        </w:rPr>
        <w:t xml:space="preserve"> Changes </w:t>
      </w:r>
      <w:r w:rsidRPr="004207BA">
        <w:rPr>
          <w:rFonts w:ascii="Arial" w:hAnsi="Arial" w:cs="Arial"/>
          <w:color w:val="auto"/>
          <w:sz w:val="16"/>
          <w:szCs w:val="16"/>
        </w:rPr>
        <w:t xml:space="preserve">in the concentration of </w:t>
      </w:r>
      <w:r>
        <w:rPr>
          <w:rFonts w:ascii="Arial" w:hAnsi="Arial" w:cs="Arial"/>
          <w:color w:val="auto"/>
          <w:sz w:val="16"/>
          <w:szCs w:val="16"/>
        </w:rPr>
        <w:t>butyryl-CoA, propionyl-CoA, acetyl-CoA</w:t>
      </w:r>
      <w:r w:rsidRPr="004207BA">
        <w:rPr>
          <w:rFonts w:ascii="Arial" w:hAnsi="Arial" w:cs="Arial"/>
          <w:color w:val="auto"/>
          <w:sz w:val="16"/>
          <w:szCs w:val="16"/>
        </w:rPr>
        <w:t xml:space="preserve"> </w:t>
      </w:r>
      <w:r>
        <w:rPr>
          <w:rFonts w:ascii="Arial" w:hAnsi="Arial" w:cs="Arial"/>
          <w:color w:val="auto"/>
          <w:sz w:val="16"/>
          <w:szCs w:val="16"/>
        </w:rPr>
        <w:t xml:space="preserve">and </w:t>
      </w:r>
      <w:r w:rsidRPr="004207BA">
        <w:rPr>
          <w:rFonts w:ascii="Arial" w:hAnsi="Arial" w:cs="Arial"/>
          <w:color w:val="auto"/>
          <w:sz w:val="16"/>
          <w:szCs w:val="16"/>
        </w:rPr>
        <w:t>CoA</w:t>
      </w:r>
      <w:r>
        <w:rPr>
          <w:rFonts w:ascii="Arial" w:hAnsi="Arial" w:cs="Arial"/>
          <w:color w:val="auto"/>
          <w:sz w:val="16"/>
          <w:szCs w:val="16"/>
        </w:rPr>
        <w:t xml:space="preserve"> at different time points using the butyrate_v3-1 model</w:t>
      </w:r>
      <w:r w:rsidRPr="004207BA">
        <w:rPr>
          <w:rFonts w:ascii="Arial" w:hAnsi="Arial" w:cs="Arial"/>
          <w:color w:val="auto"/>
          <w:sz w:val="16"/>
          <w:szCs w:val="16"/>
        </w:rPr>
        <w:t>.</w:t>
      </w:r>
      <w:r w:rsidRPr="004207BA">
        <w:rPr>
          <w:rFonts w:ascii="Arial" w:hAnsi="Arial" w:cs="Arial"/>
          <w:i/>
          <w:color w:val="auto"/>
          <w:sz w:val="16"/>
          <w:szCs w:val="16"/>
        </w:rPr>
        <w:t xml:space="preserve"> </w:t>
      </w:r>
      <w:r>
        <w:rPr>
          <w:rFonts w:ascii="Arial" w:hAnsi="Arial" w:cs="Arial"/>
          <w:i/>
          <w:color w:val="auto"/>
          <w:sz w:val="16"/>
          <w:szCs w:val="16"/>
        </w:rPr>
        <w:t>The initial concentrations at 0s were as follows: butyryl-CoA 1mM, propionyl-CoA 1mM,  acetyl-CoA 60mM, CoA 40mM; the concentrations at 0.1s were as follows: butyryl-CoA 0.88mM, propionyl-CoA 0.82mM, acetyl-CoA 3.35mM, CoA 96.60mM; the concentrations at 100s were as follows: butyryl-CoA 1.57x10</w:t>
      </w:r>
      <w:r>
        <w:rPr>
          <w:rFonts w:ascii="Arial" w:hAnsi="Arial" w:cs="Arial"/>
          <w:i/>
          <w:color w:val="auto"/>
          <w:sz w:val="16"/>
          <w:szCs w:val="16"/>
          <w:vertAlign w:val="superscript"/>
        </w:rPr>
        <w:t>-6</w:t>
      </w:r>
      <w:r>
        <w:rPr>
          <w:rFonts w:ascii="Arial" w:hAnsi="Arial" w:cs="Arial"/>
          <w:i/>
          <w:color w:val="auto"/>
          <w:sz w:val="16"/>
          <w:szCs w:val="16"/>
        </w:rPr>
        <w:t>mM, propionyl-CoA 0.61mM, acetyl-CoA 0.05mM, CoA 101.64mM. No further changes in the concentrations were observed at 1000 and 10000 seconds.</w:t>
      </w:r>
      <w:bookmarkEnd w:id="122"/>
    </w:p>
    <w:p w:rsidR="00EF1380" w:rsidRDefault="00EF1380" w:rsidP="00EF1380">
      <w:pPr>
        <w:spacing w:line="360" w:lineRule="auto"/>
        <w:ind w:firstLine="709"/>
        <w:jc w:val="both"/>
        <w:rPr>
          <w:rFonts w:ascii="Arial" w:hAnsi="Arial" w:cs="Arial"/>
          <w:sz w:val="24"/>
        </w:rPr>
      </w:pPr>
      <w:r>
        <w:rPr>
          <w:rFonts w:ascii="Arial" w:hAnsi="Arial" w:cs="Arial"/>
          <w:sz w:val="24"/>
        </w:rPr>
        <w:t>A decrease in the concentration of butyryl-CoA, propionyl-CoA and acetyl-CoA was observed after the first time point of 0.1 seconds when compared to the initial concentration (Figure 1</w:t>
      </w:r>
      <w:r w:rsidR="007C66F9">
        <w:rPr>
          <w:rFonts w:ascii="Arial" w:hAnsi="Arial" w:cs="Arial"/>
          <w:sz w:val="24"/>
        </w:rPr>
        <w:t>9</w:t>
      </w:r>
      <w:r>
        <w:rPr>
          <w:rFonts w:ascii="Arial" w:hAnsi="Arial" w:cs="Arial"/>
          <w:sz w:val="24"/>
        </w:rPr>
        <w:t xml:space="preserve">). The largest decrease in concentration at this time point was observed in acetyl-CoA (60-3.35mM), followed by propionyl-CoA (1-0.82mM) and butyryl-CoA (1-0.88mM). The acyl form with the highest concentration after 0.1 seconds time point was acetyl-CoA (3.35mM), followed by butyryl-CoA (0.88mM) and propionyl-CoA (0.82). Opposite to what was observed in the acyl forms, the concentration of CoA was increased (40-96.60mM) after 0.1 seconds time point. The concentration of CoA (96.60mM) was the highest in this time point. </w:t>
      </w:r>
    </w:p>
    <w:p w:rsidR="00EF1380" w:rsidRPr="00B6523B" w:rsidRDefault="00EF1380" w:rsidP="00EF1380">
      <w:pPr>
        <w:spacing w:line="360" w:lineRule="auto"/>
        <w:ind w:firstLine="709"/>
        <w:jc w:val="both"/>
        <w:rPr>
          <w:rFonts w:ascii="Arial" w:hAnsi="Arial" w:cs="Arial"/>
          <w:sz w:val="24"/>
        </w:rPr>
      </w:pPr>
      <w:r>
        <w:rPr>
          <w:rFonts w:ascii="Arial" w:hAnsi="Arial" w:cs="Arial"/>
          <w:sz w:val="24"/>
        </w:rPr>
        <w:t xml:space="preserve">The reductions observed at 100 seconds time point were even higher than the observed at 0.1 seconds time point. The highest decrease in concentration at </w:t>
      </w:r>
      <w:r>
        <w:rPr>
          <w:rFonts w:ascii="Arial" w:hAnsi="Arial" w:cs="Arial"/>
          <w:sz w:val="24"/>
        </w:rPr>
        <w:lastRenderedPageBreak/>
        <w:t>this time point was observed again as in 0.1 seconds time point in acetyl-CoA (60-0.05mM), followed by butyryl-CoA (1-1.57x10</w:t>
      </w:r>
      <w:r>
        <w:rPr>
          <w:rFonts w:ascii="Arial" w:hAnsi="Arial" w:cs="Arial"/>
          <w:sz w:val="24"/>
          <w:vertAlign w:val="superscript"/>
        </w:rPr>
        <w:t>-</w:t>
      </w:r>
      <w:r w:rsidRPr="00190B79">
        <w:rPr>
          <w:rFonts w:ascii="Arial" w:hAnsi="Arial" w:cs="Arial"/>
          <w:sz w:val="24"/>
          <w:vertAlign w:val="superscript"/>
        </w:rPr>
        <w:t>6</w:t>
      </w:r>
      <w:r>
        <w:rPr>
          <w:rFonts w:ascii="Arial" w:hAnsi="Arial" w:cs="Arial"/>
          <w:sz w:val="24"/>
        </w:rPr>
        <w:t>m</w:t>
      </w:r>
      <w:r w:rsidRPr="00ED2F42">
        <w:rPr>
          <w:rFonts w:ascii="Arial" w:hAnsi="Arial" w:cs="Arial"/>
          <w:sz w:val="24"/>
        </w:rPr>
        <w:t>M</w:t>
      </w:r>
      <w:r>
        <w:rPr>
          <w:rFonts w:ascii="Arial" w:hAnsi="Arial" w:cs="Arial"/>
          <w:sz w:val="24"/>
        </w:rPr>
        <w:t>) and propionyl-CoA (1-0.61mM) when compared to the initial concentration. Opposite to what was observed at 0.1 seconds, the acyl form with the highest concentration after 100 seconds time point was propionyl-CoA (0.61mM), followed by acetyl-CoA (0.05mM) and butyryl-CoA (1.57x10</w:t>
      </w:r>
      <w:r>
        <w:rPr>
          <w:rFonts w:ascii="Arial" w:hAnsi="Arial" w:cs="Arial"/>
          <w:sz w:val="24"/>
          <w:vertAlign w:val="superscript"/>
        </w:rPr>
        <w:t>-6</w:t>
      </w:r>
      <w:r>
        <w:rPr>
          <w:rFonts w:ascii="Arial" w:hAnsi="Arial" w:cs="Arial"/>
          <w:sz w:val="24"/>
        </w:rPr>
        <w:t xml:space="preserve">mM). As observed in the 0.1 seconds time point, an increase in the concentration of CoA (40-101.64mM) was also observed in 100 seconds time point when compared to the initial concentration. </w:t>
      </w:r>
    </w:p>
    <w:p w:rsidR="00EF1380" w:rsidRDefault="00EF1380" w:rsidP="00EF1380">
      <w:pPr>
        <w:spacing w:line="360" w:lineRule="auto"/>
        <w:ind w:firstLine="709"/>
        <w:jc w:val="both"/>
        <w:rPr>
          <w:rFonts w:ascii="Arial" w:hAnsi="Arial" w:cs="Arial"/>
          <w:sz w:val="24"/>
        </w:rPr>
      </w:pPr>
      <w:r>
        <w:rPr>
          <w:rFonts w:ascii="Arial" w:hAnsi="Arial" w:cs="Arial"/>
          <w:sz w:val="24"/>
        </w:rPr>
        <w:t>On the other hand, when using the SCFA Uptake and Oxidation v4 model, the effect of SCFAs in the concentrations of butyryl-CoA, propionyl-CoA and acetyl-CoA as well as in CoA became evident after the first tim</w:t>
      </w:r>
      <w:r w:rsidR="007C66F9">
        <w:rPr>
          <w:rFonts w:ascii="Arial" w:hAnsi="Arial" w:cs="Arial"/>
          <w:sz w:val="24"/>
        </w:rPr>
        <w:t>e point of 0.1 seconds (Figure 20</w:t>
      </w:r>
      <w:r w:rsidRPr="00716BEA">
        <w:rPr>
          <w:rFonts w:ascii="Arial" w:hAnsi="Arial" w:cs="Arial"/>
          <w:sz w:val="24"/>
        </w:rPr>
        <w:t xml:space="preserve">). </w:t>
      </w:r>
      <w:r>
        <w:rPr>
          <w:rFonts w:ascii="Arial" w:hAnsi="Arial" w:cs="Arial"/>
          <w:sz w:val="24"/>
        </w:rPr>
        <w:t xml:space="preserve">These changes in the concentrations were even higher after 100 seconds time point. A little difference was observed after the 1000 time point when compared to the 100 seconds time point. Alternatively, 10000 seconds time point showed no difference in the concentrations when compared to 1000 seconds time point </w:t>
      </w:r>
      <w:r w:rsidRPr="00716BEA">
        <w:rPr>
          <w:rFonts w:ascii="Arial" w:hAnsi="Arial" w:cs="Arial"/>
          <w:sz w:val="24"/>
        </w:rPr>
        <w:t>(</w:t>
      </w:r>
      <w:r w:rsidR="007C66F9">
        <w:rPr>
          <w:rFonts w:ascii="Arial" w:hAnsi="Arial" w:cs="Arial"/>
          <w:sz w:val="24"/>
        </w:rPr>
        <w:t>Figure 20</w:t>
      </w:r>
      <w:r w:rsidRPr="00716BEA">
        <w:rPr>
          <w:rFonts w:ascii="Arial" w:hAnsi="Arial" w:cs="Arial"/>
          <w:sz w:val="24"/>
        </w:rPr>
        <w:t xml:space="preserve">). </w:t>
      </w:r>
    </w:p>
    <w:p w:rsidR="004F12FE" w:rsidRDefault="004F12FE" w:rsidP="00EF1380">
      <w:pPr>
        <w:spacing w:line="360" w:lineRule="auto"/>
        <w:ind w:firstLine="709"/>
        <w:jc w:val="both"/>
        <w:rPr>
          <w:rFonts w:ascii="Arial" w:hAnsi="Arial" w:cs="Arial"/>
          <w:sz w:val="24"/>
        </w:rPr>
      </w:pPr>
    </w:p>
    <w:p w:rsidR="00EF1380" w:rsidRPr="00587370" w:rsidRDefault="00EF1380" w:rsidP="00EF1380">
      <w:pPr>
        <w:jc w:val="both"/>
        <w:rPr>
          <w:rFonts w:ascii="Arial" w:hAnsi="Arial" w:cs="Arial"/>
          <w:b/>
          <w:sz w:val="16"/>
          <w:szCs w:val="16"/>
        </w:rPr>
      </w:pPr>
      <w:bookmarkStart w:id="123" w:name="_Toc413419280"/>
      <w:r>
        <w:rPr>
          <w:noProof/>
        </w:rPr>
        <w:lastRenderedPageBreak/>
        <w:drawing>
          <wp:inline distT="0" distB="0" distL="0" distR="0" wp14:anchorId="21E728A8" wp14:editId="3C0F8462">
            <wp:extent cx="5573864" cy="3236181"/>
            <wp:effectExtent l="38100" t="38100" r="46355" b="406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course SCFA Uptake and Oxidation v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0442" cy="3240000"/>
                    </a:xfrm>
                    <a:prstGeom prst="rect">
                      <a:avLst/>
                    </a:prstGeom>
                    <a:ln w="28575">
                      <a:solidFill>
                        <a:schemeClr val="tx1"/>
                      </a:solidFill>
                    </a:ln>
                  </pic:spPr>
                </pic:pic>
              </a:graphicData>
            </a:graphic>
          </wp:inline>
        </w:drawing>
      </w:r>
      <w:proofErr w:type="gramStart"/>
      <w:r w:rsidRPr="00587370">
        <w:rPr>
          <w:rFonts w:ascii="Arial" w:hAnsi="Arial" w:cs="Arial"/>
          <w:b/>
          <w:sz w:val="16"/>
          <w:szCs w:val="16"/>
        </w:rPr>
        <w:t xml:space="preserve">Figure </w:t>
      </w:r>
      <w:r w:rsidR="006C2756" w:rsidRPr="00587370">
        <w:rPr>
          <w:rFonts w:ascii="Arial" w:hAnsi="Arial" w:cs="Arial"/>
          <w:b/>
          <w:sz w:val="16"/>
          <w:szCs w:val="16"/>
        </w:rPr>
        <w:fldChar w:fldCharType="begin"/>
      </w:r>
      <w:r w:rsidRPr="00587370">
        <w:rPr>
          <w:rFonts w:ascii="Arial" w:hAnsi="Arial" w:cs="Arial"/>
          <w:b/>
          <w:sz w:val="16"/>
          <w:szCs w:val="16"/>
        </w:rPr>
        <w:instrText xml:space="preserve"> SEQ Figure \* ARABIC </w:instrText>
      </w:r>
      <w:r w:rsidR="006C2756" w:rsidRPr="00587370">
        <w:rPr>
          <w:rFonts w:ascii="Arial" w:hAnsi="Arial" w:cs="Arial"/>
          <w:b/>
          <w:sz w:val="16"/>
          <w:szCs w:val="16"/>
        </w:rPr>
        <w:fldChar w:fldCharType="separate"/>
      </w:r>
      <w:r w:rsidR="00DC0376">
        <w:rPr>
          <w:rFonts w:ascii="Arial" w:hAnsi="Arial" w:cs="Arial"/>
          <w:b/>
          <w:noProof/>
          <w:sz w:val="16"/>
          <w:szCs w:val="16"/>
        </w:rPr>
        <w:t>20</w:t>
      </w:r>
      <w:r w:rsidR="006C2756" w:rsidRPr="00587370">
        <w:rPr>
          <w:rFonts w:ascii="Arial" w:hAnsi="Arial" w:cs="Arial"/>
          <w:b/>
          <w:sz w:val="16"/>
          <w:szCs w:val="16"/>
        </w:rPr>
        <w:fldChar w:fldCharType="end"/>
      </w:r>
      <w:r w:rsidRPr="00587370">
        <w:rPr>
          <w:rFonts w:ascii="Arial" w:hAnsi="Arial" w:cs="Arial"/>
          <w:b/>
          <w:sz w:val="16"/>
          <w:szCs w:val="16"/>
        </w:rPr>
        <w:t>.</w:t>
      </w:r>
      <w:proofErr w:type="gramEnd"/>
      <w:r w:rsidRPr="00587370">
        <w:rPr>
          <w:rFonts w:ascii="Arial" w:hAnsi="Arial" w:cs="Arial"/>
          <w:b/>
          <w:sz w:val="16"/>
          <w:szCs w:val="16"/>
        </w:rPr>
        <w:t xml:space="preserve"> Changes in the concentration of butyryl-CoA, propionyl-CoA, acetyl-CoA and CoA at different time points using the SCFA Uptake and Oxidation v4 model.</w:t>
      </w:r>
      <w:r w:rsidRPr="00587370">
        <w:rPr>
          <w:rFonts w:ascii="Arial" w:hAnsi="Arial" w:cs="Arial"/>
          <w:b/>
          <w:i/>
          <w:sz w:val="16"/>
          <w:szCs w:val="16"/>
        </w:rPr>
        <w:t xml:space="preserve"> The initial concentrations at 0s were as follows: butyryl-CoA 1mM, propionyl-CoA 1mM,  acetyl-CoA 60mM, CoA 40mM; the concentrations at 0.1s were as follows: butyryl-CoA 5.55mM, propionyl-CoA 2.88mM, acetyl-CoA 17.79mM, CoA 58.56mM; the concentrations at 100s were as follows: butyryl-CoA 15.14mM, propionyl-CoA 24.19mM, acetyl-CoA 7.08mM, CoA 3.40mM; the concentrations at 1000s were as follows: butyryl-CoA 15.72mM, propionyl-CoA 21.95mM, acetyl-CoA 6.91mM, CoA 3.12mM. No further changes in the concentrations were observed at 10000 seconds.</w:t>
      </w:r>
      <w:bookmarkEnd w:id="123"/>
    </w:p>
    <w:p w:rsidR="00EF1380" w:rsidRDefault="00EF1380" w:rsidP="00EF1380">
      <w:pPr>
        <w:spacing w:line="360" w:lineRule="auto"/>
        <w:ind w:firstLine="709"/>
        <w:jc w:val="both"/>
        <w:rPr>
          <w:rFonts w:ascii="Arial" w:hAnsi="Arial" w:cs="Arial"/>
          <w:sz w:val="24"/>
        </w:rPr>
      </w:pPr>
      <w:r>
        <w:rPr>
          <w:rFonts w:ascii="Arial" w:hAnsi="Arial" w:cs="Arial"/>
          <w:sz w:val="24"/>
        </w:rPr>
        <w:t>Interestingly and opposite to what was observed in the simulations run using the butyrate_v3-1 model, the simulations run using the SCFA Uptake and Oxidation v4 model, a</w:t>
      </w:r>
      <w:r w:rsidRPr="00E73C99">
        <w:rPr>
          <w:rFonts w:ascii="Arial" w:hAnsi="Arial" w:cs="Arial"/>
          <w:sz w:val="24"/>
        </w:rPr>
        <w:t>n increase in the concentration of butyryl-</w:t>
      </w:r>
      <w:r>
        <w:rPr>
          <w:rFonts w:ascii="Arial" w:hAnsi="Arial" w:cs="Arial"/>
          <w:sz w:val="24"/>
        </w:rPr>
        <w:t>CoA</w:t>
      </w:r>
      <w:r w:rsidRPr="00E73C99">
        <w:rPr>
          <w:rFonts w:ascii="Arial" w:hAnsi="Arial" w:cs="Arial"/>
          <w:sz w:val="24"/>
        </w:rPr>
        <w:t>, propionyl-</w:t>
      </w:r>
      <w:r>
        <w:rPr>
          <w:rFonts w:ascii="Arial" w:hAnsi="Arial" w:cs="Arial"/>
          <w:sz w:val="24"/>
        </w:rPr>
        <w:t>CoA</w:t>
      </w:r>
      <w:r w:rsidRPr="00E73C99">
        <w:rPr>
          <w:rFonts w:ascii="Arial" w:hAnsi="Arial" w:cs="Arial"/>
          <w:sz w:val="24"/>
        </w:rPr>
        <w:t xml:space="preserve">, </w:t>
      </w:r>
      <w:r>
        <w:rPr>
          <w:rFonts w:ascii="Arial" w:hAnsi="Arial" w:cs="Arial"/>
          <w:sz w:val="24"/>
        </w:rPr>
        <w:t xml:space="preserve">and CoA was observed after 0.1 seconds time point.  The highest increase was observed in CoA (40-58.56mM), followed by butyryl-CoA (1-5.55mM) and propionyl-CoA (1-2.88mM). Contrasting with the observations made when using the butyrate_v3-1 model, a reduction in acetyl-CoA concentration (60-17.79mM) was observed in the SCFA Uptake and Oxidation v4 model when compared to the initial concentration. The highest concentration in this time point was observed in CoA (58.56mM), followed by acetyl-CoA (17.79mM), butyryl-CoA (5.55mM) and propionyl-CoA (2.88mM) (Figure </w:t>
      </w:r>
      <w:r w:rsidR="007C66F9">
        <w:rPr>
          <w:rFonts w:ascii="Arial" w:hAnsi="Arial" w:cs="Arial"/>
          <w:sz w:val="24"/>
        </w:rPr>
        <w:t>20</w:t>
      </w:r>
      <w:r>
        <w:rPr>
          <w:rFonts w:ascii="Arial" w:hAnsi="Arial" w:cs="Arial"/>
          <w:sz w:val="24"/>
        </w:rPr>
        <w:t xml:space="preserve">). </w:t>
      </w:r>
    </w:p>
    <w:p w:rsidR="00EF1380" w:rsidRDefault="00EF1380" w:rsidP="00EF1380">
      <w:pPr>
        <w:spacing w:line="360" w:lineRule="auto"/>
        <w:ind w:firstLine="709"/>
        <w:jc w:val="both"/>
        <w:rPr>
          <w:rFonts w:ascii="Arial" w:hAnsi="Arial" w:cs="Arial"/>
          <w:sz w:val="24"/>
        </w:rPr>
      </w:pPr>
      <w:r>
        <w:rPr>
          <w:rFonts w:ascii="Arial" w:hAnsi="Arial" w:cs="Arial"/>
          <w:sz w:val="24"/>
        </w:rPr>
        <w:t xml:space="preserve">After the 100 seconds time point just butyryl-CoA and propionyl-CoA had an increase in their concentration (1-15.14mM and 1-24.19mM respectively) when compared to their initial concentrations. On the other hand, a reduction in the </w:t>
      </w:r>
      <w:r>
        <w:rPr>
          <w:rFonts w:ascii="Arial" w:hAnsi="Arial" w:cs="Arial"/>
          <w:sz w:val="24"/>
        </w:rPr>
        <w:lastRenderedPageBreak/>
        <w:t xml:space="preserve">concentrations of acetyl-CoA and CoA (60-7.08mM and 40-3.40mM) was observed in the 100 seconds time point. In this time point, the highest concentration was observed in propionyl-CoA (24.19mM), followed by butyryl-CoA (15.14mM), acetyl-CoA (7.08mM), and CoA (3.40mM). </w:t>
      </w:r>
    </w:p>
    <w:p w:rsidR="00EF1380" w:rsidRDefault="00EF1380" w:rsidP="00EF1380">
      <w:pPr>
        <w:spacing w:line="360" w:lineRule="auto"/>
        <w:ind w:firstLine="709"/>
        <w:jc w:val="both"/>
        <w:rPr>
          <w:rFonts w:ascii="Arial" w:hAnsi="Arial" w:cs="Arial"/>
          <w:sz w:val="24"/>
        </w:rPr>
      </w:pPr>
      <w:r>
        <w:rPr>
          <w:rFonts w:ascii="Arial" w:hAnsi="Arial" w:cs="Arial"/>
          <w:sz w:val="24"/>
        </w:rPr>
        <w:t>At 1000 seconds time point, butyryl-CoA and propionyl-CoA showed an increase in their concentration again (1-15.72mM and 1-21.95mM respectively) as in the 100 seconds time point when compared to the initial concentration. In terms of comparing the 100 and 1000 seconds time points, just butyryl-CoA observed an increase in its concentration (15.14-15.72mM), whereas a decrease in the concentration of propionyl-CoA (24.19-21.95mM) was observed in these terms. As observed in 100 seconds time point, a decrease in the concentration of acetyl-CoA and CoA (60-6.91mM and 40-3.12mM) was also observed when compared to the control. The highest concentration in this time point was observed in propionyl-CoA (21.95mM), followed by butyryl-CoA (15.72mM), acetyl-CoA (6.91mM) and CoA (3.12mM).</w:t>
      </w:r>
    </w:p>
    <w:p w:rsidR="00EF1380" w:rsidRDefault="00EF1380" w:rsidP="00EF1380">
      <w:pPr>
        <w:spacing w:line="360" w:lineRule="auto"/>
        <w:ind w:firstLine="709"/>
        <w:jc w:val="both"/>
        <w:rPr>
          <w:rFonts w:ascii="Arial" w:hAnsi="Arial" w:cs="Arial"/>
          <w:sz w:val="24"/>
        </w:rPr>
      </w:pPr>
      <w:r w:rsidRPr="00716BEA">
        <w:rPr>
          <w:rFonts w:ascii="Arial" w:hAnsi="Arial" w:cs="Arial"/>
          <w:sz w:val="24"/>
        </w:rPr>
        <w:t xml:space="preserve">The action of </w:t>
      </w:r>
      <w:r>
        <w:rPr>
          <w:rFonts w:ascii="Arial" w:hAnsi="Arial" w:cs="Arial"/>
          <w:sz w:val="24"/>
        </w:rPr>
        <w:t xml:space="preserve">increasing concentration of </w:t>
      </w:r>
      <w:r w:rsidRPr="00716BEA">
        <w:rPr>
          <w:rFonts w:ascii="Arial" w:hAnsi="Arial" w:cs="Arial"/>
          <w:sz w:val="24"/>
        </w:rPr>
        <w:t xml:space="preserve">acetate, butyrate and propionate </w:t>
      </w:r>
      <w:r>
        <w:rPr>
          <w:rFonts w:ascii="Arial" w:hAnsi="Arial" w:cs="Arial"/>
          <w:sz w:val="24"/>
        </w:rPr>
        <w:t xml:space="preserve">at physiological ranges (1-52mM in the case of acetate and 1-20mM in the case of both butyrate and propionate) </w:t>
      </w:r>
      <w:r w:rsidRPr="00716BEA">
        <w:rPr>
          <w:rFonts w:ascii="Arial" w:hAnsi="Arial" w:cs="Arial"/>
          <w:sz w:val="24"/>
        </w:rPr>
        <w:t>on</w:t>
      </w:r>
      <w:r>
        <w:rPr>
          <w:rFonts w:ascii="Arial" w:hAnsi="Arial" w:cs="Arial"/>
          <w:sz w:val="24"/>
        </w:rPr>
        <w:t xml:space="preserve"> acetyl-CoA and CoA was simulated using butyrate_v3-1 and SCFA Uptake and Oxidation v4 models at 1000 intervals. The action of increasing concentrations of glucose at physiological ranges (0.5-2mM) at 1000 intervals was only simulated using butyrate_v3-1 model, since SCFA Uptake and Oxidation v4 model does not have glucose defined as a specie.</w:t>
      </w:r>
    </w:p>
    <w:p w:rsidR="00EF1380" w:rsidRPr="00E73C99" w:rsidRDefault="00EF1380" w:rsidP="00EF1380">
      <w:pPr>
        <w:spacing w:line="360" w:lineRule="auto"/>
        <w:ind w:firstLine="709"/>
        <w:jc w:val="both"/>
        <w:rPr>
          <w:rFonts w:ascii="Arial" w:hAnsi="Arial" w:cs="Arial"/>
          <w:sz w:val="24"/>
        </w:rPr>
      </w:pPr>
      <w:r>
        <w:rPr>
          <w:rFonts w:ascii="Arial" w:hAnsi="Arial" w:cs="Arial"/>
          <w:sz w:val="24"/>
        </w:rPr>
        <w:t>By using butyrate_v3-1 model, t</w:t>
      </w:r>
      <w:r w:rsidRPr="00E73C99">
        <w:rPr>
          <w:rFonts w:ascii="Arial" w:hAnsi="Arial" w:cs="Arial"/>
          <w:sz w:val="24"/>
        </w:rPr>
        <w:t>he increasing concentration of acetate produced a</w:t>
      </w:r>
      <w:r>
        <w:rPr>
          <w:rFonts w:ascii="Arial" w:hAnsi="Arial" w:cs="Arial"/>
          <w:sz w:val="24"/>
        </w:rPr>
        <w:t>n</w:t>
      </w:r>
      <w:r w:rsidRPr="00E73C99">
        <w:rPr>
          <w:rFonts w:ascii="Arial" w:hAnsi="Arial" w:cs="Arial"/>
          <w:sz w:val="24"/>
        </w:rPr>
        <w:t xml:space="preserve"> increase of </w:t>
      </w:r>
      <w:r>
        <w:rPr>
          <w:rFonts w:ascii="Arial" w:hAnsi="Arial" w:cs="Arial"/>
          <w:sz w:val="24"/>
        </w:rPr>
        <w:t>66.58</w:t>
      </w:r>
      <w:r w:rsidRPr="00E73C99">
        <w:rPr>
          <w:rFonts w:ascii="Arial" w:hAnsi="Arial" w:cs="Arial"/>
          <w:sz w:val="24"/>
        </w:rPr>
        <w:t xml:space="preserve">mM </w:t>
      </w:r>
      <w:r>
        <w:rPr>
          <w:rFonts w:ascii="Arial" w:hAnsi="Arial" w:cs="Arial"/>
          <w:sz w:val="24"/>
        </w:rPr>
        <w:t xml:space="preserve">(60-126.58mM) </w:t>
      </w:r>
      <w:r w:rsidRPr="00E73C99">
        <w:rPr>
          <w:rFonts w:ascii="Arial" w:hAnsi="Arial" w:cs="Arial"/>
          <w:sz w:val="24"/>
        </w:rPr>
        <w:t>in the concentration of acetyl-CoA (</w:t>
      </w:r>
      <w:r w:rsidR="007C66F9">
        <w:rPr>
          <w:rFonts w:ascii="Arial" w:hAnsi="Arial" w:cs="Arial"/>
          <w:sz w:val="24"/>
        </w:rPr>
        <w:t>Figure 21</w:t>
      </w:r>
      <w:r>
        <w:rPr>
          <w:rFonts w:ascii="Arial" w:hAnsi="Arial" w:cs="Arial"/>
          <w:sz w:val="24"/>
        </w:rPr>
        <w:t>,</w:t>
      </w:r>
      <w:r w:rsidRPr="00E73C99">
        <w:rPr>
          <w:rFonts w:ascii="Arial" w:hAnsi="Arial" w:cs="Arial"/>
          <w:sz w:val="24"/>
        </w:rPr>
        <w:t xml:space="preserve"> left panel). </w:t>
      </w:r>
      <w:r>
        <w:rPr>
          <w:rFonts w:ascii="Arial" w:hAnsi="Arial" w:cs="Arial"/>
          <w:sz w:val="24"/>
        </w:rPr>
        <w:t xml:space="preserve">Interestingly, by using SCFA Uptake and Oxidation v4 model, acetate had a scarce effect on acetyl-CoA levels. Even though the effect was scarce, it was the opposite of the effect observed when the simulations were run with butyrate_v3-1 models, since a decrease of 0.06mM (60-59.94mM) was observed (Figure </w:t>
      </w:r>
      <w:r w:rsidR="007C66F9">
        <w:rPr>
          <w:rFonts w:ascii="Arial" w:hAnsi="Arial" w:cs="Arial"/>
          <w:sz w:val="24"/>
        </w:rPr>
        <w:t>21</w:t>
      </w:r>
      <w:r>
        <w:rPr>
          <w:rFonts w:ascii="Arial" w:hAnsi="Arial" w:cs="Arial"/>
          <w:sz w:val="24"/>
        </w:rPr>
        <w:t xml:space="preserve">, right panel). </w:t>
      </w:r>
    </w:p>
    <w:p w:rsidR="00EF1380" w:rsidRPr="00B96173" w:rsidRDefault="000C3D04" w:rsidP="00EF1380">
      <w:pPr>
        <w:pStyle w:val="Caption"/>
        <w:jc w:val="center"/>
        <w:rPr>
          <w:rFonts w:ascii="Arial" w:hAnsi="Arial" w:cs="Arial"/>
          <w:b w:val="0"/>
          <w:color w:val="auto"/>
          <w:sz w:val="16"/>
        </w:rPr>
      </w:pPr>
      <w:r>
        <w:rPr>
          <w:rFonts w:ascii="Arial" w:hAnsi="Arial" w:cs="Arial"/>
          <w:b w:val="0"/>
          <w:noProof/>
          <w:color w:val="auto"/>
          <w:sz w:val="16"/>
          <w:lang w:eastAsia="en-GB"/>
        </w:rPr>
        <w:lastRenderedPageBreak/>
        <w:drawing>
          <wp:inline distT="0" distB="0" distL="0" distR="0" wp14:anchorId="60E557B1" wp14:editId="596202A2">
            <wp:extent cx="5612130" cy="1681480"/>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ate simulation v acetyl-co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2130" cy="1681480"/>
                    </a:xfrm>
                    <a:prstGeom prst="rect">
                      <a:avLst/>
                    </a:prstGeom>
                  </pic:spPr>
                </pic:pic>
              </a:graphicData>
            </a:graphic>
          </wp:inline>
        </w:drawing>
      </w:r>
    </w:p>
    <w:p w:rsidR="00EF1380" w:rsidRPr="00190B79" w:rsidRDefault="00EF1380" w:rsidP="00EF1380">
      <w:pPr>
        <w:pStyle w:val="Caption"/>
        <w:jc w:val="both"/>
        <w:rPr>
          <w:rFonts w:ascii="Arial" w:hAnsi="Arial" w:cs="Arial"/>
          <w:i/>
          <w:color w:val="auto"/>
          <w:sz w:val="16"/>
          <w:szCs w:val="16"/>
        </w:rPr>
      </w:pPr>
      <w:bookmarkStart w:id="124" w:name="_Toc413419281"/>
      <w:proofErr w:type="gramStart"/>
      <w:r w:rsidRPr="00190B79">
        <w:rPr>
          <w:rFonts w:ascii="Arial" w:hAnsi="Arial" w:cs="Arial"/>
          <w:color w:val="auto"/>
          <w:sz w:val="16"/>
          <w:szCs w:val="16"/>
        </w:rPr>
        <w:t xml:space="preserve">Figure </w:t>
      </w:r>
      <w:r w:rsidR="006C2756" w:rsidRPr="00190B79">
        <w:rPr>
          <w:rFonts w:ascii="Arial" w:hAnsi="Arial" w:cs="Arial"/>
          <w:color w:val="auto"/>
          <w:sz w:val="16"/>
          <w:szCs w:val="16"/>
        </w:rPr>
        <w:fldChar w:fldCharType="begin"/>
      </w:r>
      <w:r w:rsidRPr="00190B79">
        <w:rPr>
          <w:rFonts w:ascii="Arial" w:hAnsi="Arial" w:cs="Arial"/>
          <w:color w:val="auto"/>
          <w:sz w:val="16"/>
          <w:szCs w:val="16"/>
        </w:rPr>
        <w:instrText xml:space="preserve"> SEQ Figure \* ARABIC </w:instrText>
      </w:r>
      <w:r w:rsidR="006C2756" w:rsidRPr="00190B79">
        <w:rPr>
          <w:rFonts w:ascii="Arial" w:hAnsi="Arial" w:cs="Arial"/>
          <w:color w:val="auto"/>
          <w:sz w:val="16"/>
          <w:szCs w:val="16"/>
        </w:rPr>
        <w:fldChar w:fldCharType="separate"/>
      </w:r>
      <w:r w:rsidR="00DC0376">
        <w:rPr>
          <w:rFonts w:ascii="Arial" w:hAnsi="Arial" w:cs="Arial"/>
          <w:noProof/>
          <w:color w:val="auto"/>
          <w:sz w:val="16"/>
          <w:szCs w:val="16"/>
        </w:rPr>
        <w:t>21</w:t>
      </w:r>
      <w:r w:rsidR="006C2756" w:rsidRPr="00190B79">
        <w:rPr>
          <w:rFonts w:ascii="Arial" w:hAnsi="Arial" w:cs="Arial"/>
          <w:color w:val="auto"/>
          <w:sz w:val="16"/>
          <w:szCs w:val="16"/>
        </w:rPr>
        <w:fldChar w:fldCharType="end"/>
      </w:r>
      <w:r w:rsidRPr="00190B79">
        <w:rPr>
          <w:rFonts w:ascii="Arial" w:hAnsi="Arial" w:cs="Arial"/>
          <w:color w:val="auto"/>
          <w:sz w:val="16"/>
          <w:szCs w:val="16"/>
        </w:rPr>
        <w:t>.</w:t>
      </w:r>
      <w:proofErr w:type="gramEnd"/>
      <w:r w:rsidRPr="00190B79">
        <w:rPr>
          <w:rFonts w:ascii="Arial" w:hAnsi="Arial" w:cs="Arial"/>
          <w:color w:val="auto"/>
          <w:sz w:val="16"/>
          <w:szCs w:val="16"/>
        </w:rPr>
        <w:t xml:space="preserve"> </w:t>
      </w:r>
      <w:proofErr w:type="gramStart"/>
      <w:r w:rsidRPr="00190B79">
        <w:rPr>
          <w:rFonts w:ascii="Arial" w:hAnsi="Arial" w:cs="Arial"/>
          <w:color w:val="auto"/>
          <w:sz w:val="16"/>
          <w:szCs w:val="16"/>
        </w:rPr>
        <w:t>Effect of acetate on acetyl-CoA levels.</w:t>
      </w:r>
      <w:proofErr w:type="gramEnd"/>
      <w:r w:rsidRPr="00190B79">
        <w:rPr>
          <w:rFonts w:ascii="Arial" w:hAnsi="Arial" w:cs="Arial"/>
          <w:color w:val="auto"/>
          <w:sz w:val="16"/>
          <w:szCs w:val="16"/>
        </w:rPr>
        <w:t xml:space="preserve"> </w:t>
      </w:r>
      <w:r w:rsidRPr="00190B79">
        <w:rPr>
          <w:rFonts w:ascii="Arial" w:hAnsi="Arial" w:cs="Arial"/>
          <w:i/>
          <w:color w:val="auto"/>
          <w:sz w:val="16"/>
          <w:szCs w:val="16"/>
        </w:rPr>
        <w:t>The left panel shows the effect of this SCFA on acetyl-CoA levels when simulations were run with butyrate_v3-1 model. The right panel shows the effect of acetate on acetyl-CoA levels when simulations were run with SCFA Uptake and Oxidation v4 model.</w:t>
      </w:r>
      <w:bookmarkEnd w:id="124"/>
      <w:r w:rsidRPr="00190B79">
        <w:rPr>
          <w:rFonts w:ascii="Arial" w:hAnsi="Arial" w:cs="Arial"/>
          <w:i/>
          <w:color w:val="auto"/>
          <w:sz w:val="16"/>
          <w:szCs w:val="16"/>
        </w:rPr>
        <w:t xml:space="preserve"> </w:t>
      </w:r>
    </w:p>
    <w:p w:rsidR="00EF1380" w:rsidRDefault="00EF1380" w:rsidP="00EF1380">
      <w:pPr>
        <w:spacing w:line="360" w:lineRule="auto"/>
        <w:ind w:firstLine="709"/>
        <w:jc w:val="both"/>
        <w:rPr>
          <w:rFonts w:ascii="Arial" w:hAnsi="Arial" w:cs="Arial"/>
          <w:sz w:val="24"/>
        </w:rPr>
      </w:pPr>
      <w:r>
        <w:rPr>
          <w:rFonts w:ascii="Arial" w:hAnsi="Arial" w:cs="Arial"/>
          <w:sz w:val="24"/>
        </w:rPr>
        <w:t>As with acetate, models showed an opposite effect on the action of increasing butyrate concentrations at physiological ranges (1-20mM) on acetyl-CoA levels. The simulations run with butyrate_v3-1 model showed an increase of 87.23mM (60-147.23mM) on acetyl-CoA levels, whereas the simulations run with SCFA Uptake and oxidation v4 model showed a decrease of 34.62 (60-34.67mM) on acetyl-CoA levels (Figure 2</w:t>
      </w:r>
      <w:r w:rsidR="007C66F9">
        <w:rPr>
          <w:rFonts w:ascii="Arial" w:hAnsi="Arial" w:cs="Arial"/>
          <w:sz w:val="24"/>
        </w:rPr>
        <w:t>2</w:t>
      </w:r>
      <w:r>
        <w:rPr>
          <w:rFonts w:ascii="Arial" w:hAnsi="Arial" w:cs="Arial"/>
          <w:sz w:val="24"/>
        </w:rPr>
        <w:t xml:space="preserve">, left panel byturate_v3-1 model; right panel SCFA Uptake and Oxidation v4 model). </w:t>
      </w:r>
    </w:p>
    <w:p w:rsidR="00EF1380" w:rsidRDefault="000C3D04" w:rsidP="00EF1380">
      <w:pPr>
        <w:jc w:val="center"/>
      </w:pPr>
      <w:r>
        <w:rPr>
          <w:noProof/>
        </w:rPr>
        <w:drawing>
          <wp:inline distT="0" distB="0" distL="0" distR="0" wp14:anchorId="200BD8D2" wp14:editId="0189AD36">
            <wp:extent cx="5612130" cy="168148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yrate simulation v acetyl-co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12130" cy="168148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25" w:name="_Toc413419282"/>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22</w:t>
      </w:r>
      <w:r w:rsidR="006C2756" w:rsidRPr="0046758D">
        <w:rPr>
          <w:rFonts w:ascii="Arial" w:hAnsi="Arial" w:cs="Arial"/>
          <w:color w:val="auto"/>
          <w:sz w:val="16"/>
        </w:rPr>
        <w:fldChar w:fldCharType="end"/>
      </w:r>
      <w:r w:rsidRPr="00220388">
        <w:rPr>
          <w:rFonts w:ascii="Arial" w:hAnsi="Arial" w:cs="Arial"/>
          <w:color w:val="auto"/>
          <w:sz w:val="16"/>
          <w:szCs w:val="16"/>
        </w:rPr>
        <w:t>.</w:t>
      </w:r>
      <w:proofErr w:type="gramEnd"/>
      <w:r w:rsidRPr="00220388">
        <w:rPr>
          <w:rFonts w:ascii="Arial" w:hAnsi="Arial" w:cs="Arial"/>
          <w:color w:val="auto"/>
          <w:sz w:val="16"/>
          <w:szCs w:val="16"/>
        </w:rPr>
        <w:t xml:space="preserve"> </w:t>
      </w:r>
      <w:proofErr w:type="gramStart"/>
      <w:r w:rsidRPr="00220388">
        <w:rPr>
          <w:rFonts w:ascii="Arial" w:hAnsi="Arial" w:cs="Arial"/>
          <w:color w:val="auto"/>
          <w:sz w:val="16"/>
          <w:szCs w:val="16"/>
        </w:rPr>
        <w:t xml:space="preserve">Effect of </w:t>
      </w:r>
      <w:r>
        <w:rPr>
          <w:rFonts w:ascii="Arial" w:hAnsi="Arial" w:cs="Arial"/>
          <w:color w:val="auto"/>
          <w:sz w:val="16"/>
          <w:szCs w:val="16"/>
        </w:rPr>
        <w:t>butyrate</w:t>
      </w:r>
      <w:r w:rsidRPr="00220388">
        <w:rPr>
          <w:rFonts w:ascii="Arial" w:hAnsi="Arial" w:cs="Arial"/>
          <w:color w:val="auto"/>
          <w:sz w:val="16"/>
          <w:szCs w:val="16"/>
        </w:rPr>
        <w:t xml:space="preserve"> on acetyl-CoA levels.</w:t>
      </w:r>
      <w:proofErr w:type="gramEnd"/>
      <w:r w:rsidRPr="00220388">
        <w:rPr>
          <w:rFonts w:ascii="Arial" w:hAnsi="Arial" w:cs="Arial"/>
          <w:color w:val="auto"/>
          <w:sz w:val="16"/>
          <w:szCs w:val="16"/>
        </w:rPr>
        <w:t xml:space="preserve"> </w:t>
      </w:r>
      <w:r w:rsidRPr="00220388">
        <w:rPr>
          <w:rFonts w:ascii="Arial" w:hAnsi="Arial" w:cs="Arial"/>
          <w:i/>
          <w:color w:val="auto"/>
          <w:sz w:val="16"/>
          <w:szCs w:val="16"/>
        </w:rPr>
        <w:t>The left panel shows the effect of this SCFA on acet</w:t>
      </w:r>
      <w:r>
        <w:rPr>
          <w:rFonts w:ascii="Arial" w:hAnsi="Arial" w:cs="Arial"/>
          <w:i/>
          <w:color w:val="auto"/>
          <w:sz w:val="16"/>
          <w:szCs w:val="16"/>
        </w:rPr>
        <w:t>yl-CoA levels when simulations were run with butyrate_v3-1 model</w:t>
      </w:r>
      <w:r w:rsidRPr="00220388">
        <w:rPr>
          <w:rFonts w:ascii="Arial" w:hAnsi="Arial" w:cs="Arial"/>
          <w:i/>
          <w:color w:val="auto"/>
          <w:sz w:val="16"/>
          <w:szCs w:val="16"/>
        </w:rPr>
        <w:t xml:space="preserve">. The right panel shows the effect of acetate on acetyl-CoA levels </w:t>
      </w:r>
      <w:r>
        <w:rPr>
          <w:rFonts w:ascii="Arial" w:hAnsi="Arial" w:cs="Arial"/>
          <w:i/>
          <w:color w:val="auto"/>
          <w:sz w:val="16"/>
          <w:szCs w:val="16"/>
        </w:rPr>
        <w:t>when simulations were run with SCFA Uptake and Oxidation v4 model.</w:t>
      </w:r>
      <w:bookmarkEnd w:id="125"/>
    </w:p>
    <w:p w:rsidR="00EF1380" w:rsidRDefault="00EF1380" w:rsidP="00EF1380">
      <w:pPr>
        <w:spacing w:line="360" w:lineRule="auto"/>
        <w:ind w:firstLine="709"/>
        <w:jc w:val="both"/>
        <w:rPr>
          <w:rFonts w:ascii="Arial" w:hAnsi="Arial" w:cs="Arial"/>
          <w:sz w:val="24"/>
        </w:rPr>
      </w:pPr>
      <w:r>
        <w:rPr>
          <w:rFonts w:ascii="Arial" w:hAnsi="Arial" w:cs="Arial"/>
          <w:sz w:val="24"/>
        </w:rPr>
        <w:t xml:space="preserve">Even the increasing concentration of propionate is not expected to produce changes in acetyl-CoA levels, since it is </w:t>
      </w:r>
      <w:r w:rsidRPr="00E73C99">
        <w:rPr>
          <w:rFonts w:ascii="Arial" w:hAnsi="Arial" w:cs="Arial"/>
          <w:sz w:val="24"/>
        </w:rPr>
        <w:t xml:space="preserve">not able to be metabolised in </w:t>
      </w:r>
      <w:r>
        <w:rPr>
          <w:rFonts w:ascii="Arial" w:hAnsi="Arial" w:cs="Arial"/>
          <w:sz w:val="24"/>
        </w:rPr>
        <w:t>β-oxidation to produce acetyl-CoA, simulations with both models, butyrate_v3-1 and SCFA Uptake and Oxidation v4 were run to compare these two models. When the simulations were run with butyrate_v3-1 model, t</w:t>
      </w:r>
      <w:r w:rsidRPr="00E73C99">
        <w:rPr>
          <w:rFonts w:ascii="Arial" w:hAnsi="Arial" w:cs="Arial"/>
          <w:sz w:val="24"/>
        </w:rPr>
        <w:t xml:space="preserve">he increasing concentration of propionate </w:t>
      </w:r>
      <w:r>
        <w:rPr>
          <w:rFonts w:ascii="Arial" w:hAnsi="Arial" w:cs="Arial"/>
          <w:sz w:val="24"/>
        </w:rPr>
        <w:t xml:space="preserve">at physiological ranges (1-20mM) </w:t>
      </w:r>
      <w:r w:rsidRPr="00E73C99">
        <w:rPr>
          <w:rFonts w:ascii="Arial" w:hAnsi="Arial" w:cs="Arial"/>
          <w:sz w:val="24"/>
        </w:rPr>
        <w:t xml:space="preserve">had </w:t>
      </w:r>
      <w:r>
        <w:rPr>
          <w:rFonts w:ascii="Arial" w:hAnsi="Arial" w:cs="Arial"/>
          <w:sz w:val="24"/>
        </w:rPr>
        <w:t xml:space="preserve">virtually </w:t>
      </w:r>
      <w:r w:rsidRPr="00E73C99">
        <w:rPr>
          <w:rFonts w:ascii="Arial" w:hAnsi="Arial" w:cs="Arial"/>
          <w:sz w:val="24"/>
        </w:rPr>
        <w:t xml:space="preserve">no effect on acetyl-CoA </w:t>
      </w:r>
      <w:r>
        <w:rPr>
          <w:rFonts w:ascii="Arial" w:hAnsi="Arial" w:cs="Arial"/>
          <w:sz w:val="24"/>
        </w:rPr>
        <w:lastRenderedPageBreak/>
        <w:t>levels, since an increase of just 1.5μM (60-60.0015mM) was observed (Figure 2</w:t>
      </w:r>
      <w:r w:rsidR="007C66F9">
        <w:rPr>
          <w:rFonts w:ascii="Arial" w:hAnsi="Arial" w:cs="Arial"/>
          <w:sz w:val="24"/>
        </w:rPr>
        <w:t>3</w:t>
      </w:r>
      <w:r>
        <w:rPr>
          <w:rFonts w:ascii="Arial" w:hAnsi="Arial" w:cs="Arial"/>
          <w:sz w:val="24"/>
        </w:rPr>
        <w:t>, left panel). In accordance to the observations made with acetate and butyrate and opposite effect in acetyl-CoA levels were observed when simulations were run with SCFA Uptake and Oxidation v4 model. A decrease of 24.52mM (60-35.47mM) was observed by using this model (Figure 2</w:t>
      </w:r>
      <w:r w:rsidR="007C66F9">
        <w:rPr>
          <w:rFonts w:ascii="Arial" w:hAnsi="Arial" w:cs="Arial"/>
          <w:sz w:val="24"/>
        </w:rPr>
        <w:t>3</w:t>
      </w:r>
      <w:r>
        <w:rPr>
          <w:rFonts w:ascii="Arial" w:hAnsi="Arial" w:cs="Arial"/>
          <w:sz w:val="24"/>
        </w:rPr>
        <w:t xml:space="preserve">, right panel). This reduction in acetyl-CoA levels could be due to the production of acetate and propionyl-CoA from acetyl-CoA and propionate </w:t>
      </w:r>
      <w:r w:rsidR="006C2756">
        <w:rPr>
          <w:rFonts w:ascii="Arial" w:hAnsi="Arial" w:cs="Arial"/>
          <w:sz w:val="24"/>
        </w:rPr>
        <w:fldChar w:fldCharType="begin"/>
      </w:r>
      <w:r w:rsidR="00FC3C1A">
        <w:rPr>
          <w:rFonts w:ascii="Arial" w:hAnsi="Arial" w:cs="Arial"/>
          <w:sz w:val="24"/>
        </w:rPr>
        <w:instrText xml:space="preserve"> ADDIN EN.CITE &lt;EndNote&gt;&lt;Cite&gt;&lt;Author&gt;Stadtman E&lt;/Author&gt;&lt;Year&gt;1953&lt;/Year&gt;&lt;RecNum&gt;397&lt;/RecNum&gt;&lt;DisplayText&gt;(87)&lt;/DisplayText&gt;&lt;record&gt;&lt;rec-number&gt;397&lt;/rec-number&gt;&lt;foreign-keys&gt;&lt;key app="EN" db-id="zxp9w5sa30aeafes0xox2eem00dz2z2aswad"&gt;397&lt;/key&gt;&lt;/foreign-keys&gt;&lt;ref-type name="Journal Article"&gt;17&lt;/ref-type&gt;&lt;contributors&gt;&lt;authors&gt;&lt;author&gt;Stadtman E,&lt;/author&gt;&lt;/authors&gt;&lt;/contributors&gt;&lt;titles&gt;&lt;title&gt;Functional group of coenzyme A and its metabolic relations, especially in the fatty acid cycle: Discussion&lt;/title&gt;&lt;secondary-title&gt;Fed Proc&lt;/secondary-title&gt;&lt;/titles&gt;&lt;periodical&gt;&lt;full-title&gt;Fed Proc&lt;/full-title&gt;&lt;/periodical&gt;&lt;pages&gt;692-693&lt;/pages&gt;&lt;volume&gt;12&lt;/volume&gt;&lt;number&gt;3&lt;/number&gt;&lt;dates&gt;&lt;year&gt;1953&lt;/year&gt;&lt;/dates&gt;&lt;urls&gt;&lt;/urls&gt;&lt;/record&gt;&lt;/Cite&gt;&lt;/EndNote&gt;</w:instrText>
      </w:r>
      <w:r w:rsidR="006C2756">
        <w:rPr>
          <w:rFonts w:ascii="Arial" w:hAnsi="Arial" w:cs="Arial"/>
          <w:sz w:val="24"/>
        </w:rPr>
        <w:fldChar w:fldCharType="separate"/>
      </w:r>
      <w:r w:rsidR="00FC3C1A">
        <w:rPr>
          <w:rFonts w:ascii="Arial" w:hAnsi="Arial" w:cs="Arial"/>
          <w:noProof/>
          <w:sz w:val="24"/>
        </w:rPr>
        <w:t>(</w:t>
      </w:r>
      <w:hyperlink w:anchor="_ENREF_87" w:tooltip="Stadtman E, 1953 #397" w:history="1">
        <w:r w:rsidR="00AB7E17">
          <w:rPr>
            <w:rFonts w:ascii="Arial" w:hAnsi="Arial" w:cs="Arial"/>
            <w:noProof/>
            <w:sz w:val="24"/>
          </w:rPr>
          <w:t>87</w:t>
        </w:r>
      </w:hyperlink>
      <w:r w:rsidR="00FC3C1A">
        <w:rPr>
          <w:rFonts w:ascii="Arial" w:hAnsi="Arial" w:cs="Arial"/>
          <w:noProof/>
          <w:sz w:val="24"/>
        </w:rPr>
        <w:t>)</w:t>
      </w:r>
      <w:r w:rsidR="006C2756">
        <w:rPr>
          <w:rFonts w:ascii="Arial" w:hAnsi="Arial" w:cs="Arial"/>
          <w:sz w:val="24"/>
        </w:rPr>
        <w:fldChar w:fldCharType="end"/>
      </w:r>
      <w:r>
        <w:rPr>
          <w:rFonts w:ascii="Arial" w:hAnsi="Arial" w:cs="Arial"/>
          <w:sz w:val="24"/>
        </w:rPr>
        <w:t xml:space="preserve">. </w:t>
      </w:r>
    </w:p>
    <w:p w:rsidR="00EF1380" w:rsidRDefault="000E7399" w:rsidP="00EF1380">
      <w:pPr>
        <w:jc w:val="center"/>
      </w:pPr>
      <w:r>
        <w:rPr>
          <w:noProof/>
        </w:rPr>
        <w:drawing>
          <wp:inline distT="0" distB="0" distL="0" distR="0" wp14:anchorId="19C69795" wp14:editId="72B1F3FD">
            <wp:extent cx="5612130" cy="168148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ionate simulation v acetyl-co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168148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26" w:name="_Toc413419283"/>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23</w:t>
      </w:r>
      <w:r w:rsidR="006C2756" w:rsidRPr="0046758D">
        <w:rPr>
          <w:rFonts w:ascii="Arial" w:hAnsi="Arial" w:cs="Arial"/>
          <w:color w:val="auto"/>
          <w:sz w:val="16"/>
        </w:rPr>
        <w:fldChar w:fldCharType="end"/>
      </w:r>
      <w:r w:rsidRPr="0046758D">
        <w:rPr>
          <w:rFonts w:ascii="Arial" w:hAnsi="Arial" w:cs="Arial"/>
          <w:color w:val="auto"/>
          <w:sz w:val="14"/>
          <w:szCs w:val="16"/>
        </w:rPr>
        <w:t>.</w:t>
      </w:r>
      <w:proofErr w:type="gramEnd"/>
      <w:r w:rsidRPr="00220388">
        <w:rPr>
          <w:rFonts w:ascii="Arial" w:hAnsi="Arial" w:cs="Arial"/>
          <w:b w:val="0"/>
          <w:color w:val="auto"/>
          <w:sz w:val="16"/>
          <w:szCs w:val="16"/>
        </w:rPr>
        <w:t xml:space="preserve"> </w:t>
      </w:r>
      <w:proofErr w:type="gramStart"/>
      <w:r w:rsidRPr="00220388">
        <w:rPr>
          <w:rFonts w:ascii="Arial" w:hAnsi="Arial" w:cs="Arial"/>
          <w:color w:val="auto"/>
          <w:sz w:val="16"/>
          <w:szCs w:val="16"/>
        </w:rPr>
        <w:t xml:space="preserve">Effect of </w:t>
      </w:r>
      <w:r>
        <w:rPr>
          <w:rFonts w:ascii="Arial" w:hAnsi="Arial" w:cs="Arial"/>
          <w:color w:val="auto"/>
          <w:sz w:val="16"/>
          <w:szCs w:val="16"/>
        </w:rPr>
        <w:t xml:space="preserve">propionate </w:t>
      </w:r>
      <w:r w:rsidRPr="00220388">
        <w:rPr>
          <w:rFonts w:ascii="Arial" w:hAnsi="Arial" w:cs="Arial"/>
          <w:color w:val="auto"/>
          <w:sz w:val="16"/>
          <w:szCs w:val="16"/>
        </w:rPr>
        <w:t>on acetyl-CoA levels.</w:t>
      </w:r>
      <w:proofErr w:type="gramEnd"/>
      <w:r w:rsidRPr="00220388">
        <w:rPr>
          <w:rFonts w:ascii="Arial" w:hAnsi="Arial" w:cs="Arial"/>
          <w:color w:val="auto"/>
          <w:sz w:val="16"/>
          <w:szCs w:val="16"/>
        </w:rPr>
        <w:t xml:space="preserve"> </w:t>
      </w:r>
      <w:r w:rsidRPr="008C76EB">
        <w:rPr>
          <w:rFonts w:ascii="Arial" w:hAnsi="Arial" w:cs="Arial"/>
          <w:i/>
          <w:color w:val="auto"/>
          <w:sz w:val="16"/>
          <w:szCs w:val="16"/>
        </w:rPr>
        <w:t>T</w:t>
      </w:r>
      <w:r w:rsidRPr="00220388">
        <w:rPr>
          <w:rFonts w:ascii="Arial" w:hAnsi="Arial" w:cs="Arial"/>
          <w:i/>
          <w:color w:val="auto"/>
          <w:sz w:val="16"/>
          <w:szCs w:val="16"/>
        </w:rPr>
        <w:t>he left panel shows the effect of this SCFA on acet</w:t>
      </w:r>
      <w:r>
        <w:rPr>
          <w:rFonts w:ascii="Arial" w:hAnsi="Arial" w:cs="Arial"/>
          <w:i/>
          <w:color w:val="auto"/>
          <w:sz w:val="16"/>
          <w:szCs w:val="16"/>
        </w:rPr>
        <w:t>yl-CoA levels when simulations were run with butyrate_v3-1 model</w:t>
      </w:r>
      <w:r w:rsidRPr="00220388">
        <w:rPr>
          <w:rFonts w:ascii="Arial" w:hAnsi="Arial" w:cs="Arial"/>
          <w:i/>
          <w:color w:val="auto"/>
          <w:sz w:val="16"/>
          <w:szCs w:val="16"/>
        </w:rPr>
        <w:t xml:space="preserve">. The right panel shows the effect of acetate on acetyl-CoA levels </w:t>
      </w:r>
      <w:r>
        <w:rPr>
          <w:rFonts w:ascii="Arial" w:hAnsi="Arial" w:cs="Arial"/>
          <w:i/>
          <w:color w:val="auto"/>
          <w:sz w:val="16"/>
          <w:szCs w:val="16"/>
        </w:rPr>
        <w:t>when simulations were run with SCFA Uptake and Oxidation v4 model.</w:t>
      </w:r>
      <w:bookmarkEnd w:id="126"/>
    </w:p>
    <w:p w:rsidR="00EF1380" w:rsidRDefault="00EF1380" w:rsidP="00EF1380">
      <w:pPr>
        <w:spacing w:line="360" w:lineRule="auto"/>
        <w:ind w:firstLine="709"/>
        <w:jc w:val="both"/>
        <w:rPr>
          <w:rFonts w:ascii="Arial" w:hAnsi="Arial" w:cs="Arial"/>
          <w:sz w:val="24"/>
        </w:rPr>
      </w:pPr>
      <w:r w:rsidRPr="00E73C99">
        <w:rPr>
          <w:rFonts w:ascii="Arial" w:hAnsi="Arial" w:cs="Arial"/>
          <w:sz w:val="24"/>
        </w:rPr>
        <w:t>Since glucose ligation with CoA is able to produce acetyl-CoA as well, the action of this molecule on acetyl-CoA levels was also simulated</w:t>
      </w:r>
      <w:r>
        <w:rPr>
          <w:rFonts w:ascii="Arial" w:hAnsi="Arial" w:cs="Arial"/>
          <w:sz w:val="24"/>
        </w:rPr>
        <w:t xml:space="preserve"> by using butyrate_v3-1 model, but not SCFA Uptake and Oxidation v4 since glucose is not defined as a specie in this model. </w:t>
      </w:r>
      <w:r w:rsidRPr="00E73C99">
        <w:rPr>
          <w:rFonts w:ascii="Arial" w:hAnsi="Arial" w:cs="Arial"/>
          <w:sz w:val="24"/>
        </w:rPr>
        <w:t>At physiological ranges, 0.5-2mM, glucose increasing concentration produced a</w:t>
      </w:r>
      <w:r>
        <w:rPr>
          <w:rFonts w:ascii="Arial" w:hAnsi="Arial" w:cs="Arial"/>
          <w:sz w:val="24"/>
        </w:rPr>
        <w:t xml:space="preserve"> slight decrease</w:t>
      </w:r>
      <w:r w:rsidRPr="00E73C99">
        <w:rPr>
          <w:rFonts w:ascii="Arial" w:hAnsi="Arial" w:cs="Arial"/>
          <w:sz w:val="24"/>
        </w:rPr>
        <w:t xml:space="preserve"> of 0.0</w:t>
      </w:r>
      <w:r>
        <w:rPr>
          <w:rFonts w:ascii="Arial" w:hAnsi="Arial" w:cs="Arial"/>
          <w:sz w:val="24"/>
        </w:rPr>
        <w:t>4</w:t>
      </w:r>
      <w:r w:rsidRPr="00E73C99">
        <w:rPr>
          <w:rFonts w:ascii="Arial" w:hAnsi="Arial" w:cs="Arial"/>
          <w:sz w:val="24"/>
        </w:rPr>
        <w:t xml:space="preserve">mM </w:t>
      </w:r>
      <w:r>
        <w:rPr>
          <w:rFonts w:ascii="Arial" w:hAnsi="Arial" w:cs="Arial"/>
          <w:sz w:val="24"/>
        </w:rPr>
        <w:t xml:space="preserve">(60-59.96mM) </w:t>
      </w:r>
      <w:r w:rsidRPr="00E73C99">
        <w:rPr>
          <w:rFonts w:ascii="Arial" w:hAnsi="Arial" w:cs="Arial"/>
          <w:sz w:val="24"/>
        </w:rPr>
        <w:t>on the acetyl-CoA levels (</w:t>
      </w:r>
      <w:r>
        <w:rPr>
          <w:rFonts w:ascii="Arial" w:hAnsi="Arial" w:cs="Arial"/>
          <w:sz w:val="24"/>
        </w:rPr>
        <w:t>F</w:t>
      </w:r>
      <w:r w:rsidRPr="00E73C99">
        <w:rPr>
          <w:rFonts w:ascii="Arial" w:hAnsi="Arial" w:cs="Arial"/>
          <w:sz w:val="24"/>
        </w:rPr>
        <w:t xml:space="preserve">igure </w:t>
      </w:r>
      <w:r>
        <w:rPr>
          <w:rFonts w:ascii="Arial" w:hAnsi="Arial" w:cs="Arial"/>
          <w:sz w:val="24"/>
        </w:rPr>
        <w:t>2</w:t>
      </w:r>
      <w:r w:rsidR="007C66F9">
        <w:rPr>
          <w:rFonts w:ascii="Arial" w:hAnsi="Arial" w:cs="Arial"/>
          <w:sz w:val="24"/>
        </w:rPr>
        <w:t>4</w:t>
      </w:r>
      <w:r w:rsidRPr="00E73C99">
        <w:rPr>
          <w:rFonts w:ascii="Arial" w:hAnsi="Arial" w:cs="Arial"/>
          <w:sz w:val="24"/>
        </w:rPr>
        <w:t xml:space="preserve">). </w:t>
      </w:r>
    </w:p>
    <w:p w:rsidR="00EF1380" w:rsidRDefault="000E7399" w:rsidP="00EF1380">
      <w:pPr>
        <w:ind w:firstLine="426"/>
        <w:jc w:val="center"/>
      </w:pPr>
      <w:r>
        <w:rPr>
          <w:noProof/>
        </w:rPr>
        <w:drawing>
          <wp:inline distT="0" distB="0" distL="0" distR="0" wp14:anchorId="2FEA137B" wp14:editId="41FA1A65">
            <wp:extent cx="2794233" cy="16812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 simulation v acetyl-co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94233" cy="168120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27" w:name="_Toc413419284"/>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24</w:t>
      </w:r>
      <w:r w:rsidR="006C2756" w:rsidRPr="0046758D">
        <w:rPr>
          <w:rFonts w:ascii="Arial" w:hAnsi="Arial" w:cs="Arial"/>
          <w:color w:val="auto"/>
          <w:sz w:val="16"/>
        </w:rPr>
        <w:fldChar w:fldCharType="end"/>
      </w:r>
      <w:r w:rsidRPr="00612799">
        <w:rPr>
          <w:rFonts w:ascii="Arial" w:hAnsi="Arial" w:cs="Arial"/>
          <w:color w:val="auto"/>
          <w:sz w:val="16"/>
          <w:szCs w:val="16"/>
        </w:rPr>
        <w:t>.</w:t>
      </w:r>
      <w:proofErr w:type="gramEnd"/>
      <w:r w:rsidRPr="00E73C99">
        <w:rPr>
          <w:rFonts w:ascii="Arial" w:hAnsi="Arial" w:cs="Arial"/>
          <w:b w:val="0"/>
          <w:sz w:val="16"/>
          <w:szCs w:val="16"/>
        </w:rPr>
        <w:t xml:space="preserve"> </w:t>
      </w:r>
      <w:proofErr w:type="gramStart"/>
      <w:r w:rsidRPr="00220388">
        <w:rPr>
          <w:rFonts w:ascii="Arial" w:hAnsi="Arial" w:cs="Arial"/>
          <w:color w:val="auto"/>
          <w:sz w:val="16"/>
          <w:szCs w:val="16"/>
        </w:rPr>
        <w:t xml:space="preserve">Effect of </w:t>
      </w:r>
      <w:r>
        <w:rPr>
          <w:rFonts w:ascii="Arial" w:hAnsi="Arial" w:cs="Arial"/>
          <w:color w:val="auto"/>
          <w:sz w:val="16"/>
          <w:szCs w:val="16"/>
        </w:rPr>
        <w:t xml:space="preserve">glucose </w:t>
      </w:r>
      <w:r w:rsidRPr="00220388">
        <w:rPr>
          <w:rFonts w:ascii="Arial" w:hAnsi="Arial" w:cs="Arial"/>
          <w:color w:val="auto"/>
          <w:sz w:val="16"/>
          <w:szCs w:val="16"/>
        </w:rPr>
        <w:t>on acetyl-CoA levels.</w:t>
      </w:r>
      <w:proofErr w:type="gramEnd"/>
      <w:r w:rsidRPr="00220388">
        <w:rPr>
          <w:rFonts w:ascii="Arial" w:hAnsi="Arial" w:cs="Arial"/>
          <w:color w:val="auto"/>
          <w:sz w:val="16"/>
          <w:szCs w:val="16"/>
        </w:rPr>
        <w:t xml:space="preserve"> </w:t>
      </w:r>
      <w:proofErr w:type="gramStart"/>
      <w:r>
        <w:rPr>
          <w:rFonts w:ascii="Arial" w:hAnsi="Arial" w:cs="Arial"/>
          <w:i/>
          <w:color w:val="auto"/>
          <w:sz w:val="16"/>
          <w:szCs w:val="16"/>
        </w:rPr>
        <w:t>E</w:t>
      </w:r>
      <w:r w:rsidRPr="00220388">
        <w:rPr>
          <w:rFonts w:ascii="Arial" w:hAnsi="Arial" w:cs="Arial"/>
          <w:i/>
          <w:color w:val="auto"/>
          <w:sz w:val="16"/>
          <w:szCs w:val="16"/>
        </w:rPr>
        <w:t xml:space="preserve">ffect of </w:t>
      </w:r>
      <w:r>
        <w:rPr>
          <w:rFonts w:ascii="Arial" w:hAnsi="Arial" w:cs="Arial"/>
          <w:i/>
          <w:color w:val="auto"/>
          <w:sz w:val="16"/>
          <w:szCs w:val="16"/>
        </w:rPr>
        <w:t xml:space="preserve">glucose </w:t>
      </w:r>
      <w:r w:rsidRPr="00220388">
        <w:rPr>
          <w:rFonts w:ascii="Arial" w:hAnsi="Arial" w:cs="Arial"/>
          <w:i/>
          <w:color w:val="auto"/>
          <w:sz w:val="16"/>
          <w:szCs w:val="16"/>
        </w:rPr>
        <w:t>on acet</w:t>
      </w:r>
      <w:r>
        <w:rPr>
          <w:rFonts w:ascii="Arial" w:hAnsi="Arial" w:cs="Arial"/>
          <w:i/>
          <w:color w:val="auto"/>
          <w:sz w:val="16"/>
          <w:szCs w:val="16"/>
        </w:rPr>
        <w:t>yl-CoA levels when simulations were run with butyrate_v3-1 model.</w:t>
      </w:r>
      <w:bookmarkEnd w:id="127"/>
      <w:proofErr w:type="gramEnd"/>
      <w:r w:rsidR="000E7399">
        <w:rPr>
          <w:rFonts w:ascii="Arial" w:hAnsi="Arial" w:cs="Arial"/>
          <w:i/>
          <w:color w:val="auto"/>
          <w:sz w:val="16"/>
          <w:szCs w:val="16"/>
        </w:rPr>
        <w:t xml:space="preserve"> </w:t>
      </w:r>
    </w:p>
    <w:p w:rsidR="00EF1380" w:rsidRDefault="00EF1380" w:rsidP="00EF1380">
      <w:pPr>
        <w:spacing w:line="360" w:lineRule="auto"/>
        <w:jc w:val="both"/>
        <w:rPr>
          <w:rFonts w:ascii="Arial" w:hAnsi="Arial" w:cs="Arial"/>
          <w:sz w:val="24"/>
        </w:rPr>
      </w:pPr>
      <w:r>
        <w:rPr>
          <w:sz w:val="28"/>
        </w:rPr>
        <w:lastRenderedPageBreak/>
        <w:tab/>
      </w:r>
      <w:r w:rsidRPr="00E73C99">
        <w:rPr>
          <w:rFonts w:ascii="Arial" w:hAnsi="Arial" w:cs="Arial"/>
          <w:sz w:val="24"/>
        </w:rPr>
        <w:t xml:space="preserve">With regard of the action of acetate, butyrate and propionate on CoA, </w:t>
      </w:r>
      <w:r>
        <w:rPr>
          <w:rFonts w:ascii="Arial" w:hAnsi="Arial" w:cs="Arial"/>
          <w:sz w:val="24"/>
        </w:rPr>
        <w:t xml:space="preserve">butyrate_v3-1 and SCFA Uptake and Oxidation v4 models </w:t>
      </w:r>
      <w:r w:rsidRPr="00E73C99">
        <w:rPr>
          <w:rFonts w:ascii="Arial" w:hAnsi="Arial" w:cs="Arial"/>
          <w:sz w:val="24"/>
        </w:rPr>
        <w:t xml:space="preserve">the simulations </w:t>
      </w:r>
      <w:r>
        <w:rPr>
          <w:rFonts w:ascii="Arial" w:hAnsi="Arial" w:cs="Arial"/>
          <w:sz w:val="24"/>
        </w:rPr>
        <w:t xml:space="preserve">with these models were also compared. As in respect with acetyl-CoA levels, there were </w:t>
      </w:r>
      <w:r w:rsidRPr="00E73C99">
        <w:rPr>
          <w:rFonts w:ascii="Arial" w:hAnsi="Arial" w:cs="Arial"/>
          <w:sz w:val="24"/>
        </w:rPr>
        <w:t>mixed result</w:t>
      </w:r>
      <w:r>
        <w:rPr>
          <w:rFonts w:ascii="Arial" w:hAnsi="Arial" w:cs="Arial"/>
          <w:sz w:val="24"/>
        </w:rPr>
        <w:t>s</w:t>
      </w:r>
      <w:r w:rsidRPr="00E73C99">
        <w:rPr>
          <w:rFonts w:ascii="Arial" w:hAnsi="Arial" w:cs="Arial"/>
          <w:sz w:val="24"/>
        </w:rPr>
        <w:t xml:space="preserve"> in the levels of CoA, depending on the SCFA. </w:t>
      </w:r>
      <w:r>
        <w:rPr>
          <w:rFonts w:ascii="Arial" w:hAnsi="Arial" w:cs="Arial"/>
          <w:sz w:val="24"/>
        </w:rPr>
        <w:t>When the simulations were run with butyrate_v3-1 model, t</w:t>
      </w:r>
      <w:r w:rsidRPr="00E73C99">
        <w:rPr>
          <w:rFonts w:ascii="Arial" w:hAnsi="Arial" w:cs="Arial"/>
          <w:sz w:val="24"/>
        </w:rPr>
        <w:t>he increasing concentration of acetate at physiological ranges (1-52mM) showed an increase of 0.</w:t>
      </w:r>
      <w:r>
        <w:rPr>
          <w:rFonts w:ascii="Arial" w:hAnsi="Arial" w:cs="Arial"/>
          <w:sz w:val="24"/>
        </w:rPr>
        <w:t>14</w:t>
      </w:r>
      <w:r w:rsidRPr="00E73C99">
        <w:rPr>
          <w:rFonts w:ascii="Arial" w:hAnsi="Arial" w:cs="Arial"/>
          <w:sz w:val="24"/>
        </w:rPr>
        <w:t xml:space="preserve">mM </w:t>
      </w:r>
      <w:r>
        <w:rPr>
          <w:rFonts w:ascii="Arial" w:hAnsi="Arial" w:cs="Arial"/>
          <w:sz w:val="24"/>
        </w:rPr>
        <w:t xml:space="preserve">(40-40.14mM) </w:t>
      </w:r>
      <w:r w:rsidRPr="00E73C99">
        <w:rPr>
          <w:rFonts w:ascii="Arial" w:hAnsi="Arial" w:cs="Arial"/>
          <w:sz w:val="24"/>
        </w:rPr>
        <w:t>in CoA levels (</w:t>
      </w:r>
      <w:r>
        <w:rPr>
          <w:rFonts w:ascii="Arial" w:hAnsi="Arial" w:cs="Arial"/>
          <w:sz w:val="24"/>
        </w:rPr>
        <w:t>F</w:t>
      </w:r>
      <w:r w:rsidRPr="00E73C99">
        <w:rPr>
          <w:rFonts w:ascii="Arial" w:hAnsi="Arial" w:cs="Arial"/>
          <w:sz w:val="24"/>
        </w:rPr>
        <w:t xml:space="preserve">igure </w:t>
      </w:r>
      <w:r>
        <w:rPr>
          <w:rFonts w:ascii="Arial" w:hAnsi="Arial" w:cs="Arial"/>
          <w:sz w:val="24"/>
        </w:rPr>
        <w:t>2</w:t>
      </w:r>
      <w:r w:rsidR="007C66F9">
        <w:rPr>
          <w:rFonts w:ascii="Arial" w:hAnsi="Arial" w:cs="Arial"/>
          <w:sz w:val="24"/>
        </w:rPr>
        <w:t>5</w:t>
      </w:r>
      <w:r w:rsidRPr="00E73C99">
        <w:rPr>
          <w:rFonts w:ascii="Arial" w:hAnsi="Arial" w:cs="Arial"/>
          <w:sz w:val="24"/>
        </w:rPr>
        <w:t xml:space="preserve">, left panel). </w:t>
      </w:r>
      <w:r>
        <w:rPr>
          <w:rFonts w:ascii="Arial" w:hAnsi="Arial" w:cs="Arial"/>
          <w:sz w:val="24"/>
        </w:rPr>
        <w:t>On the other hand, when the simulations were run using the SCFA Uptake and Oxidation v4 model, a decrease of 0.12mM (40-39.88mM) was observed (Figure 2</w:t>
      </w:r>
      <w:r w:rsidR="007C66F9">
        <w:rPr>
          <w:rFonts w:ascii="Arial" w:hAnsi="Arial" w:cs="Arial"/>
          <w:sz w:val="24"/>
        </w:rPr>
        <w:t>5</w:t>
      </w:r>
      <w:r>
        <w:rPr>
          <w:rFonts w:ascii="Arial" w:hAnsi="Arial" w:cs="Arial"/>
          <w:sz w:val="24"/>
        </w:rPr>
        <w:t xml:space="preserve">, right panel). </w:t>
      </w:r>
    </w:p>
    <w:p w:rsidR="003512B8" w:rsidRDefault="003512B8" w:rsidP="00EF1380">
      <w:pPr>
        <w:spacing w:line="360" w:lineRule="auto"/>
        <w:jc w:val="both"/>
        <w:rPr>
          <w:rFonts w:ascii="Arial" w:hAnsi="Arial" w:cs="Arial"/>
          <w:sz w:val="24"/>
        </w:rPr>
      </w:pPr>
    </w:p>
    <w:p w:rsidR="00EF1380" w:rsidRDefault="000E7399" w:rsidP="00EF1380">
      <w:pPr>
        <w:jc w:val="center"/>
      </w:pPr>
      <w:r>
        <w:rPr>
          <w:noProof/>
        </w:rPr>
        <w:drawing>
          <wp:inline distT="0" distB="0" distL="0" distR="0" wp14:anchorId="32D35DD3" wp14:editId="71C325EA">
            <wp:extent cx="5612130" cy="1681480"/>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ate simulation v co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2130" cy="168148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28" w:name="_Toc413419285"/>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25</w:t>
      </w:r>
      <w:r w:rsidR="006C2756" w:rsidRPr="0046758D">
        <w:rPr>
          <w:rFonts w:ascii="Arial" w:hAnsi="Arial" w:cs="Arial"/>
          <w:color w:val="auto"/>
          <w:sz w:val="16"/>
        </w:rPr>
        <w:fldChar w:fldCharType="end"/>
      </w:r>
      <w:r w:rsidRPr="00612799">
        <w:rPr>
          <w:rFonts w:ascii="Arial" w:hAnsi="Arial" w:cs="Arial"/>
          <w:color w:val="auto"/>
          <w:sz w:val="16"/>
        </w:rPr>
        <w:t>.</w:t>
      </w:r>
      <w:proofErr w:type="gramEnd"/>
      <w:r w:rsidRPr="00612799">
        <w:rPr>
          <w:rFonts w:ascii="Arial" w:hAnsi="Arial" w:cs="Arial"/>
          <w:color w:val="auto"/>
          <w:sz w:val="16"/>
          <w:szCs w:val="16"/>
        </w:rPr>
        <w:t xml:space="preserve"> </w:t>
      </w:r>
      <w:proofErr w:type="gramStart"/>
      <w:r w:rsidRPr="00220388">
        <w:rPr>
          <w:rFonts w:ascii="Arial" w:hAnsi="Arial" w:cs="Arial"/>
          <w:color w:val="auto"/>
          <w:sz w:val="16"/>
          <w:szCs w:val="16"/>
        </w:rPr>
        <w:t xml:space="preserve">Effect of </w:t>
      </w:r>
      <w:r>
        <w:rPr>
          <w:rFonts w:ascii="Arial" w:hAnsi="Arial" w:cs="Arial"/>
          <w:color w:val="auto"/>
          <w:sz w:val="16"/>
          <w:szCs w:val="16"/>
        </w:rPr>
        <w:t xml:space="preserve">acetate </w:t>
      </w:r>
      <w:r w:rsidRPr="00220388">
        <w:rPr>
          <w:rFonts w:ascii="Arial" w:hAnsi="Arial" w:cs="Arial"/>
          <w:color w:val="auto"/>
          <w:sz w:val="16"/>
          <w:szCs w:val="16"/>
        </w:rPr>
        <w:t>on CoA levels.</w:t>
      </w:r>
      <w:proofErr w:type="gramEnd"/>
      <w:r w:rsidRPr="00220388">
        <w:rPr>
          <w:rFonts w:ascii="Arial" w:hAnsi="Arial" w:cs="Arial"/>
          <w:color w:val="auto"/>
          <w:sz w:val="16"/>
          <w:szCs w:val="16"/>
        </w:rPr>
        <w:t xml:space="preserve"> </w:t>
      </w:r>
      <w:r w:rsidRPr="008C76EB">
        <w:rPr>
          <w:rFonts w:ascii="Arial" w:hAnsi="Arial" w:cs="Arial"/>
          <w:i/>
          <w:color w:val="auto"/>
          <w:sz w:val="16"/>
          <w:szCs w:val="16"/>
        </w:rPr>
        <w:t>T</w:t>
      </w:r>
      <w:r w:rsidRPr="00220388">
        <w:rPr>
          <w:rFonts w:ascii="Arial" w:hAnsi="Arial" w:cs="Arial"/>
          <w:i/>
          <w:color w:val="auto"/>
          <w:sz w:val="16"/>
          <w:szCs w:val="16"/>
        </w:rPr>
        <w:t xml:space="preserve">he left panel shows the effect of this SCFA on </w:t>
      </w:r>
      <w:r>
        <w:rPr>
          <w:rFonts w:ascii="Arial" w:hAnsi="Arial" w:cs="Arial"/>
          <w:i/>
          <w:color w:val="auto"/>
          <w:sz w:val="16"/>
          <w:szCs w:val="16"/>
        </w:rPr>
        <w:t>CoA levels when simulations were run with butyrate_v3-1 model</w:t>
      </w:r>
      <w:r w:rsidRPr="00220388">
        <w:rPr>
          <w:rFonts w:ascii="Arial" w:hAnsi="Arial" w:cs="Arial"/>
          <w:i/>
          <w:color w:val="auto"/>
          <w:sz w:val="16"/>
          <w:szCs w:val="16"/>
        </w:rPr>
        <w:t xml:space="preserve">. The right panel shows </w:t>
      </w:r>
      <w:r>
        <w:rPr>
          <w:rFonts w:ascii="Arial" w:hAnsi="Arial" w:cs="Arial"/>
          <w:i/>
          <w:color w:val="auto"/>
          <w:sz w:val="16"/>
          <w:szCs w:val="16"/>
        </w:rPr>
        <w:t xml:space="preserve">the effect of acetate on </w:t>
      </w:r>
      <w:r w:rsidRPr="00220388">
        <w:rPr>
          <w:rFonts w:ascii="Arial" w:hAnsi="Arial" w:cs="Arial"/>
          <w:i/>
          <w:color w:val="auto"/>
          <w:sz w:val="16"/>
          <w:szCs w:val="16"/>
        </w:rPr>
        <w:t xml:space="preserve">CoA levels </w:t>
      </w:r>
      <w:r>
        <w:rPr>
          <w:rFonts w:ascii="Arial" w:hAnsi="Arial" w:cs="Arial"/>
          <w:i/>
          <w:color w:val="auto"/>
          <w:sz w:val="16"/>
          <w:szCs w:val="16"/>
        </w:rPr>
        <w:t>when simulations were run with SCFA Uptake and Oxidation v4 model.</w:t>
      </w:r>
      <w:bookmarkEnd w:id="128"/>
    </w:p>
    <w:p w:rsidR="00EF1380" w:rsidRDefault="00EF1380" w:rsidP="00EF1380">
      <w:pPr>
        <w:spacing w:line="360" w:lineRule="auto"/>
        <w:jc w:val="both"/>
        <w:rPr>
          <w:rFonts w:ascii="Arial" w:hAnsi="Arial" w:cs="Arial"/>
          <w:sz w:val="24"/>
          <w:szCs w:val="24"/>
        </w:rPr>
      </w:pPr>
      <w:r>
        <w:tab/>
      </w:r>
      <w:r w:rsidRPr="00E73C99">
        <w:rPr>
          <w:rFonts w:ascii="Arial" w:hAnsi="Arial" w:cs="Arial"/>
          <w:sz w:val="24"/>
          <w:szCs w:val="24"/>
        </w:rPr>
        <w:t xml:space="preserve">The increasing concentration of butyrate produced a decrease in the CoA levels of </w:t>
      </w:r>
      <w:r>
        <w:rPr>
          <w:rFonts w:ascii="Arial" w:hAnsi="Arial" w:cs="Arial"/>
          <w:sz w:val="24"/>
          <w:szCs w:val="24"/>
        </w:rPr>
        <w:t>12.17</w:t>
      </w:r>
      <w:r w:rsidRPr="00E73C99">
        <w:rPr>
          <w:rFonts w:ascii="Arial" w:hAnsi="Arial" w:cs="Arial"/>
          <w:sz w:val="24"/>
          <w:szCs w:val="24"/>
        </w:rPr>
        <w:t xml:space="preserve">mM </w:t>
      </w:r>
      <w:r>
        <w:rPr>
          <w:rFonts w:ascii="Arial" w:hAnsi="Arial" w:cs="Arial"/>
          <w:sz w:val="24"/>
          <w:szCs w:val="24"/>
        </w:rPr>
        <w:t xml:space="preserve">(40-27.83mM) </w:t>
      </w:r>
      <w:r w:rsidRPr="00E73C99">
        <w:rPr>
          <w:rFonts w:ascii="Arial" w:hAnsi="Arial" w:cs="Arial"/>
          <w:sz w:val="24"/>
          <w:szCs w:val="24"/>
        </w:rPr>
        <w:t>at physiological ranges (1-20mM)</w:t>
      </w:r>
      <w:r>
        <w:rPr>
          <w:rFonts w:ascii="Arial" w:hAnsi="Arial" w:cs="Arial"/>
          <w:sz w:val="24"/>
          <w:szCs w:val="24"/>
        </w:rPr>
        <w:t xml:space="preserve"> when simulations were run with butyrate_v3-1 model (Figure 2</w:t>
      </w:r>
      <w:r w:rsidR="00727535">
        <w:rPr>
          <w:rFonts w:ascii="Arial" w:hAnsi="Arial" w:cs="Arial"/>
          <w:sz w:val="24"/>
          <w:szCs w:val="24"/>
        </w:rPr>
        <w:t>6</w:t>
      </w:r>
      <w:r>
        <w:rPr>
          <w:rFonts w:ascii="Arial" w:hAnsi="Arial" w:cs="Arial"/>
          <w:sz w:val="24"/>
          <w:szCs w:val="24"/>
        </w:rPr>
        <w:t>, left panel)</w:t>
      </w:r>
      <w:r w:rsidRPr="00E73C99">
        <w:rPr>
          <w:rFonts w:ascii="Arial" w:hAnsi="Arial" w:cs="Arial"/>
          <w:sz w:val="24"/>
          <w:szCs w:val="24"/>
        </w:rPr>
        <w:t xml:space="preserve">. </w:t>
      </w:r>
      <w:r>
        <w:rPr>
          <w:rFonts w:ascii="Arial" w:hAnsi="Arial" w:cs="Arial"/>
          <w:sz w:val="24"/>
          <w:szCs w:val="24"/>
        </w:rPr>
        <w:t>SCFA Uptake and Oxidation v4 simulations also showed a decrease in CoA levels (Figure 2</w:t>
      </w:r>
      <w:r w:rsidR="00727535">
        <w:rPr>
          <w:rFonts w:ascii="Arial" w:hAnsi="Arial" w:cs="Arial"/>
          <w:sz w:val="24"/>
          <w:szCs w:val="24"/>
        </w:rPr>
        <w:t>6</w:t>
      </w:r>
      <w:r>
        <w:rPr>
          <w:rFonts w:ascii="Arial" w:hAnsi="Arial" w:cs="Arial"/>
          <w:sz w:val="24"/>
          <w:szCs w:val="24"/>
        </w:rPr>
        <w:t xml:space="preserve">, right panel). This decrease was higher than the one observed when simulations were run in butyrate_v3-1, since the levels of CoA decreased by 34.82mM (40-5.18mM). </w:t>
      </w:r>
    </w:p>
    <w:p w:rsidR="00EF1380" w:rsidRDefault="000E7399" w:rsidP="00EF1380">
      <w:pPr>
        <w:jc w:val="center"/>
      </w:pPr>
      <w:r>
        <w:rPr>
          <w:noProof/>
        </w:rPr>
        <w:lastRenderedPageBreak/>
        <w:drawing>
          <wp:inline distT="0" distB="0" distL="0" distR="0" wp14:anchorId="66928009" wp14:editId="1D46C70B">
            <wp:extent cx="5612130" cy="1681480"/>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yrate simulation v co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12130" cy="168148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29" w:name="_Toc413419286"/>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26</w:t>
      </w:r>
      <w:r w:rsidR="006C2756" w:rsidRPr="0046758D">
        <w:rPr>
          <w:rFonts w:ascii="Arial" w:hAnsi="Arial" w:cs="Arial"/>
          <w:color w:val="auto"/>
          <w:sz w:val="16"/>
        </w:rPr>
        <w:fldChar w:fldCharType="end"/>
      </w:r>
      <w:r w:rsidRPr="0046758D">
        <w:rPr>
          <w:rFonts w:ascii="Arial" w:hAnsi="Arial" w:cs="Arial"/>
          <w:color w:val="auto"/>
          <w:sz w:val="14"/>
          <w:szCs w:val="16"/>
        </w:rPr>
        <w:t>.</w:t>
      </w:r>
      <w:proofErr w:type="gramEnd"/>
      <w:r w:rsidRPr="00612799">
        <w:rPr>
          <w:rFonts w:ascii="Arial" w:hAnsi="Arial" w:cs="Arial"/>
          <w:b w:val="0"/>
          <w:color w:val="auto"/>
          <w:sz w:val="16"/>
          <w:szCs w:val="16"/>
        </w:rPr>
        <w:t xml:space="preserve"> </w:t>
      </w:r>
      <w:proofErr w:type="gramStart"/>
      <w:r w:rsidRPr="00220388">
        <w:rPr>
          <w:rFonts w:ascii="Arial" w:hAnsi="Arial" w:cs="Arial"/>
          <w:color w:val="auto"/>
          <w:sz w:val="16"/>
          <w:szCs w:val="16"/>
        </w:rPr>
        <w:t xml:space="preserve">Effect of </w:t>
      </w:r>
      <w:r>
        <w:rPr>
          <w:rFonts w:ascii="Arial" w:hAnsi="Arial" w:cs="Arial"/>
          <w:color w:val="auto"/>
          <w:sz w:val="16"/>
          <w:szCs w:val="16"/>
        </w:rPr>
        <w:t xml:space="preserve">butyrate </w:t>
      </w:r>
      <w:r w:rsidRPr="00220388">
        <w:rPr>
          <w:rFonts w:ascii="Arial" w:hAnsi="Arial" w:cs="Arial"/>
          <w:color w:val="auto"/>
          <w:sz w:val="16"/>
          <w:szCs w:val="16"/>
        </w:rPr>
        <w:t>on CoA levels.</w:t>
      </w:r>
      <w:proofErr w:type="gramEnd"/>
      <w:r w:rsidRPr="00220388">
        <w:rPr>
          <w:rFonts w:ascii="Arial" w:hAnsi="Arial" w:cs="Arial"/>
          <w:color w:val="auto"/>
          <w:sz w:val="16"/>
          <w:szCs w:val="16"/>
        </w:rPr>
        <w:t xml:space="preserve"> </w:t>
      </w:r>
      <w:r w:rsidRPr="008C76EB">
        <w:rPr>
          <w:rFonts w:ascii="Arial" w:hAnsi="Arial" w:cs="Arial"/>
          <w:i/>
          <w:color w:val="auto"/>
          <w:sz w:val="16"/>
          <w:szCs w:val="16"/>
        </w:rPr>
        <w:t>T</w:t>
      </w:r>
      <w:r w:rsidRPr="00220388">
        <w:rPr>
          <w:rFonts w:ascii="Arial" w:hAnsi="Arial" w:cs="Arial"/>
          <w:i/>
          <w:color w:val="auto"/>
          <w:sz w:val="16"/>
          <w:szCs w:val="16"/>
        </w:rPr>
        <w:t xml:space="preserve">he left panel shows the effect of this SCFA on </w:t>
      </w:r>
      <w:r>
        <w:rPr>
          <w:rFonts w:ascii="Arial" w:hAnsi="Arial" w:cs="Arial"/>
          <w:i/>
          <w:color w:val="auto"/>
          <w:sz w:val="16"/>
          <w:szCs w:val="16"/>
        </w:rPr>
        <w:t>CoA levels when simulations were run with butyrate_v3-1 model</w:t>
      </w:r>
      <w:r w:rsidRPr="00220388">
        <w:rPr>
          <w:rFonts w:ascii="Arial" w:hAnsi="Arial" w:cs="Arial"/>
          <w:i/>
          <w:color w:val="auto"/>
          <w:sz w:val="16"/>
          <w:szCs w:val="16"/>
        </w:rPr>
        <w:t xml:space="preserve">. The right panel shows </w:t>
      </w:r>
      <w:r>
        <w:rPr>
          <w:rFonts w:ascii="Arial" w:hAnsi="Arial" w:cs="Arial"/>
          <w:i/>
          <w:color w:val="auto"/>
          <w:sz w:val="16"/>
          <w:szCs w:val="16"/>
        </w:rPr>
        <w:t xml:space="preserve">the effect of butyrate on </w:t>
      </w:r>
      <w:r w:rsidRPr="00220388">
        <w:rPr>
          <w:rFonts w:ascii="Arial" w:hAnsi="Arial" w:cs="Arial"/>
          <w:i/>
          <w:color w:val="auto"/>
          <w:sz w:val="16"/>
          <w:szCs w:val="16"/>
        </w:rPr>
        <w:t xml:space="preserve">CoA levels </w:t>
      </w:r>
      <w:r>
        <w:rPr>
          <w:rFonts w:ascii="Arial" w:hAnsi="Arial" w:cs="Arial"/>
          <w:i/>
          <w:color w:val="auto"/>
          <w:sz w:val="16"/>
          <w:szCs w:val="16"/>
        </w:rPr>
        <w:t>when simulations were run with SCFA Uptake and Oxidation v4 model.</w:t>
      </w:r>
      <w:bookmarkEnd w:id="129"/>
    </w:p>
    <w:p w:rsidR="00EF1380" w:rsidRDefault="00EF1380" w:rsidP="00EF1380">
      <w:pPr>
        <w:spacing w:line="360" w:lineRule="auto"/>
        <w:ind w:firstLine="709"/>
        <w:jc w:val="both"/>
        <w:rPr>
          <w:rFonts w:ascii="Arial" w:hAnsi="Arial" w:cs="Arial"/>
          <w:sz w:val="24"/>
        </w:rPr>
      </w:pPr>
      <w:r>
        <w:rPr>
          <w:rFonts w:ascii="Arial" w:hAnsi="Arial" w:cs="Arial"/>
          <w:sz w:val="24"/>
        </w:rPr>
        <w:t>In the simulations run with butyrate_v3-1 model, the increasing concentrations of propionate produced a slight decrease of 0.15mM (40-39.85mM) in CoA levels (Figure 2</w:t>
      </w:r>
      <w:r w:rsidR="00727535">
        <w:rPr>
          <w:rFonts w:ascii="Arial" w:hAnsi="Arial" w:cs="Arial"/>
          <w:sz w:val="24"/>
        </w:rPr>
        <w:t>7</w:t>
      </w:r>
      <w:r>
        <w:rPr>
          <w:rFonts w:ascii="Arial" w:hAnsi="Arial" w:cs="Arial"/>
          <w:sz w:val="24"/>
        </w:rPr>
        <w:t>, left panel). When using the SCFA Uptake and Oxidation v4 model, a decrease in CoA levels was also observed (Figure 2</w:t>
      </w:r>
      <w:r w:rsidR="00727535">
        <w:rPr>
          <w:rFonts w:ascii="Arial" w:hAnsi="Arial" w:cs="Arial"/>
          <w:sz w:val="24"/>
        </w:rPr>
        <w:t>7</w:t>
      </w:r>
      <w:r>
        <w:rPr>
          <w:rFonts w:ascii="Arial" w:hAnsi="Arial" w:cs="Arial"/>
          <w:sz w:val="24"/>
        </w:rPr>
        <w:t>, right panel) with increasing concentrations of propionate. This decrease was higher, 16.35mM (40-23.65mM), than the decrease in the simulations run with butyrate_v3-1 model (0.15mM; 40-39.85mM), and it was in accordance with the observations made for butyrate (Figure 2</w:t>
      </w:r>
      <w:r w:rsidR="00727535">
        <w:rPr>
          <w:rFonts w:ascii="Arial" w:hAnsi="Arial" w:cs="Arial"/>
          <w:sz w:val="24"/>
        </w:rPr>
        <w:t>7</w:t>
      </w:r>
      <w:r>
        <w:rPr>
          <w:rFonts w:ascii="Arial" w:hAnsi="Arial" w:cs="Arial"/>
          <w:sz w:val="24"/>
        </w:rPr>
        <w:t xml:space="preserve">, right panel). </w:t>
      </w:r>
    </w:p>
    <w:p w:rsidR="00EF1380" w:rsidRDefault="007E1DF1" w:rsidP="00EF1380">
      <w:r>
        <w:rPr>
          <w:noProof/>
        </w:rPr>
        <w:drawing>
          <wp:inline distT="0" distB="0" distL="0" distR="0" wp14:anchorId="3F4EA872" wp14:editId="47A0E0C6">
            <wp:extent cx="5612130" cy="1681480"/>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ionate simulation v co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2130" cy="168148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30" w:name="_Toc413419287"/>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27</w:t>
      </w:r>
      <w:r w:rsidR="006C2756" w:rsidRPr="0046758D">
        <w:rPr>
          <w:rFonts w:ascii="Arial" w:hAnsi="Arial" w:cs="Arial"/>
          <w:color w:val="auto"/>
          <w:sz w:val="16"/>
        </w:rPr>
        <w:fldChar w:fldCharType="end"/>
      </w:r>
      <w:r w:rsidRPr="00612799">
        <w:rPr>
          <w:rFonts w:ascii="Arial" w:hAnsi="Arial" w:cs="Arial"/>
          <w:b w:val="0"/>
          <w:color w:val="auto"/>
          <w:sz w:val="16"/>
          <w:szCs w:val="16"/>
        </w:rPr>
        <w:t>.</w:t>
      </w:r>
      <w:proofErr w:type="gramEnd"/>
      <w:r w:rsidRPr="00612799">
        <w:rPr>
          <w:rFonts w:ascii="Arial" w:hAnsi="Arial" w:cs="Arial"/>
          <w:b w:val="0"/>
          <w:color w:val="auto"/>
          <w:sz w:val="16"/>
          <w:szCs w:val="16"/>
        </w:rPr>
        <w:t xml:space="preserve"> </w:t>
      </w:r>
      <w:proofErr w:type="gramStart"/>
      <w:r w:rsidRPr="00220388">
        <w:rPr>
          <w:rFonts w:ascii="Arial" w:hAnsi="Arial" w:cs="Arial"/>
          <w:color w:val="auto"/>
          <w:sz w:val="16"/>
          <w:szCs w:val="16"/>
        </w:rPr>
        <w:t xml:space="preserve">Effect of </w:t>
      </w:r>
      <w:r>
        <w:rPr>
          <w:rFonts w:ascii="Arial" w:hAnsi="Arial" w:cs="Arial"/>
          <w:color w:val="auto"/>
          <w:sz w:val="16"/>
          <w:szCs w:val="16"/>
        </w:rPr>
        <w:t xml:space="preserve">propionate </w:t>
      </w:r>
      <w:r w:rsidRPr="00220388">
        <w:rPr>
          <w:rFonts w:ascii="Arial" w:hAnsi="Arial" w:cs="Arial"/>
          <w:color w:val="auto"/>
          <w:sz w:val="16"/>
          <w:szCs w:val="16"/>
        </w:rPr>
        <w:t>on CoA levels.</w:t>
      </w:r>
      <w:proofErr w:type="gramEnd"/>
      <w:r w:rsidRPr="00220388">
        <w:rPr>
          <w:rFonts w:ascii="Arial" w:hAnsi="Arial" w:cs="Arial"/>
          <w:color w:val="auto"/>
          <w:sz w:val="16"/>
          <w:szCs w:val="16"/>
        </w:rPr>
        <w:t xml:space="preserve"> </w:t>
      </w:r>
      <w:r w:rsidRPr="008C76EB">
        <w:rPr>
          <w:rFonts w:ascii="Arial" w:hAnsi="Arial" w:cs="Arial"/>
          <w:i/>
          <w:color w:val="auto"/>
          <w:sz w:val="16"/>
          <w:szCs w:val="16"/>
        </w:rPr>
        <w:t>T</w:t>
      </w:r>
      <w:r w:rsidRPr="00220388">
        <w:rPr>
          <w:rFonts w:ascii="Arial" w:hAnsi="Arial" w:cs="Arial"/>
          <w:i/>
          <w:color w:val="auto"/>
          <w:sz w:val="16"/>
          <w:szCs w:val="16"/>
        </w:rPr>
        <w:t xml:space="preserve">he left panel shows the effect of this SCFA on </w:t>
      </w:r>
      <w:r>
        <w:rPr>
          <w:rFonts w:ascii="Arial" w:hAnsi="Arial" w:cs="Arial"/>
          <w:i/>
          <w:color w:val="auto"/>
          <w:sz w:val="16"/>
          <w:szCs w:val="16"/>
        </w:rPr>
        <w:t>CoA levels when simulations were run with butyrate_v3-1 model</w:t>
      </w:r>
      <w:r w:rsidRPr="00220388">
        <w:rPr>
          <w:rFonts w:ascii="Arial" w:hAnsi="Arial" w:cs="Arial"/>
          <w:i/>
          <w:color w:val="auto"/>
          <w:sz w:val="16"/>
          <w:szCs w:val="16"/>
        </w:rPr>
        <w:t xml:space="preserve">. The right panel shows </w:t>
      </w:r>
      <w:r>
        <w:rPr>
          <w:rFonts w:ascii="Arial" w:hAnsi="Arial" w:cs="Arial"/>
          <w:i/>
          <w:color w:val="auto"/>
          <w:sz w:val="16"/>
          <w:szCs w:val="16"/>
        </w:rPr>
        <w:t xml:space="preserve">the effect of propionate on </w:t>
      </w:r>
      <w:r w:rsidRPr="00220388">
        <w:rPr>
          <w:rFonts w:ascii="Arial" w:hAnsi="Arial" w:cs="Arial"/>
          <w:i/>
          <w:color w:val="auto"/>
          <w:sz w:val="16"/>
          <w:szCs w:val="16"/>
        </w:rPr>
        <w:t xml:space="preserve">CoA levels </w:t>
      </w:r>
      <w:r>
        <w:rPr>
          <w:rFonts w:ascii="Arial" w:hAnsi="Arial" w:cs="Arial"/>
          <w:i/>
          <w:color w:val="auto"/>
          <w:sz w:val="16"/>
          <w:szCs w:val="16"/>
        </w:rPr>
        <w:t>when simulations were run with SCFA Uptake and Oxidation v4 model.</w:t>
      </w:r>
      <w:bookmarkEnd w:id="130"/>
    </w:p>
    <w:p w:rsidR="00EF1380" w:rsidRPr="00906BEC" w:rsidRDefault="00EF1380" w:rsidP="00EF1380">
      <w:pPr>
        <w:spacing w:line="360" w:lineRule="auto"/>
        <w:jc w:val="both"/>
        <w:rPr>
          <w:rFonts w:ascii="Arial" w:hAnsi="Arial" w:cs="Arial"/>
          <w:sz w:val="24"/>
          <w:szCs w:val="24"/>
        </w:rPr>
      </w:pPr>
      <w:r>
        <w:tab/>
      </w:r>
      <w:r w:rsidRPr="00906BEC">
        <w:rPr>
          <w:rFonts w:ascii="Arial" w:hAnsi="Arial" w:cs="Arial"/>
          <w:sz w:val="24"/>
          <w:szCs w:val="24"/>
        </w:rPr>
        <w:t xml:space="preserve">The same rationale </w:t>
      </w:r>
      <w:r w:rsidR="00A956BF">
        <w:rPr>
          <w:rFonts w:ascii="Arial" w:hAnsi="Arial" w:cs="Arial"/>
          <w:sz w:val="24"/>
          <w:szCs w:val="24"/>
        </w:rPr>
        <w:t>as</w:t>
      </w:r>
      <w:r w:rsidRPr="00906BEC">
        <w:rPr>
          <w:rFonts w:ascii="Arial" w:hAnsi="Arial" w:cs="Arial"/>
          <w:sz w:val="24"/>
          <w:szCs w:val="24"/>
        </w:rPr>
        <w:t xml:space="preserve"> with acetyl-CoA production and glucose</w:t>
      </w:r>
      <w:r w:rsidR="002C46EF">
        <w:rPr>
          <w:rFonts w:ascii="Arial" w:hAnsi="Arial" w:cs="Arial"/>
          <w:sz w:val="24"/>
          <w:szCs w:val="24"/>
        </w:rPr>
        <w:t xml:space="preserve"> – CoA-</w:t>
      </w:r>
      <w:r w:rsidRPr="00906BEC">
        <w:rPr>
          <w:rFonts w:ascii="Arial" w:hAnsi="Arial" w:cs="Arial"/>
          <w:sz w:val="24"/>
          <w:szCs w:val="24"/>
        </w:rPr>
        <w:t>ligation was applied to run simulations on in</w:t>
      </w:r>
      <w:r>
        <w:rPr>
          <w:rFonts w:ascii="Arial" w:hAnsi="Arial" w:cs="Arial"/>
          <w:sz w:val="24"/>
          <w:szCs w:val="24"/>
        </w:rPr>
        <w:t>creasing glucose concentration o</w:t>
      </w:r>
      <w:r w:rsidRPr="00906BEC">
        <w:rPr>
          <w:rFonts w:ascii="Arial" w:hAnsi="Arial" w:cs="Arial"/>
          <w:sz w:val="24"/>
          <w:szCs w:val="24"/>
        </w:rPr>
        <w:t>n CoA levels. As aforesaid, glucose and CoA</w:t>
      </w:r>
      <w:r w:rsidR="002C46EF">
        <w:rPr>
          <w:rFonts w:ascii="Arial" w:hAnsi="Arial" w:cs="Arial"/>
          <w:sz w:val="24"/>
          <w:szCs w:val="24"/>
        </w:rPr>
        <w:t>-</w:t>
      </w:r>
      <w:r w:rsidRPr="00906BEC">
        <w:rPr>
          <w:rFonts w:ascii="Arial" w:hAnsi="Arial" w:cs="Arial"/>
          <w:sz w:val="24"/>
          <w:szCs w:val="24"/>
        </w:rPr>
        <w:t xml:space="preserve">ligation is another fashion in which acetyl-CoA con be produced. Glucose can be competing with SCFAs for CoA as a substrate, and that is why it is important to simulate the effect of glucose on CoA </w:t>
      </w:r>
      <w:r w:rsidRPr="00906BEC">
        <w:rPr>
          <w:rFonts w:ascii="Arial" w:hAnsi="Arial" w:cs="Arial"/>
          <w:sz w:val="24"/>
          <w:szCs w:val="24"/>
        </w:rPr>
        <w:lastRenderedPageBreak/>
        <w:t>levels. Simulations, as in with acetyl-CoA levels, were on</w:t>
      </w:r>
      <w:r>
        <w:rPr>
          <w:rFonts w:ascii="Arial" w:hAnsi="Arial" w:cs="Arial"/>
          <w:sz w:val="24"/>
          <w:szCs w:val="24"/>
        </w:rPr>
        <w:t>ly ru</w:t>
      </w:r>
      <w:r w:rsidRPr="00906BEC">
        <w:rPr>
          <w:rFonts w:ascii="Arial" w:hAnsi="Arial" w:cs="Arial"/>
          <w:sz w:val="24"/>
          <w:szCs w:val="24"/>
        </w:rPr>
        <w:t>n with butyrate_v3-1 model since SCFA Uptake and Oxidation v4 model has not glucose defined as specie. When used at physiological ranges (0.5-2mM) glucose produced a scarce decrease of 0.03mM (40-39.97mM) (Figure 2</w:t>
      </w:r>
      <w:r w:rsidR="00727535">
        <w:rPr>
          <w:rFonts w:ascii="Arial" w:hAnsi="Arial" w:cs="Arial"/>
          <w:sz w:val="24"/>
          <w:szCs w:val="24"/>
        </w:rPr>
        <w:t>8</w:t>
      </w:r>
      <w:r w:rsidRPr="00906BEC">
        <w:rPr>
          <w:rFonts w:ascii="Arial" w:hAnsi="Arial" w:cs="Arial"/>
          <w:sz w:val="24"/>
          <w:szCs w:val="24"/>
        </w:rPr>
        <w:t xml:space="preserve">). </w:t>
      </w:r>
    </w:p>
    <w:p w:rsidR="00EF1380" w:rsidRDefault="007E1DF1" w:rsidP="00EF1380">
      <w:pPr>
        <w:ind w:firstLine="993"/>
        <w:jc w:val="center"/>
      </w:pPr>
      <w:r>
        <w:rPr>
          <w:noProof/>
        </w:rPr>
        <w:drawing>
          <wp:inline distT="0" distB="0" distL="0" distR="0" wp14:anchorId="01DBF116" wp14:editId="6DBC94B5">
            <wp:extent cx="2800800" cy="1684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 simulation v co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00800" cy="1684800"/>
                    </a:xfrm>
                    <a:prstGeom prst="rect">
                      <a:avLst/>
                    </a:prstGeom>
                  </pic:spPr>
                </pic:pic>
              </a:graphicData>
            </a:graphic>
          </wp:inline>
        </w:drawing>
      </w:r>
    </w:p>
    <w:p w:rsidR="00EF1380" w:rsidRDefault="00EF1380" w:rsidP="00EF1380">
      <w:pPr>
        <w:pStyle w:val="Caption"/>
        <w:jc w:val="both"/>
        <w:rPr>
          <w:rFonts w:ascii="Arial" w:hAnsi="Arial" w:cs="Arial"/>
          <w:i/>
          <w:color w:val="auto"/>
          <w:sz w:val="16"/>
          <w:szCs w:val="16"/>
        </w:rPr>
      </w:pPr>
      <w:bookmarkStart w:id="131" w:name="_Toc413419288"/>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28</w:t>
      </w:r>
      <w:r w:rsidR="006C2756" w:rsidRPr="0046758D">
        <w:rPr>
          <w:rFonts w:ascii="Arial" w:hAnsi="Arial" w:cs="Arial"/>
          <w:color w:val="auto"/>
          <w:sz w:val="16"/>
        </w:rPr>
        <w:fldChar w:fldCharType="end"/>
      </w:r>
      <w:r w:rsidRPr="00B263EC">
        <w:rPr>
          <w:rFonts w:ascii="Arial" w:hAnsi="Arial" w:cs="Arial"/>
          <w:color w:val="auto"/>
          <w:sz w:val="16"/>
          <w:szCs w:val="16"/>
        </w:rPr>
        <w:t>.</w:t>
      </w:r>
      <w:proofErr w:type="gramEnd"/>
      <w:r w:rsidRPr="00B263EC">
        <w:rPr>
          <w:rFonts w:ascii="Arial" w:hAnsi="Arial" w:cs="Arial"/>
          <w:color w:val="auto"/>
          <w:sz w:val="16"/>
          <w:szCs w:val="16"/>
        </w:rPr>
        <w:t xml:space="preserve"> </w:t>
      </w:r>
      <w:proofErr w:type="gramStart"/>
      <w:r>
        <w:rPr>
          <w:rFonts w:ascii="Arial" w:hAnsi="Arial" w:cs="Arial"/>
          <w:color w:val="auto"/>
          <w:sz w:val="16"/>
          <w:szCs w:val="16"/>
        </w:rPr>
        <w:t xml:space="preserve">Effect of glucose on </w:t>
      </w:r>
      <w:r w:rsidRPr="00220388">
        <w:rPr>
          <w:rFonts w:ascii="Arial" w:hAnsi="Arial" w:cs="Arial"/>
          <w:color w:val="auto"/>
          <w:sz w:val="16"/>
          <w:szCs w:val="16"/>
        </w:rPr>
        <w:t>CoA levels.</w:t>
      </w:r>
      <w:proofErr w:type="gramEnd"/>
      <w:r w:rsidRPr="00220388">
        <w:rPr>
          <w:rFonts w:ascii="Arial" w:hAnsi="Arial" w:cs="Arial"/>
          <w:color w:val="auto"/>
          <w:sz w:val="16"/>
          <w:szCs w:val="16"/>
        </w:rPr>
        <w:t xml:space="preserve"> </w:t>
      </w:r>
      <w:proofErr w:type="gramStart"/>
      <w:r>
        <w:rPr>
          <w:rFonts w:ascii="Arial" w:hAnsi="Arial" w:cs="Arial"/>
          <w:i/>
          <w:color w:val="auto"/>
          <w:sz w:val="16"/>
          <w:szCs w:val="16"/>
        </w:rPr>
        <w:t>E</w:t>
      </w:r>
      <w:r w:rsidRPr="00220388">
        <w:rPr>
          <w:rFonts w:ascii="Arial" w:hAnsi="Arial" w:cs="Arial"/>
          <w:i/>
          <w:color w:val="auto"/>
          <w:sz w:val="16"/>
          <w:szCs w:val="16"/>
        </w:rPr>
        <w:t xml:space="preserve">ffect of </w:t>
      </w:r>
      <w:r>
        <w:rPr>
          <w:rFonts w:ascii="Arial" w:hAnsi="Arial" w:cs="Arial"/>
          <w:i/>
          <w:color w:val="auto"/>
          <w:sz w:val="16"/>
          <w:szCs w:val="16"/>
        </w:rPr>
        <w:t xml:space="preserve">glucose </w:t>
      </w:r>
      <w:r w:rsidRPr="00220388">
        <w:rPr>
          <w:rFonts w:ascii="Arial" w:hAnsi="Arial" w:cs="Arial"/>
          <w:i/>
          <w:color w:val="auto"/>
          <w:sz w:val="16"/>
          <w:szCs w:val="16"/>
        </w:rPr>
        <w:t xml:space="preserve">on </w:t>
      </w:r>
      <w:r>
        <w:rPr>
          <w:rFonts w:ascii="Arial" w:hAnsi="Arial" w:cs="Arial"/>
          <w:i/>
          <w:color w:val="auto"/>
          <w:sz w:val="16"/>
          <w:szCs w:val="16"/>
        </w:rPr>
        <w:t>CoA levels when simulations were run with butyrate_v3-1 model.</w:t>
      </w:r>
      <w:bookmarkEnd w:id="131"/>
      <w:proofErr w:type="gramEnd"/>
    </w:p>
    <w:p w:rsidR="009C0CA0" w:rsidRDefault="009C0CA0" w:rsidP="009C0CA0">
      <w:pPr>
        <w:spacing w:line="360" w:lineRule="auto"/>
        <w:ind w:firstLine="720"/>
        <w:jc w:val="both"/>
        <w:rPr>
          <w:rFonts w:ascii="Arial" w:hAnsi="Arial" w:cs="Arial"/>
          <w:sz w:val="24"/>
          <w:szCs w:val="24"/>
          <w:lang w:eastAsia="es-MX"/>
        </w:rPr>
      </w:pPr>
      <w:r w:rsidRPr="009C0CA0">
        <w:rPr>
          <w:rFonts w:ascii="Arial" w:hAnsi="Arial" w:cs="Arial"/>
          <w:sz w:val="24"/>
          <w:szCs w:val="24"/>
          <w:lang w:eastAsia="es-MX"/>
        </w:rPr>
        <w:t xml:space="preserve">Even these results must be validated by experimental </w:t>
      </w:r>
      <w:r w:rsidR="00727535" w:rsidRPr="009C0CA0">
        <w:rPr>
          <w:rFonts w:ascii="Arial" w:hAnsi="Arial" w:cs="Arial"/>
          <w:sz w:val="24"/>
          <w:szCs w:val="24"/>
          <w:lang w:eastAsia="es-MX"/>
        </w:rPr>
        <w:t>data</w:t>
      </w:r>
      <w:r w:rsidRPr="009C0CA0">
        <w:rPr>
          <w:rFonts w:ascii="Arial" w:hAnsi="Arial" w:cs="Arial"/>
          <w:sz w:val="24"/>
          <w:szCs w:val="24"/>
          <w:lang w:eastAsia="es-MX"/>
        </w:rPr>
        <w:t xml:space="preserve"> they can also be validated based on previous findings. There is evidence that the increase in acetyl-CoA levels by the action of butyrate, as simulated using butyrate_v3-1 model (Figure 2</w:t>
      </w:r>
      <w:r w:rsidR="00727535">
        <w:rPr>
          <w:rFonts w:ascii="Arial" w:hAnsi="Arial" w:cs="Arial"/>
          <w:sz w:val="24"/>
          <w:szCs w:val="24"/>
          <w:lang w:eastAsia="es-MX"/>
        </w:rPr>
        <w:t>2</w:t>
      </w:r>
      <w:r w:rsidRPr="009C0CA0">
        <w:rPr>
          <w:rFonts w:ascii="Arial" w:hAnsi="Arial" w:cs="Arial"/>
          <w:sz w:val="24"/>
          <w:szCs w:val="24"/>
          <w:lang w:eastAsia="es-MX"/>
        </w:rPr>
        <w:t xml:space="preserve">, left panel) could be related to its regulatory role on protein acetylation </w:t>
      </w:r>
      <w:r w:rsidR="006174E0">
        <w:rPr>
          <w:rFonts w:ascii="Arial" w:hAnsi="Arial" w:cs="Arial"/>
          <w:sz w:val="24"/>
          <w:szCs w:val="24"/>
          <w:lang w:eastAsia="es-MX"/>
        </w:rPr>
        <w:fldChar w:fldCharType="begin"/>
      </w:r>
      <w:r w:rsidR="006174E0">
        <w:rPr>
          <w:rFonts w:ascii="Arial" w:hAnsi="Arial" w:cs="Arial"/>
          <w:sz w:val="24"/>
          <w:szCs w:val="24"/>
          <w:lang w:eastAsia="es-MX"/>
        </w:rPr>
        <w:instrText xml:space="preserve"> ADDIN EN.CITE &lt;EndNote&gt;&lt;Cite&gt;&lt;Author&gt;Corfe B&lt;/Author&gt;&lt;Year&gt;2009&lt;/Year&gt;&lt;RecNum&gt;49&lt;/RecNum&gt;&lt;DisplayText&gt;(10)&lt;/DisplayText&gt;&lt;record&gt;&lt;rec-number&gt;49&lt;/rec-number&gt;&lt;foreign-keys&gt;&lt;key app="EN" db-id="zxp9w5sa30aeafes0xox2eem00dz2z2aswad"&gt;49&lt;/key&gt;&lt;key app="ENWeb" db-id="UG1-3grtqigAAEqvEt0"&gt;128&lt;/key&gt;&lt;/foreign-keys&gt;&lt;ref-type name="Journal Article"&gt;17&lt;/ref-type&gt;&lt;contributors&gt;&lt;authors&gt;&lt;author&gt;Corfe B,&lt;/author&gt;&lt;author&gt;Williams E,&lt;/author&gt;&lt;author&gt;Bury J,&lt;/author&gt;&lt;author&gt;Riley S,&lt;/author&gt;&lt;author&gt;Croucher L,&lt;/author&gt;&lt;author&gt;Lai D,&lt;/author&gt;&lt;author&gt;Evans C,&lt;/author&gt;&lt;/authors&gt;&lt;/contributors&gt;&lt;titles&gt;&lt;title&gt;A study protocol to investigate the relationship between dietary fibre intake and fermentation, colon cell turnover, global protein acetylation and early carcinogenesis: the FACT study&lt;/title&gt;&lt;secondary-title&gt;BMC Cancer&lt;/secondary-title&gt;&lt;/titles&gt;&lt;periodical&gt;&lt;full-title&gt;BMC Cancer&lt;/full-title&gt;&lt;/periodical&gt;&lt;pages&gt;doi: 10.1186/1471-2407-9-332.&lt;/pages&gt;&lt;volume&gt;9&lt;/volume&gt;&lt;number&gt;332&lt;/number&gt;&lt;dates&gt;&lt;year&gt;2009&lt;/year&gt;&lt;/dates&gt;&lt;urls&gt;&lt;/urls&gt;&lt;/record&gt;&lt;/Cite&gt;&lt;/EndNote&gt;</w:instrText>
      </w:r>
      <w:r w:rsidR="006174E0">
        <w:rPr>
          <w:rFonts w:ascii="Arial" w:hAnsi="Arial" w:cs="Arial"/>
          <w:sz w:val="24"/>
          <w:szCs w:val="24"/>
          <w:lang w:eastAsia="es-MX"/>
        </w:rPr>
        <w:fldChar w:fldCharType="separate"/>
      </w:r>
      <w:r w:rsidR="006174E0">
        <w:rPr>
          <w:rFonts w:ascii="Arial" w:hAnsi="Arial" w:cs="Arial"/>
          <w:noProof/>
          <w:sz w:val="24"/>
          <w:szCs w:val="24"/>
          <w:lang w:eastAsia="es-MX"/>
        </w:rPr>
        <w:t>(</w:t>
      </w:r>
      <w:hyperlink w:anchor="_ENREF_10" w:tooltip="Corfe B, 2009 #49" w:history="1">
        <w:r w:rsidR="00AB7E17">
          <w:rPr>
            <w:rFonts w:ascii="Arial" w:hAnsi="Arial" w:cs="Arial"/>
            <w:noProof/>
            <w:sz w:val="24"/>
            <w:szCs w:val="24"/>
            <w:lang w:eastAsia="es-MX"/>
          </w:rPr>
          <w:t>10</w:t>
        </w:r>
      </w:hyperlink>
      <w:r w:rsidR="006174E0">
        <w:rPr>
          <w:rFonts w:ascii="Arial" w:hAnsi="Arial" w:cs="Arial"/>
          <w:noProof/>
          <w:sz w:val="24"/>
          <w:szCs w:val="24"/>
          <w:lang w:eastAsia="es-MX"/>
        </w:rPr>
        <w:t>)</w:t>
      </w:r>
      <w:r w:rsidR="006174E0">
        <w:rPr>
          <w:rFonts w:ascii="Arial" w:hAnsi="Arial" w:cs="Arial"/>
          <w:sz w:val="24"/>
          <w:szCs w:val="24"/>
          <w:lang w:eastAsia="es-MX"/>
        </w:rPr>
        <w:fldChar w:fldCharType="end"/>
      </w:r>
      <w:r w:rsidRPr="009C0CA0">
        <w:rPr>
          <w:rFonts w:ascii="Arial" w:hAnsi="Arial" w:cs="Arial"/>
          <w:sz w:val="24"/>
          <w:szCs w:val="24"/>
          <w:lang w:eastAsia="es-MX"/>
        </w:rPr>
        <w:t xml:space="preserve"> and it</w:t>
      </w:r>
      <w:r w:rsidR="006174E0">
        <w:rPr>
          <w:rFonts w:ascii="Arial" w:hAnsi="Arial" w:cs="Arial"/>
          <w:sz w:val="24"/>
          <w:szCs w:val="24"/>
          <w:lang w:eastAsia="es-MX"/>
        </w:rPr>
        <w:t xml:space="preserve">s role on histone acetylation </w:t>
      </w:r>
      <w:r w:rsidR="006174E0">
        <w:rPr>
          <w:rFonts w:ascii="Arial" w:hAnsi="Arial" w:cs="Arial"/>
          <w:sz w:val="24"/>
          <w:szCs w:val="24"/>
          <w:lang w:eastAsia="es-MX"/>
        </w:rPr>
        <w:fldChar w:fldCharType="begin"/>
      </w:r>
      <w:r w:rsidR="006174E0">
        <w:rPr>
          <w:rFonts w:ascii="Arial" w:hAnsi="Arial" w:cs="Arial"/>
          <w:sz w:val="24"/>
          <w:szCs w:val="24"/>
          <w:lang w:eastAsia="es-MX"/>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174E0">
        <w:rPr>
          <w:rFonts w:ascii="Arial" w:hAnsi="Arial" w:cs="Arial"/>
          <w:sz w:val="24"/>
          <w:szCs w:val="24"/>
          <w:lang w:eastAsia="es-MX"/>
        </w:rPr>
        <w:fldChar w:fldCharType="separate"/>
      </w:r>
      <w:r w:rsidR="006174E0">
        <w:rPr>
          <w:rFonts w:ascii="Arial" w:hAnsi="Arial" w:cs="Arial"/>
          <w:noProof/>
          <w:sz w:val="24"/>
          <w:szCs w:val="24"/>
          <w:lang w:eastAsia="es-MX"/>
        </w:rPr>
        <w:t>(</w:t>
      </w:r>
      <w:hyperlink w:anchor="_ENREF_4" w:tooltip="Donohoe D, 2012 #71" w:history="1">
        <w:r w:rsidR="00AB7E17">
          <w:rPr>
            <w:rFonts w:ascii="Arial" w:hAnsi="Arial" w:cs="Arial"/>
            <w:noProof/>
            <w:sz w:val="24"/>
            <w:szCs w:val="24"/>
            <w:lang w:eastAsia="es-MX"/>
          </w:rPr>
          <w:t>4</w:t>
        </w:r>
      </w:hyperlink>
      <w:r w:rsidR="006174E0">
        <w:rPr>
          <w:rFonts w:ascii="Arial" w:hAnsi="Arial" w:cs="Arial"/>
          <w:noProof/>
          <w:sz w:val="24"/>
          <w:szCs w:val="24"/>
          <w:lang w:eastAsia="es-MX"/>
        </w:rPr>
        <w:t>)</w:t>
      </w:r>
      <w:r w:rsidR="006174E0">
        <w:rPr>
          <w:rFonts w:ascii="Arial" w:hAnsi="Arial" w:cs="Arial"/>
          <w:sz w:val="24"/>
          <w:szCs w:val="24"/>
          <w:lang w:eastAsia="es-MX"/>
        </w:rPr>
        <w:fldChar w:fldCharType="end"/>
      </w:r>
      <w:r w:rsidRPr="009C0CA0">
        <w:rPr>
          <w:rFonts w:ascii="Arial" w:hAnsi="Arial" w:cs="Arial"/>
          <w:sz w:val="24"/>
          <w:szCs w:val="24"/>
          <w:lang w:eastAsia="es-MX"/>
        </w:rPr>
        <w:t xml:space="preserve">. The production of butyryl-CoA as simulated using SCFA Uptake </w:t>
      </w:r>
      <w:r w:rsidR="00727535">
        <w:rPr>
          <w:rFonts w:ascii="Arial" w:hAnsi="Arial" w:cs="Arial"/>
          <w:sz w:val="24"/>
          <w:szCs w:val="24"/>
          <w:lang w:eastAsia="es-MX"/>
        </w:rPr>
        <w:t>and Oxidation v4 model (Figure 20</w:t>
      </w:r>
      <w:r w:rsidR="006174E0" w:rsidRPr="009C0CA0">
        <w:rPr>
          <w:rFonts w:ascii="Arial" w:hAnsi="Arial" w:cs="Arial"/>
          <w:sz w:val="24"/>
          <w:szCs w:val="24"/>
          <w:lang w:eastAsia="es-MX"/>
        </w:rPr>
        <w:t>)</w:t>
      </w:r>
      <w:r w:rsidRPr="009C0CA0">
        <w:rPr>
          <w:rFonts w:ascii="Arial" w:hAnsi="Arial" w:cs="Arial"/>
          <w:sz w:val="24"/>
          <w:szCs w:val="24"/>
          <w:lang w:eastAsia="es-MX"/>
        </w:rPr>
        <w:t xml:space="preserve"> could be related to the inhibitory mechanism of butyrate </w:t>
      </w:r>
      <w:r w:rsidR="006174E0">
        <w:rPr>
          <w:rFonts w:ascii="Arial" w:hAnsi="Arial" w:cs="Arial"/>
          <w:sz w:val="24"/>
          <w:szCs w:val="24"/>
          <w:lang w:eastAsia="es-MX"/>
        </w:rPr>
        <w:fldChar w:fldCharType="begin"/>
      </w:r>
      <w:r w:rsidR="006174E0">
        <w:rPr>
          <w:rFonts w:ascii="Arial" w:hAnsi="Arial" w:cs="Arial"/>
          <w:sz w:val="24"/>
          <w:szCs w:val="24"/>
          <w:lang w:eastAsia="es-MX"/>
        </w:rPr>
        <w:instrText xml:space="preserve"> ADDIN EN.CITE &lt;EndNote&gt;&lt;Cite&gt;&lt;Author&gt;Corfe B&lt;/Author&gt;&lt;Year&gt;2012&lt;/Year&gt;&lt;RecNum&gt;48&lt;/RecNum&gt;&lt;DisplayText&gt;(40)&lt;/DisplayText&gt;&lt;record&gt;&lt;rec-number&gt;48&lt;/rec-number&gt;&lt;foreign-keys&gt;&lt;key app="EN" db-id="zxp9w5sa30aeafes0xox2eem00dz2z2aswad"&gt;48&lt;/key&gt;&lt;key app="ENWeb" db-id="UG1-3grtqigAAEqvEt0"&gt;130&lt;/key&gt;&lt;/foreign-keys&gt;&lt;ref-type name="Journal Article"&gt;17&lt;/ref-type&gt;&lt;contributors&gt;&lt;authors&gt;&lt;author&gt;Corfe B,&lt;/author&gt;&lt;/authors&gt;&lt;/contributors&gt;&lt;titles&gt;&lt;title&gt;Hypothesis: butyrate is not an HDAC inhibitor, but a product inhibitor of deacetylation&lt;/title&gt;&lt;secondary-title&gt;Mol. BioSyst&lt;/secondary-title&gt;&lt;/titles&gt;&lt;periodical&gt;&lt;full-title&gt;Mol. BioSyst&lt;/full-title&gt;&lt;/periodical&gt;&lt;pages&gt;1609-12&lt;/pages&gt;&lt;volume&gt;8&lt;/volume&gt;&lt;number&gt;6&lt;/number&gt;&lt;dates&gt;&lt;year&gt;2012&lt;/year&gt;&lt;/dates&gt;&lt;urls&gt;&lt;/urls&gt;&lt;/record&gt;&lt;/Cite&gt;&lt;/EndNote&gt;</w:instrText>
      </w:r>
      <w:r w:rsidR="006174E0">
        <w:rPr>
          <w:rFonts w:ascii="Arial" w:hAnsi="Arial" w:cs="Arial"/>
          <w:sz w:val="24"/>
          <w:szCs w:val="24"/>
          <w:lang w:eastAsia="es-MX"/>
        </w:rPr>
        <w:fldChar w:fldCharType="separate"/>
      </w:r>
      <w:r w:rsidR="006174E0">
        <w:rPr>
          <w:rFonts w:ascii="Arial" w:hAnsi="Arial" w:cs="Arial"/>
          <w:noProof/>
          <w:sz w:val="24"/>
          <w:szCs w:val="24"/>
          <w:lang w:eastAsia="es-MX"/>
        </w:rPr>
        <w:t>(</w:t>
      </w:r>
      <w:hyperlink w:anchor="_ENREF_40" w:tooltip="Corfe B, 2012 #48" w:history="1">
        <w:r w:rsidR="00AB7E17">
          <w:rPr>
            <w:rFonts w:ascii="Arial" w:hAnsi="Arial" w:cs="Arial"/>
            <w:noProof/>
            <w:sz w:val="24"/>
            <w:szCs w:val="24"/>
            <w:lang w:eastAsia="es-MX"/>
          </w:rPr>
          <w:t>40</w:t>
        </w:r>
      </w:hyperlink>
      <w:r w:rsidR="006174E0">
        <w:rPr>
          <w:rFonts w:ascii="Arial" w:hAnsi="Arial" w:cs="Arial"/>
          <w:noProof/>
          <w:sz w:val="24"/>
          <w:szCs w:val="24"/>
          <w:lang w:eastAsia="es-MX"/>
        </w:rPr>
        <w:t>)</w:t>
      </w:r>
      <w:r w:rsidR="006174E0">
        <w:rPr>
          <w:rFonts w:ascii="Arial" w:hAnsi="Arial" w:cs="Arial"/>
          <w:sz w:val="24"/>
          <w:szCs w:val="24"/>
          <w:lang w:eastAsia="es-MX"/>
        </w:rPr>
        <w:fldChar w:fldCharType="end"/>
      </w:r>
      <w:r w:rsidRPr="009C0CA0">
        <w:rPr>
          <w:rFonts w:ascii="Arial" w:hAnsi="Arial" w:cs="Arial"/>
          <w:sz w:val="24"/>
          <w:szCs w:val="24"/>
          <w:lang w:eastAsia="es-MX"/>
        </w:rPr>
        <w:t>. Furthermore, the increase in the pro</w:t>
      </w:r>
      <w:r w:rsidR="00727535">
        <w:rPr>
          <w:rFonts w:ascii="Arial" w:hAnsi="Arial" w:cs="Arial"/>
          <w:sz w:val="24"/>
          <w:szCs w:val="24"/>
          <w:lang w:eastAsia="es-MX"/>
        </w:rPr>
        <w:t>duction of acyl forms (Figure 20</w:t>
      </w:r>
      <w:r w:rsidRPr="009C0CA0">
        <w:rPr>
          <w:rFonts w:ascii="Arial" w:hAnsi="Arial" w:cs="Arial"/>
          <w:sz w:val="24"/>
          <w:szCs w:val="24"/>
          <w:lang w:eastAsia="es-MX"/>
        </w:rPr>
        <w:t xml:space="preserve">) could simulate cells to </w:t>
      </w:r>
      <w:r w:rsidR="00760870">
        <w:rPr>
          <w:rFonts w:ascii="Arial" w:hAnsi="Arial" w:cs="Arial"/>
          <w:sz w:val="24"/>
          <w:szCs w:val="24"/>
          <w:lang w:eastAsia="es-MX"/>
        </w:rPr>
        <w:t xml:space="preserve">be driven to </w:t>
      </w:r>
      <w:r w:rsidRPr="009C0CA0">
        <w:rPr>
          <w:rFonts w:ascii="Arial" w:hAnsi="Arial" w:cs="Arial"/>
          <w:sz w:val="24"/>
          <w:szCs w:val="24"/>
          <w:lang w:eastAsia="es-MX"/>
        </w:rPr>
        <w:t>the acylated</w:t>
      </w:r>
      <w:r w:rsidR="006174E0">
        <w:rPr>
          <w:rFonts w:ascii="Arial" w:hAnsi="Arial" w:cs="Arial"/>
          <w:sz w:val="24"/>
          <w:szCs w:val="24"/>
          <w:lang w:eastAsia="es-MX"/>
        </w:rPr>
        <w:t xml:space="preserve"> state by the action of SCFAs </w:t>
      </w:r>
      <w:r w:rsidR="006174E0">
        <w:rPr>
          <w:rFonts w:ascii="Arial" w:hAnsi="Arial" w:cs="Arial"/>
          <w:sz w:val="24"/>
          <w:szCs w:val="24"/>
          <w:lang w:eastAsia="es-MX"/>
        </w:rPr>
        <w:fldChar w:fldCharType="begin"/>
      </w:r>
      <w:r w:rsidR="006174E0">
        <w:rPr>
          <w:rFonts w:ascii="Arial" w:hAnsi="Arial" w:cs="Arial"/>
          <w:sz w:val="24"/>
          <w:szCs w:val="24"/>
          <w:lang w:eastAsia="es-MX"/>
        </w:rPr>
        <w:instrText xml:space="preserve"> ADDIN EN.CITE &lt;EndNote&gt;&lt;Cite&gt;&lt;Author&gt;Corfe B&lt;/Author&gt;&lt;Year&gt;2012&lt;/Year&gt;&lt;RecNum&gt;48&lt;/RecNum&gt;&lt;DisplayText&gt;(40)&lt;/DisplayText&gt;&lt;record&gt;&lt;rec-number&gt;48&lt;/rec-number&gt;&lt;foreign-keys&gt;&lt;key app="EN" db-id="zxp9w5sa30aeafes0xox2eem00dz2z2aswad"&gt;48&lt;/key&gt;&lt;key app="ENWeb" db-id="UG1-3grtqigAAEqvEt0"&gt;130&lt;/key&gt;&lt;/foreign-keys&gt;&lt;ref-type name="Journal Article"&gt;17&lt;/ref-type&gt;&lt;contributors&gt;&lt;authors&gt;&lt;author&gt;Corfe B,&lt;/author&gt;&lt;/authors&gt;&lt;/contributors&gt;&lt;titles&gt;&lt;title&gt;Hypothesis: butyrate is not an HDAC inhibitor, but a product inhibitor of deacetylation&lt;/title&gt;&lt;secondary-title&gt;Mol. BioSyst&lt;/secondary-title&gt;&lt;/titles&gt;&lt;periodical&gt;&lt;full-title&gt;Mol. BioSyst&lt;/full-title&gt;&lt;/periodical&gt;&lt;pages&gt;1609-12&lt;/pages&gt;&lt;volume&gt;8&lt;/volume&gt;&lt;number&gt;6&lt;/number&gt;&lt;dates&gt;&lt;year&gt;2012&lt;/year&gt;&lt;/dates&gt;&lt;urls&gt;&lt;/urls&gt;&lt;/record&gt;&lt;/Cite&gt;&lt;/EndNote&gt;</w:instrText>
      </w:r>
      <w:r w:rsidR="006174E0">
        <w:rPr>
          <w:rFonts w:ascii="Arial" w:hAnsi="Arial" w:cs="Arial"/>
          <w:sz w:val="24"/>
          <w:szCs w:val="24"/>
          <w:lang w:eastAsia="es-MX"/>
        </w:rPr>
        <w:fldChar w:fldCharType="separate"/>
      </w:r>
      <w:r w:rsidR="006174E0">
        <w:rPr>
          <w:rFonts w:ascii="Arial" w:hAnsi="Arial" w:cs="Arial"/>
          <w:noProof/>
          <w:sz w:val="24"/>
          <w:szCs w:val="24"/>
          <w:lang w:eastAsia="es-MX"/>
        </w:rPr>
        <w:t>(</w:t>
      </w:r>
      <w:hyperlink w:anchor="_ENREF_40" w:tooltip="Corfe B, 2012 #48" w:history="1">
        <w:r w:rsidR="00AB7E17">
          <w:rPr>
            <w:rFonts w:ascii="Arial" w:hAnsi="Arial" w:cs="Arial"/>
            <w:noProof/>
            <w:sz w:val="24"/>
            <w:szCs w:val="24"/>
            <w:lang w:eastAsia="es-MX"/>
          </w:rPr>
          <w:t>40</w:t>
        </w:r>
      </w:hyperlink>
      <w:r w:rsidR="006174E0">
        <w:rPr>
          <w:rFonts w:ascii="Arial" w:hAnsi="Arial" w:cs="Arial"/>
          <w:noProof/>
          <w:sz w:val="24"/>
          <w:szCs w:val="24"/>
          <w:lang w:eastAsia="es-MX"/>
        </w:rPr>
        <w:t>)</w:t>
      </w:r>
      <w:r w:rsidR="006174E0">
        <w:rPr>
          <w:rFonts w:ascii="Arial" w:hAnsi="Arial" w:cs="Arial"/>
          <w:sz w:val="24"/>
          <w:szCs w:val="24"/>
          <w:lang w:eastAsia="es-MX"/>
        </w:rPr>
        <w:fldChar w:fldCharType="end"/>
      </w:r>
      <w:r w:rsidRPr="009C0CA0">
        <w:rPr>
          <w:rFonts w:ascii="Arial" w:hAnsi="Arial" w:cs="Arial"/>
          <w:sz w:val="24"/>
          <w:szCs w:val="24"/>
          <w:lang w:eastAsia="es-MX"/>
        </w:rPr>
        <w:t xml:space="preserve">. Moreover, a decrease in acetyl-CoA levels (Figure </w:t>
      </w:r>
      <w:r w:rsidR="00727535">
        <w:rPr>
          <w:rFonts w:ascii="Arial" w:hAnsi="Arial" w:cs="Arial"/>
          <w:sz w:val="24"/>
          <w:szCs w:val="24"/>
          <w:lang w:eastAsia="es-MX"/>
        </w:rPr>
        <w:t>20</w:t>
      </w:r>
      <w:r w:rsidRPr="009C0CA0">
        <w:rPr>
          <w:rFonts w:ascii="Arial" w:hAnsi="Arial" w:cs="Arial"/>
          <w:sz w:val="24"/>
          <w:szCs w:val="24"/>
          <w:lang w:eastAsia="es-MX"/>
        </w:rPr>
        <w:t xml:space="preserve">) could be due to the production of acetate and propionyl-CoA </w:t>
      </w:r>
      <w:r w:rsidR="006174E0">
        <w:rPr>
          <w:rFonts w:ascii="Arial" w:hAnsi="Arial" w:cs="Arial"/>
          <w:sz w:val="24"/>
          <w:szCs w:val="24"/>
          <w:lang w:eastAsia="es-MX"/>
        </w:rPr>
        <w:fldChar w:fldCharType="begin"/>
      </w:r>
      <w:r w:rsidR="006174E0">
        <w:rPr>
          <w:rFonts w:ascii="Arial" w:hAnsi="Arial" w:cs="Arial"/>
          <w:sz w:val="24"/>
          <w:szCs w:val="24"/>
          <w:lang w:eastAsia="es-MX"/>
        </w:rPr>
        <w:instrText xml:space="preserve"> ADDIN EN.CITE &lt;EndNote&gt;&lt;Cite&gt;&lt;Author&gt;Stadtman E&lt;/Author&gt;&lt;Year&gt;1953&lt;/Year&gt;&lt;RecNum&gt;397&lt;/RecNum&gt;&lt;DisplayText&gt;(87)&lt;/DisplayText&gt;&lt;record&gt;&lt;rec-number&gt;397&lt;/rec-number&gt;&lt;foreign-keys&gt;&lt;key app="EN" db-id="zxp9w5sa30aeafes0xox2eem00dz2z2aswad"&gt;397&lt;/key&gt;&lt;/foreign-keys&gt;&lt;ref-type name="Journal Article"&gt;17&lt;/ref-type&gt;&lt;contributors&gt;&lt;authors&gt;&lt;author&gt;Stadtman E,&lt;/author&gt;&lt;/authors&gt;&lt;/contributors&gt;&lt;titles&gt;&lt;title&gt;Functional group of coenzyme A and its metabolic relations, especially in the fatty acid cycle: Discussion&lt;/title&gt;&lt;secondary-title&gt;Fed Proc&lt;/secondary-title&gt;&lt;/titles&gt;&lt;periodical&gt;&lt;full-title&gt;Fed Proc&lt;/full-title&gt;&lt;/periodical&gt;&lt;pages&gt;692-693&lt;/pages&gt;&lt;volume&gt;12&lt;/volume&gt;&lt;number&gt;3&lt;/number&gt;&lt;dates&gt;&lt;year&gt;1953&lt;/year&gt;&lt;/dates&gt;&lt;urls&gt;&lt;/urls&gt;&lt;/record&gt;&lt;/Cite&gt;&lt;/EndNote&gt;</w:instrText>
      </w:r>
      <w:r w:rsidR="006174E0">
        <w:rPr>
          <w:rFonts w:ascii="Arial" w:hAnsi="Arial" w:cs="Arial"/>
          <w:sz w:val="24"/>
          <w:szCs w:val="24"/>
          <w:lang w:eastAsia="es-MX"/>
        </w:rPr>
        <w:fldChar w:fldCharType="separate"/>
      </w:r>
      <w:r w:rsidR="006174E0">
        <w:rPr>
          <w:rFonts w:ascii="Arial" w:hAnsi="Arial" w:cs="Arial"/>
          <w:noProof/>
          <w:sz w:val="24"/>
          <w:szCs w:val="24"/>
          <w:lang w:eastAsia="es-MX"/>
        </w:rPr>
        <w:t>(</w:t>
      </w:r>
      <w:hyperlink w:anchor="_ENREF_87" w:tooltip="Stadtman E, 1953 #397" w:history="1">
        <w:r w:rsidR="00AB7E17">
          <w:rPr>
            <w:rFonts w:ascii="Arial" w:hAnsi="Arial" w:cs="Arial"/>
            <w:noProof/>
            <w:sz w:val="24"/>
            <w:szCs w:val="24"/>
            <w:lang w:eastAsia="es-MX"/>
          </w:rPr>
          <w:t>87</w:t>
        </w:r>
      </w:hyperlink>
      <w:r w:rsidR="006174E0">
        <w:rPr>
          <w:rFonts w:ascii="Arial" w:hAnsi="Arial" w:cs="Arial"/>
          <w:noProof/>
          <w:sz w:val="24"/>
          <w:szCs w:val="24"/>
          <w:lang w:eastAsia="es-MX"/>
        </w:rPr>
        <w:t>)</w:t>
      </w:r>
      <w:r w:rsidR="006174E0">
        <w:rPr>
          <w:rFonts w:ascii="Arial" w:hAnsi="Arial" w:cs="Arial"/>
          <w:sz w:val="24"/>
          <w:szCs w:val="24"/>
          <w:lang w:eastAsia="es-MX"/>
        </w:rPr>
        <w:fldChar w:fldCharType="end"/>
      </w:r>
      <w:r w:rsidRPr="009C0CA0">
        <w:rPr>
          <w:rFonts w:ascii="Arial" w:hAnsi="Arial" w:cs="Arial"/>
          <w:sz w:val="24"/>
          <w:szCs w:val="24"/>
          <w:lang w:eastAsia="es-MX"/>
        </w:rPr>
        <w:t xml:space="preserve">. </w:t>
      </w:r>
    </w:p>
    <w:p w:rsidR="004F12FE" w:rsidRPr="004F12FE" w:rsidRDefault="004F12FE" w:rsidP="004F12FE">
      <w:pPr>
        <w:pStyle w:val="Heading1"/>
        <w:rPr>
          <w:rFonts w:ascii="Arial" w:eastAsiaTheme="minorHAnsi" w:hAnsi="Arial" w:cs="Arial"/>
          <w:sz w:val="24"/>
          <w:szCs w:val="24"/>
          <w:lang w:eastAsia="es-MX"/>
        </w:rPr>
      </w:pPr>
      <w:bookmarkStart w:id="132" w:name="_Toc413753769"/>
      <w:r w:rsidRPr="004F12FE">
        <w:rPr>
          <w:rFonts w:ascii="Arial" w:eastAsiaTheme="minorHAnsi" w:hAnsi="Arial" w:cs="Arial"/>
          <w:sz w:val="24"/>
          <w:szCs w:val="24"/>
          <w:lang w:eastAsia="es-MX"/>
        </w:rPr>
        <w:t>Validation of the models</w:t>
      </w:r>
      <w:bookmarkEnd w:id="132"/>
    </w:p>
    <w:p w:rsidR="00EF1380" w:rsidRPr="00C42AE1" w:rsidRDefault="00EF1380" w:rsidP="00EF1380">
      <w:pPr>
        <w:spacing w:line="360" w:lineRule="auto"/>
        <w:ind w:firstLine="720"/>
        <w:jc w:val="both"/>
        <w:rPr>
          <w:rFonts w:ascii="Arial" w:hAnsi="Arial" w:cs="Arial"/>
          <w:sz w:val="24"/>
          <w:szCs w:val="24"/>
          <w:lang w:eastAsia="es-MX"/>
        </w:rPr>
      </w:pPr>
      <w:r w:rsidRPr="00C42AE1">
        <w:rPr>
          <w:rFonts w:ascii="Arial" w:hAnsi="Arial" w:cs="Arial"/>
          <w:sz w:val="24"/>
          <w:szCs w:val="24"/>
          <w:lang w:eastAsia="es-MX"/>
        </w:rPr>
        <w:t>In o</w:t>
      </w:r>
      <w:r>
        <w:rPr>
          <w:rFonts w:ascii="Arial" w:hAnsi="Arial" w:cs="Arial"/>
          <w:sz w:val="24"/>
          <w:szCs w:val="24"/>
          <w:lang w:eastAsia="es-MX"/>
        </w:rPr>
        <w:t xml:space="preserve">rder to </w:t>
      </w:r>
      <w:r w:rsidR="00A20A27">
        <w:rPr>
          <w:rFonts w:ascii="Arial" w:hAnsi="Arial" w:cs="Arial"/>
          <w:sz w:val="24"/>
          <w:szCs w:val="24"/>
          <w:lang w:eastAsia="es-MX"/>
        </w:rPr>
        <w:t>validate</w:t>
      </w:r>
      <w:r>
        <w:rPr>
          <w:rFonts w:ascii="Arial" w:hAnsi="Arial" w:cs="Arial"/>
          <w:sz w:val="24"/>
          <w:szCs w:val="24"/>
          <w:lang w:eastAsia="es-MX"/>
        </w:rPr>
        <w:t xml:space="preserve"> the simulatio</w:t>
      </w:r>
      <w:r w:rsidRPr="00C42AE1">
        <w:rPr>
          <w:rFonts w:ascii="Arial" w:hAnsi="Arial" w:cs="Arial"/>
          <w:sz w:val="24"/>
          <w:szCs w:val="24"/>
          <w:lang w:eastAsia="es-MX"/>
        </w:rPr>
        <w:t>n</w:t>
      </w:r>
      <w:r>
        <w:rPr>
          <w:rFonts w:ascii="Arial" w:hAnsi="Arial" w:cs="Arial"/>
          <w:sz w:val="24"/>
          <w:szCs w:val="24"/>
          <w:lang w:eastAsia="es-MX"/>
        </w:rPr>
        <w:t>s ru</w:t>
      </w:r>
      <w:r w:rsidRPr="00C42AE1">
        <w:rPr>
          <w:rFonts w:ascii="Arial" w:hAnsi="Arial" w:cs="Arial"/>
          <w:sz w:val="24"/>
          <w:szCs w:val="24"/>
          <w:lang w:eastAsia="es-MX"/>
        </w:rPr>
        <w:t>n using</w:t>
      </w:r>
      <w:r>
        <w:rPr>
          <w:rFonts w:ascii="Arial" w:hAnsi="Arial" w:cs="Arial"/>
          <w:sz w:val="24"/>
          <w:szCs w:val="24"/>
          <w:lang w:eastAsia="es-MX"/>
        </w:rPr>
        <w:t xml:space="preserve"> butyrate_v3-1 and SCFA Uptake and Oxidation, HCT116 cells were cultured by Andrew Nichols and Marilena Epitropou, two MSc students under my supervision, with increasing concentrations of acetate, butyrate and propionate at physiological ranges (1-50mM in the case of acetate, and 1-20mM in the case of butyrate and propionate). </w:t>
      </w:r>
      <w:r>
        <w:rPr>
          <w:rFonts w:ascii="Arial" w:hAnsi="Arial" w:cs="Arial"/>
          <w:sz w:val="24"/>
          <w:szCs w:val="24"/>
          <w:lang w:eastAsia="es-MX"/>
        </w:rPr>
        <w:lastRenderedPageBreak/>
        <w:t xml:space="preserve">The treatment with acetate produced an increase of </w:t>
      </w:r>
      <w:r w:rsidR="00CF1947">
        <w:rPr>
          <w:rFonts w:ascii="Arial" w:hAnsi="Arial" w:cs="Arial"/>
          <w:sz w:val="24"/>
          <w:szCs w:val="24"/>
          <w:lang w:eastAsia="es-MX"/>
        </w:rPr>
        <w:t>0.34</w:t>
      </w:r>
      <w:r w:rsidR="00CF1947">
        <w:rPr>
          <w:rFonts w:ascii="Calibri" w:hAnsi="Calibri" w:cs="Arial"/>
          <w:sz w:val="24"/>
          <w:szCs w:val="24"/>
          <w:lang w:eastAsia="es-MX"/>
        </w:rPr>
        <w:t>μ</w:t>
      </w:r>
      <w:r w:rsidRPr="000C2FC7">
        <w:rPr>
          <w:rFonts w:ascii="Arial" w:hAnsi="Arial" w:cs="Arial"/>
          <w:sz w:val="24"/>
          <w:szCs w:val="24"/>
          <w:lang w:eastAsia="es-MX"/>
        </w:rPr>
        <w:t>M</w:t>
      </w:r>
      <w:r>
        <w:rPr>
          <w:rFonts w:ascii="Arial" w:hAnsi="Arial" w:cs="Arial"/>
          <w:sz w:val="24"/>
          <w:szCs w:val="24"/>
          <w:lang w:eastAsia="es-MX"/>
        </w:rPr>
        <w:t xml:space="preserve"> (3.5x10</w:t>
      </w:r>
      <w:r w:rsidR="00CF1947">
        <w:rPr>
          <w:rFonts w:ascii="Calibri" w:hAnsi="Calibri" w:cs="Arial"/>
          <w:sz w:val="24"/>
          <w:szCs w:val="24"/>
          <w:lang w:eastAsia="es-MX"/>
        </w:rPr>
        <w:t xml:space="preserve">μM </w:t>
      </w:r>
      <w:r>
        <w:rPr>
          <w:rFonts w:ascii="Arial" w:hAnsi="Arial" w:cs="Arial"/>
          <w:sz w:val="24"/>
          <w:szCs w:val="24"/>
          <w:lang w:eastAsia="es-MX"/>
        </w:rPr>
        <w:t>-</w:t>
      </w:r>
      <w:r w:rsidR="00CF1947">
        <w:rPr>
          <w:rFonts w:ascii="Arial" w:hAnsi="Arial" w:cs="Arial"/>
          <w:sz w:val="24"/>
          <w:szCs w:val="24"/>
          <w:lang w:eastAsia="es-MX"/>
        </w:rPr>
        <w:t xml:space="preserve"> </w:t>
      </w:r>
      <w:r>
        <w:rPr>
          <w:rFonts w:ascii="Arial" w:hAnsi="Arial" w:cs="Arial"/>
          <w:sz w:val="24"/>
          <w:szCs w:val="24"/>
          <w:lang w:eastAsia="es-MX"/>
        </w:rPr>
        <w:t>3.84x10</w:t>
      </w:r>
      <w:r w:rsidR="00CF1947">
        <w:rPr>
          <w:rFonts w:ascii="Calibri" w:hAnsi="Calibri" w:cs="Arial"/>
          <w:sz w:val="24"/>
          <w:szCs w:val="24"/>
          <w:lang w:eastAsia="es-MX"/>
        </w:rPr>
        <w:t>μ</w:t>
      </w:r>
      <w:r>
        <w:rPr>
          <w:rFonts w:ascii="Arial" w:hAnsi="Arial" w:cs="Arial"/>
          <w:sz w:val="24"/>
          <w:szCs w:val="24"/>
          <w:lang w:eastAsia="es-MX"/>
        </w:rPr>
        <w:t>M) in CoA levels (Figure 2</w:t>
      </w:r>
      <w:r w:rsidR="00727535">
        <w:rPr>
          <w:rFonts w:ascii="Arial" w:hAnsi="Arial" w:cs="Arial"/>
          <w:sz w:val="24"/>
          <w:szCs w:val="24"/>
          <w:lang w:eastAsia="es-MX"/>
        </w:rPr>
        <w:t>9</w:t>
      </w:r>
      <w:r>
        <w:rPr>
          <w:rFonts w:ascii="Arial" w:hAnsi="Arial" w:cs="Arial"/>
          <w:sz w:val="24"/>
          <w:szCs w:val="24"/>
          <w:lang w:eastAsia="es-MX"/>
        </w:rPr>
        <w:t>, upper left panel). On the other hand, the treatment with butyrate produced an increase of 0.1</w:t>
      </w:r>
      <w:r w:rsidR="00CF1947">
        <w:rPr>
          <w:rFonts w:ascii="Calibri" w:hAnsi="Calibri" w:cs="Arial"/>
          <w:sz w:val="24"/>
          <w:szCs w:val="24"/>
          <w:lang w:eastAsia="es-MX"/>
        </w:rPr>
        <w:t>μ</w:t>
      </w:r>
      <w:r>
        <w:rPr>
          <w:rFonts w:ascii="Arial" w:hAnsi="Arial" w:cs="Arial"/>
          <w:sz w:val="24"/>
          <w:szCs w:val="24"/>
          <w:lang w:eastAsia="es-MX"/>
        </w:rPr>
        <w:t>M (3.5x10</w:t>
      </w:r>
      <w:r w:rsidR="00CF1947">
        <w:rPr>
          <w:rFonts w:ascii="Calibri" w:hAnsi="Calibri" w:cs="Arial"/>
          <w:sz w:val="24"/>
          <w:szCs w:val="24"/>
          <w:lang w:eastAsia="es-MX"/>
        </w:rPr>
        <w:t xml:space="preserve">μM </w:t>
      </w:r>
      <w:r>
        <w:rPr>
          <w:rFonts w:ascii="Arial" w:hAnsi="Arial" w:cs="Arial"/>
          <w:sz w:val="24"/>
          <w:szCs w:val="24"/>
          <w:lang w:eastAsia="es-MX"/>
        </w:rPr>
        <w:t>-</w:t>
      </w:r>
      <w:r w:rsidR="00CF1947">
        <w:rPr>
          <w:rFonts w:ascii="Arial" w:hAnsi="Arial" w:cs="Arial"/>
          <w:sz w:val="24"/>
          <w:szCs w:val="24"/>
          <w:lang w:eastAsia="es-MX"/>
        </w:rPr>
        <w:t xml:space="preserve"> </w:t>
      </w:r>
      <w:r>
        <w:rPr>
          <w:rFonts w:ascii="Arial" w:hAnsi="Arial" w:cs="Arial"/>
          <w:sz w:val="24"/>
          <w:szCs w:val="24"/>
          <w:lang w:eastAsia="es-MX"/>
        </w:rPr>
        <w:t>3.6x10</w:t>
      </w:r>
      <w:r w:rsidR="00CF1947">
        <w:rPr>
          <w:rFonts w:ascii="Calibri" w:hAnsi="Calibri" w:cs="Arial"/>
          <w:sz w:val="24"/>
          <w:szCs w:val="24"/>
          <w:lang w:eastAsia="es-MX"/>
        </w:rPr>
        <w:t>μM</w:t>
      </w:r>
      <w:r>
        <w:rPr>
          <w:rFonts w:ascii="Arial" w:hAnsi="Arial" w:cs="Arial"/>
          <w:sz w:val="24"/>
          <w:szCs w:val="24"/>
          <w:lang w:eastAsia="es-MX"/>
        </w:rPr>
        <w:t>) on CoA levels (Figure 2</w:t>
      </w:r>
      <w:r w:rsidR="00727535">
        <w:rPr>
          <w:rFonts w:ascii="Arial" w:hAnsi="Arial" w:cs="Arial"/>
          <w:sz w:val="24"/>
          <w:szCs w:val="24"/>
          <w:lang w:eastAsia="es-MX"/>
        </w:rPr>
        <w:t>9</w:t>
      </w:r>
      <w:r>
        <w:rPr>
          <w:rFonts w:ascii="Arial" w:hAnsi="Arial" w:cs="Arial"/>
          <w:sz w:val="24"/>
          <w:szCs w:val="24"/>
          <w:lang w:eastAsia="es-MX"/>
        </w:rPr>
        <w:t>, upper right panel)</w:t>
      </w:r>
      <w:proofErr w:type="gramStart"/>
      <w:r>
        <w:rPr>
          <w:rFonts w:ascii="Arial" w:hAnsi="Arial" w:cs="Arial"/>
          <w:sz w:val="24"/>
          <w:szCs w:val="24"/>
          <w:lang w:eastAsia="es-MX"/>
        </w:rPr>
        <w:t>,</w:t>
      </w:r>
      <w:proofErr w:type="gramEnd"/>
      <w:r>
        <w:rPr>
          <w:rFonts w:ascii="Arial" w:hAnsi="Arial" w:cs="Arial"/>
          <w:sz w:val="24"/>
          <w:szCs w:val="24"/>
          <w:lang w:eastAsia="es-MX"/>
        </w:rPr>
        <w:t xml:space="preserve"> whereas the treatment with propionate produced an increase of </w:t>
      </w:r>
      <w:r w:rsidR="00CF1947">
        <w:rPr>
          <w:rFonts w:ascii="Arial" w:hAnsi="Arial" w:cs="Arial"/>
          <w:sz w:val="24"/>
          <w:szCs w:val="24"/>
          <w:lang w:eastAsia="es-MX"/>
        </w:rPr>
        <w:t>0.</w:t>
      </w:r>
      <w:r>
        <w:rPr>
          <w:rFonts w:ascii="Arial" w:hAnsi="Arial" w:cs="Arial"/>
          <w:sz w:val="24"/>
          <w:szCs w:val="24"/>
          <w:lang w:eastAsia="es-MX"/>
        </w:rPr>
        <w:t>96</w:t>
      </w:r>
      <w:r w:rsidR="00CF1947">
        <w:rPr>
          <w:rFonts w:ascii="Calibri" w:hAnsi="Calibri" w:cs="Arial"/>
          <w:sz w:val="24"/>
          <w:szCs w:val="24"/>
          <w:lang w:eastAsia="es-MX"/>
        </w:rPr>
        <w:t>μ</w:t>
      </w:r>
      <w:r>
        <w:rPr>
          <w:rFonts w:ascii="Arial" w:hAnsi="Arial" w:cs="Arial"/>
          <w:sz w:val="24"/>
          <w:szCs w:val="24"/>
          <w:lang w:eastAsia="es-MX"/>
        </w:rPr>
        <w:t>M (3.5x10</w:t>
      </w:r>
      <w:r w:rsidR="00CF1947">
        <w:rPr>
          <w:rFonts w:ascii="Calibri" w:hAnsi="Calibri" w:cs="Arial"/>
          <w:sz w:val="24"/>
          <w:szCs w:val="24"/>
          <w:lang w:eastAsia="es-MX"/>
        </w:rPr>
        <w:t xml:space="preserve">μM </w:t>
      </w:r>
      <w:r>
        <w:rPr>
          <w:rFonts w:ascii="Arial" w:hAnsi="Arial" w:cs="Arial"/>
          <w:sz w:val="24"/>
          <w:szCs w:val="24"/>
          <w:lang w:eastAsia="es-MX"/>
        </w:rPr>
        <w:t>-</w:t>
      </w:r>
      <w:r w:rsidR="00CF1947">
        <w:rPr>
          <w:rFonts w:ascii="Arial" w:hAnsi="Arial" w:cs="Arial"/>
          <w:sz w:val="24"/>
          <w:szCs w:val="24"/>
          <w:lang w:eastAsia="es-MX"/>
        </w:rPr>
        <w:t xml:space="preserve"> </w:t>
      </w:r>
      <w:r>
        <w:rPr>
          <w:rFonts w:ascii="Arial" w:hAnsi="Arial" w:cs="Arial"/>
          <w:sz w:val="24"/>
          <w:szCs w:val="24"/>
          <w:lang w:eastAsia="es-MX"/>
        </w:rPr>
        <w:t>4.46x10</w:t>
      </w:r>
      <w:r w:rsidR="00CF1947">
        <w:rPr>
          <w:rFonts w:ascii="Calibri" w:hAnsi="Calibri" w:cs="Arial"/>
          <w:sz w:val="24"/>
          <w:szCs w:val="24"/>
          <w:lang w:eastAsia="es-MX"/>
        </w:rPr>
        <w:t>μ</w:t>
      </w:r>
      <w:r>
        <w:rPr>
          <w:rFonts w:ascii="Arial" w:hAnsi="Arial" w:cs="Arial"/>
          <w:sz w:val="24"/>
          <w:szCs w:val="24"/>
          <w:lang w:eastAsia="es-MX"/>
        </w:rPr>
        <w:t>M) on CoA levels (Figure 2</w:t>
      </w:r>
      <w:r w:rsidR="00727535">
        <w:rPr>
          <w:rFonts w:ascii="Arial" w:hAnsi="Arial" w:cs="Arial"/>
          <w:sz w:val="24"/>
          <w:szCs w:val="24"/>
          <w:lang w:eastAsia="es-MX"/>
        </w:rPr>
        <w:t>9</w:t>
      </w:r>
      <w:r>
        <w:rPr>
          <w:rFonts w:ascii="Arial" w:hAnsi="Arial" w:cs="Arial"/>
          <w:sz w:val="24"/>
          <w:szCs w:val="24"/>
          <w:lang w:eastAsia="es-MX"/>
        </w:rPr>
        <w:t xml:space="preserve">, bottom panel). </w:t>
      </w:r>
    </w:p>
    <w:p w:rsidR="00EF1380" w:rsidRDefault="007E1DF1" w:rsidP="00EF1380">
      <w:pPr>
        <w:rPr>
          <w:rFonts w:ascii="Arial" w:hAnsi="Arial" w:cs="Arial"/>
          <w:b/>
          <w:bCs/>
          <w:color w:val="4F81BD" w:themeColor="accent1"/>
          <w:sz w:val="24"/>
          <w:szCs w:val="24"/>
          <w:lang w:eastAsia="es-MX"/>
        </w:rPr>
      </w:pPr>
      <w:r>
        <w:rPr>
          <w:rFonts w:ascii="Arial" w:hAnsi="Arial" w:cs="Arial"/>
          <w:b/>
          <w:bCs/>
          <w:noProof/>
          <w:color w:val="4F81BD" w:themeColor="accent1"/>
          <w:sz w:val="24"/>
          <w:szCs w:val="24"/>
        </w:rPr>
        <w:drawing>
          <wp:inline distT="0" distB="0" distL="0" distR="0" wp14:anchorId="76A1DB0A" wp14:editId="3A5D05FF">
            <wp:extent cx="5612130" cy="3408045"/>
            <wp:effectExtent l="0" t="0" r="762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2130" cy="3408045"/>
                    </a:xfrm>
                    <a:prstGeom prst="rect">
                      <a:avLst/>
                    </a:prstGeom>
                  </pic:spPr>
                </pic:pic>
              </a:graphicData>
            </a:graphic>
          </wp:inline>
        </w:drawing>
      </w:r>
    </w:p>
    <w:p w:rsidR="00EF1380" w:rsidRPr="009305E1" w:rsidRDefault="00EF1380" w:rsidP="00EF1380">
      <w:pPr>
        <w:pStyle w:val="Caption"/>
        <w:jc w:val="both"/>
        <w:rPr>
          <w:rFonts w:ascii="Arial" w:hAnsi="Arial" w:cs="Arial"/>
          <w:color w:val="auto"/>
          <w:sz w:val="16"/>
          <w:szCs w:val="16"/>
        </w:rPr>
      </w:pPr>
      <w:bookmarkStart w:id="133" w:name="_Toc413419289"/>
      <w:proofErr w:type="gramStart"/>
      <w:r w:rsidRPr="0046758D">
        <w:rPr>
          <w:rFonts w:ascii="Arial" w:hAnsi="Arial" w:cs="Arial"/>
          <w:color w:val="auto"/>
          <w:sz w:val="16"/>
        </w:rPr>
        <w:t xml:space="preserve">Figure </w:t>
      </w:r>
      <w:r w:rsidR="006C2756" w:rsidRPr="0046758D">
        <w:rPr>
          <w:rFonts w:ascii="Arial" w:hAnsi="Arial" w:cs="Arial"/>
          <w:color w:val="auto"/>
          <w:sz w:val="16"/>
        </w:rPr>
        <w:fldChar w:fldCharType="begin"/>
      </w:r>
      <w:r w:rsidRPr="0046758D">
        <w:rPr>
          <w:rFonts w:ascii="Arial" w:hAnsi="Arial" w:cs="Arial"/>
          <w:color w:val="auto"/>
          <w:sz w:val="16"/>
        </w:rPr>
        <w:instrText xml:space="preserve"> SEQ Figure \* ARABIC </w:instrText>
      </w:r>
      <w:r w:rsidR="006C2756" w:rsidRPr="0046758D">
        <w:rPr>
          <w:rFonts w:ascii="Arial" w:hAnsi="Arial" w:cs="Arial"/>
          <w:color w:val="auto"/>
          <w:sz w:val="16"/>
        </w:rPr>
        <w:fldChar w:fldCharType="separate"/>
      </w:r>
      <w:r w:rsidR="00DC0376">
        <w:rPr>
          <w:rFonts w:ascii="Arial" w:hAnsi="Arial" w:cs="Arial"/>
          <w:noProof/>
          <w:color w:val="auto"/>
          <w:sz w:val="16"/>
        </w:rPr>
        <w:t>29</w:t>
      </w:r>
      <w:r w:rsidR="006C2756" w:rsidRPr="0046758D">
        <w:rPr>
          <w:rFonts w:ascii="Arial" w:hAnsi="Arial" w:cs="Arial"/>
          <w:color w:val="auto"/>
          <w:sz w:val="16"/>
        </w:rPr>
        <w:fldChar w:fldCharType="end"/>
      </w:r>
      <w:r w:rsidRPr="009305E1">
        <w:rPr>
          <w:rFonts w:ascii="Arial" w:hAnsi="Arial" w:cs="Arial"/>
          <w:color w:val="auto"/>
          <w:sz w:val="16"/>
          <w:szCs w:val="16"/>
        </w:rPr>
        <w:t>.</w:t>
      </w:r>
      <w:proofErr w:type="gramEnd"/>
      <w:r w:rsidRPr="009305E1">
        <w:rPr>
          <w:rFonts w:ascii="Arial" w:hAnsi="Arial" w:cs="Arial"/>
          <w:color w:val="auto"/>
          <w:sz w:val="16"/>
          <w:szCs w:val="16"/>
        </w:rPr>
        <w:t xml:space="preserve"> </w:t>
      </w:r>
      <w:proofErr w:type="gramStart"/>
      <w:r w:rsidRPr="009305E1">
        <w:rPr>
          <w:rFonts w:ascii="Arial" w:hAnsi="Arial" w:cs="Arial"/>
          <w:color w:val="auto"/>
          <w:sz w:val="16"/>
          <w:szCs w:val="16"/>
        </w:rPr>
        <w:t xml:space="preserve">Effect of increasing concentrations </w:t>
      </w:r>
      <w:r>
        <w:rPr>
          <w:rFonts w:ascii="Arial" w:hAnsi="Arial" w:cs="Arial"/>
          <w:color w:val="auto"/>
          <w:sz w:val="16"/>
          <w:szCs w:val="16"/>
        </w:rPr>
        <w:t xml:space="preserve">of SCFAs </w:t>
      </w:r>
      <w:r w:rsidRPr="009305E1">
        <w:rPr>
          <w:rFonts w:ascii="Arial" w:hAnsi="Arial" w:cs="Arial"/>
          <w:color w:val="auto"/>
          <w:sz w:val="16"/>
          <w:szCs w:val="16"/>
        </w:rPr>
        <w:t>on CoA levels.</w:t>
      </w:r>
      <w:proofErr w:type="gramEnd"/>
      <w:r w:rsidRPr="009305E1">
        <w:rPr>
          <w:rFonts w:ascii="Arial" w:hAnsi="Arial" w:cs="Arial"/>
          <w:color w:val="auto"/>
          <w:sz w:val="16"/>
          <w:szCs w:val="16"/>
        </w:rPr>
        <w:t xml:space="preserve"> </w:t>
      </w:r>
      <w:r w:rsidRPr="00AA5B99">
        <w:rPr>
          <w:rFonts w:ascii="Arial" w:hAnsi="Arial" w:cs="Arial"/>
          <w:i/>
          <w:color w:val="auto"/>
          <w:sz w:val="16"/>
          <w:szCs w:val="16"/>
        </w:rPr>
        <w:t>Effect of increasing concentrations, at physiological ranges, of acetate (1-50mM, upper left panel), butyrate (1-20mM, upper right panel), and propionate (1-20mM, bot</w:t>
      </w:r>
      <w:r>
        <w:rPr>
          <w:rFonts w:ascii="Arial" w:hAnsi="Arial" w:cs="Arial"/>
          <w:i/>
          <w:color w:val="auto"/>
          <w:sz w:val="16"/>
          <w:szCs w:val="16"/>
        </w:rPr>
        <w:t>tom panel) on CoA levels in HCT</w:t>
      </w:r>
      <w:r w:rsidRPr="00AA5B99">
        <w:rPr>
          <w:rFonts w:ascii="Arial" w:hAnsi="Arial" w:cs="Arial"/>
          <w:i/>
          <w:color w:val="auto"/>
          <w:sz w:val="16"/>
          <w:szCs w:val="16"/>
        </w:rPr>
        <w:t>116 colon cancer cells treated with these SCFAs.</w:t>
      </w:r>
      <w:bookmarkEnd w:id="133"/>
      <w:r w:rsidRPr="009305E1">
        <w:rPr>
          <w:rFonts w:ascii="Arial" w:hAnsi="Arial" w:cs="Arial"/>
          <w:color w:val="auto"/>
          <w:sz w:val="16"/>
          <w:szCs w:val="16"/>
        </w:rPr>
        <w:t xml:space="preserve"> </w:t>
      </w:r>
    </w:p>
    <w:p w:rsidR="00EF1380" w:rsidRDefault="00EF1380" w:rsidP="00492DA2">
      <w:pPr>
        <w:spacing w:line="360" w:lineRule="auto"/>
        <w:ind w:firstLine="720"/>
        <w:jc w:val="both"/>
        <w:rPr>
          <w:rFonts w:ascii="Arial" w:hAnsi="Arial" w:cs="Arial"/>
          <w:sz w:val="24"/>
          <w:szCs w:val="24"/>
          <w:lang w:eastAsia="es-MX"/>
        </w:rPr>
      </w:pPr>
      <w:r w:rsidRPr="00E64A18">
        <w:rPr>
          <w:rFonts w:ascii="Arial" w:hAnsi="Arial" w:cs="Arial"/>
          <w:sz w:val="24"/>
          <w:szCs w:val="24"/>
        </w:rPr>
        <w:t xml:space="preserve">The </w:t>
      </w:r>
      <w:proofErr w:type="gramStart"/>
      <w:r w:rsidRPr="00E64A18">
        <w:rPr>
          <w:rFonts w:ascii="Arial" w:hAnsi="Arial" w:cs="Arial"/>
          <w:sz w:val="24"/>
          <w:szCs w:val="24"/>
        </w:rPr>
        <w:t xml:space="preserve">changes </w:t>
      </w:r>
      <w:r>
        <w:rPr>
          <w:rFonts w:ascii="Arial" w:hAnsi="Arial" w:cs="Arial"/>
          <w:sz w:val="24"/>
          <w:szCs w:val="24"/>
        </w:rPr>
        <w:t xml:space="preserve">in CoA levels were not as steady as in the </w:t>
      </w:r>
      <w:r w:rsidR="00CF1947">
        <w:rPr>
          <w:rFonts w:ascii="Arial" w:hAnsi="Arial" w:cs="Arial"/>
          <w:sz w:val="24"/>
          <w:szCs w:val="24"/>
        </w:rPr>
        <w:t>simulations</w:t>
      </w:r>
      <w:r>
        <w:rPr>
          <w:rFonts w:ascii="Arial" w:hAnsi="Arial" w:cs="Arial"/>
          <w:sz w:val="24"/>
          <w:szCs w:val="24"/>
        </w:rPr>
        <w:t xml:space="preserve"> and the general outcome,</w:t>
      </w:r>
      <w:r w:rsidR="006174E0">
        <w:rPr>
          <w:rFonts w:ascii="Arial" w:hAnsi="Arial" w:cs="Arial"/>
          <w:sz w:val="24"/>
          <w:szCs w:val="24"/>
        </w:rPr>
        <w:t xml:space="preserve"> </w:t>
      </w:r>
      <w:r>
        <w:rPr>
          <w:rFonts w:ascii="Arial" w:hAnsi="Arial" w:cs="Arial"/>
          <w:sz w:val="24"/>
          <w:szCs w:val="24"/>
        </w:rPr>
        <w:t>increase in CoA levels, was</w:t>
      </w:r>
      <w:proofErr w:type="gramEnd"/>
      <w:r>
        <w:rPr>
          <w:rFonts w:ascii="Arial" w:hAnsi="Arial" w:cs="Arial"/>
          <w:sz w:val="24"/>
          <w:szCs w:val="24"/>
        </w:rPr>
        <w:t xml:space="preserve"> only in accordance to the simulations run with butyrate_v3-1, in the case of acetate. In the case of butyrate and propionate the effect observed when HCT116 cells were treated with these SCFAs is opposite to the effect observed and expected, decrease in CoA levels, when simulations were run with both butyrate_v3-1 and SCFA Uptake and Oxidation v4 models. Another important fact to address is that the magnitude </w:t>
      </w:r>
      <w:r w:rsidR="00CF1947">
        <w:rPr>
          <w:rFonts w:ascii="Arial" w:hAnsi="Arial" w:cs="Arial"/>
          <w:sz w:val="24"/>
          <w:szCs w:val="24"/>
        </w:rPr>
        <w:t>o</w:t>
      </w:r>
      <w:r>
        <w:rPr>
          <w:rFonts w:ascii="Arial" w:hAnsi="Arial" w:cs="Arial"/>
          <w:sz w:val="24"/>
          <w:szCs w:val="24"/>
        </w:rPr>
        <w:t>f th</w:t>
      </w:r>
      <w:r w:rsidR="00CF1947">
        <w:rPr>
          <w:rFonts w:ascii="Arial" w:hAnsi="Arial" w:cs="Arial"/>
          <w:sz w:val="24"/>
          <w:szCs w:val="24"/>
        </w:rPr>
        <w:t>e</w:t>
      </w:r>
      <w:r>
        <w:rPr>
          <w:rFonts w:ascii="Arial" w:hAnsi="Arial" w:cs="Arial"/>
          <w:sz w:val="24"/>
          <w:szCs w:val="24"/>
        </w:rPr>
        <w:t>s</w:t>
      </w:r>
      <w:r w:rsidR="00CF1947">
        <w:rPr>
          <w:rFonts w:ascii="Arial" w:hAnsi="Arial" w:cs="Arial"/>
          <w:sz w:val="24"/>
          <w:szCs w:val="24"/>
        </w:rPr>
        <w:t>e</w:t>
      </w:r>
      <w:r>
        <w:rPr>
          <w:rFonts w:ascii="Arial" w:hAnsi="Arial" w:cs="Arial"/>
          <w:sz w:val="24"/>
          <w:szCs w:val="24"/>
        </w:rPr>
        <w:t xml:space="preserve"> change</w:t>
      </w:r>
      <w:r w:rsidR="00CF1947">
        <w:rPr>
          <w:rFonts w:ascii="Arial" w:hAnsi="Arial" w:cs="Arial"/>
          <w:sz w:val="24"/>
          <w:szCs w:val="24"/>
        </w:rPr>
        <w:t>s</w:t>
      </w:r>
      <w:r>
        <w:rPr>
          <w:rFonts w:ascii="Arial" w:hAnsi="Arial" w:cs="Arial"/>
          <w:sz w:val="24"/>
          <w:szCs w:val="24"/>
        </w:rPr>
        <w:t xml:space="preserve"> is higher </w:t>
      </w:r>
      <w:r w:rsidR="00CF1947">
        <w:rPr>
          <w:rFonts w:ascii="Arial" w:hAnsi="Arial" w:cs="Arial"/>
          <w:sz w:val="24"/>
          <w:szCs w:val="24"/>
        </w:rPr>
        <w:t xml:space="preserve">in </w:t>
      </w:r>
      <w:r>
        <w:rPr>
          <w:rFonts w:ascii="Arial" w:hAnsi="Arial" w:cs="Arial"/>
          <w:sz w:val="24"/>
          <w:szCs w:val="24"/>
        </w:rPr>
        <w:t xml:space="preserve">the simulations run with butyrate_v3-1 and SCFA Uptake and Oxidation v4 models, </w:t>
      </w:r>
      <w:r w:rsidR="00CF1947">
        <w:rPr>
          <w:rFonts w:ascii="Arial" w:hAnsi="Arial" w:cs="Arial"/>
          <w:sz w:val="24"/>
          <w:szCs w:val="24"/>
        </w:rPr>
        <w:t xml:space="preserve">in the range of millimolar (mM), </w:t>
      </w:r>
      <w:r>
        <w:rPr>
          <w:rFonts w:ascii="Arial" w:hAnsi="Arial" w:cs="Arial"/>
          <w:sz w:val="24"/>
          <w:szCs w:val="24"/>
        </w:rPr>
        <w:t xml:space="preserve">whereas it is </w:t>
      </w:r>
      <w:r>
        <w:rPr>
          <w:rFonts w:ascii="Arial" w:hAnsi="Arial" w:cs="Arial"/>
          <w:sz w:val="24"/>
          <w:szCs w:val="24"/>
        </w:rPr>
        <w:lastRenderedPageBreak/>
        <w:t xml:space="preserve">lower </w:t>
      </w:r>
      <w:r>
        <w:rPr>
          <w:rFonts w:ascii="Arial" w:hAnsi="Arial" w:cs="Arial"/>
          <w:sz w:val="24"/>
          <w:szCs w:val="24"/>
          <w:lang w:eastAsia="es-MX"/>
        </w:rPr>
        <w:t>in the case of HCT116 cells treated with a</w:t>
      </w:r>
      <w:r w:rsidR="00CF1947">
        <w:rPr>
          <w:rFonts w:ascii="Arial" w:hAnsi="Arial" w:cs="Arial"/>
          <w:sz w:val="24"/>
          <w:szCs w:val="24"/>
          <w:lang w:eastAsia="es-MX"/>
        </w:rPr>
        <w:t>cetate, butyrate and propionate, in the range of micro molar (</w:t>
      </w:r>
      <w:r w:rsidR="00CF1947">
        <w:rPr>
          <w:rFonts w:ascii="Calibri" w:hAnsi="Calibri" w:cs="Arial"/>
          <w:sz w:val="24"/>
          <w:szCs w:val="24"/>
          <w:lang w:eastAsia="es-MX"/>
        </w:rPr>
        <w:t>μM).</w:t>
      </w:r>
    </w:p>
    <w:p w:rsidR="00EF1380" w:rsidRPr="00AD7DA9" w:rsidRDefault="00EF1380" w:rsidP="00AD7DA9">
      <w:pPr>
        <w:pStyle w:val="Heading1"/>
        <w:rPr>
          <w:rFonts w:ascii="Arial" w:hAnsi="Arial" w:cs="Arial"/>
          <w:sz w:val="28"/>
          <w:szCs w:val="28"/>
        </w:rPr>
      </w:pPr>
      <w:r>
        <w:br w:type="page"/>
      </w:r>
      <w:bookmarkStart w:id="134" w:name="_Toc413753770"/>
      <w:r w:rsidRPr="00AD7DA9">
        <w:rPr>
          <w:rFonts w:ascii="Arial" w:hAnsi="Arial" w:cs="Arial"/>
          <w:sz w:val="28"/>
          <w:szCs w:val="28"/>
        </w:rPr>
        <w:lastRenderedPageBreak/>
        <w:t>DISCUSSION</w:t>
      </w:r>
      <w:bookmarkEnd w:id="119"/>
      <w:bookmarkEnd w:id="134"/>
    </w:p>
    <w:p w:rsidR="00EF1380" w:rsidRDefault="00EF1380" w:rsidP="00EF1380">
      <w:pPr>
        <w:autoSpaceDE w:val="0"/>
        <w:autoSpaceDN w:val="0"/>
        <w:adjustRightInd w:val="0"/>
        <w:spacing w:after="0" w:line="360" w:lineRule="auto"/>
        <w:ind w:firstLine="720"/>
        <w:jc w:val="both"/>
        <w:rPr>
          <w:rStyle w:val="highlight"/>
          <w:rFonts w:ascii="Arial" w:hAnsi="Arial" w:cs="Arial"/>
          <w:sz w:val="24"/>
          <w:szCs w:val="24"/>
        </w:rPr>
      </w:pPr>
      <w:r w:rsidRPr="00DE4A39">
        <w:rPr>
          <w:rStyle w:val="highlight"/>
          <w:rFonts w:ascii="Arial" w:hAnsi="Arial" w:cs="Arial"/>
          <w:sz w:val="24"/>
          <w:szCs w:val="24"/>
        </w:rPr>
        <w:t>Recent findings are providing new evidence of a novel role of SCFAs related to control metabolic enzymes as well as acetylation</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4" w:tooltip="Donohoe D, 2012 #71" w:history="1">
        <w:r w:rsidR="00AB7E17">
          <w:rPr>
            <w:rStyle w:val="highlight"/>
            <w:rFonts w:ascii="Arial" w:hAnsi="Arial" w:cs="Arial"/>
            <w:noProof/>
            <w:sz w:val="24"/>
            <w:szCs w:val="24"/>
          </w:rPr>
          <w:t>4</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By controlling the acetylation patterns of metabolic enzymes, SCFAs could be modulating metabolism. The modulation of metabolism via acetylation, and an up-regulation of proteins has previously been described by Wellen and Thompson, 2012</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&lt;EndNote&gt;&lt;Cite&gt;&lt;Author&gt;Wellen K&lt;/Author&gt;&lt;Year&gt;2012&lt;/Year&gt;&lt;RecNum&gt;277&lt;/RecNum&gt;&lt;DisplayText&gt;(88)&lt;/DisplayText&gt;&lt;record&gt;&lt;rec-number&gt;277&lt;/rec-number&gt;&lt;foreign-keys&gt;&lt;key app="EN" db-id="zxp9w5sa30aeafes0xox2eem00dz2z2aswad"&gt;277&lt;/key&gt;&lt;key app="ENWeb" db-id="UG1-3grtqigAAEqvEt0"&gt;127&lt;/key&gt;&lt;/foreign-keys&gt;&lt;ref-type name="Journal Article"&gt;17&lt;/ref-type&gt;&lt;contributors&gt;&lt;authors&gt;&lt;author&gt;Wellen K,&lt;/author&gt;&lt;author&gt;Thompson C,&lt;/author&gt;&lt;/authors&gt;&lt;/contributors&gt;&lt;titles&gt;&lt;title&gt;A two-way street: reciprocal regulation of metabolism and signaling&lt;/title&gt;&lt;secondary-title&gt;Nat Rev Mol Cell Biol&lt;/secondary-title&gt;&lt;/titles&gt;&lt;periodical&gt;&lt;full-title&gt;Nat Rev Mol Cell Biol&lt;/full-title&gt;&lt;/periodical&gt;&lt;pages&gt;270-276&lt;/pages&gt;&lt;volume&gt;13&lt;/volume&gt;&lt;number&gt;4&lt;/number&gt;&lt;dates&gt;&lt;year&gt;2012&lt;/year&gt;&lt;/dates&gt;&lt;urls&gt;&lt;/urls&gt;&lt;/record&gt;&lt;/Cite&gt;&lt;/EndNote&gt;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88" w:tooltip="Wellen K, 2012 #277" w:history="1">
        <w:r w:rsidR="00AB7E17">
          <w:rPr>
            <w:rStyle w:val="highlight"/>
            <w:rFonts w:ascii="Arial" w:hAnsi="Arial" w:cs="Arial"/>
            <w:noProof/>
            <w:sz w:val="24"/>
            <w:szCs w:val="24"/>
          </w:rPr>
          <w:t>88</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xml:space="preserve">. It has also been suggested that acetylation regulates </w:t>
      </w:r>
      <w:r>
        <w:rPr>
          <w:rStyle w:val="highlight"/>
          <w:rFonts w:ascii="Arial" w:hAnsi="Arial" w:cs="Arial"/>
          <w:sz w:val="24"/>
          <w:szCs w:val="24"/>
        </w:rPr>
        <w:t xml:space="preserve">proteins/enzymes and </w:t>
      </w:r>
      <w:r w:rsidRPr="00DE4A39">
        <w:rPr>
          <w:rStyle w:val="highlight"/>
          <w:rFonts w:ascii="Arial" w:hAnsi="Arial" w:cs="Arial"/>
          <w:sz w:val="24"/>
          <w:szCs w:val="24"/>
        </w:rPr>
        <w:t>cellular metabolism</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&lt;EndNote&gt;&lt;Cite&gt;&lt;Author&gt;Xiong Y&lt;/Author&gt;&lt;Year&gt;2011&lt;/Year&gt;&lt;RecNum&gt;286&lt;/RecNum&gt;&lt;DisplayText&gt;(89)&lt;/DisplayText&gt;&lt;record&gt;&lt;rec-number&gt;286&lt;/rec-number&gt;&lt;foreign-keys&gt;&lt;key app="EN" db-id="zxp9w5sa30aeafes0xox2eem00dz2z2aswad"&gt;286&lt;/key&gt;&lt;key app="ENWeb" db-id="UG1-3grtqigAAEqvEt0"&gt;366&lt;/key&gt;&lt;/foreign-keys&gt;&lt;ref-type name="Journal Article"&gt;17&lt;/ref-type&gt;&lt;contributors&gt;&lt;authors&gt;&lt;author&gt;Xiong Y,&lt;/author&gt;&lt;author&gt;Lei Q,&lt;/author&gt;&lt;author&gt;Zhao S,&lt;/author&gt;&lt;author&gt;Guan K,&lt;/author&gt;&lt;/authors&gt;&lt;/contributors&gt;&lt;titles&gt;&lt;title&gt;Regulation of glycolysis and gluconeogenesis by acetylation of PKM and PEPCK&lt;/title&gt;&lt;secondary-title&gt;Cold Spring Harb Symp Quant Biol&lt;/secondary-title&gt;&lt;/titles&gt;&lt;periodical&gt;&lt;full-title&gt;Cold Spring Harb Symp Quant Biol&lt;/full-title&gt;&lt;/periodical&gt;&lt;volume&gt;76&lt;/volume&gt;&lt;number&gt;285-289&lt;/number&gt;&lt;dates&gt;&lt;year&gt;2011&lt;/year&gt;&lt;/dates&gt;&lt;urls&gt;&lt;/urls&gt;&lt;/record&gt;&lt;/Cite&gt;&lt;/EndNote&gt;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89" w:tooltip="Xiong Y, 2011 #286" w:history="1">
        <w:r w:rsidR="00AB7E17">
          <w:rPr>
            <w:rStyle w:val="highlight"/>
            <w:rFonts w:ascii="Arial" w:hAnsi="Arial" w:cs="Arial"/>
            <w:noProof/>
            <w:sz w:val="24"/>
            <w:szCs w:val="24"/>
          </w:rPr>
          <w:t>89</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xml:space="preserve"> by preserving the equilibrium between carbohydrate and metabolism of fatty acid synthesis</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&lt;EndNote&gt;&lt;Cite&gt;&lt;Author&gt;Kim E&lt;/Author&gt;&lt;Year&gt;2012&lt;/Year&gt;&lt;RecNum&gt;133&lt;/RecNum&gt;&lt;DisplayText&gt;(61)&lt;/DisplayText&gt;&lt;record&gt;&lt;rec-number&gt;133&lt;/rec-number&gt;&lt;foreign-keys&gt;&lt;key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61" w:tooltip="Kim E, 2012 #133" w:history="1">
        <w:r w:rsidR="00AB7E17">
          <w:rPr>
            <w:rStyle w:val="highlight"/>
            <w:rFonts w:ascii="Arial" w:hAnsi="Arial" w:cs="Arial"/>
            <w:noProof/>
            <w:sz w:val="24"/>
            <w:szCs w:val="24"/>
          </w:rPr>
          <w:t>61</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xml:space="preserve"> as well as controlling metabolic enzymes transcription levels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&lt;EndNote&gt;&lt;Cite&gt;&lt;Author&gt;Grillon J&lt;/Author&gt;&lt;Year&gt;2012&lt;/Year&gt;&lt;RecNum&gt;89&lt;/RecNum&gt;&lt;DisplayText&gt;(9)&lt;/DisplayText&gt;&lt;record&gt;&lt;rec-number&gt;89&lt;/rec-number&gt;&lt;foreign-keys&gt;&lt;key app="EN" db-id="zxp9w5sa30aeafes0xox2eem00dz2z2aswad"&gt;89&lt;/key&gt;&lt;key app="ENWeb" db-id="UG1-3grtqigAAEqvEt0"&gt;139&lt;/key&gt;&lt;/foreign-keys&gt;&lt;ref-type name="Journal Article"&gt;17&lt;/ref-type&gt;&lt;contributors&gt;&lt;authors&gt;&lt;author&gt;Grillon J,&lt;/author&gt;&lt;author&gt;Johnson K,&lt;/author&gt;&lt;author&gt;Kotlo K,&lt;/author&gt;&lt;author&gt;Danziger R,&lt;/author&gt;&lt;/authors&gt;&lt;/contributors&gt;&lt;titles&gt;&lt;title&gt;Non-histone lysine acetylated proteins in heart failure&lt;/title&gt;&lt;secondary-title&gt;Biochimica et Biophysica Acta&lt;/secondary-title&gt;&lt;/titles&gt;&lt;periodical&gt;&lt;full-title&gt;Biochimica et Biophysica Acta&lt;/full-title&gt;&lt;/periodical&gt;&lt;pages&gt;607–614&lt;/pages&gt;&lt;volume&gt;1822&lt;/volume&gt;&lt;number&gt;4&lt;/number&gt;&lt;dates&gt;&lt;year&gt;2012&lt;/year&gt;&lt;/dates&gt;&lt;urls&gt;&lt;/urls&gt;&lt;/record&gt;&lt;/Cite&gt;&lt;/EndNote&gt;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9" w:tooltip="Grillon J, 2012 #89" w:history="1">
        <w:r w:rsidR="00AB7E17">
          <w:rPr>
            <w:rStyle w:val="highlight"/>
            <w:rFonts w:ascii="Arial" w:hAnsi="Arial" w:cs="Arial"/>
            <w:noProof/>
            <w:sz w:val="24"/>
            <w:szCs w:val="24"/>
          </w:rPr>
          <w:t>9</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xml:space="preserve">. A reduction in the acetylation levels of metabolic </w:t>
      </w:r>
      <w:r>
        <w:rPr>
          <w:rStyle w:val="highlight"/>
          <w:rFonts w:ascii="Arial" w:hAnsi="Arial" w:cs="Arial"/>
          <w:sz w:val="24"/>
          <w:szCs w:val="24"/>
        </w:rPr>
        <w:t>enzymes</w:t>
      </w:r>
      <w:r w:rsidRPr="00DE4A39">
        <w:rPr>
          <w:rStyle w:val="highlight"/>
          <w:rFonts w:ascii="Arial" w:hAnsi="Arial" w:cs="Arial"/>
          <w:sz w:val="24"/>
          <w:szCs w:val="24"/>
        </w:rPr>
        <w:t xml:space="preserve"> could be linked to the KDAC inhibitory role of SCFAs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&lt;EndNote&gt;&lt;Cite&gt;&lt;Author&gt;Candido E&lt;/Author&gt;&lt;Year&gt;1978&lt;/Year&gt;&lt;RecNum&gt;34&lt;/RecNum&gt;&lt;DisplayText&gt;(41, 90)&lt;/DisplayText&gt;&lt;record&gt;&lt;rec-number&gt;34&lt;/rec-number&gt;&lt;foreign-keys&gt;&lt;key app="EN" db-id="zxp9w5sa30aeafes0xox2eem00dz2z2aswad"&gt;34&lt;/key&gt;&lt;key app="ENWeb" db-id="UG1-3grtqigAAEqvEt0"&gt;360&lt;/key&gt;&lt;/foreign-keys&gt;&lt;ref-type name="Journal Article"&gt;17&lt;/ref-type&gt;&lt;contributors&gt;&lt;authors&gt;&lt;author&gt;Candido E,&lt;/author&gt;&lt;author&gt;Reeves R,&lt;/author&gt;&lt;author&gt;Davies J,&lt;/author&gt;&lt;/authors&gt;&lt;/contributors&gt;&lt;titles&gt;&lt;title&gt;Sodium butyrate inhibits histone deacetylation in culture cells&lt;/title&gt;&lt;secondary-title&gt;Cell&lt;/secondary-title&gt;&lt;/titles&gt;&lt;periodical&gt;&lt;full-title&gt;Cell&lt;/full-title&gt;&lt;/periodical&gt;&lt;pages&gt;105-113&lt;/pages&gt;&lt;volume&gt;14&lt;/volume&gt;&lt;number&gt;1&lt;/number&gt;&lt;dates&gt;&lt;year&gt;1978&lt;/year&gt;&lt;/dates&gt;&lt;urls&gt;&lt;/urls&gt;&lt;/record&gt;&lt;/Cite&gt;&lt;Cite&gt;&lt;Author&gt;Lea M&lt;/Author&gt;&lt;Year&gt;1998&lt;/Year&gt;&lt;RecNum&gt;149&lt;/RecNum&gt;&lt;record&gt;&lt;rec-number&gt;149&lt;/rec-number&gt;&lt;foreign-keys&gt;&lt;key app="EN" db-id="zxp9w5sa30aeafes0xox2eem00dz2z2aswad"&gt;149&lt;/key&gt;&lt;key app="ENWeb" db-id="UG1-3grtqigAAEqvEt0"&gt;361&lt;/key&gt;&lt;/foreign-keys&gt;&lt;ref-type name="Journal Article"&gt;17&lt;/ref-type&gt;&lt;contributors&gt;&lt;authors&gt;&lt;author&gt;Lea M,&lt;/author&gt;&lt;author&gt;Randolph V,&lt;/author&gt;&lt;/authors&gt;&lt;/contributors&gt;&lt;titles&gt;&lt;title&gt;Induction of reporter gene expression by inhibitors of histone deacytilase&lt;/title&gt;&lt;secondary-title&gt;Anticancer Res&lt;/secondary-title&gt;&lt;/titles&gt;&lt;periodical&gt;&lt;full-title&gt;Anticancer Res&lt;/full-title&gt;&lt;/periodical&gt;&lt;pages&gt;2717-2722&lt;/pages&gt;&lt;volume&gt;18&lt;/volume&gt;&lt;number&gt;4A&lt;/number&gt;&lt;dates&gt;&lt;year&gt;1998&lt;/year&gt;&lt;/dates&gt;&lt;urls&gt;&lt;/urls&gt;&lt;/record&gt;&lt;/Cite&gt;&lt;/EndNote&gt;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41" w:tooltip="Candido E, 1978 #34" w:history="1">
        <w:r w:rsidR="00AB7E17">
          <w:rPr>
            <w:rStyle w:val="highlight"/>
            <w:rFonts w:ascii="Arial" w:hAnsi="Arial" w:cs="Arial"/>
            <w:noProof/>
            <w:sz w:val="24"/>
            <w:szCs w:val="24"/>
          </w:rPr>
          <w:t>41</w:t>
        </w:r>
      </w:hyperlink>
      <w:r w:rsidR="00FC3C1A">
        <w:rPr>
          <w:rStyle w:val="highlight"/>
          <w:rFonts w:ascii="Arial" w:hAnsi="Arial" w:cs="Arial"/>
          <w:noProof/>
          <w:sz w:val="24"/>
          <w:szCs w:val="24"/>
        </w:rPr>
        <w:t xml:space="preserve">, </w:t>
      </w:r>
      <w:hyperlink w:anchor="_ENREF_90" w:tooltip="Lea M, 1998 #149" w:history="1">
        <w:r w:rsidR="00AB7E17">
          <w:rPr>
            <w:rStyle w:val="highlight"/>
            <w:rFonts w:ascii="Arial" w:hAnsi="Arial" w:cs="Arial"/>
            <w:noProof/>
            <w:sz w:val="24"/>
            <w:szCs w:val="24"/>
          </w:rPr>
          <w:t>90</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xml:space="preserve">, altering the equilibrium between the opposing effects of KATs and KDACs. </w:t>
      </w:r>
    </w:p>
    <w:p w:rsidR="00EF1380" w:rsidRPr="00DE4A39" w:rsidRDefault="00EF1380" w:rsidP="00EF1380">
      <w:pPr>
        <w:autoSpaceDE w:val="0"/>
        <w:autoSpaceDN w:val="0"/>
        <w:adjustRightInd w:val="0"/>
        <w:spacing w:after="0" w:line="360" w:lineRule="auto"/>
        <w:ind w:firstLine="720"/>
        <w:jc w:val="both"/>
        <w:rPr>
          <w:rStyle w:val="highlight"/>
          <w:rFonts w:ascii="Arial" w:hAnsi="Arial" w:cs="Arial"/>
          <w:sz w:val="24"/>
          <w:szCs w:val="24"/>
        </w:rPr>
      </w:pPr>
      <w:r>
        <w:rPr>
          <w:rStyle w:val="highlight"/>
          <w:rFonts w:ascii="Arial" w:hAnsi="Arial" w:cs="Arial"/>
          <w:sz w:val="24"/>
          <w:szCs w:val="24"/>
        </w:rPr>
        <w:t>Changes in the acetylation patterns of metabolic enzymes are very important in terms of their expression and function. For example i</w:t>
      </w:r>
      <w:r w:rsidRPr="00DE4A39">
        <w:rPr>
          <w:rStyle w:val="highlight"/>
          <w:rFonts w:ascii="Arial" w:hAnsi="Arial" w:cs="Arial"/>
          <w:sz w:val="24"/>
          <w:szCs w:val="24"/>
        </w:rPr>
        <w:t xml:space="preserve">n the TCA cycle, </w:t>
      </w:r>
      <w:r>
        <w:rPr>
          <w:rStyle w:val="highlight"/>
          <w:rFonts w:ascii="Arial" w:hAnsi="Arial" w:cs="Arial"/>
          <w:sz w:val="24"/>
          <w:szCs w:val="24"/>
        </w:rPr>
        <w:t xml:space="preserve">the acetylation of </w:t>
      </w:r>
      <w:r w:rsidRPr="00DE4A39">
        <w:rPr>
          <w:rStyle w:val="highlight"/>
          <w:rFonts w:ascii="Arial" w:hAnsi="Arial" w:cs="Arial"/>
          <w:sz w:val="24"/>
          <w:szCs w:val="24"/>
        </w:rPr>
        <w:t xml:space="preserve">malate dehydrogenase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&lt;EndNote&gt;&lt;Cite&gt;&lt;Author&gt;Kim E&lt;/Author&gt;&lt;Year&gt;2013&lt;/Year&gt;&lt;RecNum&gt;332&lt;/RecNum&gt;&lt;DisplayText&gt;(60, 61)&lt;/DisplayText&gt;&lt;record&gt;&lt;rec-number&gt;332&lt;/rec-number&gt;&lt;foreign-keys&gt;&lt;key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Commun&lt;/full-title&gt;&lt;/periodical&gt;&lt;pages&gt;77-82&lt;/pages&gt;&lt;volume&gt;441&lt;/volume&gt;&lt;number&gt;1&lt;/number&gt;&lt;dates&gt;&lt;year&gt;2013&lt;/year&gt;&lt;/dates&gt;&lt;urls&gt;&lt;/urls&gt;&lt;/record&gt;&lt;/Cite&gt;&lt;Cite&gt;&lt;Author&gt;Kim E&lt;/Author&gt;&lt;Year&gt;2012&lt;/Year&gt;&lt;RecNum&gt;133&lt;/RecNum&gt;&lt;record&gt;&lt;rec-number&gt;133&lt;/rec-number&gt;&lt;foreign-keys&gt;&lt;key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60" w:tooltip="Kim E, 2013 #332" w:history="1">
        <w:r w:rsidR="00AB7E17">
          <w:rPr>
            <w:rStyle w:val="highlight"/>
            <w:rFonts w:ascii="Arial" w:hAnsi="Arial" w:cs="Arial"/>
            <w:noProof/>
            <w:sz w:val="24"/>
            <w:szCs w:val="24"/>
          </w:rPr>
          <w:t>60</w:t>
        </w:r>
      </w:hyperlink>
      <w:r w:rsidR="00FC3C1A">
        <w:rPr>
          <w:rStyle w:val="highlight"/>
          <w:rFonts w:ascii="Arial" w:hAnsi="Arial" w:cs="Arial"/>
          <w:noProof/>
          <w:sz w:val="24"/>
          <w:szCs w:val="24"/>
        </w:rPr>
        <w:t xml:space="preserve">, </w:t>
      </w:r>
      <w:hyperlink w:anchor="_ENREF_61" w:tooltip="Kim E, 2012 #133" w:history="1">
        <w:r w:rsidR="00AB7E17">
          <w:rPr>
            <w:rStyle w:val="highlight"/>
            <w:rFonts w:ascii="Arial" w:hAnsi="Arial" w:cs="Arial"/>
            <w:noProof/>
            <w:sz w:val="24"/>
            <w:szCs w:val="24"/>
          </w:rPr>
          <w:t>61</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Pr>
          <w:rStyle w:val="highlight"/>
          <w:rFonts w:ascii="Arial" w:hAnsi="Arial" w:cs="Arial"/>
          <w:sz w:val="24"/>
          <w:szCs w:val="24"/>
        </w:rPr>
        <w:t xml:space="preserve"> and</w:t>
      </w:r>
      <w:r w:rsidRPr="00DE4A39">
        <w:rPr>
          <w:rStyle w:val="highlight"/>
          <w:rFonts w:ascii="Arial" w:hAnsi="Arial" w:cs="Arial"/>
          <w:sz w:val="24"/>
          <w:szCs w:val="24"/>
        </w:rPr>
        <w:t xml:space="preserve"> isocitrate dehydrogenase enhances </w:t>
      </w:r>
      <w:r>
        <w:rPr>
          <w:rStyle w:val="highlight"/>
          <w:rFonts w:ascii="Arial" w:hAnsi="Arial" w:cs="Arial"/>
          <w:sz w:val="24"/>
          <w:szCs w:val="24"/>
        </w:rPr>
        <w:t>their</w:t>
      </w:r>
      <w:r w:rsidRPr="00DE4A39">
        <w:rPr>
          <w:rStyle w:val="highlight"/>
          <w:rFonts w:ascii="Arial" w:hAnsi="Arial" w:cs="Arial"/>
          <w:sz w:val="24"/>
          <w:szCs w:val="24"/>
        </w:rPr>
        <w:t xml:space="preserve"> activity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&lt;EndNote&gt;&lt;Cite&gt;&lt;Author&gt;Yu W&lt;/Author&gt;&lt;Year&gt;2012&lt;/Year&gt;&lt;RecNum&gt;298&lt;/RecNum&gt;&lt;DisplayText&gt;(56, 57)&lt;/DisplayText&gt;&lt;record&gt;&lt;rec-number&gt;298&lt;/rec-number&gt;&lt;foreign-keys&gt;&lt;key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Cite&gt;&lt;Author&gt;Schlicker C&lt;/Author&gt;&lt;Year&gt;2008&lt;/Year&gt;&lt;RecNum&gt;224&lt;/RecNum&gt;&lt;record&gt;&lt;rec-number&gt;224&lt;/rec-number&gt;&lt;foreign-keys&gt;&lt;key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56" w:tooltip="Yu W, 2012 #298" w:history="1">
        <w:r w:rsidR="00AB7E17">
          <w:rPr>
            <w:rStyle w:val="highlight"/>
            <w:rFonts w:ascii="Arial" w:hAnsi="Arial" w:cs="Arial"/>
            <w:noProof/>
            <w:sz w:val="24"/>
            <w:szCs w:val="24"/>
          </w:rPr>
          <w:t>56</w:t>
        </w:r>
      </w:hyperlink>
      <w:r w:rsidR="00FC3C1A">
        <w:rPr>
          <w:rStyle w:val="highlight"/>
          <w:rFonts w:ascii="Arial" w:hAnsi="Arial" w:cs="Arial"/>
          <w:noProof/>
          <w:sz w:val="24"/>
          <w:szCs w:val="24"/>
        </w:rPr>
        <w:t xml:space="preserve">, </w:t>
      </w:r>
      <w:hyperlink w:anchor="_ENREF_57" w:tooltip="Schlicker C, 2008 #224" w:history="1">
        <w:r w:rsidR="00AB7E17">
          <w:rPr>
            <w:rStyle w:val="highlight"/>
            <w:rFonts w:ascii="Arial" w:hAnsi="Arial" w:cs="Arial"/>
            <w:noProof/>
            <w:sz w:val="24"/>
            <w:szCs w:val="24"/>
          </w:rPr>
          <w:t>57</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Pr>
          <w:rStyle w:val="highlight"/>
          <w:rFonts w:ascii="Arial" w:hAnsi="Arial" w:cs="Arial"/>
          <w:sz w:val="24"/>
          <w:szCs w:val="24"/>
        </w:rPr>
        <w:t xml:space="preserve">, whereas in glycolysis, </w:t>
      </w:r>
      <w:r w:rsidRPr="00DE4A39">
        <w:rPr>
          <w:rStyle w:val="highlight"/>
          <w:rFonts w:ascii="Arial" w:hAnsi="Arial" w:cs="Arial"/>
          <w:sz w:val="24"/>
          <w:szCs w:val="24"/>
        </w:rPr>
        <w:t xml:space="preserve">phosphoglycerate mutase deacetylation via Sirt1 inhibits its activity using the same mechanism and under the same conditions as Sirt3 to </w:t>
      </w:r>
      <w:r>
        <w:rPr>
          <w:rStyle w:val="highlight"/>
          <w:rFonts w:ascii="Arial" w:hAnsi="Arial" w:cs="Arial"/>
          <w:sz w:val="24"/>
          <w:szCs w:val="24"/>
        </w:rPr>
        <w:t xml:space="preserve">deacetylate and </w:t>
      </w:r>
      <w:r w:rsidRPr="00DE4A39">
        <w:rPr>
          <w:rStyle w:val="highlight"/>
          <w:rFonts w:ascii="Arial" w:hAnsi="Arial" w:cs="Arial"/>
          <w:sz w:val="24"/>
          <w:szCs w:val="24"/>
        </w:rPr>
        <w:t>inhibit isocitrate dehydrogenase</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54" w:tooltip="Hallows W, 2012 #101" w:history="1">
        <w:r w:rsidR="00AB7E17">
          <w:rPr>
            <w:rStyle w:val="highlight"/>
            <w:rFonts w:ascii="Arial" w:hAnsi="Arial" w:cs="Arial"/>
            <w:noProof/>
            <w:sz w:val="24"/>
            <w:szCs w:val="24"/>
          </w:rPr>
          <w:t>54</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Therefore, it is reasonable to propose that Sirt1 and Sirt3 could have</w:t>
      </w:r>
      <w:r w:rsidR="00301442">
        <w:rPr>
          <w:rStyle w:val="highlight"/>
          <w:rFonts w:ascii="Arial" w:hAnsi="Arial" w:cs="Arial"/>
          <w:sz w:val="24"/>
          <w:szCs w:val="24"/>
        </w:rPr>
        <w:t xml:space="preserve"> a</w:t>
      </w:r>
      <w:r w:rsidRPr="00DE4A39">
        <w:rPr>
          <w:rStyle w:val="highlight"/>
          <w:rFonts w:ascii="Arial" w:hAnsi="Arial" w:cs="Arial"/>
          <w:sz w:val="24"/>
          <w:szCs w:val="24"/>
        </w:rPr>
        <w:t xml:space="preserve"> key role in regulating metabolic enzymes, tumour proliferation and survival. This regulation is tightly linked to energy metabolism, metabolic syndro</w:t>
      </w:r>
      <w:r>
        <w:rPr>
          <w:rStyle w:val="highlight"/>
          <w:rFonts w:ascii="Arial" w:hAnsi="Arial" w:cs="Arial"/>
          <w:sz w:val="24"/>
          <w:szCs w:val="24"/>
        </w:rPr>
        <w:t xml:space="preserve">mes and cancer (Warburg effect)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54" w:tooltip="Hallows W, 2012 #101" w:history="1">
        <w:r w:rsidR="00AB7E17">
          <w:rPr>
            <w:rStyle w:val="highlight"/>
            <w:rFonts w:ascii="Arial" w:hAnsi="Arial" w:cs="Arial"/>
            <w:noProof/>
            <w:sz w:val="24"/>
            <w:szCs w:val="24"/>
          </w:rPr>
          <w:t>54</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xml:space="preserve">. </w:t>
      </w:r>
      <w:r>
        <w:rPr>
          <w:rStyle w:val="highlight"/>
          <w:rFonts w:ascii="Arial" w:hAnsi="Arial" w:cs="Arial"/>
          <w:sz w:val="24"/>
          <w:szCs w:val="24"/>
        </w:rPr>
        <w:t>On the other hand, some of the effects of the change in the acetylation patterns of metabolic enzymes are related to enzymatic activity. For example, t</w:t>
      </w:r>
      <w:r w:rsidRPr="00DE4A39">
        <w:rPr>
          <w:rStyle w:val="highlight"/>
          <w:rFonts w:ascii="Arial" w:hAnsi="Arial" w:cs="Arial"/>
          <w:sz w:val="24"/>
          <w:szCs w:val="24"/>
        </w:rPr>
        <w:t>he glycolytic enzymes fructose-biphosphate aldolase and glyceraldehyde 3-phosphate dehydrogenase function as cellular instruments to deactivate enzymatic action when they are acetylated</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12" w:tooltip="Lundby A, 2012 #156" w:history="1">
        <w:r w:rsidR="00AB7E17">
          <w:rPr>
            <w:rStyle w:val="highlight"/>
            <w:rFonts w:ascii="Arial" w:hAnsi="Arial" w:cs="Arial"/>
            <w:noProof/>
            <w:sz w:val="24"/>
            <w:szCs w:val="24"/>
          </w:rPr>
          <w:t>12</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This function could be related to fructose-biphosphate aldolase</w:t>
      </w:r>
      <w:r>
        <w:rPr>
          <w:rStyle w:val="highlight"/>
          <w:rFonts w:ascii="Arial" w:hAnsi="Arial" w:cs="Arial"/>
          <w:sz w:val="24"/>
          <w:szCs w:val="24"/>
        </w:rPr>
        <w:t xml:space="preserve"> </w:t>
      </w:r>
      <w:r w:rsidRPr="00DE4A39">
        <w:rPr>
          <w:rStyle w:val="highlight"/>
          <w:rFonts w:ascii="Arial" w:hAnsi="Arial" w:cs="Arial"/>
          <w:sz w:val="24"/>
          <w:szCs w:val="24"/>
        </w:rPr>
        <w:t>specific pattern of acetylation, depending on their localisation and also that glyceraldehyde 3-phosphate dehydrogenase is acetylated in a specific binding site</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12" w:tooltip="Lundby A, 2012 #156" w:history="1">
        <w:r w:rsidR="00AB7E17">
          <w:rPr>
            <w:rStyle w:val="highlight"/>
            <w:rFonts w:ascii="Arial" w:hAnsi="Arial" w:cs="Arial"/>
            <w:noProof/>
            <w:sz w:val="24"/>
            <w:szCs w:val="24"/>
          </w:rPr>
          <w:t>12</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w:t>
      </w:r>
      <w:r>
        <w:rPr>
          <w:rStyle w:val="highlight"/>
          <w:rFonts w:ascii="Arial" w:hAnsi="Arial" w:cs="Arial"/>
          <w:sz w:val="24"/>
          <w:szCs w:val="24"/>
        </w:rPr>
        <w:t xml:space="preserve"> Due to this specificity in terms of the acetylation patterns of the different isoforms of </w:t>
      </w:r>
      <w:r w:rsidRPr="00DE4A39">
        <w:rPr>
          <w:rStyle w:val="highlight"/>
          <w:rFonts w:ascii="Arial" w:hAnsi="Arial" w:cs="Arial"/>
          <w:sz w:val="24"/>
          <w:szCs w:val="24"/>
        </w:rPr>
        <w:t>fructose-biphosphate aldolase</w:t>
      </w:r>
      <w:r>
        <w:rPr>
          <w:rStyle w:val="highlight"/>
          <w:rFonts w:ascii="Arial" w:hAnsi="Arial" w:cs="Arial"/>
          <w:sz w:val="24"/>
          <w:szCs w:val="24"/>
        </w:rPr>
        <w:t xml:space="preserve">, which depends on their </w:t>
      </w:r>
      <w:r>
        <w:rPr>
          <w:rStyle w:val="highlight"/>
          <w:rFonts w:ascii="Arial" w:hAnsi="Arial" w:cs="Arial"/>
          <w:sz w:val="24"/>
          <w:szCs w:val="24"/>
        </w:rPr>
        <w:lastRenderedPageBreak/>
        <w:t xml:space="preserve">localisation, a tissue-specific KATs mechanism has been proposed by Lundby </w:t>
      </w:r>
      <w:r>
        <w:rPr>
          <w:rStyle w:val="highlight"/>
          <w:rFonts w:ascii="Arial" w:hAnsi="Arial" w:cs="Arial"/>
          <w:i/>
          <w:sz w:val="24"/>
          <w:szCs w:val="24"/>
        </w:rPr>
        <w:t xml:space="preserve">et al., </w:t>
      </w:r>
      <w:r>
        <w:rPr>
          <w:rStyle w:val="highlight"/>
          <w:rFonts w:ascii="Arial" w:hAnsi="Arial" w:cs="Arial"/>
          <w:sz w:val="24"/>
          <w:szCs w:val="24"/>
        </w:rPr>
        <w:t xml:space="preserve">2012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12" w:tooltip="Lundby A, 2012 #156" w:history="1">
        <w:r w:rsidR="00AB7E17">
          <w:rPr>
            <w:rStyle w:val="highlight"/>
            <w:rFonts w:ascii="Arial" w:hAnsi="Arial" w:cs="Arial"/>
            <w:noProof/>
            <w:sz w:val="24"/>
            <w:szCs w:val="24"/>
          </w:rPr>
          <w:t>12</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Pr>
          <w:rStyle w:val="highlight"/>
          <w:rFonts w:ascii="Arial" w:hAnsi="Arial" w:cs="Arial"/>
          <w:sz w:val="24"/>
          <w:szCs w:val="24"/>
        </w:rPr>
        <w:t>.</w:t>
      </w:r>
    </w:p>
    <w:p w:rsidR="00EF1380" w:rsidRPr="00DE4A39" w:rsidRDefault="00EF1380" w:rsidP="00EF1380">
      <w:pPr>
        <w:autoSpaceDE w:val="0"/>
        <w:autoSpaceDN w:val="0"/>
        <w:adjustRightInd w:val="0"/>
        <w:spacing w:after="0" w:line="360" w:lineRule="auto"/>
        <w:ind w:firstLine="720"/>
        <w:jc w:val="both"/>
        <w:rPr>
          <w:rStyle w:val="highlight"/>
          <w:rFonts w:ascii="Arial" w:hAnsi="Arial" w:cs="Arial"/>
          <w:sz w:val="24"/>
          <w:szCs w:val="24"/>
        </w:rPr>
      </w:pPr>
      <w:r w:rsidRPr="00DE4A39">
        <w:rPr>
          <w:rStyle w:val="highlight"/>
          <w:rFonts w:ascii="Arial" w:hAnsi="Arial" w:cs="Arial"/>
          <w:sz w:val="24"/>
          <w:szCs w:val="24"/>
        </w:rPr>
        <w:t>Deacetylation of metabolic enzymes is not the only feature associated with glucose deprivation, since it has been shown that in these conditions, the Warburg effect, the metabolic shift from oxidative metabolism to aerobic glycolysis, is prevented</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4" w:tooltip="Donohoe D, 2012 #71" w:history="1">
        <w:r w:rsidR="00AB7E17">
          <w:rPr>
            <w:rStyle w:val="highlight"/>
            <w:rFonts w:ascii="Arial" w:hAnsi="Arial" w:cs="Arial"/>
            <w:noProof/>
            <w:sz w:val="24"/>
            <w:szCs w:val="24"/>
          </w:rPr>
          <w:t>4</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Coupled with metabolic plasticity, there is also a common thought that excessively high rates of glycolysis in cancer are in response to the loss of ATP which could enhance the Warburg effect, determined primarily by glucose and aerobic glycolysis requirements. The shift from oxidative metabolism to glucose and aerobic glycolysis is a hallmark of cancer cells metabolism</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0B3EAF">
        <w:rPr>
          <w:rStyle w:val="highlight"/>
          <w:rFonts w:ascii="Arial" w:hAnsi="Arial" w:cs="Arial"/>
          <w:sz w:val="24"/>
          <w:szCs w:val="24"/>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Style w:val="highlight"/>
          <w:rFonts w:ascii="Arial" w:hAnsi="Arial" w:cs="Arial"/>
          <w:sz w:val="24"/>
          <w:szCs w:val="24"/>
        </w:rPr>
        <w:fldChar w:fldCharType="separate"/>
      </w:r>
      <w:r w:rsidR="000B3EAF">
        <w:rPr>
          <w:rStyle w:val="highlight"/>
          <w:rFonts w:ascii="Arial" w:hAnsi="Arial" w:cs="Arial"/>
          <w:noProof/>
          <w:sz w:val="24"/>
          <w:szCs w:val="24"/>
        </w:rPr>
        <w:t>(</w:t>
      </w:r>
      <w:hyperlink w:anchor="_ENREF_4" w:tooltip="Donohoe D, 2012 #71" w:history="1">
        <w:r w:rsidR="00AB7E17">
          <w:rPr>
            <w:rStyle w:val="highlight"/>
            <w:rFonts w:ascii="Arial" w:hAnsi="Arial" w:cs="Arial"/>
            <w:noProof/>
            <w:sz w:val="24"/>
            <w:szCs w:val="24"/>
          </w:rPr>
          <w:t>4</w:t>
        </w:r>
      </w:hyperlink>
      <w:r w:rsidR="000B3EAF">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The Warburg effect is also related to acetylation patterns, since Sirt1 reversible regulation of acetylation of glycolytic enzymes could play a key role in energy metabolism, metabolic syndromes and in enhancing the Warburg effect</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54" w:tooltip="Hallows W, 2012 #101" w:history="1">
        <w:r w:rsidR="00AB7E17">
          <w:rPr>
            <w:rStyle w:val="highlight"/>
            <w:rFonts w:ascii="Arial" w:hAnsi="Arial" w:cs="Arial"/>
            <w:noProof/>
            <w:sz w:val="24"/>
            <w:szCs w:val="24"/>
          </w:rPr>
          <w:t>54</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w:t>
      </w:r>
    </w:p>
    <w:p w:rsidR="00EF1380" w:rsidRPr="00DE4A39" w:rsidRDefault="00EF1380" w:rsidP="00EF1380">
      <w:pPr>
        <w:autoSpaceDE w:val="0"/>
        <w:autoSpaceDN w:val="0"/>
        <w:adjustRightInd w:val="0"/>
        <w:spacing w:after="0" w:line="360" w:lineRule="auto"/>
        <w:ind w:firstLine="720"/>
        <w:jc w:val="both"/>
        <w:rPr>
          <w:rStyle w:val="highlight"/>
          <w:rFonts w:ascii="Arial" w:hAnsi="Arial" w:cs="Arial"/>
          <w:sz w:val="24"/>
          <w:szCs w:val="24"/>
        </w:rPr>
      </w:pPr>
      <w:r w:rsidRPr="00DE4A39">
        <w:rPr>
          <w:rStyle w:val="highlight"/>
          <w:rFonts w:ascii="Arial" w:hAnsi="Arial" w:cs="Arial"/>
          <w:sz w:val="24"/>
          <w:szCs w:val="24"/>
        </w:rPr>
        <w:t xml:space="preserve">Another enzyme </w:t>
      </w:r>
      <w:r w:rsidR="0024507F">
        <w:rPr>
          <w:rStyle w:val="highlight"/>
          <w:rFonts w:ascii="Arial" w:hAnsi="Arial" w:cs="Arial"/>
          <w:sz w:val="24"/>
          <w:szCs w:val="24"/>
        </w:rPr>
        <w:t xml:space="preserve">for </w:t>
      </w:r>
      <w:r w:rsidRPr="00DE4A39">
        <w:rPr>
          <w:rStyle w:val="highlight"/>
          <w:rFonts w:ascii="Arial" w:hAnsi="Arial" w:cs="Arial"/>
          <w:sz w:val="24"/>
          <w:szCs w:val="24"/>
        </w:rPr>
        <w:t xml:space="preserve">which acetylation patterns are important is pyruvate kinase, </w:t>
      </w:r>
      <w:r>
        <w:rPr>
          <w:rStyle w:val="highlight"/>
          <w:rFonts w:ascii="Arial" w:hAnsi="Arial" w:cs="Arial"/>
          <w:sz w:val="24"/>
          <w:szCs w:val="24"/>
        </w:rPr>
        <w:t>since it</w:t>
      </w:r>
      <w:r w:rsidRPr="00DE4A39">
        <w:rPr>
          <w:rStyle w:val="highlight"/>
          <w:rFonts w:ascii="Arial" w:hAnsi="Arial" w:cs="Arial"/>
          <w:sz w:val="24"/>
          <w:szCs w:val="24"/>
        </w:rPr>
        <w:t xml:space="preserve"> is involved in glycolysis and pyruvate metabolism. The </w:t>
      </w:r>
      <w:r>
        <w:rPr>
          <w:rStyle w:val="highlight"/>
          <w:rFonts w:ascii="Arial" w:hAnsi="Arial" w:cs="Arial"/>
          <w:sz w:val="24"/>
          <w:szCs w:val="24"/>
        </w:rPr>
        <w:t xml:space="preserve">importance of this enzyme relies </w:t>
      </w:r>
      <w:r w:rsidR="0024507F">
        <w:rPr>
          <w:rStyle w:val="highlight"/>
          <w:rFonts w:ascii="Arial" w:hAnsi="Arial" w:cs="Arial"/>
          <w:sz w:val="24"/>
          <w:szCs w:val="24"/>
        </w:rPr>
        <w:t>on</w:t>
      </w:r>
      <w:r>
        <w:rPr>
          <w:rStyle w:val="highlight"/>
          <w:rFonts w:ascii="Arial" w:hAnsi="Arial" w:cs="Arial"/>
          <w:sz w:val="24"/>
          <w:szCs w:val="24"/>
        </w:rPr>
        <w:t xml:space="preserve"> opposing effects, since the </w:t>
      </w:r>
      <w:r w:rsidRPr="00DE4A39">
        <w:rPr>
          <w:rStyle w:val="highlight"/>
          <w:rFonts w:ascii="Arial" w:hAnsi="Arial" w:cs="Arial"/>
          <w:sz w:val="24"/>
          <w:szCs w:val="24"/>
        </w:rPr>
        <w:t xml:space="preserve">up-regulation </w:t>
      </w:r>
      <w:r>
        <w:rPr>
          <w:rStyle w:val="highlight"/>
          <w:rFonts w:ascii="Arial" w:hAnsi="Arial" w:cs="Arial"/>
          <w:sz w:val="24"/>
          <w:szCs w:val="24"/>
        </w:rPr>
        <w:t>of this enzyme produces a</w:t>
      </w:r>
      <w:r w:rsidRPr="00DE4A39">
        <w:rPr>
          <w:rStyle w:val="highlight"/>
          <w:rFonts w:ascii="Arial" w:hAnsi="Arial" w:cs="Arial"/>
          <w:sz w:val="24"/>
          <w:szCs w:val="24"/>
        </w:rPr>
        <w:t xml:space="preserve"> </w:t>
      </w:r>
      <w:r>
        <w:rPr>
          <w:rStyle w:val="highlight"/>
          <w:rFonts w:ascii="Arial" w:hAnsi="Arial" w:cs="Arial"/>
          <w:sz w:val="24"/>
          <w:szCs w:val="24"/>
        </w:rPr>
        <w:t xml:space="preserve">decrease in the </w:t>
      </w:r>
      <w:r w:rsidRPr="00DE4A39">
        <w:rPr>
          <w:rStyle w:val="highlight"/>
          <w:rFonts w:ascii="Arial" w:hAnsi="Arial" w:cs="Arial"/>
          <w:sz w:val="24"/>
          <w:szCs w:val="24"/>
        </w:rPr>
        <w:t>glycoly</w:t>
      </w:r>
      <w:r>
        <w:rPr>
          <w:rStyle w:val="highlight"/>
          <w:rFonts w:ascii="Arial" w:hAnsi="Arial" w:cs="Arial"/>
          <w:sz w:val="24"/>
          <w:szCs w:val="24"/>
        </w:rPr>
        <w:t>tic</w:t>
      </w:r>
      <w:r w:rsidRPr="00DE4A39">
        <w:rPr>
          <w:rStyle w:val="highlight"/>
          <w:rFonts w:ascii="Arial" w:hAnsi="Arial" w:cs="Arial"/>
          <w:sz w:val="24"/>
          <w:szCs w:val="24"/>
        </w:rPr>
        <w:t xml:space="preserve"> </w:t>
      </w:r>
      <w:r>
        <w:rPr>
          <w:rStyle w:val="highlight"/>
          <w:rFonts w:ascii="Arial" w:hAnsi="Arial" w:cs="Arial"/>
          <w:sz w:val="24"/>
          <w:szCs w:val="24"/>
        </w:rPr>
        <w:t xml:space="preserve">flux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&lt;EndNote&gt;&lt;Cite&gt;&lt;Author&gt;Kung C&lt;/Author&gt;&lt;Year&gt;2012&lt;/Year&gt;&lt;RecNum&gt;145&lt;/RecNum&gt;&lt;DisplayText&gt;(91)&lt;/DisplayText&gt;&lt;record&gt;&lt;rec-number&gt;145&lt;/rec-number&gt;&lt;foreign-keys&gt;&lt;key app="EN" db-id="zxp9w5sa30aeafes0xox2eem00dz2z2aswad"&gt;145&lt;/key&gt;&lt;key app="ENWeb" db-id="UG1-3grtqigAAEqvEt0"&gt;136&lt;/key&gt;&lt;/foreign-keys&gt;&lt;ref-type name="Journal Article"&gt;17&lt;/ref-type&gt;&lt;contributors&gt;&lt;authors&gt;&lt;author&gt;Kung C,&lt;/author&gt;&lt;author&gt;Hixon J,&lt;/author&gt;&lt;author&gt;Choe S,&lt;/author&gt;&lt;author&gt;Marks K,&lt;/author&gt;&lt;author&gt;Gross S,&lt;/author&gt;&lt;author&gt;Murphy E,&lt;/author&gt;&lt;author&gt;Delabarre B,&lt;/author&gt;&lt;author&gt;Cianchetta G,&lt;/author&gt;&lt;author&gt;Sethumadhavan S,&lt;/author&gt;&lt;author&gt;Wang X,&lt;/author&gt;&lt;author&gt;Yan S,&lt;/author&gt;&lt;author&gt;Gao Y,&lt;/author&gt;&lt;author&gt;Fang C,&lt;/author&gt;&lt;author&gt;Wei W,&lt;/author&gt;&lt;author&gt;Jiang F,&lt;/author&gt;&lt;author&gt;Wang S,&lt;/author&gt;&lt;author&gt;Qian K,&lt;/author&gt;&lt;author&gt;Saunders J,&lt;/author&gt;&lt;author&gt;Driggers E,&lt;/author&gt;&lt;author&gt;Woo HK,&lt;/author&gt;&lt;author&gt;Kunii K,&lt;/author&gt;&lt;author&gt;Murray S,&lt;/author&gt;&lt;author&gt;Yang H,&lt;/author&gt;&lt;author&gt;Yen K,&lt;/author&gt;&lt;author&gt;Liu W,&lt;/author&gt;&lt;author&gt;Cantley L,&lt;/author&gt;&lt;author&gt;Vander Heiden M,&lt;/author&gt;&lt;author&gt;Su S,&lt;/author&gt;&lt;author&gt;Jin S,&lt;/author&gt;&lt;author&gt;Salituro F,&lt;/author&gt;&lt;author&gt;Dang L,&lt;/author&gt;&lt;/authors&gt;&lt;/contributors&gt;&lt;titles&gt;&lt;title&gt;Small Molecule Activation of PKM2 in Cancer Cells Induces Serine Auxotrophy&lt;/title&gt;&lt;secondary-title&gt;Chem Biol&lt;/secondary-title&gt;&lt;/titles&gt;&lt;periodical&gt;&lt;full-title&gt;Chem Biol&lt;/full-title&gt;&lt;/periodical&gt;&lt;pages&gt;1187-98&lt;/pages&gt;&lt;volume&gt;19&lt;/volume&gt;&lt;number&gt;9&lt;/number&gt;&lt;dates&gt;&lt;year&gt;2012&lt;/year&gt;&lt;/dates&gt;&lt;urls&gt;&lt;/urls&gt;&lt;/record&gt;&lt;/Cite&gt;&lt;/EndNote&gt;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91" w:tooltip="Kung C, 2012 #145" w:history="1">
        <w:r w:rsidR="00AB7E17">
          <w:rPr>
            <w:rStyle w:val="highlight"/>
            <w:rFonts w:ascii="Arial" w:hAnsi="Arial" w:cs="Arial"/>
            <w:noProof/>
            <w:sz w:val="24"/>
            <w:szCs w:val="24"/>
          </w:rPr>
          <w:t>91</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0024507F" w:rsidRPr="0024507F">
        <w:rPr>
          <w:rStyle w:val="highlight"/>
          <w:rFonts w:ascii="Arial" w:hAnsi="Arial" w:cs="Arial"/>
          <w:sz w:val="24"/>
          <w:szCs w:val="24"/>
        </w:rPr>
        <w:t xml:space="preserve"> </w:t>
      </w:r>
      <w:r w:rsidR="0024507F">
        <w:rPr>
          <w:rStyle w:val="highlight"/>
          <w:rFonts w:ascii="Arial" w:hAnsi="Arial" w:cs="Arial"/>
          <w:sz w:val="24"/>
          <w:szCs w:val="24"/>
        </w:rPr>
        <w:t>and t</w:t>
      </w:r>
      <w:r w:rsidR="0024507F" w:rsidRPr="00DE4A39">
        <w:rPr>
          <w:rStyle w:val="highlight"/>
          <w:rFonts w:ascii="Arial" w:hAnsi="Arial" w:cs="Arial"/>
          <w:sz w:val="24"/>
          <w:szCs w:val="24"/>
        </w:rPr>
        <w:t>he ablation of glycolysis could be due to a failure in the acetylation patterns</w:t>
      </w:r>
      <w:r w:rsidR="0024507F">
        <w:rPr>
          <w:rStyle w:val="highlight"/>
          <w:rFonts w:ascii="Arial" w:hAnsi="Arial" w:cs="Arial"/>
          <w:sz w:val="24"/>
          <w:szCs w:val="24"/>
        </w:rPr>
        <w:t xml:space="preserve"> of this enzyme </w:t>
      </w:r>
      <w:r w:rsidR="0024507F">
        <w:rPr>
          <w:rStyle w:val="highlight"/>
          <w:rFonts w:ascii="Arial" w:hAnsi="Arial" w:cs="Arial"/>
          <w:sz w:val="24"/>
          <w:szCs w:val="24"/>
        </w:rPr>
        <w:fldChar w:fldCharType="begin"/>
      </w:r>
      <w:r w:rsidR="0024507F">
        <w:rPr>
          <w:rStyle w:val="highlight"/>
          <w:rFonts w:ascii="Arial" w:hAnsi="Arial" w:cs="Arial"/>
          <w:sz w:val="24"/>
          <w:szCs w:val="24"/>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24507F">
        <w:rPr>
          <w:rStyle w:val="highlight"/>
          <w:rFonts w:ascii="Arial" w:hAnsi="Arial" w:cs="Arial"/>
          <w:sz w:val="24"/>
          <w:szCs w:val="24"/>
        </w:rPr>
        <w:fldChar w:fldCharType="separate"/>
      </w:r>
      <w:r w:rsidR="0024507F">
        <w:rPr>
          <w:rStyle w:val="highlight"/>
          <w:rFonts w:ascii="Arial" w:hAnsi="Arial" w:cs="Arial"/>
          <w:noProof/>
          <w:sz w:val="24"/>
          <w:szCs w:val="24"/>
        </w:rPr>
        <w:t>(</w:t>
      </w:r>
      <w:hyperlink w:anchor="_ENREF_66" w:tooltip="Lv L, 2011 #161" w:history="1">
        <w:r w:rsidR="00AB7E17">
          <w:rPr>
            <w:rStyle w:val="highlight"/>
            <w:rFonts w:ascii="Arial" w:hAnsi="Arial" w:cs="Arial"/>
            <w:noProof/>
            <w:sz w:val="24"/>
            <w:szCs w:val="24"/>
          </w:rPr>
          <w:t>66</w:t>
        </w:r>
      </w:hyperlink>
      <w:r w:rsidR="0024507F">
        <w:rPr>
          <w:rStyle w:val="highlight"/>
          <w:rFonts w:ascii="Arial" w:hAnsi="Arial" w:cs="Arial"/>
          <w:noProof/>
          <w:sz w:val="24"/>
          <w:szCs w:val="24"/>
        </w:rPr>
        <w:t>)</w:t>
      </w:r>
      <w:r w:rsidR="0024507F">
        <w:rPr>
          <w:rStyle w:val="highlight"/>
          <w:rFonts w:ascii="Arial" w:hAnsi="Arial" w:cs="Arial"/>
          <w:sz w:val="24"/>
          <w:szCs w:val="24"/>
        </w:rPr>
        <w:fldChar w:fldCharType="end"/>
      </w:r>
      <w:r w:rsidRPr="00DE4A39">
        <w:rPr>
          <w:rStyle w:val="highlight"/>
          <w:rFonts w:ascii="Arial" w:hAnsi="Arial" w:cs="Arial"/>
          <w:sz w:val="24"/>
          <w:szCs w:val="24"/>
        </w:rPr>
        <w:t xml:space="preserve">. This is possibly one of the key roles of pyruvate kinase in cancer and tumour growth in neoplastic colon tissue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&lt;EndNote&gt;&lt;Cite&gt;&lt;Author&gt;Jahns F&lt;/Author&gt;&lt;Year&gt;2012&lt;/Year&gt;&lt;RecNum&gt;124&lt;/RecNum&gt;&lt;DisplayText&gt;(92)&lt;/DisplayText&gt;&lt;record&gt;&lt;rec-number&gt;124&lt;/rec-number&gt;&lt;foreign-keys&gt;&lt;key app="EN" db-id="zxp9w5sa30aeafes0xox2eem00dz2z2aswad"&gt;124&lt;/key&gt;&lt;key app="ENWeb" db-id="UG1-3grtqigAAEqvEt0"&gt;384&lt;/key&gt;&lt;/foreign-keys&gt;&lt;ref-type name="Journal Article"&gt;17&lt;/ref-type&gt;&lt;contributors&gt;&lt;authors&gt;&lt;author&gt;Jahns F,&lt;/author&gt;&lt;author&gt;Wilhelm A,&lt;/author&gt;&lt;author&gt;Greulich K,&lt;/author&gt;&lt;author&gt;Mothes H,&lt;/author&gt;&lt;author&gt;Radeva M,&lt;/author&gt;&lt;author&gt;Wölfert A,&lt;/author&gt;&lt;author&gt;Glei M,&lt;/author&gt;&lt;/authors&gt;&lt;/contributors&gt;&lt;titles&gt;&lt;title&gt;Impact of butyrate on PKM2 and HSP90β expression in human colon tissues of different transformation stages: a comparison fo gene and protein data&lt;/title&gt;&lt;secondary-title&gt;Genes Nutr&lt;/secondary-title&gt;&lt;/titles&gt;&lt;periodical&gt;&lt;full-title&gt;Genes Nutr&lt;/full-title&gt;&lt;/periodical&gt;&lt;pages&gt;235-246&lt;/pages&gt;&lt;volume&gt;7&lt;/volume&gt;&lt;number&gt;2&lt;/number&gt;&lt;dates&gt;&lt;year&gt;2012&lt;/year&gt;&lt;/dates&gt;&lt;urls&gt;&lt;/urls&gt;&lt;/record&gt;&lt;/Cite&gt;&lt;/EndNote&gt;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92" w:tooltip="Jahns F, 2012 #124" w:history="1">
        <w:r w:rsidR="00AB7E17">
          <w:rPr>
            <w:rStyle w:val="highlight"/>
            <w:rFonts w:ascii="Arial" w:hAnsi="Arial" w:cs="Arial"/>
            <w:noProof/>
            <w:sz w:val="24"/>
            <w:szCs w:val="24"/>
          </w:rPr>
          <w:t>92</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Moreover, pyruvate kinase is also related to independent caspase apoptosis in tumour cells</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&lt;EndNote&gt;&lt;Cite&gt;&lt;Author&gt;Steták A&lt;/Author&gt;&lt;Year&gt;2007&lt;/Year&gt;&lt;RecNum&gt;239&lt;/RecNum&gt;&lt;DisplayText&gt;(93)&lt;/DisplayText&gt;&lt;record&gt;&lt;rec-number&gt;239&lt;/rec-number&gt;&lt;foreign-keys&gt;&lt;key app="EN" db-id="zxp9w5sa30aeafes0xox2eem00dz2z2aswad"&gt;239&lt;/key&gt;&lt;key app="ENWeb" db-id="UG1-3grtqigAAEqvEt0"&gt;391&lt;/key&gt;&lt;/foreign-keys&gt;&lt;ref-type name="Journal Article"&gt;17&lt;/ref-type&gt;&lt;contributors&gt;&lt;authors&gt;&lt;author&gt;Steták A,&lt;/author&gt;&lt;author&gt;Veress R,&lt;/author&gt;&lt;author&gt;Ovádi J,&lt;/author&gt;&lt;author&gt;Csermely P,&lt;/author&gt;&lt;author&gt;Kéri G,&lt;/author&gt;&lt;author&gt;Ullrich A,&lt;/author&gt;&lt;/authors&gt;&lt;/contributors&gt;&lt;titles&gt;&lt;title&gt;Nuclear translocation of the tumor marker pyruvate kinase M2 induces programmed cell death &lt;/title&gt;&lt;secondary-title&gt;Cancer Res&lt;/secondary-title&gt;&lt;/titles&gt;&lt;periodical&gt;&lt;full-title&gt;Cancer Res&lt;/full-title&gt;&lt;/periodical&gt;&lt;pages&gt;1602-1608&lt;/pages&gt;&lt;volume&gt;67&lt;/volume&gt;&lt;number&gt;4&lt;/number&gt;&lt;dates&gt;&lt;year&gt;2007&lt;/year&gt;&lt;/dates&gt;&lt;urls&gt;&lt;/urls&gt;&lt;/record&gt;&lt;/Cite&gt;&lt;/EndNote&gt;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93" w:tooltip="Steták A, 2007 #239" w:history="1">
        <w:r w:rsidR="00AB7E17">
          <w:rPr>
            <w:rStyle w:val="highlight"/>
            <w:rFonts w:ascii="Arial" w:hAnsi="Arial" w:cs="Arial"/>
            <w:noProof/>
            <w:sz w:val="24"/>
            <w:szCs w:val="24"/>
          </w:rPr>
          <w:t>93</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 and transcriptional activity in cancer</w:t>
      </w:r>
      <w:r>
        <w:rPr>
          <w:rStyle w:val="highlight"/>
          <w:rFonts w:ascii="Arial" w:hAnsi="Arial" w:cs="Arial"/>
          <w:sz w:val="24"/>
          <w:szCs w:val="24"/>
        </w:rPr>
        <w:t xml:space="preserve"> </w:t>
      </w:r>
      <w:r w:rsidR="006C2756">
        <w:rPr>
          <w:rStyle w:val="highlight"/>
          <w:rFonts w:ascii="Arial" w:hAnsi="Arial" w:cs="Arial"/>
          <w:sz w:val="24"/>
          <w:szCs w:val="24"/>
        </w:rPr>
        <w:fldChar w:fldCharType="begin"/>
      </w:r>
      <w:r w:rsidR="00FC3C1A">
        <w:rPr>
          <w:rStyle w:val="highlight"/>
          <w:rFonts w:ascii="Arial" w:hAnsi="Arial" w:cs="Arial"/>
          <w:sz w:val="24"/>
          <w:szCs w:val="24"/>
        </w:rPr>
        <w:instrText xml:space="preserve"> ADDIN EN.CITE &lt;EndNote&gt;&lt;Cite&gt;&lt;Author&gt;Luo W&lt;/Author&gt;&lt;Year&gt;2012&lt;/Year&gt;&lt;RecNum&gt;325&lt;/RecNum&gt;&lt;DisplayText&gt;(94)&lt;/DisplayText&gt;&lt;record&gt;&lt;rec-number&gt;325&lt;/rec-number&gt;&lt;foreign-keys&gt;&lt;key app="EN" db-id="zxp9w5sa30aeafes0xox2eem00dz2z2aswad"&gt;325&lt;/key&gt;&lt;/foreign-keys&gt;&lt;ref-type name="Journal Article"&gt;17&lt;/ref-type&gt;&lt;contributors&gt;&lt;authors&gt;&lt;author&gt;Luo W,&lt;/author&gt;&lt;author&gt;Semenza G,&lt;/author&gt;&lt;/authors&gt;&lt;/contributors&gt;&lt;titles&gt;&lt;title&gt;Emerging roles of PKM2 in cell metabolism and cancer progression&lt;/title&gt;&lt;secondary-title&gt;Trends Endocrinol Metab&lt;/secondary-title&gt;&lt;/titles&gt;&lt;periodical&gt;&lt;full-title&gt;Trends Endocrinol Metab&lt;/full-title&gt;&lt;/periodical&gt;&lt;pages&gt;560-566&lt;/pages&gt;&lt;volume&gt;23&lt;/volume&gt;&lt;number&gt;11&lt;/number&gt;&lt;dates&gt;&lt;year&gt;2012&lt;/year&gt;&lt;/dates&gt;&lt;urls&gt;&lt;/urls&gt;&lt;/record&gt;&lt;/Cite&gt;&lt;/EndNote&gt;</w:instrText>
      </w:r>
      <w:r w:rsidR="006C2756">
        <w:rPr>
          <w:rStyle w:val="highlight"/>
          <w:rFonts w:ascii="Arial" w:hAnsi="Arial" w:cs="Arial"/>
          <w:sz w:val="24"/>
          <w:szCs w:val="24"/>
        </w:rPr>
        <w:fldChar w:fldCharType="separate"/>
      </w:r>
      <w:r w:rsidR="00FC3C1A">
        <w:rPr>
          <w:rStyle w:val="highlight"/>
          <w:rFonts w:ascii="Arial" w:hAnsi="Arial" w:cs="Arial"/>
          <w:noProof/>
          <w:sz w:val="24"/>
          <w:szCs w:val="24"/>
        </w:rPr>
        <w:t>(</w:t>
      </w:r>
      <w:hyperlink w:anchor="_ENREF_94" w:tooltip="Luo W, 2012 #325" w:history="1">
        <w:r w:rsidR="00AB7E17">
          <w:rPr>
            <w:rStyle w:val="highlight"/>
            <w:rFonts w:ascii="Arial" w:hAnsi="Arial" w:cs="Arial"/>
            <w:noProof/>
            <w:sz w:val="24"/>
            <w:szCs w:val="24"/>
          </w:rPr>
          <w:t>94</w:t>
        </w:r>
      </w:hyperlink>
      <w:r w:rsidR="00FC3C1A">
        <w:rPr>
          <w:rStyle w:val="highlight"/>
          <w:rFonts w:ascii="Arial" w:hAnsi="Arial" w:cs="Arial"/>
          <w:noProof/>
          <w:sz w:val="24"/>
          <w:szCs w:val="24"/>
        </w:rPr>
        <w:t>)</w:t>
      </w:r>
      <w:r w:rsidR="006C2756">
        <w:rPr>
          <w:rStyle w:val="highlight"/>
          <w:rFonts w:ascii="Arial" w:hAnsi="Arial" w:cs="Arial"/>
          <w:sz w:val="24"/>
          <w:szCs w:val="24"/>
        </w:rPr>
        <w:fldChar w:fldCharType="end"/>
      </w:r>
      <w:r w:rsidRPr="00DE4A39">
        <w:rPr>
          <w:rStyle w:val="highlight"/>
          <w:rFonts w:ascii="Arial" w:hAnsi="Arial" w:cs="Arial"/>
          <w:sz w:val="24"/>
          <w:szCs w:val="24"/>
        </w:rPr>
        <w:t>.</w:t>
      </w:r>
      <w:r>
        <w:rPr>
          <w:rStyle w:val="highlight"/>
          <w:rFonts w:ascii="Arial" w:hAnsi="Arial" w:cs="Arial"/>
          <w:sz w:val="24"/>
          <w:szCs w:val="24"/>
        </w:rPr>
        <w:t xml:space="preserve"> </w:t>
      </w:r>
    </w:p>
    <w:p w:rsidR="00785543" w:rsidRPr="00841E0A" w:rsidRDefault="00EF1380" w:rsidP="00785543">
      <w:pPr>
        <w:spacing w:line="360" w:lineRule="auto"/>
        <w:ind w:firstLine="708"/>
        <w:jc w:val="both"/>
        <w:rPr>
          <w:rStyle w:val="highlight"/>
          <w:rFonts w:ascii="Arial" w:hAnsi="Arial" w:cs="Arial"/>
          <w:sz w:val="24"/>
          <w:szCs w:val="24"/>
        </w:rPr>
      </w:pPr>
      <w:r w:rsidRPr="00841E0A">
        <w:rPr>
          <w:rFonts w:ascii="Arial" w:hAnsi="Arial" w:cs="Arial"/>
          <w:sz w:val="24"/>
          <w:szCs w:val="24"/>
          <w:lang w:val="en-US"/>
        </w:rPr>
        <w:t xml:space="preserve">These changes in the acetylation patterns of metabolic enzymes can also be reflected in terms of </w:t>
      </w:r>
      <w:r w:rsidR="00301442" w:rsidRPr="00841E0A">
        <w:rPr>
          <w:rFonts w:ascii="Arial" w:hAnsi="Arial" w:cs="Arial"/>
          <w:sz w:val="24"/>
          <w:szCs w:val="24"/>
          <w:lang w:val="en-US"/>
        </w:rPr>
        <w:t xml:space="preserve">the representation and analysis of metabolic pathways, since </w:t>
      </w:r>
      <w:r w:rsidR="00301442" w:rsidRPr="00841E0A">
        <w:rPr>
          <w:rFonts w:ascii="Arial" w:hAnsi="Arial" w:cs="Arial"/>
          <w:sz w:val="24"/>
          <w:szCs w:val="24"/>
        </w:rPr>
        <w:t>only 19 out of 26 enzymes were detected to be acetylated in the metabolic pathways</w:t>
      </w:r>
      <w:r w:rsidR="00301442" w:rsidRPr="00841E0A">
        <w:rPr>
          <w:rFonts w:ascii="Arial" w:hAnsi="Arial" w:cs="Arial"/>
          <w:bCs/>
          <w:sz w:val="24"/>
          <w:szCs w:val="24"/>
        </w:rPr>
        <w:t xml:space="preserve"> analysed</w:t>
      </w:r>
      <w:r w:rsidR="00301442" w:rsidRPr="00841E0A">
        <w:rPr>
          <w:rFonts w:ascii="Arial" w:hAnsi="Arial" w:cs="Arial"/>
          <w:sz w:val="24"/>
          <w:szCs w:val="24"/>
        </w:rPr>
        <w:t>. There were 9 out of 10 acetylated enzymes in glycolysis, 5 out of 8 in the TCA cycle, 3 out of 4 in β-oxidation, and 4 out of 6 in pyruvate metabolism. As some metabolic enzymes were found to be taking part in more than one metabolic pathway, an overlap of g</w:t>
      </w:r>
      <w:r w:rsidR="00301442" w:rsidRPr="00841E0A">
        <w:rPr>
          <w:rStyle w:val="highlight"/>
          <w:rFonts w:ascii="Arial" w:hAnsi="Arial" w:cs="Arial"/>
          <w:sz w:val="24"/>
          <w:szCs w:val="24"/>
        </w:rPr>
        <w:t>lycolysis, the TCA cycle, β-oxidation and pyruvate metabolism indicates these pathways to be closely related. The enzymes and molecules taking part in more than one metabolic pathway are oxaloacetate, malate, pyruvate and acetyl-CoA. Acetyl-CoA produced in β-</w:t>
      </w:r>
      <w:r w:rsidR="00301442" w:rsidRPr="00841E0A">
        <w:rPr>
          <w:rStyle w:val="highlight"/>
          <w:rFonts w:ascii="Arial" w:hAnsi="Arial" w:cs="Arial"/>
          <w:sz w:val="24"/>
          <w:szCs w:val="24"/>
        </w:rPr>
        <w:lastRenderedPageBreak/>
        <w:t>oxidation enters the</w:t>
      </w:r>
      <w:r w:rsidR="00301442" w:rsidRPr="00DE4A39">
        <w:rPr>
          <w:rStyle w:val="highlight"/>
          <w:rFonts w:ascii="Arial" w:hAnsi="Arial" w:cs="Arial"/>
          <w:sz w:val="24"/>
          <w:szCs w:val="24"/>
        </w:rPr>
        <w:t xml:space="preserve"> TCA cycle where it is used along with oxaloacetate by malate dehydrogenase as substrates to produce citrate and malate, and becomes involved in β-oxidation and the TCA cycle. Malate produced from oxaloacetate (metabolised by malate dehydrogenase) or fumarate (metabolised by fumarase) is used as a substrate by malic enzyme to produce pyruvate, linking the TCA cycle and pyruvate metabolism. Glycolysis is linked to TCA cycle in two ways. The first one involves the production of pyruvate, which is the last step in glycolysis, and is used as a substrate by pyruvate carboxylase and metabolised into oxaloacetate. The other way involves oxaloacetate production since phosphoenolpyruvate is used as a </w:t>
      </w:r>
      <w:r w:rsidR="00301442" w:rsidRPr="00841E0A">
        <w:rPr>
          <w:rStyle w:val="highlight"/>
          <w:rFonts w:ascii="Arial" w:hAnsi="Arial" w:cs="Arial"/>
          <w:sz w:val="24"/>
          <w:szCs w:val="24"/>
        </w:rPr>
        <w:t xml:space="preserve">substrate by phosphoenolpyruvate carboxykinase to produce oxaloacetate. </w:t>
      </w:r>
    </w:p>
    <w:p w:rsidR="00785543" w:rsidRPr="00841E0A" w:rsidRDefault="00785543" w:rsidP="00785543">
      <w:pPr>
        <w:spacing w:line="360" w:lineRule="auto"/>
        <w:ind w:firstLine="708"/>
        <w:jc w:val="both"/>
        <w:rPr>
          <w:rFonts w:ascii="Arial" w:hAnsi="Arial" w:cs="Arial"/>
          <w:sz w:val="24"/>
          <w:szCs w:val="24"/>
        </w:rPr>
      </w:pPr>
      <w:r w:rsidRPr="00841E0A">
        <w:rPr>
          <w:rStyle w:val="highlight"/>
          <w:rFonts w:ascii="Arial" w:hAnsi="Arial" w:cs="Arial"/>
          <w:sz w:val="24"/>
          <w:szCs w:val="24"/>
        </w:rPr>
        <w:t xml:space="preserve">The percentage coverage of pathways is another way in which the metabolic enzymes are affected by acetylation. </w:t>
      </w:r>
      <w:r w:rsidRPr="00841E0A">
        <w:rPr>
          <w:rFonts w:ascii="Arial" w:hAnsi="Arial" w:cs="Arial"/>
          <w:sz w:val="24"/>
          <w:szCs w:val="24"/>
        </w:rPr>
        <w:t>In the global proteome dataset the TCA cycle was the pathway with the highest percentage coverage of pathways with 81%, followed by glycolysis and pyruvate metabolism with 65%, and β-oxidation with 55%. In the acetylated proteome dataset, the pathway with the highest coverage was glycolysis with 23%, followed by pyruvate metabolism with 20%, the TCA cycle with 19%, and β-oxidation with 18%. Matching pathways, the number of pathways found to match the global and acetylated proteome datasets</w:t>
      </w:r>
      <w:r w:rsidR="002013D5">
        <w:rPr>
          <w:rFonts w:ascii="Arial" w:hAnsi="Arial" w:cs="Arial"/>
          <w:sz w:val="24"/>
          <w:szCs w:val="24"/>
        </w:rPr>
        <w:t>,</w:t>
      </w:r>
      <w:r w:rsidRPr="00841E0A">
        <w:rPr>
          <w:rFonts w:ascii="Arial" w:hAnsi="Arial" w:cs="Arial"/>
          <w:sz w:val="24"/>
          <w:szCs w:val="24"/>
        </w:rPr>
        <w:t xml:space="preserve"> showed differences as well. </w:t>
      </w:r>
      <w:r w:rsidRPr="00841E0A">
        <w:rPr>
          <w:rStyle w:val="sectionname"/>
          <w:rFonts w:ascii="Arial" w:hAnsi="Arial" w:cs="Arial"/>
          <w:sz w:val="24"/>
          <w:szCs w:val="24"/>
        </w:rPr>
        <w:t>Twenty four d</w:t>
      </w:r>
      <w:r w:rsidRPr="00841E0A">
        <w:rPr>
          <w:rFonts w:ascii="Arial" w:hAnsi="Arial" w:cs="Arial"/>
          <w:sz w:val="24"/>
          <w:szCs w:val="24"/>
        </w:rPr>
        <w:t>ifferent pathways were found to match the global proteome, from which twenty three were found to match the acetylated proteome dataset. The global proteome showed more entities in each pathway, and an 11-46% higher coverage of pathways when compared to the acetylated proteome. The specific analysis of Metabolism pathway showed that 10 glycolytic enzymes, 3 TCA cycle enzymes, 3 enzymes in pyruvate metabolism and 1 β-oxidation enzyme were found to take part in this pathway in the global proteome, whereas 9 glycolytic enzymes, 3 TCA cycle enzymes, 2 pyruvate metabolism and none β-oxidation enzymes were found to take part in this pathway in the acetylated proteome.</w:t>
      </w:r>
    </w:p>
    <w:p w:rsidR="00841E0A" w:rsidRPr="00AB7E17" w:rsidRDefault="00301442" w:rsidP="00AB7E17">
      <w:pPr>
        <w:autoSpaceDE w:val="0"/>
        <w:autoSpaceDN w:val="0"/>
        <w:adjustRightInd w:val="0"/>
        <w:spacing w:line="360" w:lineRule="auto"/>
        <w:ind w:firstLine="708"/>
        <w:jc w:val="both"/>
        <w:rPr>
          <w:rFonts w:ascii="Arial" w:hAnsi="Arial" w:cs="Arial"/>
          <w:sz w:val="24"/>
          <w:szCs w:val="24"/>
        </w:rPr>
      </w:pPr>
      <w:r w:rsidRPr="00301442">
        <w:rPr>
          <w:rFonts w:ascii="Arial" w:hAnsi="Arial" w:cs="Arial"/>
          <w:sz w:val="24"/>
          <w:lang w:val="en-US"/>
        </w:rPr>
        <w:t xml:space="preserve">Changes related to acetylation of the proteome were also observed in terms of the enrichment scores of the functional annotations in the GO terms chosen. </w:t>
      </w:r>
      <w:r w:rsidR="00785543">
        <w:rPr>
          <w:rFonts w:ascii="Arial" w:hAnsi="Arial" w:cs="Arial"/>
          <w:sz w:val="24"/>
          <w:szCs w:val="24"/>
          <w:lang w:val="en-US"/>
        </w:rPr>
        <w:lastRenderedPageBreak/>
        <w:t>T</w:t>
      </w:r>
      <w:r w:rsidR="00785543" w:rsidRPr="00DE4A39">
        <w:rPr>
          <w:rFonts w:ascii="Arial" w:hAnsi="Arial" w:cs="Arial"/>
          <w:sz w:val="24"/>
          <w:szCs w:val="24"/>
          <w:lang w:val="en-US"/>
        </w:rPr>
        <w:t xml:space="preserve">he higher enrichment scores in some functional annotations in the acetylated proteome dataset show an up-regulation associated with acetylation of a group of proteins in a specific GO term, since </w:t>
      </w:r>
      <w:r w:rsidR="00785543" w:rsidRPr="00DE4A39">
        <w:rPr>
          <w:rFonts w:ascii="Arial" w:hAnsi="Arial" w:cs="Arial"/>
          <w:sz w:val="24"/>
          <w:szCs w:val="24"/>
        </w:rPr>
        <w:t>these enrichments scores are a rank of biological significance of a group of proteins evidencing a shift in the expression of a specific pathway protein set. This analysis reveals the degree to which a protein set is overrepresented in an expression dataset, indicating the percentage of proteins contributing to the enrichment score in every functional annotation of each GO term.</w:t>
      </w:r>
      <w:r w:rsidR="00785543">
        <w:rPr>
          <w:rFonts w:ascii="Arial" w:hAnsi="Arial" w:cs="Arial"/>
          <w:sz w:val="24"/>
          <w:szCs w:val="24"/>
        </w:rPr>
        <w:t xml:space="preserve"> Differences in the number of functional annotations shared between the global and acetylated proteome datasets were also observed. </w:t>
      </w:r>
      <w:r w:rsidRPr="00301442">
        <w:rPr>
          <w:rFonts w:ascii="Arial" w:hAnsi="Arial" w:cs="Arial"/>
          <w:sz w:val="24"/>
        </w:rPr>
        <w:t>B</w:t>
      </w:r>
      <w:r w:rsidR="00785543">
        <w:rPr>
          <w:rFonts w:ascii="Arial" w:hAnsi="Arial" w:cs="Arial"/>
          <w:sz w:val="24"/>
        </w:rPr>
        <w:t>P GO</w:t>
      </w:r>
      <w:r w:rsidRPr="00301442">
        <w:rPr>
          <w:rFonts w:ascii="Arial" w:hAnsi="Arial" w:cs="Arial"/>
          <w:sz w:val="24"/>
        </w:rPr>
        <w:t xml:space="preserve"> term shared the most functional annotations between the global and the acetylated proteome dataset</w:t>
      </w:r>
      <w:r w:rsidR="00785543">
        <w:rPr>
          <w:rFonts w:ascii="Arial" w:hAnsi="Arial" w:cs="Arial"/>
          <w:sz w:val="24"/>
        </w:rPr>
        <w:t>s</w:t>
      </w:r>
      <w:r w:rsidRPr="00301442">
        <w:rPr>
          <w:rFonts w:ascii="Arial" w:hAnsi="Arial" w:cs="Arial"/>
          <w:sz w:val="24"/>
        </w:rPr>
        <w:t xml:space="preserve">, 8 out of 10, followed by </w:t>
      </w:r>
      <w:r w:rsidR="00785543">
        <w:rPr>
          <w:rFonts w:ascii="Arial" w:hAnsi="Arial" w:cs="Arial"/>
          <w:sz w:val="24"/>
        </w:rPr>
        <w:t>CC</w:t>
      </w:r>
      <w:r w:rsidRPr="00301442">
        <w:rPr>
          <w:rFonts w:ascii="Arial" w:hAnsi="Arial" w:cs="Arial"/>
          <w:sz w:val="24"/>
        </w:rPr>
        <w:t xml:space="preserve"> </w:t>
      </w:r>
      <w:r w:rsidR="00785543">
        <w:rPr>
          <w:rFonts w:ascii="Arial" w:hAnsi="Arial" w:cs="Arial"/>
          <w:sz w:val="24"/>
        </w:rPr>
        <w:t xml:space="preserve">GO </w:t>
      </w:r>
      <w:r w:rsidRPr="00301442">
        <w:rPr>
          <w:rFonts w:ascii="Arial" w:hAnsi="Arial" w:cs="Arial"/>
          <w:sz w:val="24"/>
        </w:rPr>
        <w:t xml:space="preserve">term 7 out of 10 and </w:t>
      </w:r>
      <w:r w:rsidR="00785543">
        <w:rPr>
          <w:rFonts w:ascii="Arial" w:hAnsi="Arial" w:cs="Arial"/>
          <w:sz w:val="24"/>
        </w:rPr>
        <w:t xml:space="preserve">MF GO </w:t>
      </w:r>
      <w:r w:rsidRPr="00301442">
        <w:rPr>
          <w:rFonts w:ascii="Arial" w:hAnsi="Arial" w:cs="Arial"/>
          <w:sz w:val="24"/>
        </w:rPr>
        <w:t xml:space="preserve">term 6 out of 10. </w:t>
      </w:r>
      <w:r w:rsidR="00785543">
        <w:rPr>
          <w:rFonts w:ascii="Arial" w:hAnsi="Arial" w:cs="Arial"/>
          <w:sz w:val="24"/>
        </w:rPr>
        <w:t xml:space="preserve">In the metabolism-related functional annotations, CC GO term shared the most metabolism-related functional annotations between the global and acetylated proteome datasets, 9 out of 10, followed by BP GO term, 7 out of 10, and MF GO term with none metabolism-related functional annotations shared between the global and acetylated proteome datasets. </w:t>
      </w:r>
      <w:r w:rsidR="00841E0A">
        <w:rPr>
          <w:rFonts w:ascii="Arial" w:hAnsi="Arial" w:cs="Arial"/>
          <w:sz w:val="24"/>
        </w:rPr>
        <w:t xml:space="preserve">Finding functional annotations </w:t>
      </w:r>
      <w:r w:rsidR="0027045B">
        <w:rPr>
          <w:rFonts w:ascii="Arial" w:hAnsi="Arial" w:cs="Arial"/>
          <w:sz w:val="24"/>
        </w:rPr>
        <w:t xml:space="preserve">being shared </w:t>
      </w:r>
      <w:r w:rsidR="00841E0A">
        <w:rPr>
          <w:rFonts w:ascii="Arial" w:hAnsi="Arial" w:cs="Arial"/>
          <w:sz w:val="24"/>
        </w:rPr>
        <w:t xml:space="preserve">in both proteome datasets </w:t>
      </w:r>
      <w:r w:rsidR="00841E0A">
        <w:rPr>
          <w:rFonts w:ascii="Arial" w:hAnsi="Arial" w:cs="Arial"/>
          <w:sz w:val="24"/>
          <w:szCs w:val="24"/>
        </w:rPr>
        <w:t xml:space="preserve">could indicate that there are similar proteins contributing to </w:t>
      </w:r>
      <w:r w:rsidR="0027045B">
        <w:rPr>
          <w:rFonts w:ascii="Arial" w:hAnsi="Arial" w:cs="Arial"/>
          <w:sz w:val="24"/>
          <w:szCs w:val="24"/>
        </w:rPr>
        <w:t>a specific functional annotation, but the percentage of proteins contributing to each enrichment score in every functional annotation of every GO term will be different, inducing a change in the enrichment scores. For example,</w:t>
      </w:r>
      <w:r w:rsidR="00841E0A">
        <w:rPr>
          <w:rFonts w:ascii="Arial" w:hAnsi="Arial" w:cs="Arial"/>
          <w:sz w:val="24"/>
          <w:szCs w:val="24"/>
        </w:rPr>
        <w:t xml:space="preserve"> a decrease in the enrichment scores in the acetylated proteome dataset </w:t>
      </w:r>
      <w:r w:rsidR="0027045B">
        <w:rPr>
          <w:rFonts w:ascii="Arial" w:hAnsi="Arial" w:cs="Arial"/>
          <w:sz w:val="24"/>
          <w:szCs w:val="24"/>
        </w:rPr>
        <w:t>indicates less proteins contributing to a specific functional annotation, which as aforesaid is expected, since not all proteins are substrate of acetylation</w:t>
      </w:r>
      <w:r w:rsidR="00841E0A">
        <w:rPr>
          <w:rFonts w:ascii="Arial" w:hAnsi="Arial" w:cs="Arial"/>
          <w:sz w:val="24"/>
          <w:szCs w:val="24"/>
        </w:rPr>
        <w:t>.</w:t>
      </w:r>
      <w:r w:rsidR="00AB7E17">
        <w:rPr>
          <w:rFonts w:ascii="Arial" w:hAnsi="Arial" w:cs="Arial"/>
          <w:sz w:val="24"/>
          <w:szCs w:val="24"/>
        </w:rPr>
        <w:t xml:space="preserve"> Even a decrease in the enrichment scores in the acetylated proteome is expected, the metabolism-related functional annotation Malate dehydrogenase activity in MF GO term was only found in the acetylated proteome </w:t>
      </w:r>
      <w:r w:rsidR="005F0B66">
        <w:rPr>
          <w:rFonts w:ascii="Arial" w:hAnsi="Arial" w:cs="Arial"/>
          <w:sz w:val="24"/>
          <w:szCs w:val="24"/>
        </w:rPr>
        <w:t xml:space="preserve">dataset </w:t>
      </w:r>
      <w:r w:rsidR="00AB7E17">
        <w:rPr>
          <w:rFonts w:ascii="Arial" w:hAnsi="Arial" w:cs="Arial"/>
          <w:sz w:val="24"/>
          <w:szCs w:val="24"/>
        </w:rPr>
        <w:t>with an enrichment score of 24.47 (Figure 1</w:t>
      </w:r>
      <w:r w:rsidR="00727535">
        <w:rPr>
          <w:rFonts w:ascii="Arial" w:hAnsi="Arial" w:cs="Arial"/>
          <w:sz w:val="24"/>
          <w:szCs w:val="24"/>
        </w:rPr>
        <w:t>8</w:t>
      </w:r>
      <w:r w:rsidR="00AB7E17">
        <w:rPr>
          <w:rFonts w:ascii="Arial" w:hAnsi="Arial" w:cs="Arial"/>
          <w:sz w:val="24"/>
          <w:szCs w:val="24"/>
        </w:rPr>
        <w:t xml:space="preserve">), indicating that the activation of this TCA cycle enzyme is related to acetylation, as suggested by Zhao </w:t>
      </w:r>
      <w:r w:rsidR="00AB7E17" w:rsidRPr="00AB7E17">
        <w:rPr>
          <w:rFonts w:ascii="Arial" w:hAnsi="Arial" w:cs="Arial"/>
          <w:i/>
          <w:sz w:val="24"/>
          <w:szCs w:val="24"/>
        </w:rPr>
        <w:t>et al</w:t>
      </w:r>
      <w:r w:rsidR="00AB7E17">
        <w:rPr>
          <w:rFonts w:ascii="Arial" w:hAnsi="Arial" w:cs="Arial"/>
          <w:sz w:val="24"/>
          <w:szCs w:val="24"/>
        </w:rPr>
        <w:t xml:space="preserve">., 2010 </w:t>
      </w:r>
      <w:r w:rsidR="00AB7E17">
        <w:rPr>
          <w:rFonts w:ascii="Arial" w:hAnsi="Arial" w:cs="Arial"/>
          <w:sz w:val="24"/>
          <w:szCs w:val="24"/>
        </w:rPr>
        <w:fldChar w:fldCharType="begin"/>
      </w:r>
      <w:r w:rsidR="00AB7E17">
        <w:rPr>
          <w:rFonts w:ascii="Arial" w:hAnsi="Arial" w:cs="Arial"/>
          <w:sz w:val="24"/>
          <w:szCs w:val="24"/>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AB7E17">
        <w:rPr>
          <w:rFonts w:ascii="Arial" w:hAnsi="Arial" w:cs="Arial"/>
          <w:sz w:val="24"/>
          <w:szCs w:val="24"/>
        </w:rPr>
        <w:fldChar w:fldCharType="separate"/>
      </w:r>
      <w:r w:rsidR="00AB7E17">
        <w:rPr>
          <w:rFonts w:ascii="Arial" w:hAnsi="Arial" w:cs="Arial"/>
          <w:noProof/>
          <w:sz w:val="24"/>
          <w:szCs w:val="24"/>
        </w:rPr>
        <w:t>(</w:t>
      </w:r>
      <w:hyperlink w:anchor="_ENREF_11" w:tooltip="Zhao S, 2010 #301" w:history="1">
        <w:r w:rsidR="00AB7E17">
          <w:rPr>
            <w:rFonts w:ascii="Arial" w:hAnsi="Arial" w:cs="Arial"/>
            <w:noProof/>
            <w:sz w:val="24"/>
            <w:szCs w:val="24"/>
          </w:rPr>
          <w:t>11</w:t>
        </w:r>
      </w:hyperlink>
      <w:r w:rsidR="00AB7E17">
        <w:rPr>
          <w:rFonts w:ascii="Arial" w:hAnsi="Arial" w:cs="Arial"/>
          <w:noProof/>
          <w:sz w:val="24"/>
          <w:szCs w:val="24"/>
        </w:rPr>
        <w:t>)</w:t>
      </w:r>
      <w:r w:rsidR="00AB7E17">
        <w:rPr>
          <w:rFonts w:ascii="Arial" w:hAnsi="Arial" w:cs="Arial"/>
          <w:sz w:val="24"/>
          <w:szCs w:val="24"/>
        </w:rPr>
        <w:fldChar w:fldCharType="end"/>
      </w:r>
      <w:r w:rsidR="00AB7E17">
        <w:rPr>
          <w:rFonts w:ascii="Arial" w:hAnsi="Arial" w:cs="Arial"/>
          <w:sz w:val="24"/>
          <w:szCs w:val="24"/>
        </w:rPr>
        <w:t xml:space="preserve"> and showed by Finkemeier </w:t>
      </w:r>
      <w:r w:rsidR="00AB7E17">
        <w:rPr>
          <w:rFonts w:ascii="Arial" w:hAnsi="Arial" w:cs="Arial"/>
          <w:i/>
          <w:sz w:val="24"/>
          <w:szCs w:val="24"/>
        </w:rPr>
        <w:t xml:space="preserve">et al., </w:t>
      </w:r>
      <w:r w:rsidR="00AB7E17">
        <w:rPr>
          <w:rFonts w:ascii="Arial" w:hAnsi="Arial" w:cs="Arial"/>
          <w:sz w:val="24"/>
          <w:szCs w:val="24"/>
        </w:rPr>
        <w:t xml:space="preserve">2011 </w:t>
      </w:r>
      <w:r w:rsidR="00AB7E17">
        <w:rPr>
          <w:rFonts w:ascii="Arial" w:hAnsi="Arial" w:cs="Arial"/>
          <w:sz w:val="24"/>
          <w:szCs w:val="24"/>
        </w:rPr>
        <w:fldChar w:fldCharType="begin"/>
      </w:r>
      <w:r w:rsidR="00AB7E17">
        <w:rPr>
          <w:rFonts w:ascii="Arial" w:hAnsi="Arial" w:cs="Arial"/>
          <w:sz w:val="24"/>
          <w:szCs w:val="24"/>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AB7E17">
        <w:rPr>
          <w:rFonts w:ascii="Arial" w:hAnsi="Arial" w:cs="Arial"/>
          <w:sz w:val="24"/>
          <w:szCs w:val="24"/>
        </w:rPr>
        <w:fldChar w:fldCharType="separate"/>
      </w:r>
      <w:r w:rsidR="00AB7E17">
        <w:rPr>
          <w:rFonts w:ascii="Arial" w:hAnsi="Arial" w:cs="Arial"/>
          <w:noProof/>
          <w:sz w:val="24"/>
          <w:szCs w:val="24"/>
        </w:rPr>
        <w:t>(</w:t>
      </w:r>
      <w:hyperlink w:anchor="_ENREF_55" w:tooltip="Finkemeier I, 2011 #315" w:history="1">
        <w:r w:rsidR="00AB7E17">
          <w:rPr>
            <w:rFonts w:ascii="Arial" w:hAnsi="Arial" w:cs="Arial"/>
            <w:noProof/>
            <w:sz w:val="24"/>
            <w:szCs w:val="24"/>
          </w:rPr>
          <w:t>55</w:t>
        </w:r>
      </w:hyperlink>
      <w:r w:rsidR="00AB7E17">
        <w:rPr>
          <w:rFonts w:ascii="Arial" w:hAnsi="Arial" w:cs="Arial"/>
          <w:noProof/>
          <w:sz w:val="24"/>
          <w:szCs w:val="24"/>
        </w:rPr>
        <w:t>)</w:t>
      </w:r>
      <w:r w:rsidR="00AB7E17">
        <w:rPr>
          <w:rFonts w:ascii="Arial" w:hAnsi="Arial" w:cs="Arial"/>
          <w:sz w:val="24"/>
          <w:szCs w:val="24"/>
        </w:rPr>
        <w:fldChar w:fldCharType="end"/>
      </w:r>
      <w:r w:rsidR="00AB7E17">
        <w:rPr>
          <w:rFonts w:ascii="Arial" w:hAnsi="Arial" w:cs="Arial"/>
          <w:sz w:val="24"/>
          <w:szCs w:val="24"/>
        </w:rPr>
        <w:t xml:space="preserve"> and Kim </w:t>
      </w:r>
      <w:r w:rsidR="00AB7E17">
        <w:rPr>
          <w:rFonts w:ascii="Arial" w:hAnsi="Arial" w:cs="Arial"/>
          <w:i/>
          <w:sz w:val="24"/>
          <w:szCs w:val="24"/>
        </w:rPr>
        <w:t xml:space="preserve">et al., </w:t>
      </w:r>
      <w:r w:rsidR="00AB7E17">
        <w:rPr>
          <w:rFonts w:ascii="Arial" w:hAnsi="Arial" w:cs="Arial"/>
          <w:sz w:val="24"/>
          <w:szCs w:val="24"/>
        </w:rPr>
        <w:t xml:space="preserve">2012 and 2013 </w:t>
      </w:r>
      <w:r w:rsidR="00AB7E17">
        <w:rPr>
          <w:rFonts w:ascii="Arial" w:hAnsi="Arial" w:cs="Arial"/>
          <w:sz w:val="24"/>
          <w:szCs w:val="24"/>
        </w:rPr>
        <w:fldChar w:fldCharType="begin"/>
      </w:r>
      <w:r w:rsidR="00AB7E17">
        <w:rPr>
          <w:rFonts w:ascii="Arial" w:hAnsi="Arial" w:cs="Arial"/>
          <w:sz w:val="24"/>
          <w:szCs w:val="24"/>
        </w:rPr>
        <w:instrText xml:space="preserve"> ADDIN EN.CITE &lt;EndNote&gt;&lt;Cite&gt;&lt;Author&gt;Kim E&lt;/Author&gt;&lt;Year&gt;2013&lt;/Year&gt;&lt;RecNum&gt;332&lt;/RecNum&gt;&lt;DisplayText&gt;(60, 61)&lt;/DisplayText&gt;&lt;record&gt;&lt;rec-number&gt;332&lt;/rec-number&gt;&lt;foreign-keys&gt;&lt;key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Commun&lt;/full-title&gt;&lt;/periodical&gt;&lt;pages&gt;77-82&lt;/pages&gt;&lt;volume&gt;441&lt;/volume&gt;&lt;number&gt;1&lt;/number&gt;&lt;dates&gt;&lt;year&gt;2013&lt;/year&gt;&lt;/dates&gt;&lt;urls&gt;&lt;/urls&gt;&lt;/record&gt;&lt;/Cite&gt;&lt;Cite&gt;&lt;Author&gt;Kim E&lt;/Author&gt;&lt;Year&gt;2012&lt;/Year&gt;&lt;RecNum&gt;133&lt;/RecNum&gt;&lt;record&gt;&lt;rec-number&gt;133&lt;/rec-number&gt;&lt;foreign-keys&gt;&lt;key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AB7E17">
        <w:rPr>
          <w:rFonts w:ascii="Arial" w:hAnsi="Arial" w:cs="Arial"/>
          <w:sz w:val="24"/>
          <w:szCs w:val="24"/>
        </w:rPr>
        <w:fldChar w:fldCharType="separate"/>
      </w:r>
      <w:r w:rsidR="00AB7E17">
        <w:rPr>
          <w:rFonts w:ascii="Arial" w:hAnsi="Arial" w:cs="Arial"/>
          <w:noProof/>
          <w:sz w:val="24"/>
          <w:szCs w:val="24"/>
        </w:rPr>
        <w:t>(</w:t>
      </w:r>
      <w:hyperlink w:anchor="_ENREF_60" w:tooltip="Kim E, 2013 #332" w:history="1">
        <w:r w:rsidR="00AB7E17">
          <w:rPr>
            <w:rFonts w:ascii="Arial" w:hAnsi="Arial" w:cs="Arial"/>
            <w:noProof/>
            <w:sz w:val="24"/>
            <w:szCs w:val="24"/>
          </w:rPr>
          <w:t>60</w:t>
        </w:r>
      </w:hyperlink>
      <w:r w:rsidR="00AB7E17">
        <w:rPr>
          <w:rFonts w:ascii="Arial" w:hAnsi="Arial" w:cs="Arial"/>
          <w:noProof/>
          <w:sz w:val="24"/>
          <w:szCs w:val="24"/>
        </w:rPr>
        <w:t xml:space="preserve">, </w:t>
      </w:r>
      <w:hyperlink w:anchor="_ENREF_61" w:tooltip="Kim E, 2012 #133" w:history="1">
        <w:r w:rsidR="00AB7E17">
          <w:rPr>
            <w:rFonts w:ascii="Arial" w:hAnsi="Arial" w:cs="Arial"/>
            <w:noProof/>
            <w:sz w:val="24"/>
            <w:szCs w:val="24"/>
          </w:rPr>
          <w:t>61</w:t>
        </w:r>
      </w:hyperlink>
      <w:r w:rsidR="00AB7E17">
        <w:rPr>
          <w:rFonts w:ascii="Arial" w:hAnsi="Arial" w:cs="Arial"/>
          <w:noProof/>
          <w:sz w:val="24"/>
          <w:szCs w:val="24"/>
        </w:rPr>
        <w:t>)</w:t>
      </w:r>
      <w:r w:rsidR="00AB7E17">
        <w:rPr>
          <w:rFonts w:ascii="Arial" w:hAnsi="Arial" w:cs="Arial"/>
          <w:sz w:val="24"/>
          <w:szCs w:val="24"/>
        </w:rPr>
        <w:fldChar w:fldCharType="end"/>
      </w:r>
      <w:r w:rsidR="00AB7E17">
        <w:rPr>
          <w:rFonts w:ascii="Arial" w:hAnsi="Arial" w:cs="Arial"/>
          <w:sz w:val="24"/>
          <w:szCs w:val="24"/>
        </w:rPr>
        <w:t>.</w:t>
      </w:r>
    </w:p>
    <w:p w:rsidR="00841E0A" w:rsidRPr="00301442" w:rsidRDefault="00841E0A" w:rsidP="00301442">
      <w:pPr>
        <w:autoSpaceDE w:val="0"/>
        <w:autoSpaceDN w:val="0"/>
        <w:adjustRightInd w:val="0"/>
        <w:spacing w:line="360" w:lineRule="auto"/>
        <w:ind w:firstLine="708"/>
        <w:jc w:val="both"/>
        <w:rPr>
          <w:rFonts w:ascii="Arial" w:hAnsi="Arial" w:cs="Arial"/>
          <w:sz w:val="24"/>
        </w:rPr>
      </w:pPr>
    </w:p>
    <w:p w:rsidR="00EF1380" w:rsidRPr="00DE4A39" w:rsidRDefault="00301442" w:rsidP="00841E0A">
      <w:pPr>
        <w:spacing w:after="160" w:line="360" w:lineRule="auto"/>
        <w:jc w:val="both"/>
        <w:rPr>
          <w:rFonts w:ascii="Arial" w:hAnsi="Arial" w:cs="Arial"/>
          <w:sz w:val="24"/>
          <w:szCs w:val="24"/>
          <w:lang w:val="en-US"/>
        </w:rPr>
      </w:pPr>
      <w:r w:rsidRPr="00785543">
        <w:rPr>
          <w:rFonts w:ascii="Arial" w:hAnsi="Arial" w:cs="Arial"/>
          <w:sz w:val="24"/>
          <w:szCs w:val="24"/>
          <w:lang w:val="en-US"/>
        </w:rPr>
        <w:lastRenderedPageBreak/>
        <w:t xml:space="preserve"> </w:t>
      </w:r>
      <w:r w:rsidR="00841E0A">
        <w:rPr>
          <w:rFonts w:ascii="Arial" w:hAnsi="Arial" w:cs="Arial"/>
          <w:sz w:val="24"/>
          <w:szCs w:val="24"/>
          <w:lang w:val="en-US"/>
        </w:rPr>
        <w:tab/>
      </w:r>
      <w:r w:rsidR="00EF1380">
        <w:rPr>
          <w:rFonts w:ascii="Arial" w:hAnsi="Arial" w:cs="Arial"/>
          <w:noProof/>
          <w:sz w:val="24"/>
          <w:szCs w:val="24"/>
          <w:lang w:val="en-US"/>
        </w:rPr>
        <w:t xml:space="preserve">The increase in acetyl-CoA levels by butyrate, as simulated by using butyrate_v3-1 model </w:t>
      </w:r>
      <w:r w:rsidR="00EF1380" w:rsidRPr="0046758D">
        <w:rPr>
          <w:rFonts w:ascii="Arial" w:hAnsi="Arial" w:cs="Arial"/>
          <w:noProof/>
          <w:sz w:val="24"/>
          <w:szCs w:val="24"/>
          <w:lang w:val="en-US"/>
        </w:rPr>
        <w:t xml:space="preserve">(Figure </w:t>
      </w:r>
      <w:r w:rsidR="00EF1380">
        <w:rPr>
          <w:rFonts w:ascii="Arial" w:hAnsi="Arial" w:cs="Arial"/>
          <w:noProof/>
          <w:sz w:val="24"/>
          <w:szCs w:val="24"/>
          <w:lang w:val="en-US"/>
        </w:rPr>
        <w:t>2</w:t>
      </w:r>
      <w:r w:rsidR="00727535">
        <w:rPr>
          <w:rFonts w:ascii="Arial" w:hAnsi="Arial" w:cs="Arial"/>
          <w:noProof/>
          <w:sz w:val="24"/>
          <w:szCs w:val="24"/>
          <w:lang w:val="en-US"/>
        </w:rPr>
        <w:t>2</w:t>
      </w:r>
      <w:r w:rsidR="00EF1380" w:rsidRPr="0046758D">
        <w:rPr>
          <w:rFonts w:ascii="Arial" w:hAnsi="Arial" w:cs="Arial"/>
          <w:noProof/>
          <w:sz w:val="24"/>
          <w:szCs w:val="24"/>
          <w:lang w:val="en-US"/>
        </w:rPr>
        <w:t>, left panel)</w:t>
      </w:r>
      <w:r w:rsidR="00EF1380">
        <w:rPr>
          <w:rFonts w:ascii="Arial" w:hAnsi="Arial" w:cs="Arial"/>
          <w:noProof/>
          <w:sz w:val="24"/>
          <w:szCs w:val="24"/>
          <w:lang w:val="en-US"/>
        </w:rPr>
        <w:t xml:space="preserve">, could be related to its regulatory role on </w:t>
      </w:r>
      <w:r w:rsidR="00EF1380" w:rsidRPr="00DE4A39">
        <w:rPr>
          <w:rFonts w:ascii="Arial" w:hAnsi="Arial" w:cs="Arial"/>
          <w:noProof/>
          <w:sz w:val="24"/>
          <w:szCs w:val="24"/>
          <w:lang w:val="en-US"/>
        </w:rPr>
        <w:t xml:space="preserve">protein acetylation patterns by both its concentration levels and its role in inhibiting KDACs </w:t>
      </w:r>
      <w:r w:rsidR="006C2756" w:rsidRPr="00DE4A39">
        <w:rPr>
          <w:rFonts w:ascii="Arial" w:hAnsi="Arial" w:cs="Arial"/>
          <w:noProof/>
          <w:sz w:val="24"/>
          <w:szCs w:val="24"/>
          <w:lang w:val="en-US"/>
        </w:rPr>
        <w:fldChar w:fldCharType="begin"/>
      </w:r>
      <w:r w:rsidR="000B3EAF">
        <w:rPr>
          <w:rFonts w:ascii="Arial" w:hAnsi="Arial" w:cs="Arial"/>
          <w:noProof/>
          <w:sz w:val="24"/>
          <w:szCs w:val="24"/>
          <w:lang w:val="en-US"/>
        </w:rPr>
        <w:instrText xml:space="preserve"> ADDIN EN.CITE &lt;EndNote&gt;&lt;Cite&gt;&lt;Author&gt;Corfe B&lt;/Author&gt;&lt;Year&gt;2009&lt;/Year&gt;&lt;RecNum&gt;49&lt;/RecNum&gt;&lt;DisplayText&gt;(10)&lt;/DisplayText&gt;&lt;record&gt;&lt;rec-number&gt;49&lt;/rec-number&gt;&lt;foreign-keys&gt;&lt;key app="EN" db-id="zxp9w5sa30aeafes0xox2eem00dz2z2aswad"&gt;49&lt;/key&gt;&lt;key app="ENWeb" db-id="UG1-3grtqigAAEqvEt0"&gt;128&lt;/key&gt;&lt;/foreign-keys&gt;&lt;ref-type name="Journal Article"&gt;17&lt;/ref-type&gt;&lt;contributors&gt;&lt;authors&gt;&lt;author&gt;Corfe B,&lt;/author&gt;&lt;author&gt;Williams E,&lt;/author&gt;&lt;author&gt;Bury J,&lt;/author&gt;&lt;author&gt;Riley S,&lt;/author&gt;&lt;author&gt;Croucher L,&lt;/author&gt;&lt;author&gt;Lai D,&lt;/author&gt;&lt;author&gt;Evans C,&lt;/author&gt;&lt;/authors&gt;&lt;/contributors&gt;&lt;titles&gt;&lt;title&gt;A study protocol to investigate the relationship between dietary fibre intake and fermentation, colon cell turnover, global protein acetylation and early carcinogenesis: the FACT study&lt;/title&gt;&lt;secondary-title&gt;BMC Cancer&lt;/secondary-title&gt;&lt;/titles&gt;&lt;periodical&gt;&lt;full-title&gt;BMC Cancer&lt;/full-title&gt;&lt;/periodical&gt;&lt;pages&gt;doi: 10.1186/1471-2407-9-332.&lt;/pages&gt;&lt;volume&gt;9&lt;/volume&gt;&lt;number&gt;332&lt;/number&gt;&lt;dates&gt;&lt;year&gt;2009&lt;/year&gt;&lt;/dates&gt;&lt;urls&gt;&lt;/urls&gt;&lt;/record&gt;&lt;/Cite&gt;&lt;/EndNote&gt;</w:instrText>
      </w:r>
      <w:r w:rsidR="006C2756" w:rsidRPr="00DE4A39">
        <w:rPr>
          <w:rFonts w:ascii="Arial" w:hAnsi="Arial" w:cs="Arial"/>
          <w:noProof/>
          <w:sz w:val="24"/>
          <w:szCs w:val="24"/>
          <w:lang w:val="en-US"/>
        </w:rPr>
        <w:fldChar w:fldCharType="separate"/>
      </w:r>
      <w:r w:rsidR="000B3EAF">
        <w:rPr>
          <w:rFonts w:ascii="Arial" w:hAnsi="Arial" w:cs="Arial"/>
          <w:noProof/>
          <w:sz w:val="24"/>
          <w:szCs w:val="24"/>
          <w:lang w:val="en-US"/>
        </w:rPr>
        <w:t>(</w:t>
      </w:r>
      <w:hyperlink w:anchor="_ENREF_10" w:tooltip="Corfe B, 2009 #49" w:history="1">
        <w:r w:rsidR="00AB7E17">
          <w:rPr>
            <w:rFonts w:ascii="Arial" w:hAnsi="Arial" w:cs="Arial"/>
            <w:noProof/>
            <w:sz w:val="24"/>
            <w:szCs w:val="24"/>
            <w:lang w:val="en-US"/>
          </w:rPr>
          <w:t>10</w:t>
        </w:r>
      </w:hyperlink>
      <w:r w:rsidR="000B3EAF">
        <w:rPr>
          <w:rFonts w:ascii="Arial" w:hAnsi="Arial" w:cs="Arial"/>
          <w:noProof/>
          <w:sz w:val="24"/>
          <w:szCs w:val="24"/>
          <w:lang w:val="en-US"/>
        </w:rPr>
        <w:t>)</w:t>
      </w:r>
      <w:r w:rsidR="006C2756" w:rsidRPr="00DE4A39">
        <w:rPr>
          <w:rFonts w:ascii="Arial" w:hAnsi="Arial" w:cs="Arial"/>
          <w:noProof/>
          <w:sz w:val="24"/>
          <w:szCs w:val="24"/>
          <w:lang w:val="en-US"/>
        </w:rPr>
        <w:fldChar w:fldCharType="end"/>
      </w:r>
      <w:r w:rsidR="00EF1380" w:rsidRPr="00DE4A39">
        <w:rPr>
          <w:rFonts w:ascii="Arial" w:hAnsi="Arial" w:cs="Arial"/>
          <w:noProof/>
          <w:sz w:val="24"/>
          <w:szCs w:val="24"/>
          <w:lang w:val="en-US"/>
        </w:rPr>
        <w:t>.</w:t>
      </w:r>
      <w:r w:rsidR="00EF1380" w:rsidRPr="00DE4A39">
        <w:rPr>
          <w:rFonts w:ascii="Arial" w:hAnsi="Arial" w:cs="Arial"/>
          <w:sz w:val="24"/>
          <w:szCs w:val="24"/>
          <w:lang w:val="en-US"/>
        </w:rPr>
        <w:t xml:space="preserve"> This increase</w:t>
      </w:r>
      <w:r w:rsidR="00EF1380">
        <w:rPr>
          <w:rFonts w:ascii="Arial" w:hAnsi="Arial" w:cs="Arial"/>
          <w:sz w:val="24"/>
          <w:szCs w:val="24"/>
          <w:lang w:val="en-US"/>
        </w:rPr>
        <w:t xml:space="preserve"> in acetyl-CoA levels could also be related to the role of butyrate in histone acetylation. It has been shown that this role is more complex than previously accepted. Donohoe </w:t>
      </w:r>
      <w:r w:rsidR="00EF1380">
        <w:rPr>
          <w:rFonts w:ascii="Arial" w:hAnsi="Arial" w:cs="Arial"/>
          <w:i/>
          <w:sz w:val="24"/>
          <w:szCs w:val="24"/>
          <w:lang w:val="en-US"/>
        </w:rPr>
        <w:t xml:space="preserve">et al., </w:t>
      </w:r>
      <w:r w:rsidR="00EF1380">
        <w:rPr>
          <w:rFonts w:ascii="Arial" w:hAnsi="Arial" w:cs="Arial"/>
          <w:sz w:val="24"/>
          <w:szCs w:val="24"/>
          <w:lang w:val="en-US"/>
        </w:rPr>
        <w:t xml:space="preserve">2012 </w:t>
      </w:r>
      <w:r w:rsidR="006C2756">
        <w:rPr>
          <w:rFonts w:ascii="Arial" w:hAnsi="Arial" w:cs="Arial"/>
          <w:sz w:val="24"/>
          <w:szCs w:val="24"/>
          <w:lang w:val="en-US"/>
        </w:rPr>
        <w:fldChar w:fldCharType="begin"/>
      </w:r>
      <w:r w:rsidR="000B3EAF">
        <w:rPr>
          <w:rFonts w:ascii="Arial" w:hAnsi="Arial" w:cs="Arial"/>
          <w:sz w:val="24"/>
          <w:szCs w:val="24"/>
          <w:lang w:val="en-US"/>
        </w:rPr>
        <w:instrText xml:space="preserve"> ADDIN EN.CITE &lt;EndNote&gt;&lt;Cite&gt;&lt;Author&gt;Donohoe D&lt;/Author&gt;&lt;Year&gt;2012&lt;/Year&gt;&lt;RecNum&gt;71&lt;/RecNum&gt;&lt;DisplayText&gt;(4)&lt;/DisplayText&gt;&lt;record&gt;&lt;rec-number&gt;71&lt;/rec-number&gt;&lt;foreign-keys&gt;&lt;key app="EN" db-id="zxp9w5sa30aeafes0xox2eem00dz2z2aswad"&gt;71&lt;/key&gt;&lt;key app="ENWeb" db-id="UG1-3grtqigAAEqvEt0"&gt;368&lt;/key&gt;&lt;/foreign-keys&gt;&lt;ref-type name="Journal Article"&gt;17&lt;/ref-type&gt;&lt;contributors&gt;&lt;authors&gt;&lt;author&gt;Donohoe D,&lt;/author&gt;&lt;author&gt;Collins L,&lt;/author&gt;&lt;author&gt;Wali A,&lt;/author&gt;&lt;author&gt;Bigler R,&lt;/author&gt;&lt;author&gt;Sun W,&lt;/author&gt;&lt;author&gt;Bultman S,&lt;/author&gt;&lt;/authors&gt;&lt;/contributors&gt;&lt;titles&gt;&lt;title&gt;The Warburg effect dictates the mechanism of butyrate-mediated histone acetylation and cell proliferation&lt;/title&gt;&lt;secondary-title&gt;J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Pr>
          <w:rFonts w:ascii="Arial" w:hAnsi="Arial" w:cs="Arial"/>
          <w:sz w:val="24"/>
          <w:szCs w:val="24"/>
          <w:lang w:val="en-US"/>
        </w:rPr>
        <w:fldChar w:fldCharType="separate"/>
      </w:r>
      <w:r w:rsidR="000B3EAF">
        <w:rPr>
          <w:rFonts w:ascii="Arial" w:hAnsi="Arial" w:cs="Arial"/>
          <w:noProof/>
          <w:sz w:val="24"/>
          <w:szCs w:val="24"/>
          <w:lang w:val="en-US"/>
        </w:rPr>
        <w:t>(</w:t>
      </w:r>
      <w:hyperlink w:anchor="_ENREF_4" w:tooltip="Donohoe D, 2012 #71" w:history="1">
        <w:r w:rsidR="00AB7E17">
          <w:rPr>
            <w:rFonts w:ascii="Arial" w:hAnsi="Arial" w:cs="Arial"/>
            <w:noProof/>
            <w:sz w:val="24"/>
            <w:szCs w:val="24"/>
            <w:lang w:val="en-US"/>
          </w:rPr>
          <w:t>4</w:t>
        </w:r>
      </w:hyperlink>
      <w:r w:rsidR="000B3EAF">
        <w:rPr>
          <w:rFonts w:ascii="Arial" w:hAnsi="Arial" w:cs="Arial"/>
          <w:noProof/>
          <w:sz w:val="24"/>
          <w:szCs w:val="24"/>
          <w:lang w:val="en-US"/>
        </w:rPr>
        <w:t>)</w:t>
      </w:r>
      <w:r w:rsidR="006C2756">
        <w:rPr>
          <w:rFonts w:ascii="Arial" w:hAnsi="Arial" w:cs="Arial"/>
          <w:sz w:val="24"/>
          <w:szCs w:val="24"/>
          <w:lang w:val="en-US"/>
        </w:rPr>
        <w:fldChar w:fldCharType="end"/>
      </w:r>
      <w:r w:rsidR="00EF1380">
        <w:rPr>
          <w:rFonts w:ascii="Arial" w:hAnsi="Arial" w:cs="Arial"/>
          <w:sz w:val="24"/>
          <w:szCs w:val="24"/>
          <w:lang w:val="en-US"/>
        </w:rPr>
        <w:t xml:space="preserve"> </w:t>
      </w:r>
      <w:r w:rsidR="007A0D08" w:rsidRPr="007A0D08">
        <w:rPr>
          <w:rFonts w:ascii="Arial" w:hAnsi="Arial" w:cs="Arial"/>
          <w:sz w:val="24"/>
          <w:szCs w:val="24"/>
          <w:lang w:val="en-US"/>
        </w:rPr>
        <w:t>found that butyrate is metabolised to acetyl-CoA, and depending on their concentration it determines if butyrate inhibits KDACs or stimulates KATs, leading to the regulation of the expression of different target genes.</w:t>
      </w:r>
      <w:r w:rsidR="00EF1380">
        <w:rPr>
          <w:rFonts w:ascii="Arial" w:hAnsi="Arial" w:cs="Arial"/>
          <w:sz w:val="24"/>
          <w:szCs w:val="24"/>
          <w:lang w:val="en-US"/>
        </w:rPr>
        <w:t xml:space="preserve"> Moreover, it has also been proposed by </w:t>
      </w:r>
      <w:r w:rsidR="00EF1380">
        <w:rPr>
          <w:rFonts w:ascii="Arial" w:hAnsi="Arial" w:cs="Arial"/>
          <w:sz w:val="24"/>
          <w:szCs w:val="24"/>
        </w:rPr>
        <w:t xml:space="preserve">Corfe B, 2012 </w:t>
      </w:r>
      <w:r w:rsidR="006C2756">
        <w:rPr>
          <w:rFonts w:ascii="Arial" w:hAnsi="Arial" w:cs="Arial"/>
          <w:sz w:val="24"/>
          <w:szCs w:val="24"/>
        </w:rPr>
        <w:fldChar w:fldCharType="begin"/>
      </w:r>
      <w:r w:rsidR="000B3EAF">
        <w:rPr>
          <w:rFonts w:ascii="Arial" w:hAnsi="Arial" w:cs="Arial"/>
          <w:sz w:val="24"/>
          <w:szCs w:val="24"/>
        </w:rPr>
        <w:instrText xml:space="preserve"> ADDIN EN.CITE &lt;EndNote&gt;&lt;Cite&gt;&lt;Author&gt;Corfe B&lt;/Author&gt;&lt;Year&gt;2012&lt;/Year&gt;&lt;RecNum&gt;48&lt;/RecNum&gt;&lt;DisplayText&gt;(40)&lt;/DisplayText&gt;&lt;record&gt;&lt;rec-number&gt;48&lt;/rec-number&gt;&lt;foreign-keys&gt;&lt;key app="EN" db-id="zxp9w5sa30aeafes0xox2eem00dz2z2aswad"&gt;48&lt;/key&gt;&lt;key app="ENWeb" db-id="UG1-3grtqigAAEqvEt0"&gt;130&lt;/key&gt;&lt;/foreign-keys&gt;&lt;ref-type name="Journal Article"&gt;17&lt;/ref-type&gt;&lt;contributors&gt;&lt;authors&gt;&lt;author&gt;Corfe B,&lt;/author&gt;&lt;/authors&gt;&lt;/contributors&gt;&lt;titles&gt;&lt;title&gt;Hypothesis: butyrate is not an HDAC inhibitor, but a product inhibitor of deacetylation&lt;/title&gt;&lt;secondary-title&gt;Mol. BioSyst&lt;/secondary-title&gt;&lt;/titles&gt;&lt;periodical&gt;&lt;full-title&gt;Mol. BioSyst&lt;/full-title&gt;&lt;/periodical&gt;&lt;pages&gt;1609-12&lt;/pages&gt;&lt;volume&gt;8&lt;/volume&gt;&lt;number&gt;6&lt;/number&gt;&lt;dates&gt;&lt;year&gt;2012&lt;/year&gt;&lt;/dates&gt;&lt;urls&gt;&lt;/urls&gt;&lt;/record&gt;&lt;/Cite&gt;&lt;/EndNote&gt;</w:instrText>
      </w:r>
      <w:r w:rsidR="006C2756">
        <w:rPr>
          <w:rFonts w:ascii="Arial" w:hAnsi="Arial" w:cs="Arial"/>
          <w:sz w:val="24"/>
          <w:szCs w:val="24"/>
        </w:rPr>
        <w:fldChar w:fldCharType="separate"/>
      </w:r>
      <w:r w:rsidR="000B3EAF">
        <w:rPr>
          <w:rFonts w:ascii="Arial" w:hAnsi="Arial" w:cs="Arial"/>
          <w:noProof/>
          <w:sz w:val="24"/>
          <w:szCs w:val="24"/>
        </w:rPr>
        <w:t>(</w:t>
      </w:r>
      <w:hyperlink w:anchor="_ENREF_40" w:tooltip="Corfe B, 2012 #48" w:history="1">
        <w:r w:rsidR="00AB7E17">
          <w:rPr>
            <w:rFonts w:ascii="Arial" w:hAnsi="Arial" w:cs="Arial"/>
            <w:noProof/>
            <w:sz w:val="24"/>
            <w:szCs w:val="24"/>
          </w:rPr>
          <w:t>40</w:t>
        </w:r>
      </w:hyperlink>
      <w:r w:rsidR="000B3EAF">
        <w:rPr>
          <w:rFonts w:ascii="Arial" w:hAnsi="Arial" w:cs="Arial"/>
          <w:noProof/>
          <w:sz w:val="24"/>
          <w:szCs w:val="24"/>
        </w:rPr>
        <w:t>)</w:t>
      </w:r>
      <w:r w:rsidR="006C2756">
        <w:rPr>
          <w:rFonts w:ascii="Arial" w:hAnsi="Arial" w:cs="Arial"/>
          <w:sz w:val="24"/>
          <w:szCs w:val="24"/>
        </w:rPr>
        <w:fldChar w:fldCharType="end"/>
      </w:r>
      <w:r w:rsidR="00EF1380">
        <w:rPr>
          <w:rFonts w:ascii="Arial" w:hAnsi="Arial" w:cs="Arial"/>
          <w:sz w:val="24"/>
          <w:szCs w:val="24"/>
        </w:rPr>
        <w:t xml:space="preserve"> </w:t>
      </w:r>
      <w:r w:rsidR="00EF1380">
        <w:rPr>
          <w:rFonts w:ascii="Arial" w:hAnsi="Arial" w:cs="Arial"/>
          <w:sz w:val="24"/>
          <w:szCs w:val="24"/>
          <w:lang w:val="en-US"/>
        </w:rPr>
        <w:t>that the inhibitory mechanism of butyrate is related to the inhibition of deacetylation by the production of butyryl-CoA</w:t>
      </w:r>
      <w:r w:rsidR="002013D5">
        <w:rPr>
          <w:rFonts w:ascii="Arial" w:hAnsi="Arial" w:cs="Arial"/>
          <w:sz w:val="24"/>
          <w:szCs w:val="24"/>
          <w:lang w:val="en-US"/>
        </w:rPr>
        <w:t>,</w:t>
      </w:r>
      <w:r w:rsidR="00EF1380">
        <w:rPr>
          <w:rFonts w:ascii="Arial" w:hAnsi="Arial" w:cs="Arial"/>
          <w:sz w:val="24"/>
          <w:szCs w:val="24"/>
          <w:lang w:val="en-US"/>
        </w:rPr>
        <w:t xml:space="preserve"> which is a substrate for protein acylation and is the product of deacetylation. Abundance of this and other acyl forms will change the acylation and deacetylation equilibrium to the acylated state. As can be seen in </w:t>
      </w:r>
      <w:r w:rsidR="00806F63">
        <w:rPr>
          <w:rFonts w:ascii="Arial" w:hAnsi="Arial" w:cs="Arial"/>
          <w:sz w:val="24"/>
          <w:szCs w:val="24"/>
          <w:lang w:val="en-US"/>
        </w:rPr>
        <w:t>Figure 20</w:t>
      </w:r>
      <w:r w:rsidR="00EF1380" w:rsidRPr="00DE4A39">
        <w:rPr>
          <w:rFonts w:ascii="Arial" w:hAnsi="Arial" w:cs="Arial"/>
          <w:sz w:val="24"/>
          <w:szCs w:val="24"/>
          <w:lang w:val="en-US"/>
        </w:rPr>
        <w:t xml:space="preserve"> there was an increase in the production of </w:t>
      </w:r>
      <w:r w:rsidR="00EF1380">
        <w:rPr>
          <w:rFonts w:ascii="Arial" w:hAnsi="Arial" w:cs="Arial"/>
          <w:sz w:val="24"/>
          <w:szCs w:val="24"/>
          <w:lang w:val="en-US"/>
        </w:rPr>
        <w:t>all of t</w:t>
      </w:r>
      <w:r w:rsidR="00EF1380" w:rsidRPr="00DE4A39">
        <w:rPr>
          <w:rFonts w:ascii="Arial" w:hAnsi="Arial" w:cs="Arial"/>
          <w:sz w:val="24"/>
          <w:szCs w:val="24"/>
          <w:lang w:val="en-US"/>
        </w:rPr>
        <w:t>hese acyl forms</w:t>
      </w:r>
      <w:r w:rsidR="00EF1380">
        <w:rPr>
          <w:rFonts w:ascii="Arial" w:hAnsi="Arial" w:cs="Arial"/>
          <w:sz w:val="24"/>
          <w:szCs w:val="24"/>
          <w:lang w:val="en-US"/>
        </w:rPr>
        <w:t xml:space="preserve"> when SCFA Uptake and Oxidation v4 model was used to run the</w:t>
      </w:r>
      <w:r w:rsidR="002013D5">
        <w:rPr>
          <w:rFonts w:ascii="Arial" w:hAnsi="Arial" w:cs="Arial"/>
          <w:sz w:val="24"/>
          <w:szCs w:val="24"/>
          <w:lang w:val="en-US"/>
        </w:rPr>
        <w:t xml:space="preserve"> time </w:t>
      </w:r>
      <w:r w:rsidR="008C3CDA">
        <w:rPr>
          <w:rFonts w:ascii="Arial" w:hAnsi="Arial" w:cs="Arial"/>
          <w:sz w:val="24"/>
          <w:szCs w:val="24"/>
          <w:lang w:val="en-US"/>
        </w:rPr>
        <w:t>course simulations</w:t>
      </w:r>
      <w:r w:rsidR="00EF1380" w:rsidRPr="00DE4A39">
        <w:rPr>
          <w:rFonts w:ascii="Arial" w:hAnsi="Arial" w:cs="Arial"/>
          <w:sz w:val="24"/>
          <w:szCs w:val="24"/>
          <w:lang w:val="en-US"/>
        </w:rPr>
        <w:t>, suggesting that cells might be driven to the acylated state by the action of butyrate and other SCFAs. Regarding CoA levels, the reduction observed in the simulations by the action of butyrate could be related to the formation of butyryl-CoA. The increase in acetyl-CoA levels by the action of butyrate is also expected since two molecules of acetyl-CoA are needed to form butyrate yielding acetoacetyl</w:t>
      </w:r>
      <w:r w:rsidR="00EF1380">
        <w:rPr>
          <w:rFonts w:ascii="Arial" w:hAnsi="Arial" w:cs="Arial"/>
          <w:sz w:val="24"/>
          <w:szCs w:val="24"/>
          <w:lang w:val="en-US"/>
        </w:rPr>
        <w:t>-</w:t>
      </w:r>
      <w:r w:rsidR="00EF1380" w:rsidRPr="00DE4A39">
        <w:rPr>
          <w:rFonts w:ascii="Arial" w:hAnsi="Arial" w:cs="Arial"/>
          <w:sz w:val="24"/>
          <w:szCs w:val="24"/>
          <w:lang w:val="en-US"/>
        </w:rPr>
        <w:t>CoA, which is then converted, via the intermediates L(+)-</w:t>
      </w:r>
      <w:r w:rsidR="00EF1380" w:rsidRPr="00DE4A39">
        <w:rPr>
          <w:rFonts w:ascii="Arial" w:hAnsi="Arial" w:cs="Arial"/>
          <w:sz w:val="24"/>
          <w:szCs w:val="24"/>
          <w:lang w:val="el-GR"/>
        </w:rPr>
        <w:t>β-</w:t>
      </w:r>
      <w:r w:rsidR="00EF1380" w:rsidRPr="00DE4A39">
        <w:rPr>
          <w:rFonts w:ascii="Arial" w:hAnsi="Arial" w:cs="Arial"/>
          <w:sz w:val="24"/>
          <w:szCs w:val="24"/>
          <w:lang w:val="en-US"/>
        </w:rPr>
        <w:t>hydroxybutyryl CoA and crotonyl</w:t>
      </w:r>
      <w:r w:rsidR="00EF1380">
        <w:rPr>
          <w:rFonts w:ascii="Arial" w:hAnsi="Arial" w:cs="Arial"/>
          <w:sz w:val="24"/>
          <w:szCs w:val="24"/>
          <w:lang w:val="en-US"/>
        </w:rPr>
        <w:t>-</w:t>
      </w:r>
      <w:r w:rsidR="00EF1380" w:rsidRPr="00DE4A39">
        <w:rPr>
          <w:rFonts w:ascii="Arial" w:hAnsi="Arial" w:cs="Arial"/>
          <w:sz w:val="24"/>
          <w:szCs w:val="24"/>
          <w:lang w:val="en-US"/>
        </w:rPr>
        <w:t>CoA, to butyryl</w:t>
      </w:r>
      <w:r w:rsidR="00EF1380">
        <w:rPr>
          <w:rFonts w:ascii="Arial" w:hAnsi="Arial" w:cs="Arial"/>
          <w:sz w:val="24"/>
          <w:szCs w:val="24"/>
          <w:lang w:val="en-US"/>
        </w:rPr>
        <w:t>-</w:t>
      </w:r>
      <w:r w:rsidR="00EF1380" w:rsidRPr="00DE4A39">
        <w:rPr>
          <w:rFonts w:ascii="Arial" w:hAnsi="Arial" w:cs="Arial"/>
          <w:sz w:val="24"/>
          <w:szCs w:val="24"/>
          <w:lang w:val="en-US"/>
        </w:rPr>
        <w:t>CoA. Then, butyrate metabolism (breakdown) produces acetyl-CoA. This pathway links butyrate directly to acetyl-CoA production, mainly through CoA</w:t>
      </w:r>
      <w:r w:rsidR="002C46EF">
        <w:rPr>
          <w:rFonts w:ascii="Arial" w:hAnsi="Arial" w:cs="Arial"/>
          <w:sz w:val="24"/>
          <w:szCs w:val="24"/>
          <w:lang w:val="en-US"/>
        </w:rPr>
        <w:t>-</w:t>
      </w:r>
      <w:r w:rsidR="00EF1380" w:rsidRPr="00DE4A39">
        <w:rPr>
          <w:rFonts w:ascii="Arial" w:hAnsi="Arial" w:cs="Arial"/>
          <w:sz w:val="24"/>
          <w:szCs w:val="24"/>
          <w:lang w:val="en-US"/>
        </w:rPr>
        <w:t>ligation and the formation of butyryl-CoA.</w:t>
      </w:r>
      <w:r w:rsidR="00EF1380" w:rsidRPr="00C01F92">
        <w:rPr>
          <w:rFonts w:ascii="Arial" w:hAnsi="Arial" w:cs="Arial"/>
          <w:sz w:val="24"/>
          <w:szCs w:val="24"/>
          <w:lang w:val="en-US"/>
        </w:rPr>
        <w:t xml:space="preserve"> </w:t>
      </w:r>
      <w:r w:rsidR="00EF1380">
        <w:rPr>
          <w:rFonts w:ascii="Arial" w:hAnsi="Arial" w:cs="Arial"/>
          <w:sz w:val="24"/>
          <w:szCs w:val="24"/>
          <w:lang w:val="en-US"/>
        </w:rPr>
        <w:t>It is also interesting to note that when the effect of increasing concentrations of propionate were simulated using SCFA Uptake and oxidation v4 model, a reduction in the levels of acetyl-CoA (60-35.47mM</w:t>
      </w:r>
      <w:r w:rsidR="002013D5">
        <w:rPr>
          <w:rFonts w:ascii="Arial" w:hAnsi="Arial" w:cs="Arial"/>
          <w:sz w:val="24"/>
          <w:szCs w:val="24"/>
          <w:lang w:val="en-US"/>
        </w:rPr>
        <w:t xml:space="preserve">, Figure </w:t>
      </w:r>
      <w:r w:rsidR="00727535">
        <w:rPr>
          <w:rFonts w:ascii="Arial" w:hAnsi="Arial" w:cs="Arial"/>
          <w:sz w:val="24"/>
          <w:szCs w:val="24"/>
          <w:lang w:val="en-US"/>
        </w:rPr>
        <w:t>23 right panel</w:t>
      </w:r>
      <w:r w:rsidR="00EF1380">
        <w:rPr>
          <w:rFonts w:ascii="Arial" w:hAnsi="Arial" w:cs="Arial"/>
          <w:sz w:val="24"/>
          <w:szCs w:val="24"/>
          <w:lang w:val="en-US"/>
        </w:rPr>
        <w:t>) was observed, whereas when time course simulations were run with this same model, an increase in propionyl-CoA (1-21.95mM</w:t>
      </w:r>
      <w:r w:rsidR="002013D5">
        <w:rPr>
          <w:rFonts w:ascii="Arial" w:hAnsi="Arial" w:cs="Arial"/>
          <w:sz w:val="24"/>
          <w:szCs w:val="24"/>
          <w:lang w:val="en-US"/>
        </w:rPr>
        <w:t xml:space="preserve">, Figure </w:t>
      </w:r>
      <w:r w:rsidR="00727535">
        <w:rPr>
          <w:rFonts w:ascii="Arial" w:hAnsi="Arial" w:cs="Arial"/>
          <w:sz w:val="24"/>
          <w:szCs w:val="24"/>
          <w:lang w:val="en-US"/>
        </w:rPr>
        <w:t>20</w:t>
      </w:r>
      <w:r w:rsidR="00EF1380">
        <w:rPr>
          <w:rFonts w:ascii="Arial" w:hAnsi="Arial" w:cs="Arial"/>
          <w:sz w:val="24"/>
          <w:szCs w:val="24"/>
          <w:lang w:val="en-US"/>
        </w:rPr>
        <w:t xml:space="preserve">) was observed. This reduction in acetyl-CoA levels and an increase in propionyl-CoA levels could be </w:t>
      </w:r>
      <w:r w:rsidR="00EF1380">
        <w:rPr>
          <w:rFonts w:ascii="Arial" w:hAnsi="Arial" w:cs="Arial"/>
          <w:sz w:val="24"/>
          <w:szCs w:val="24"/>
          <w:lang w:val="en-US"/>
        </w:rPr>
        <w:lastRenderedPageBreak/>
        <w:t xml:space="preserve">due to the production of acetate and propionyl-CoA from acetyl-CoA and propionate via the enzymatic activity of propionate-CoA transferase </w:t>
      </w:r>
      <w:r w:rsidR="006C2756">
        <w:rPr>
          <w:rFonts w:ascii="Arial" w:hAnsi="Arial" w:cs="Arial"/>
          <w:sz w:val="24"/>
          <w:szCs w:val="24"/>
          <w:lang w:val="en-US"/>
        </w:rPr>
        <w:fldChar w:fldCharType="begin"/>
      </w:r>
      <w:r w:rsidR="00FC3C1A">
        <w:rPr>
          <w:rFonts w:ascii="Arial" w:hAnsi="Arial" w:cs="Arial"/>
          <w:sz w:val="24"/>
          <w:szCs w:val="24"/>
          <w:lang w:val="en-US"/>
        </w:rPr>
        <w:instrText xml:space="preserve"> ADDIN EN.CITE &lt;EndNote&gt;&lt;Cite&gt;&lt;Author&gt;Stadtman E&lt;/Author&gt;&lt;Year&gt;1953&lt;/Year&gt;&lt;RecNum&gt;397&lt;/RecNum&gt;&lt;DisplayText&gt;(87)&lt;/DisplayText&gt;&lt;record&gt;&lt;rec-number&gt;397&lt;/rec-number&gt;&lt;foreign-keys&gt;&lt;key app="EN" db-id="zxp9w5sa30aeafes0xox2eem00dz2z2aswad"&gt;397&lt;/key&gt;&lt;/foreign-keys&gt;&lt;ref-type name="Journal Article"&gt;17&lt;/ref-type&gt;&lt;contributors&gt;&lt;authors&gt;&lt;author&gt;Stadtman E,&lt;/author&gt;&lt;/authors&gt;&lt;/contributors&gt;&lt;titles&gt;&lt;title&gt;Functional group of coenzyme A and its metabolic relations, especially in the fatty acid cycle: Discussion&lt;/title&gt;&lt;secondary-title&gt;Fed Proc&lt;/secondary-title&gt;&lt;/titles&gt;&lt;periodical&gt;&lt;full-title&gt;Fed Proc&lt;/full-title&gt;&lt;/periodical&gt;&lt;pages&gt;692-693&lt;/pages&gt;&lt;volume&gt;12&lt;/volume&gt;&lt;number&gt;3&lt;/number&gt;&lt;dates&gt;&lt;year&gt;1953&lt;/year&gt;&lt;/dates&gt;&lt;urls&gt;&lt;/urls&gt;&lt;/record&gt;&lt;/Cite&gt;&lt;/EndNote&gt;</w:instrText>
      </w:r>
      <w:r w:rsidR="006C2756">
        <w:rPr>
          <w:rFonts w:ascii="Arial" w:hAnsi="Arial" w:cs="Arial"/>
          <w:sz w:val="24"/>
          <w:szCs w:val="24"/>
          <w:lang w:val="en-US"/>
        </w:rPr>
        <w:fldChar w:fldCharType="separate"/>
      </w:r>
      <w:r w:rsidR="00FC3C1A">
        <w:rPr>
          <w:rFonts w:ascii="Arial" w:hAnsi="Arial" w:cs="Arial"/>
          <w:noProof/>
          <w:sz w:val="24"/>
          <w:szCs w:val="24"/>
          <w:lang w:val="en-US"/>
        </w:rPr>
        <w:t>(</w:t>
      </w:r>
      <w:hyperlink w:anchor="_ENREF_87" w:tooltip="Stadtman E, 1953 #397" w:history="1">
        <w:r w:rsidR="00AB7E17">
          <w:rPr>
            <w:rFonts w:ascii="Arial" w:hAnsi="Arial" w:cs="Arial"/>
            <w:noProof/>
            <w:sz w:val="24"/>
            <w:szCs w:val="24"/>
            <w:lang w:val="en-US"/>
          </w:rPr>
          <w:t>87</w:t>
        </w:r>
      </w:hyperlink>
      <w:r w:rsidR="00FC3C1A">
        <w:rPr>
          <w:rFonts w:ascii="Arial" w:hAnsi="Arial" w:cs="Arial"/>
          <w:noProof/>
          <w:sz w:val="24"/>
          <w:szCs w:val="24"/>
          <w:lang w:val="en-US"/>
        </w:rPr>
        <w:t>)</w:t>
      </w:r>
      <w:r w:rsidR="006C2756">
        <w:rPr>
          <w:rFonts w:ascii="Arial" w:hAnsi="Arial" w:cs="Arial"/>
          <w:sz w:val="24"/>
          <w:szCs w:val="24"/>
          <w:lang w:val="en-US"/>
        </w:rPr>
        <w:fldChar w:fldCharType="end"/>
      </w:r>
      <w:r w:rsidR="00EF1380">
        <w:rPr>
          <w:rFonts w:ascii="Arial" w:hAnsi="Arial" w:cs="Arial"/>
          <w:sz w:val="24"/>
          <w:szCs w:val="24"/>
          <w:lang w:val="en-US"/>
        </w:rPr>
        <w:t>.</w:t>
      </w:r>
    </w:p>
    <w:p w:rsidR="00EF1380" w:rsidRDefault="00EF1380" w:rsidP="00EF1380">
      <w:pPr>
        <w:spacing w:line="360" w:lineRule="auto"/>
        <w:ind w:firstLine="720"/>
        <w:jc w:val="both"/>
        <w:rPr>
          <w:rFonts w:ascii="Arial" w:hAnsi="Arial" w:cs="Arial"/>
          <w:sz w:val="24"/>
          <w:szCs w:val="24"/>
        </w:rPr>
      </w:pPr>
      <w:r>
        <w:rPr>
          <w:rFonts w:ascii="Arial" w:hAnsi="Arial" w:cs="Arial"/>
          <w:sz w:val="24"/>
          <w:szCs w:val="24"/>
        </w:rPr>
        <w:t xml:space="preserve">The effect of glucose on acetyl-CoA was also simulated to evaluate the participation of glucose on the production of acetyl-CoA. </w:t>
      </w:r>
      <w:r w:rsidRPr="009040CE">
        <w:rPr>
          <w:rFonts w:ascii="Arial" w:hAnsi="Arial" w:cs="Arial"/>
          <w:sz w:val="24"/>
          <w:szCs w:val="24"/>
        </w:rPr>
        <w:t>This is relevant</w:t>
      </w:r>
      <w:r>
        <w:rPr>
          <w:rFonts w:ascii="Arial" w:hAnsi="Arial" w:cs="Arial"/>
          <w:sz w:val="24"/>
          <w:szCs w:val="24"/>
        </w:rPr>
        <w:t>,</w:t>
      </w:r>
      <w:r w:rsidRPr="009040CE">
        <w:rPr>
          <w:rFonts w:ascii="Arial" w:hAnsi="Arial" w:cs="Arial"/>
          <w:sz w:val="24"/>
          <w:szCs w:val="24"/>
        </w:rPr>
        <w:t xml:space="preserve"> since glucose and CoA</w:t>
      </w:r>
      <w:r w:rsidR="002C46EF">
        <w:rPr>
          <w:rFonts w:ascii="Arial" w:hAnsi="Arial" w:cs="Arial"/>
          <w:sz w:val="24"/>
          <w:szCs w:val="24"/>
        </w:rPr>
        <w:t>-</w:t>
      </w:r>
      <w:r w:rsidRPr="009040CE">
        <w:rPr>
          <w:rFonts w:ascii="Arial" w:hAnsi="Arial" w:cs="Arial"/>
          <w:sz w:val="24"/>
          <w:szCs w:val="24"/>
        </w:rPr>
        <w:t>ligation is needed to produce acetyl-CoA, so glucose could be competing with SCFAs for CoA as substrate</w:t>
      </w:r>
      <w:r>
        <w:rPr>
          <w:rFonts w:ascii="Arial" w:hAnsi="Arial" w:cs="Arial"/>
          <w:sz w:val="24"/>
          <w:szCs w:val="24"/>
        </w:rPr>
        <w:t xml:space="preserve">, since </w:t>
      </w:r>
      <w:r w:rsidRPr="009040CE">
        <w:rPr>
          <w:rFonts w:ascii="Arial" w:hAnsi="Arial" w:cs="Arial"/>
          <w:sz w:val="24"/>
          <w:szCs w:val="24"/>
        </w:rPr>
        <w:t>SCFAs also need CoA</w:t>
      </w:r>
      <w:r w:rsidR="002C46EF">
        <w:rPr>
          <w:rFonts w:ascii="Arial" w:hAnsi="Arial" w:cs="Arial"/>
          <w:sz w:val="24"/>
          <w:szCs w:val="24"/>
        </w:rPr>
        <w:t>-</w:t>
      </w:r>
      <w:r w:rsidRPr="009040CE">
        <w:rPr>
          <w:rFonts w:ascii="Arial" w:hAnsi="Arial" w:cs="Arial"/>
          <w:sz w:val="24"/>
          <w:szCs w:val="24"/>
        </w:rPr>
        <w:t>ligation to form their acyl forms.</w:t>
      </w:r>
      <w:r>
        <w:rPr>
          <w:rFonts w:ascii="Arial" w:hAnsi="Arial" w:cs="Arial"/>
          <w:sz w:val="24"/>
          <w:szCs w:val="24"/>
        </w:rPr>
        <w:t xml:space="preserve"> The increase in acetyl-CoA by the increasing concentration of glucose, even it was slight, could indicate a competition between glucose and SCFAs for CoA as a substrate to whether form acetyl-CoA, in the case of glucose, or either form their respective acyl form, in the case of SCFAs. The ligation of CoA with increasing concentrations of glucose was also simulated. The slight decrease in CoA levels observed in the simulations suggests glucose and CoA</w:t>
      </w:r>
      <w:r w:rsidR="002C46EF">
        <w:rPr>
          <w:rFonts w:ascii="Arial" w:hAnsi="Arial" w:cs="Arial"/>
          <w:sz w:val="24"/>
          <w:szCs w:val="24"/>
        </w:rPr>
        <w:t>-</w:t>
      </w:r>
      <w:r>
        <w:rPr>
          <w:rFonts w:ascii="Arial" w:hAnsi="Arial" w:cs="Arial"/>
          <w:sz w:val="24"/>
          <w:szCs w:val="24"/>
        </w:rPr>
        <w:t xml:space="preserve">ligation, showing again a possible competition between glucose and SCFAs for CoA as a substrate. The slight increase in acetyl-CoA and the scarce decrease in CoA levels observed in the simulation support, at least in part, the idea of SCFAs and glucose competition for CoA as a substrate to either produce acyl forms or acetyl-CoA. </w:t>
      </w:r>
    </w:p>
    <w:p w:rsidR="00841E0A" w:rsidRDefault="00841E0A" w:rsidP="005F0B66">
      <w:pPr>
        <w:spacing w:after="160" w:line="360" w:lineRule="auto"/>
        <w:ind w:firstLine="720"/>
        <w:jc w:val="both"/>
        <w:rPr>
          <w:rStyle w:val="sectionname"/>
          <w:rFonts w:ascii="Arial" w:hAnsi="Arial" w:cs="Arial"/>
          <w:sz w:val="24"/>
        </w:rPr>
      </w:pPr>
      <w:r w:rsidRPr="00841E0A">
        <w:rPr>
          <w:rFonts w:ascii="Arial" w:hAnsi="Arial" w:cs="Arial"/>
          <w:sz w:val="24"/>
        </w:rPr>
        <w:t xml:space="preserve">The simulations run at different time points at physiological ranges of butyrate, propionate and acetate (1-20, 1-20, and 1-52mM respectively) with </w:t>
      </w:r>
      <w:r w:rsidRPr="00841E0A">
        <w:rPr>
          <w:rStyle w:val="sectionname"/>
          <w:rFonts w:ascii="Arial" w:hAnsi="Arial" w:cs="Arial"/>
          <w:sz w:val="24"/>
        </w:rPr>
        <w:t>SCFA Uptake and Oxidation v4</w:t>
      </w:r>
      <w:r w:rsidRPr="00841E0A">
        <w:rPr>
          <w:rFonts w:ascii="Arial" w:hAnsi="Arial" w:cs="Arial"/>
          <w:sz w:val="24"/>
        </w:rPr>
        <w:t xml:space="preserve"> model were more heterogeneous, making it the best model  to simulate the effect of a time course on the levels of butyryl-CoA, propionyl-CoA, acetyl-CoA and CoA. </w:t>
      </w:r>
      <w:r w:rsidRPr="00841E0A">
        <w:rPr>
          <w:rStyle w:val="sectionname"/>
          <w:rFonts w:ascii="Arial" w:hAnsi="Arial" w:cs="Arial"/>
          <w:sz w:val="24"/>
        </w:rPr>
        <w:t>According to the simulations run, butyrate_v3-1 model is the best model to simulate the action of increasing concentrations of butyrate, propionate, acetate, and glucos</w:t>
      </w:r>
      <w:r w:rsidR="005F0B66">
        <w:rPr>
          <w:rStyle w:val="sectionname"/>
          <w:rFonts w:ascii="Arial" w:hAnsi="Arial" w:cs="Arial"/>
          <w:sz w:val="24"/>
        </w:rPr>
        <w:t>e on CoA and acetyl-CoA levels.</w:t>
      </w:r>
    </w:p>
    <w:p w:rsidR="005F0B66" w:rsidRPr="002E4C6B" w:rsidRDefault="006F1F87" w:rsidP="002E4C6B">
      <w:pPr>
        <w:spacing w:line="360" w:lineRule="auto"/>
        <w:ind w:firstLine="720"/>
        <w:jc w:val="both"/>
        <w:rPr>
          <w:rStyle w:val="sectionname"/>
          <w:rFonts w:ascii="Arial" w:hAnsi="Arial" w:cs="Arial"/>
          <w:sz w:val="24"/>
          <w:szCs w:val="24"/>
          <w:lang w:eastAsia="es-MX"/>
        </w:rPr>
      </w:pPr>
      <w:r w:rsidRPr="004F4CB6">
        <w:rPr>
          <w:rFonts w:ascii="Arial" w:hAnsi="Arial" w:cs="Arial"/>
          <w:sz w:val="24"/>
          <w:szCs w:val="24"/>
        </w:rPr>
        <w:t xml:space="preserve">The validation of the models with HCT166 cells treated with increasing concentrations of acetate, butyrate and propionate showed that </w:t>
      </w:r>
      <w:r w:rsidR="004F4CB6" w:rsidRPr="004F4CB6">
        <w:rPr>
          <w:rFonts w:ascii="Arial" w:hAnsi="Arial" w:cs="Arial"/>
          <w:sz w:val="24"/>
          <w:szCs w:val="24"/>
        </w:rPr>
        <w:t xml:space="preserve">changes in CoA levels were not as steady as in the simulations and the general outcome of the validation of the models on HCT116 cells, increase in CoA levels, was only in accordance to the time course simulations run with butyrate_v3-1 model (Figure </w:t>
      </w:r>
      <w:r w:rsidR="004F4CB6" w:rsidRPr="004F4CB6">
        <w:rPr>
          <w:rFonts w:ascii="Arial" w:hAnsi="Arial" w:cs="Arial"/>
          <w:sz w:val="24"/>
          <w:szCs w:val="24"/>
        </w:rPr>
        <w:lastRenderedPageBreak/>
        <w:t xml:space="preserve">19), and the simulations run to predict the effect of acetate on CoA levels using this model (Figure 25, left panel). In the case of butyrate and propionate, the effect observed in the validation of the models on HCT116 cells when treated with these SCFAs is opposite to the effect observed and expected, a decrease in CoA levels, when simulations were run with both butyrate_v3-1 and SCFA Uptake and Oxidation v4 models. The effect of butyrate on CoA levels, according to the simulations run, showed a decrease in CoA levels using butyrate_v3-1 and SCFA Uptake and Oxidation v4 models (Figure 26). On the other hand, the effect of propionate on CoA levels, showed no effect in the simulations run with butyrate_v3-1 model, and a decrease in CoA levels in the simulations run with SCFA uptake and oxidation v4 model (Figure 27). Another important fact to address is that the magnitude of these changes is higher in the simulations run with butyrate_v3-1 and SCFA Uptake and Oxidation v4 models, in the range of mM, whereas it is lower </w:t>
      </w:r>
      <w:r w:rsidR="004F4CB6" w:rsidRPr="004F4CB6">
        <w:rPr>
          <w:rFonts w:ascii="Arial" w:hAnsi="Arial" w:cs="Arial"/>
          <w:sz w:val="24"/>
          <w:szCs w:val="24"/>
          <w:lang w:eastAsia="es-MX"/>
        </w:rPr>
        <w:t xml:space="preserve">in the case of HCT116 cells treated with acetate, butyrate and propionate, since it is in the range of micro molar μM. According to the results of the action of SCFAs on the levels of CoA in HCT116 cells, it is not possible to conclude if these models are able to simulate the effect of increasing concentrations of SCFAs in the levels of CoA. Further </w:t>
      </w:r>
      <w:r w:rsidR="004F4CB6" w:rsidRPr="004F4CB6">
        <w:rPr>
          <w:rFonts w:ascii="Arial" w:hAnsi="Arial" w:cs="Arial"/>
          <w:i/>
          <w:sz w:val="24"/>
          <w:szCs w:val="24"/>
          <w:lang w:eastAsia="es-MX"/>
        </w:rPr>
        <w:t xml:space="preserve">in vitro </w:t>
      </w:r>
      <w:r w:rsidR="004F4CB6" w:rsidRPr="004F4CB6">
        <w:rPr>
          <w:rFonts w:ascii="Arial" w:hAnsi="Arial" w:cs="Arial"/>
          <w:sz w:val="24"/>
          <w:szCs w:val="24"/>
          <w:lang w:eastAsia="es-MX"/>
        </w:rPr>
        <w:t xml:space="preserve">and </w:t>
      </w:r>
      <w:r w:rsidR="004F4CB6" w:rsidRPr="004F4CB6">
        <w:rPr>
          <w:rFonts w:ascii="Arial" w:hAnsi="Arial" w:cs="Arial"/>
          <w:i/>
          <w:sz w:val="24"/>
          <w:szCs w:val="24"/>
          <w:lang w:eastAsia="es-MX"/>
        </w:rPr>
        <w:t>in vivo</w:t>
      </w:r>
      <w:r w:rsidR="004F4CB6" w:rsidRPr="004F4CB6">
        <w:rPr>
          <w:rFonts w:ascii="Arial" w:hAnsi="Arial" w:cs="Arial"/>
          <w:sz w:val="24"/>
          <w:szCs w:val="24"/>
          <w:lang w:eastAsia="es-MX"/>
        </w:rPr>
        <w:t xml:space="preserve"> studies are needed to validate these models. Despite the fact that further experiments are needed to validate these models, the simulations run with butyrate_v3-1 and SCFA Uptake and Oxidation v4 models are able to predict various features of the action of SCFAs (28, 12, 34, 86).</w:t>
      </w:r>
      <w:r w:rsidR="005F0B66">
        <w:rPr>
          <w:rStyle w:val="sectionname"/>
          <w:rFonts w:ascii="Arial" w:hAnsi="Arial" w:cs="Arial"/>
          <w:sz w:val="24"/>
        </w:rPr>
        <w:br w:type="page"/>
      </w:r>
    </w:p>
    <w:p w:rsidR="00EF1380" w:rsidRPr="00224219" w:rsidRDefault="00EF1380" w:rsidP="00EF1380">
      <w:pPr>
        <w:pStyle w:val="Heading1"/>
        <w:rPr>
          <w:rFonts w:ascii="Arial" w:hAnsi="Arial" w:cs="Arial"/>
          <w:sz w:val="28"/>
          <w:szCs w:val="28"/>
        </w:rPr>
      </w:pPr>
      <w:bookmarkStart w:id="135" w:name="_Toc364682863"/>
      <w:bookmarkStart w:id="136" w:name="_Toc413753771"/>
      <w:r>
        <w:rPr>
          <w:rFonts w:ascii="Arial" w:hAnsi="Arial" w:cs="Arial"/>
          <w:sz w:val="28"/>
          <w:szCs w:val="28"/>
        </w:rPr>
        <w:lastRenderedPageBreak/>
        <w:t>CONCLUSIONS</w:t>
      </w:r>
      <w:bookmarkEnd w:id="135"/>
      <w:bookmarkEnd w:id="136"/>
    </w:p>
    <w:p w:rsidR="007E5598" w:rsidRPr="007E5598" w:rsidRDefault="007E5598" w:rsidP="001E52CA">
      <w:pPr>
        <w:pStyle w:val="ListParagraph"/>
        <w:numPr>
          <w:ilvl w:val="0"/>
          <w:numId w:val="5"/>
        </w:numPr>
        <w:spacing w:line="360" w:lineRule="auto"/>
        <w:ind w:left="0" w:firstLine="0"/>
        <w:jc w:val="both"/>
        <w:rPr>
          <w:rFonts w:ascii="Arial" w:hAnsi="Arial" w:cs="Arial"/>
        </w:rPr>
      </w:pPr>
      <w:bookmarkStart w:id="137" w:name="_Toc379983955"/>
      <w:r w:rsidRPr="007E5598">
        <w:rPr>
          <w:rFonts w:ascii="Arial" w:hAnsi="Arial" w:cs="Arial"/>
          <w:noProof/>
          <w:lang w:val="en-US"/>
        </w:rPr>
        <w:t xml:space="preserve">Functional proteomics can contribute to the study of the </w:t>
      </w:r>
      <w:r w:rsidRPr="007E5598">
        <w:rPr>
          <w:rFonts w:ascii="Arial" w:hAnsi="Arial" w:cs="Arial"/>
        </w:rPr>
        <w:t xml:space="preserve">shift in acetylation/deacetylation patterns and the control of enzymes involved in metabolic enzymes, which are molecular mechanism of SCFAs that could be studied and benefited by functional proteomics. Based on these acetylation/deacetylation patterns, the biological function of metabolic enzymes could be elucidated by using the emerging research field related to functional proteomics. In metabolic pathways, the cellular mechanisms of acetylation and deacetylation could be described by functional proteomics as well, making it a valuable tool.  </w:t>
      </w:r>
    </w:p>
    <w:p w:rsidR="007E5598" w:rsidRPr="007E5598" w:rsidRDefault="007E5598" w:rsidP="001E52CA">
      <w:pPr>
        <w:pStyle w:val="ListParagraph"/>
        <w:numPr>
          <w:ilvl w:val="0"/>
          <w:numId w:val="5"/>
        </w:numPr>
        <w:spacing w:line="360" w:lineRule="auto"/>
        <w:ind w:left="0" w:firstLine="0"/>
        <w:jc w:val="both"/>
        <w:rPr>
          <w:rFonts w:ascii="Arial" w:eastAsiaTheme="minorEastAsia" w:hAnsi="Arial" w:cs="Arial"/>
        </w:rPr>
      </w:pPr>
      <w:r w:rsidRPr="007E5598">
        <w:rPr>
          <w:rFonts w:ascii="Arial" w:hAnsi="Arial" w:cs="Arial"/>
        </w:rPr>
        <w:t xml:space="preserve">As it has been shown by </w:t>
      </w:r>
      <w:r w:rsidRPr="007E5598">
        <w:rPr>
          <w:rFonts w:ascii="Arial" w:hAnsi="Arial" w:cs="Arial"/>
          <w:lang w:val="en-US"/>
        </w:rPr>
        <w:t>quantitatively examining the data through bioinformatics approaches</w:t>
      </w:r>
      <w:r w:rsidRPr="007E5598">
        <w:rPr>
          <w:rFonts w:ascii="Arial" w:hAnsi="Arial" w:cs="Arial"/>
        </w:rPr>
        <w:t xml:space="preserve">, not all metabolic enzymes are suitable of being acetylated (Representation and acetylation of metabolic pathways), there are differences in the enrichment scores of the global and the acetylated proteome datasets (Functional annotations), the number of enzymes matching the metabolic pathways analysed is higher in the global proteome when compared to the acetylated proteome (Percentage coverage of pathways) and more enzymes in the Metabolism pathway were found to match the global proteome compared to the acetylated proteome dataset (Matching pathways). </w:t>
      </w:r>
      <w:r w:rsidRPr="007E5598">
        <w:rPr>
          <w:rFonts w:ascii="Arial" w:hAnsi="Arial" w:cs="Arial"/>
          <w:lang w:val="en-US"/>
        </w:rPr>
        <w:t xml:space="preserve">A shift in the enrichment scores in the functional annotations might be related to an up- or down-regulation </w:t>
      </w:r>
      <w:r w:rsidRPr="007E5598">
        <w:rPr>
          <w:rFonts w:ascii="Arial" w:hAnsi="Arial" w:cs="Arial"/>
        </w:rPr>
        <w:t>associated with acetylation of a group of proteins in a specific functional annotation in any GO term, since these enrichments scores are a rank of biological significance of a group of proteins evidencing a shift in the expression of a specific pathway protein set. This analysis reveals the degree to which a protein set is overrepresented in an expression dataset, indicating the percentage of proteins contributing to the enrichment score in every functional annotation of each GO term.</w:t>
      </w:r>
    </w:p>
    <w:p w:rsidR="00727535" w:rsidRPr="002E4C6B" w:rsidRDefault="007E5598" w:rsidP="002E4C6B">
      <w:pPr>
        <w:pStyle w:val="ListParagraph"/>
        <w:spacing w:after="160" w:line="360" w:lineRule="auto"/>
        <w:ind w:left="0" w:firstLine="720"/>
        <w:jc w:val="both"/>
        <w:rPr>
          <w:rFonts w:ascii="Arial" w:hAnsi="Arial" w:cs="Arial"/>
        </w:rPr>
      </w:pPr>
      <w:r w:rsidRPr="00727535">
        <w:rPr>
          <w:rFonts w:ascii="Arial" w:hAnsi="Arial" w:cs="Arial"/>
          <w:noProof/>
          <w:lang w:val="en-US"/>
        </w:rPr>
        <w:t xml:space="preserve">The elucidation of the acetylation status of metabolic enzymes and to provide more information about the functional proteome can be done by interrogating SCFAs oxidation models of metabolic pathways and by systematically interogating a proteomic dataset of mitochondrially enriched fractions. The modelling of the action of </w:t>
      </w:r>
      <w:r w:rsidRPr="00727535">
        <w:rPr>
          <w:rFonts w:ascii="Arial" w:hAnsi="Arial" w:cs="Arial"/>
          <w:iCs/>
          <w:color w:val="000000"/>
        </w:rPr>
        <w:t>SCFAs and glucose increasing concentrations on acetyl-</w:t>
      </w:r>
      <w:r w:rsidRPr="00727535">
        <w:rPr>
          <w:rFonts w:ascii="Arial" w:hAnsi="Arial" w:cs="Arial"/>
          <w:iCs/>
          <w:color w:val="000000"/>
        </w:rPr>
        <w:lastRenderedPageBreak/>
        <w:t>CoA and CoA levels and the effect of physiological ranges of SCFAs on a time course</w:t>
      </w:r>
      <w:r w:rsidRPr="00727535">
        <w:rPr>
          <w:rFonts w:ascii="Arial" w:hAnsi="Arial" w:cs="Arial"/>
          <w:noProof/>
          <w:lang w:val="en-US"/>
        </w:rPr>
        <w:t xml:space="preserve"> </w:t>
      </w:r>
      <w:r w:rsidRPr="00727535">
        <w:rPr>
          <w:rFonts w:ascii="Arial" w:hAnsi="Arial" w:cs="Arial"/>
          <w:i/>
          <w:noProof/>
          <w:lang w:val="en-US"/>
        </w:rPr>
        <w:t xml:space="preserve">in vitro </w:t>
      </w:r>
      <w:r w:rsidRPr="00727535">
        <w:rPr>
          <w:rFonts w:ascii="Arial" w:hAnsi="Arial" w:cs="Arial"/>
          <w:noProof/>
          <w:lang w:val="en-US"/>
        </w:rPr>
        <w:t xml:space="preserve"> and </w:t>
      </w:r>
      <w:r w:rsidRPr="00727535">
        <w:rPr>
          <w:rFonts w:ascii="Arial" w:hAnsi="Arial" w:cs="Arial"/>
          <w:i/>
          <w:noProof/>
          <w:lang w:val="en-US"/>
        </w:rPr>
        <w:t xml:space="preserve">in vivo </w:t>
      </w:r>
      <w:r w:rsidRPr="00727535">
        <w:rPr>
          <w:rFonts w:ascii="Arial" w:hAnsi="Arial" w:cs="Arial"/>
          <w:noProof/>
          <w:lang w:val="en-US"/>
        </w:rPr>
        <w:t xml:space="preserve">is essential to elucidate their role in controlling the enzymes in metabolic pathways. </w:t>
      </w:r>
      <w:r w:rsidR="00727535" w:rsidRPr="00727535">
        <w:rPr>
          <w:rFonts w:ascii="Arial" w:hAnsi="Arial" w:cs="Arial"/>
          <w:lang w:eastAsia="es-MX"/>
        </w:rPr>
        <w:t>There is evidence that</w:t>
      </w:r>
      <w:r w:rsidR="00806F63">
        <w:rPr>
          <w:rFonts w:ascii="Arial" w:hAnsi="Arial" w:cs="Arial"/>
          <w:lang w:eastAsia="es-MX"/>
        </w:rPr>
        <w:t>:</w:t>
      </w:r>
      <w:r w:rsidR="00727535" w:rsidRPr="00727535">
        <w:rPr>
          <w:rFonts w:ascii="Arial" w:hAnsi="Arial" w:cs="Arial"/>
          <w:lang w:eastAsia="es-MX"/>
        </w:rPr>
        <w:t xml:space="preserve"> </w:t>
      </w:r>
      <w:r w:rsidR="00806F63">
        <w:rPr>
          <w:rFonts w:ascii="Arial" w:hAnsi="Arial" w:cs="Arial"/>
          <w:lang w:eastAsia="es-MX"/>
        </w:rPr>
        <w:t xml:space="preserve">1) </w:t>
      </w:r>
      <w:r w:rsidR="00727535" w:rsidRPr="00727535">
        <w:rPr>
          <w:rFonts w:ascii="Arial" w:hAnsi="Arial" w:cs="Arial"/>
          <w:lang w:eastAsia="es-MX"/>
        </w:rPr>
        <w:t>the increase in acetyl-CoA levels by the action of butyrate, as simulated using butyrate_v3-1 model could be related to its regulatory role on protein acetylation</w:t>
      </w:r>
      <w:r w:rsidR="00806F63">
        <w:rPr>
          <w:rFonts w:ascii="Arial" w:hAnsi="Arial" w:cs="Arial"/>
          <w:lang w:eastAsia="es-MX"/>
        </w:rPr>
        <w:t xml:space="preserve"> </w:t>
      </w:r>
      <w:r w:rsidR="00727535" w:rsidRPr="00727535">
        <w:rPr>
          <w:rFonts w:ascii="Arial" w:hAnsi="Arial" w:cs="Arial"/>
          <w:lang w:eastAsia="es-MX"/>
        </w:rPr>
        <w:t>and its role on histone acetylation</w:t>
      </w:r>
      <w:r w:rsidR="00806F63">
        <w:rPr>
          <w:rFonts w:ascii="Arial" w:hAnsi="Arial" w:cs="Arial"/>
          <w:lang w:eastAsia="es-MX"/>
        </w:rPr>
        <w:t>, 2) t</w:t>
      </w:r>
      <w:r w:rsidR="00727535" w:rsidRPr="00727535">
        <w:rPr>
          <w:rFonts w:ascii="Arial" w:hAnsi="Arial" w:cs="Arial"/>
          <w:lang w:eastAsia="es-MX"/>
        </w:rPr>
        <w:t>he production of butyryl-CoA as simulated using SCFA Uptake and Oxidation v4 model</w:t>
      </w:r>
      <w:r w:rsidR="00806F63">
        <w:rPr>
          <w:rFonts w:ascii="Arial" w:hAnsi="Arial" w:cs="Arial"/>
          <w:lang w:eastAsia="es-MX"/>
        </w:rPr>
        <w:t xml:space="preserve"> </w:t>
      </w:r>
      <w:r w:rsidR="00727535" w:rsidRPr="00727535">
        <w:rPr>
          <w:rFonts w:ascii="Arial" w:hAnsi="Arial" w:cs="Arial"/>
          <w:lang w:eastAsia="es-MX"/>
        </w:rPr>
        <w:t>could be related to the inhibitory mechanism of butyrate</w:t>
      </w:r>
      <w:r w:rsidR="00806F63">
        <w:rPr>
          <w:rFonts w:ascii="Arial" w:hAnsi="Arial" w:cs="Arial"/>
          <w:lang w:eastAsia="es-MX"/>
        </w:rPr>
        <w:t>, 3)</w:t>
      </w:r>
      <w:r w:rsidR="00727535" w:rsidRPr="00727535">
        <w:rPr>
          <w:rFonts w:ascii="Arial" w:hAnsi="Arial" w:cs="Arial"/>
          <w:lang w:eastAsia="es-MX"/>
        </w:rPr>
        <w:t xml:space="preserve"> the increase in the production of acyl forms</w:t>
      </w:r>
      <w:r w:rsidR="00806F63">
        <w:rPr>
          <w:rFonts w:ascii="Arial" w:hAnsi="Arial" w:cs="Arial"/>
          <w:lang w:eastAsia="es-MX"/>
        </w:rPr>
        <w:t xml:space="preserve"> </w:t>
      </w:r>
      <w:r w:rsidR="00727535" w:rsidRPr="00727535">
        <w:rPr>
          <w:rFonts w:ascii="Arial" w:hAnsi="Arial" w:cs="Arial"/>
          <w:lang w:eastAsia="es-MX"/>
        </w:rPr>
        <w:t>could simulate cells be</w:t>
      </w:r>
      <w:r w:rsidR="00806F63">
        <w:rPr>
          <w:rFonts w:ascii="Arial" w:hAnsi="Arial" w:cs="Arial"/>
          <w:lang w:eastAsia="es-MX"/>
        </w:rPr>
        <w:t>en</w:t>
      </w:r>
      <w:r w:rsidR="00727535" w:rsidRPr="00727535">
        <w:rPr>
          <w:rFonts w:ascii="Arial" w:hAnsi="Arial" w:cs="Arial"/>
          <w:lang w:eastAsia="es-MX"/>
        </w:rPr>
        <w:t xml:space="preserve"> driven to the acylated state by the action of SCFAs</w:t>
      </w:r>
      <w:r w:rsidR="00806F63">
        <w:rPr>
          <w:rFonts w:ascii="Arial" w:hAnsi="Arial" w:cs="Arial"/>
          <w:lang w:eastAsia="es-MX"/>
        </w:rPr>
        <w:t>, 4)</w:t>
      </w:r>
      <w:r w:rsidR="00727535" w:rsidRPr="00727535">
        <w:rPr>
          <w:rFonts w:ascii="Arial" w:hAnsi="Arial" w:cs="Arial"/>
          <w:lang w:eastAsia="es-MX"/>
        </w:rPr>
        <w:t xml:space="preserve"> a decrease in acetyl-CoA levels could be due to the production of acetate and propionyl-CoA</w:t>
      </w:r>
      <w:r w:rsidR="00806F63">
        <w:rPr>
          <w:rFonts w:ascii="Arial" w:hAnsi="Arial" w:cs="Arial"/>
          <w:lang w:eastAsia="es-MX"/>
        </w:rPr>
        <w:t xml:space="preserve">. </w:t>
      </w:r>
      <w:r w:rsidR="002E4C6B">
        <w:rPr>
          <w:rStyle w:val="sectionname"/>
          <w:rFonts w:ascii="Arial" w:hAnsi="Arial" w:cs="Arial"/>
        </w:rPr>
        <w:t xml:space="preserve">No validation of the models in regard of increasing concentrations of acetate, butyrate and propionate on acetyl-CoA levels or the </w:t>
      </w:r>
      <w:r w:rsidR="002E4C6B" w:rsidRPr="00B05AAB">
        <w:rPr>
          <w:rFonts w:ascii="Arial" w:hAnsi="Arial" w:cs="Arial"/>
          <w:iCs/>
          <w:color w:val="000000"/>
        </w:rPr>
        <w:t>effect of physiological ranges of SCFAs on a time course</w:t>
      </w:r>
      <w:r w:rsidR="002E4C6B">
        <w:rPr>
          <w:rFonts w:ascii="Arial" w:hAnsi="Arial" w:cs="Arial"/>
          <w:iCs/>
          <w:color w:val="000000"/>
        </w:rPr>
        <w:t xml:space="preserve"> were done, increasing the need for further studies </w:t>
      </w:r>
      <w:r w:rsidR="002E4C6B">
        <w:rPr>
          <w:rFonts w:ascii="Arial" w:hAnsi="Arial" w:cs="Arial"/>
        </w:rPr>
        <w:t xml:space="preserve">to validate the models used in order to elucidate </w:t>
      </w:r>
      <w:r w:rsidR="002E4C6B">
        <w:rPr>
          <w:rFonts w:ascii="Arial" w:hAnsi="Arial" w:cs="Arial"/>
          <w:iCs/>
          <w:color w:val="000000"/>
          <w:lang w:val="en-US"/>
        </w:rPr>
        <w:t>t</w:t>
      </w:r>
      <w:r w:rsidR="002E4C6B" w:rsidRPr="00B05AAB">
        <w:rPr>
          <w:rFonts w:ascii="Arial" w:hAnsi="Arial" w:cs="Arial"/>
          <w:iCs/>
          <w:color w:val="000000"/>
        </w:rPr>
        <w:t>he action of SCFAs and glucose increasing concentrations on acetyl-CoA and CoA levels and the effect of physiological ranges of SCFAs on a time course</w:t>
      </w:r>
      <w:r w:rsidR="002E4C6B">
        <w:rPr>
          <w:rFonts w:ascii="Arial" w:hAnsi="Arial" w:cs="Arial"/>
          <w:iCs/>
          <w:color w:val="000000"/>
        </w:rPr>
        <w:t xml:space="preserve"> </w:t>
      </w:r>
      <w:r w:rsidR="002E4C6B">
        <w:rPr>
          <w:rFonts w:ascii="Arial" w:hAnsi="Arial" w:cs="Arial"/>
          <w:i/>
        </w:rPr>
        <w:t xml:space="preserve">in vitro </w:t>
      </w:r>
      <w:r w:rsidR="002E4C6B">
        <w:rPr>
          <w:rFonts w:ascii="Arial" w:hAnsi="Arial" w:cs="Arial"/>
        </w:rPr>
        <w:t xml:space="preserve">and </w:t>
      </w:r>
      <w:r w:rsidR="002E4C6B">
        <w:rPr>
          <w:rFonts w:ascii="Arial" w:hAnsi="Arial" w:cs="Arial"/>
          <w:i/>
        </w:rPr>
        <w:t>in vivo</w:t>
      </w:r>
      <w:r w:rsidR="002E4C6B">
        <w:rPr>
          <w:rFonts w:ascii="Arial" w:hAnsi="Arial" w:cs="Arial"/>
        </w:rPr>
        <w:t xml:space="preserve">. </w:t>
      </w:r>
    </w:p>
    <w:p w:rsidR="00727535" w:rsidRDefault="00806F63" w:rsidP="00727535">
      <w:pPr>
        <w:pStyle w:val="ListParagraph"/>
        <w:numPr>
          <w:ilvl w:val="0"/>
          <w:numId w:val="5"/>
        </w:numPr>
        <w:spacing w:after="160" w:line="360" w:lineRule="auto"/>
        <w:ind w:left="0" w:firstLine="0"/>
        <w:jc w:val="both"/>
        <w:rPr>
          <w:rFonts w:ascii="Arial" w:hAnsi="Arial" w:cs="Arial"/>
          <w:sz w:val="28"/>
          <w:szCs w:val="28"/>
        </w:rPr>
      </w:pPr>
      <w:r>
        <w:rPr>
          <w:rFonts w:ascii="Arial" w:hAnsi="Arial" w:cs="Arial"/>
          <w:noProof/>
          <w:lang w:val="en-US"/>
        </w:rPr>
        <w:t>A</w:t>
      </w:r>
      <w:r w:rsidR="007E5598" w:rsidRPr="007E5598">
        <w:rPr>
          <w:rFonts w:ascii="Arial" w:hAnsi="Arial" w:cs="Arial"/>
          <w:noProof/>
          <w:lang w:val="en-US"/>
        </w:rPr>
        <w:t>cetate, butyrate, and propionate play a role in controling metabolic enzymes (which are amenable to proteomic analysis), at least with regard to its acetylation patterns.</w:t>
      </w:r>
      <w:r w:rsidR="007E5598" w:rsidRPr="007E5598">
        <w:rPr>
          <w:rFonts w:ascii="Arial" w:hAnsi="Arial" w:cs="Arial"/>
          <w:sz w:val="28"/>
          <w:szCs w:val="28"/>
        </w:rPr>
        <w:t xml:space="preserve"> </w:t>
      </w:r>
    </w:p>
    <w:p w:rsidR="00727535" w:rsidRPr="00727535" w:rsidRDefault="00EF1380" w:rsidP="00727535">
      <w:pPr>
        <w:pStyle w:val="ListParagraph"/>
        <w:numPr>
          <w:ilvl w:val="0"/>
          <w:numId w:val="5"/>
        </w:numPr>
        <w:spacing w:after="160" w:line="360" w:lineRule="auto"/>
        <w:ind w:left="0" w:firstLine="0"/>
        <w:jc w:val="both"/>
        <w:rPr>
          <w:rFonts w:ascii="Arial" w:hAnsi="Arial" w:cs="Arial"/>
          <w:sz w:val="28"/>
          <w:szCs w:val="28"/>
        </w:rPr>
      </w:pPr>
      <w:r w:rsidRPr="007E5598">
        <w:rPr>
          <w:rFonts w:ascii="Arial" w:hAnsi="Arial" w:cs="Arial"/>
          <w:sz w:val="28"/>
          <w:szCs w:val="28"/>
        </w:rPr>
        <w:br w:type="page"/>
      </w:r>
    </w:p>
    <w:p w:rsidR="00EF1380" w:rsidRPr="00AB2E27" w:rsidRDefault="00EF1380" w:rsidP="00EF1380">
      <w:pPr>
        <w:pStyle w:val="Heading1"/>
        <w:rPr>
          <w:rFonts w:ascii="Arial" w:hAnsi="Arial" w:cs="Arial"/>
          <w:sz w:val="28"/>
          <w:szCs w:val="28"/>
        </w:rPr>
      </w:pPr>
      <w:bookmarkStart w:id="138" w:name="_Toc413753772"/>
      <w:r w:rsidRPr="00AB2E27">
        <w:rPr>
          <w:rFonts w:ascii="Arial" w:hAnsi="Arial" w:cs="Arial"/>
          <w:sz w:val="28"/>
          <w:szCs w:val="28"/>
        </w:rPr>
        <w:lastRenderedPageBreak/>
        <w:t>R</w:t>
      </w:r>
      <w:r>
        <w:rPr>
          <w:rFonts w:ascii="Arial" w:hAnsi="Arial" w:cs="Arial"/>
          <w:sz w:val="28"/>
          <w:szCs w:val="28"/>
        </w:rPr>
        <w:t>EFERENCE</w:t>
      </w:r>
      <w:bookmarkEnd w:id="137"/>
      <w:r>
        <w:rPr>
          <w:rFonts w:ascii="Arial" w:hAnsi="Arial" w:cs="Arial"/>
          <w:sz w:val="28"/>
          <w:szCs w:val="28"/>
        </w:rPr>
        <w:t>S</w:t>
      </w:r>
      <w:bookmarkEnd w:id="138"/>
    </w:p>
    <w:p w:rsidR="00AB7E17" w:rsidRPr="003512B8" w:rsidRDefault="006C2756" w:rsidP="00AB7E17">
      <w:pPr>
        <w:spacing w:after="0" w:line="240" w:lineRule="auto"/>
        <w:jc w:val="both"/>
        <w:rPr>
          <w:rFonts w:ascii="Calibri" w:hAnsi="Calibri"/>
          <w:b/>
          <w:noProof/>
          <w:sz w:val="16"/>
          <w:szCs w:val="16"/>
        </w:rPr>
      </w:pPr>
      <w:r w:rsidRPr="003F02C4">
        <w:rPr>
          <w:rFonts w:ascii="Arial" w:hAnsi="Arial"/>
          <w:b/>
          <w:bCs/>
          <w:noProof/>
          <w:sz w:val="16"/>
          <w:szCs w:val="16"/>
        </w:rPr>
        <w:fldChar w:fldCharType="begin"/>
      </w:r>
      <w:r w:rsidR="00EF1380" w:rsidRPr="003F02C4">
        <w:rPr>
          <w:rFonts w:ascii="Arial" w:hAnsi="Arial"/>
          <w:b/>
          <w:sz w:val="16"/>
          <w:szCs w:val="16"/>
        </w:rPr>
        <w:instrText xml:space="preserve"> ADDIN EN.REFLIST </w:instrText>
      </w:r>
      <w:r w:rsidRPr="003F02C4">
        <w:rPr>
          <w:rFonts w:ascii="Arial" w:hAnsi="Arial"/>
          <w:b/>
          <w:bCs/>
          <w:noProof/>
          <w:sz w:val="16"/>
          <w:szCs w:val="16"/>
        </w:rPr>
        <w:fldChar w:fldCharType="separate"/>
      </w:r>
      <w:bookmarkStart w:id="139" w:name="_ENREF_1"/>
      <w:r w:rsidR="00AB7E17" w:rsidRPr="003512B8">
        <w:rPr>
          <w:rFonts w:ascii="Calibri" w:hAnsi="Calibri"/>
          <w:b/>
          <w:noProof/>
          <w:sz w:val="16"/>
          <w:szCs w:val="16"/>
        </w:rPr>
        <w:t>1.</w:t>
      </w:r>
      <w:r w:rsidR="00AB7E17" w:rsidRPr="003512B8">
        <w:rPr>
          <w:rFonts w:ascii="Calibri" w:hAnsi="Calibri"/>
          <w:b/>
          <w:noProof/>
          <w:sz w:val="16"/>
          <w:szCs w:val="16"/>
        </w:rPr>
        <w:tab/>
        <w:t>Medina V, Edmonds B, Young G, James R, Appleton S, Zalewski P. Induction of caspase-3 protease activity and apoptosis by butyrate and trichostatin A (inhibitors of histones deacetylase): dependence on protein synthesis and synergy with a mitochondrial/cytochrome c-dependet pathway. Cancer Res. 1997;57(17):3697-707.</w:t>
      </w:r>
      <w:bookmarkEnd w:id="139"/>
    </w:p>
    <w:p w:rsidR="00AB7E17" w:rsidRPr="003512B8" w:rsidRDefault="00AB7E17" w:rsidP="00AB7E17">
      <w:pPr>
        <w:spacing w:after="0" w:line="240" w:lineRule="auto"/>
        <w:jc w:val="both"/>
        <w:rPr>
          <w:rFonts w:ascii="Calibri" w:hAnsi="Calibri"/>
          <w:b/>
          <w:noProof/>
          <w:sz w:val="16"/>
          <w:szCs w:val="16"/>
        </w:rPr>
      </w:pPr>
      <w:bookmarkStart w:id="140" w:name="_ENREF_2"/>
      <w:r w:rsidRPr="003512B8">
        <w:rPr>
          <w:rFonts w:ascii="Calibri" w:hAnsi="Calibri"/>
          <w:b/>
          <w:noProof/>
          <w:sz w:val="16"/>
          <w:szCs w:val="16"/>
        </w:rPr>
        <w:t>2.</w:t>
      </w:r>
      <w:r w:rsidRPr="003512B8">
        <w:rPr>
          <w:rFonts w:ascii="Calibri" w:hAnsi="Calibri"/>
          <w:b/>
          <w:noProof/>
          <w:sz w:val="16"/>
          <w:szCs w:val="16"/>
        </w:rPr>
        <w:tab/>
        <w:t>Jahns F, Wilhelm A, Jablonowski N, Mothes H, Radeva M, Wölfert A, et al. Butyrate suppresses mRNA increase of osteopontin and cyclookygenase-2 in human colon tumor tissue. Carcinogenesis. 2011;32(6):913-20.</w:t>
      </w:r>
      <w:bookmarkEnd w:id="140"/>
    </w:p>
    <w:p w:rsidR="00AB7E17" w:rsidRPr="003512B8" w:rsidRDefault="00AB7E17" w:rsidP="00AB7E17">
      <w:pPr>
        <w:spacing w:after="0" w:line="240" w:lineRule="auto"/>
        <w:jc w:val="both"/>
        <w:rPr>
          <w:rFonts w:ascii="Calibri" w:hAnsi="Calibri"/>
          <w:b/>
          <w:noProof/>
          <w:sz w:val="16"/>
          <w:szCs w:val="16"/>
        </w:rPr>
      </w:pPr>
      <w:bookmarkStart w:id="141" w:name="_ENREF_3"/>
      <w:r w:rsidRPr="003512B8">
        <w:rPr>
          <w:rFonts w:ascii="Calibri" w:hAnsi="Calibri"/>
          <w:b/>
          <w:noProof/>
          <w:sz w:val="16"/>
          <w:szCs w:val="16"/>
        </w:rPr>
        <w:t>3.</w:t>
      </w:r>
      <w:r w:rsidRPr="003512B8">
        <w:rPr>
          <w:rFonts w:ascii="Calibri" w:hAnsi="Calibri"/>
          <w:b/>
          <w:noProof/>
          <w:sz w:val="16"/>
          <w:szCs w:val="16"/>
        </w:rPr>
        <w:tab/>
        <w:t>Sun S, Li W, Zhang H, Zha L, Xue Y, Wu X, et al. Requirement for store-operated calcium entry in sodium butyrate-induced apoptosis in human colon cancer cells. Biosci Rep. 2012;32(1):83-90.</w:t>
      </w:r>
      <w:bookmarkEnd w:id="141"/>
    </w:p>
    <w:p w:rsidR="00AB7E17" w:rsidRPr="003512B8" w:rsidRDefault="00AB7E17" w:rsidP="00AB7E17">
      <w:pPr>
        <w:spacing w:after="0" w:line="240" w:lineRule="auto"/>
        <w:jc w:val="both"/>
        <w:rPr>
          <w:rFonts w:ascii="Calibri" w:hAnsi="Calibri"/>
          <w:b/>
          <w:noProof/>
          <w:sz w:val="16"/>
          <w:szCs w:val="16"/>
        </w:rPr>
      </w:pPr>
      <w:bookmarkStart w:id="142" w:name="_ENREF_4"/>
      <w:r w:rsidRPr="003512B8">
        <w:rPr>
          <w:rFonts w:ascii="Calibri" w:hAnsi="Calibri"/>
          <w:b/>
          <w:noProof/>
          <w:sz w:val="16"/>
          <w:szCs w:val="16"/>
        </w:rPr>
        <w:t>4.</w:t>
      </w:r>
      <w:r w:rsidRPr="003512B8">
        <w:rPr>
          <w:rFonts w:ascii="Calibri" w:hAnsi="Calibri"/>
          <w:b/>
          <w:noProof/>
          <w:sz w:val="16"/>
          <w:szCs w:val="16"/>
        </w:rPr>
        <w:tab/>
        <w:t>Donohoe D, Collins L, Wali A, Bigler R, Sun W, Bultman S. The Warburg effect dictates the mechanism of butyrate-mediated histone acetylation and cell proliferation. J Lipid Res. 2012;53(9):1864-76.</w:t>
      </w:r>
      <w:bookmarkEnd w:id="142"/>
    </w:p>
    <w:p w:rsidR="00AB7E17" w:rsidRPr="003512B8" w:rsidRDefault="00AB7E17" w:rsidP="00AB7E17">
      <w:pPr>
        <w:spacing w:after="0" w:line="240" w:lineRule="auto"/>
        <w:jc w:val="both"/>
        <w:rPr>
          <w:rFonts w:ascii="Calibri" w:hAnsi="Calibri"/>
          <w:b/>
          <w:noProof/>
          <w:sz w:val="16"/>
          <w:szCs w:val="16"/>
        </w:rPr>
      </w:pPr>
      <w:bookmarkStart w:id="143" w:name="_ENREF_5"/>
      <w:r w:rsidRPr="003512B8">
        <w:rPr>
          <w:rFonts w:ascii="Calibri" w:hAnsi="Calibri"/>
          <w:b/>
          <w:noProof/>
          <w:sz w:val="16"/>
          <w:szCs w:val="16"/>
        </w:rPr>
        <w:t>5.</w:t>
      </w:r>
      <w:r w:rsidRPr="003512B8">
        <w:rPr>
          <w:rFonts w:ascii="Calibri" w:hAnsi="Calibri"/>
          <w:b/>
          <w:noProof/>
          <w:sz w:val="16"/>
          <w:szCs w:val="16"/>
        </w:rPr>
        <w:tab/>
        <w:t>Burgess D. Metabolism: Warburg behind the butyrate paradox? Nat Rev Cancer. 2012;12(12):798.</w:t>
      </w:r>
      <w:bookmarkEnd w:id="143"/>
    </w:p>
    <w:p w:rsidR="00AB7E17" w:rsidRPr="003512B8" w:rsidRDefault="00AB7E17" w:rsidP="00AB7E17">
      <w:pPr>
        <w:spacing w:after="0" w:line="240" w:lineRule="auto"/>
        <w:jc w:val="both"/>
        <w:rPr>
          <w:rFonts w:ascii="Calibri" w:hAnsi="Calibri"/>
          <w:b/>
          <w:noProof/>
          <w:sz w:val="16"/>
          <w:szCs w:val="16"/>
        </w:rPr>
      </w:pPr>
      <w:bookmarkStart w:id="144" w:name="_ENREF_6"/>
      <w:r w:rsidRPr="003512B8">
        <w:rPr>
          <w:rFonts w:ascii="Calibri" w:hAnsi="Calibri"/>
          <w:b/>
          <w:noProof/>
          <w:sz w:val="16"/>
          <w:szCs w:val="16"/>
        </w:rPr>
        <w:t>6.</w:t>
      </w:r>
      <w:r w:rsidRPr="003512B8">
        <w:rPr>
          <w:rFonts w:ascii="Calibri" w:hAnsi="Calibri"/>
          <w:b/>
          <w:noProof/>
          <w:sz w:val="16"/>
          <w:szCs w:val="16"/>
        </w:rPr>
        <w:tab/>
        <w:t>Thangaraju M, Gopal E, Martin P, Ananth S, Smith S, Prasad P, et al. SLC5A8 Triggers Tumor Cell Apoptosis through Pyruvate-Dependent Inhibition of Histone Deacetylases. Cancer Res. 2006;66(24):11560-4.</w:t>
      </w:r>
      <w:bookmarkEnd w:id="144"/>
    </w:p>
    <w:p w:rsidR="00AB7E17" w:rsidRPr="003512B8" w:rsidRDefault="00AB7E17" w:rsidP="00AB7E17">
      <w:pPr>
        <w:spacing w:after="0" w:line="240" w:lineRule="auto"/>
        <w:jc w:val="both"/>
        <w:rPr>
          <w:rFonts w:ascii="Calibri" w:hAnsi="Calibri"/>
          <w:b/>
          <w:noProof/>
          <w:sz w:val="16"/>
          <w:szCs w:val="16"/>
        </w:rPr>
      </w:pPr>
      <w:bookmarkStart w:id="145" w:name="_ENREF_7"/>
      <w:r w:rsidRPr="003512B8">
        <w:rPr>
          <w:rFonts w:ascii="Calibri" w:hAnsi="Calibri"/>
          <w:b/>
          <w:noProof/>
          <w:sz w:val="16"/>
          <w:szCs w:val="16"/>
        </w:rPr>
        <w:t>7.</w:t>
      </w:r>
      <w:r w:rsidRPr="003512B8">
        <w:rPr>
          <w:rFonts w:ascii="Calibri" w:hAnsi="Calibri"/>
          <w:b/>
          <w:noProof/>
          <w:sz w:val="16"/>
          <w:szCs w:val="16"/>
        </w:rPr>
        <w:tab/>
        <w:t>Matthews G, Howarth G, Butler R. Short-chain fatty acids induce apoptosis in colon cancer cells associated with changes to intracellular redox state and glucose metabolism. Chemotherapy. 2012;58(2):102-9.</w:t>
      </w:r>
      <w:bookmarkEnd w:id="145"/>
    </w:p>
    <w:p w:rsidR="00AB7E17" w:rsidRPr="003512B8" w:rsidRDefault="00AB7E17" w:rsidP="00AB7E17">
      <w:pPr>
        <w:spacing w:after="0" w:line="240" w:lineRule="auto"/>
        <w:jc w:val="both"/>
        <w:rPr>
          <w:rFonts w:ascii="Calibri" w:hAnsi="Calibri"/>
          <w:b/>
          <w:noProof/>
          <w:sz w:val="16"/>
          <w:szCs w:val="16"/>
        </w:rPr>
      </w:pPr>
      <w:bookmarkStart w:id="146" w:name="_ENREF_8"/>
      <w:r w:rsidRPr="003512B8">
        <w:rPr>
          <w:rFonts w:ascii="Calibri" w:hAnsi="Calibri"/>
          <w:b/>
          <w:noProof/>
          <w:sz w:val="16"/>
          <w:szCs w:val="16"/>
        </w:rPr>
        <w:t>8.</w:t>
      </w:r>
      <w:r w:rsidRPr="003512B8">
        <w:rPr>
          <w:rFonts w:ascii="Calibri" w:hAnsi="Calibri"/>
          <w:b/>
          <w:noProof/>
          <w:sz w:val="16"/>
          <w:szCs w:val="16"/>
        </w:rPr>
        <w:tab/>
        <w:t>Kim G, Gocevski G, Wu C, Yang X. Dietary, metabolic, and potentially  environmental modulation of the lysine acetylation machinery. Int J Cell Biol. 2010;2010:632739 doi: 10.1155/2010/632739.</w:t>
      </w:r>
      <w:bookmarkEnd w:id="146"/>
    </w:p>
    <w:p w:rsidR="00AB7E17" w:rsidRPr="003512B8" w:rsidRDefault="00AB7E17" w:rsidP="00AB7E17">
      <w:pPr>
        <w:spacing w:after="0" w:line="240" w:lineRule="auto"/>
        <w:jc w:val="both"/>
        <w:rPr>
          <w:rFonts w:ascii="Calibri" w:hAnsi="Calibri"/>
          <w:b/>
          <w:noProof/>
          <w:sz w:val="16"/>
          <w:szCs w:val="16"/>
        </w:rPr>
      </w:pPr>
      <w:bookmarkStart w:id="147" w:name="_ENREF_9"/>
      <w:r w:rsidRPr="003512B8">
        <w:rPr>
          <w:rFonts w:ascii="Calibri" w:hAnsi="Calibri"/>
          <w:b/>
          <w:noProof/>
          <w:sz w:val="16"/>
          <w:szCs w:val="16"/>
        </w:rPr>
        <w:t>9.</w:t>
      </w:r>
      <w:r w:rsidRPr="003512B8">
        <w:rPr>
          <w:rFonts w:ascii="Calibri" w:hAnsi="Calibri"/>
          <w:b/>
          <w:noProof/>
          <w:sz w:val="16"/>
          <w:szCs w:val="16"/>
        </w:rPr>
        <w:tab/>
        <w:t>Grillon J, Johnson K, Kotlo K, Danziger R. Non-histone lysine acetylated proteins in heart failure. Biochimica et Biophysica Acta. 2012;1822(4):607–14.</w:t>
      </w:r>
      <w:bookmarkEnd w:id="147"/>
    </w:p>
    <w:p w:rsidR="00AB7E17" w:rsidRPr="003512B8" w:rsidRDefault="00AB7E17" w:rsidP="00AB7E17">
      <w:pPr>
        <w:spacing w:after="0" w:line="240" w:lineRule="auto"/>
        <w:jc w:val="both"/>
        <w:rPr>
          <w:rFonts w:ascii="Calibri" w:hAnsi="Calibri"/>
          <w:b/>
          <w:noProof/>
          <w:sz w:val="16"/>
          <w:szCs w:val="16"/>
        </w:rPr>
      </w:pPr>
      <w:bookmarkStart w:id="148" w:name="_ENREF_10"/>
      <w:r w:rsidRPr="003512B8">
        <w:rPr>
          <w:rFonts w:ascii="Calibri" w:hAnsi="Calibri"/>
          <w:b/>
          <w:noProof/>
          <w:sz w:val="16"/>
          <w:szCs w:val="16"/>
        </w:rPr>
        <w:t>10.</w:t>
      </w:r>
      <w:r w:rsidRPr="003512B8">
        <w:rPr>
          <w:rFonts w:ascii="Calibri" w:hAnsi="Calibri"/>
          <w:b/>
          <w:noProof/>
          <w:sz w:val="16"/>
          <w:szCs w:val="16"/>
        </w:rPr>
        <w:tab/>
        <w:t>Corfe B, Williams E, Bury J, Riley S, Croucher L, Lai D, et al. A study protocol to investigate the relationship between dietary fibre intake and fermentation, colon cell turnover, global protein acetylation and early carcinogenesis: the FACT study. BMC Cancer. 2009;9(332):doi: 10.1186/471-2407-9-332.</w:t>
      </w:r>
      <w:bookmarkEnd w:id="148"/>
    </w:p>
    <w:p w:rsidR="00AB7E17" w:rsidRPr="003512B8" w:rsidRDefault="00AB7E17" w:rsidP="00AB7E17">
      <w:pPr>
        <w:spacing w:after="0" w:line="240" w:lineRule="auto"/>
        <w:jc w:val="both"/>
        <w:rPr>
          <w:rFonts w:ascii="Calibri" w:hAnsi="Calibri"/>
          <w:b/>
          <w:noProof/>
          <w:sz w:val="16"/>
          <w:szCs w:val="16"/>
        </w:rPr>
      </w:pPr>
      <w:bookmarkStart w:id="149" w:name="_ENREF_11"/>
      <w:r w:rsidRPr="003512B8">
        <w:rPr>
          <w:rFonts w:ascii="Calibri" w:hAnsi="Calibri"/>
          <w:b/>
          <w:noProof/>
          <w:sz w:val="16"/>
          <w:szCs w:val="16"/>
        </w:rPr>
        <w:t>11.</w:t>
      </w:r>
      <w:r w:rsidRPr="003512B8">
        <w:rPr>
          <w:rFonts w:ascii="Calibri" w:hAnsi="Calibri"/>
          <w:b/>
          <w:noProof/>
          <w:sz w:val="16"/>
          <w:szCs w:val="16"/>
        </w:rPr>
        <w:tab/>
        <w:t>Zhao S, Xu W, Jiang W, Yu W, Lin Y, Zhang T, et al. Regulation of cellular metabolism by protein lysine acetylation. Science. 2010;327(5968):1000-4.</w:t>
      </w:r>
      <w:bookmarkEnd w:id="149"/>
    </w:p>
    <w:p w:rsidR="00AB7E17" w:rsidRPr="003512B8" w:rsidRDefault="00AB7E17" w:rsidP="00AB7E17">
      <w:pPr>
        <w:spacing w:after="0" w:line="240" w:lineRule="auto"/>
        <w:jc w:val="both"/>
        <w:rPr>
          <w:rFonts w:ascii="Calibri" w:hAnsi="Calibri"/>
          <w:b/>
          <w:noProof/>
          <w:sz w:val="16"/>
          <w:szCs w:val="16"/>
        </w:rPr>
      </w:pPr>
      <w:bookmarkStart w:id="150" w:name="_ENREF_12"/>
      <w:r w:rsidRPr="003512B8">
        <w:rPr>
          <w:rFonts w:ascii="Calibri" w:hAnsi="Calibri"/>
          <w:b/>
          <w:noProof/>
          <w:sz w:val="16"/>
          <w:szCs w:val="16"/>
        </w:rPr>
        <w:t>12.</w:t>
      </w:r>
      <w:r w:rsidRPr="003512B8">
        <w:rPr>
          <w:rFonts w:ascii="Calibri" w:hAnsi="Calibri"/>
          <w:b/>
          <w:noProof/>
          <w:sz w:val="16"/>
          <w:szCs w:val="16"/>
        </w:rPr>
        <w:tab/>
        <w:t>Lundby A, Lage K, Weinert B, Bekker-Jensen D, Secher A, Skovgaard T, et al. Proteomic analysis of lysine acetylation sites in rat tissues reveals organ specificity and subcellular patterns. Cell Rep. 2012;2(2):419-31.</w:t>
      </w:r>
      <w:bookmarkEnd w:id="150"/>
    </w:p>
    <w:p w:rsidR="00AB7E17" w:rsidRPr="003512B8" w:rsidRDefault="00AB7E17" w:rsidP="00AB7E17">
      <w:pPr>
        <w:spacing w:after="0" w:line="240" w:lineRule="auto"/>
        <w:jc w:val="both"/>
        <w:rPr>
          <w:rFonts w:ascii="Calibri" w:hAnsi="Calibri"/>
          <w:b/>
          <w:noProof/>
          <w:sz w:val="16"/>
          <w:szCs w:val="16"/>
        </w:rPr>
      </w:pPr>
      <w:bookmarkStart w:id="151" w:name="_ENREF_13"/>
      <w:r w:rsidRPr="003512B8">
        <w:rPr>
          <w:rFonts w:ascii="Calibri" w:hAnsi="Calibri"/>
          <w:b/>
          <w:noProof/>
          <w:sz w:val="16"/>
          <w:szCs w:val="16"/>
        </w:rPr>
        <w:t>13.</w:t>
      </w:r>
      <w:r w:rsidRPr="003512B8">
        <w:rPr>
          <w:rFonts w:ascii="Calibri" w:hAnsi="Calibri"/>
          <w:b/>
          <w:noProof/>
          <w:sz w:val="16"/>
          <w:szCs w:val="16"/>
        </w:rPr>
        <w:tab/>
        <w:t>Salyers A. Energy sources of major fermentative anaerobes. Am J Clin Nutr. 1979;32(1):158-63.</w:t>
      </w:r>
      <w:bookmarkEnd w:id="151"/>
    </w:p>
    <w:p w:rsidR="00AB7E17" w:rsidRPr="003512B8" w:rsidRDefault="00AB7E17" w:rsidP="00AB7E17">
      <w:pPr>
        <w:spacing w:after="0" w:line="240" w:lineRule="auto"/>
        <w:jc w:val="both"/>
        <w:rPr>
          <w:rFonts w:ascii="Calibri" w:hAnsi="Calibri"/>
          <w:b/>
          <w:noProof/>
          <w:sz w:val="16"/>
          <w:szCs w:val="16"/>
        </w:rPr>
      </w:pPr>
      <w:bookmarkStart w:id="152" w:name="_ENREF_14"/>
      <w:r w:rsidRPr="003512B8">
        <w:rPr>
          <w:rFonts w:ascii="Calibri" w:hAnsi="Calibri"/>
          <w:b/>
          <w:noProof/>
          <w:sz w:val="16"/>
          <w:szCs w:val="16"/>
        </w:rPr>
        <w:t>14.</w:t>
      </w:r>
      <w:r w:rsidRPr="003512B8">
        <w:rPr>
          <w:rFonts w:ascii="Calibri" w:hAnsi="Calibri"/>
          <w:b/>
          <w:noProof/>
          <w:sz w:val="16"/>
          <w:szCs w:val="16"/>
        </w:rPr>
        <w:tab/>
        <w:t>Salyers A, Vercellotti J, West S, Wilkins T. Fermentation of mucin and plant polysaccharides bv strains of Bacteroides from the human colon. Appl Environ Microbiol 1977;33(2):319-22.</w:t>
      </w:r>
      <w:bookmarkEnd w:id="152"/>
    </w:p>
    <w:p w:rsidR="00AB7E17" w:rsidRPr="003512B8" w:rsidRDefault="00AB7E17" w:rsidP="00AB7E17">
      <w:pPr>
        <w:spacing w:after="0" w:line="240" w:lineRule="auto"/>
        <w:jc w:val="both"/>
        <w:rPr>
          <w:rFonts w:ascii="Calibri" w:hAnsi="Calibri"/>
          <w:b/>
          <w:noProof/>
          <w:sz w:val="16"/>
          <w:szCs w:val="16"/>
        </w:rPr>
      </w:pPr>
      <w:bookmarkStart w:id="153" w:name="_ENREF_15"/>
      <w:r w:rsidRPr="003512B8">
        <w:rPr>
          <w:rFonts w:ascii="Calibri" w:hAnsi="Calibri"/>
          <w:b/>
          <w:noProof/>
          <w:sz w:val="16"/>
          <w:szCs w:val="16"/>
        </w:rPr>
        <w:t>15.</w:t>
      </w:r>
      <w:r w:rsidRPr="003512B8">
        <w:rPr>
          <w:rFonts w:ascii="Calibri" w:hAnsi="Calibri"/>
          <w:b/>
          <w:noProof/>
          <w:sz w:val="16"/>
          <w:szCs w:val="16"/>
        </w:rPr>
        <w:tab/>
        <w:t>McNeil N, Cummings J, James W. Short chain fatty acid absorption by the human large intestine. Gut. 1978;19(9):819-22.</w:t>
      </w:r>
      <w:bookmarkEnd w:id="153"/>
    </w:p>
    <w:p w:rsidR="00AB7E17" w:rsidRPr="003512B8" w:rsidRDefault="00AB7E17" w:rsidP="00AB7E17">
      <w:pPr>
        <w:spacing w:after="0" w:line="240" w:lineRule="auto"/>
        <w:jc w:val="both"/>
        <w:rPr>
          <w:rFonts w:ascii="Calibri" w:hAnsi="Calibri"/>
          <w:b/>
          <w:noProof/>
          <w:sz w:val="16"/>
          <w:szCs w:val="16"/>
        </w:rPr>
      </w:pPr>
      <w:bookmarkStart w:id="154" w:name="_ENREF_16"/>
      <w:r w:rsidRPr="003512B8">
        <w:rPr>
          <w:rFonts w:ascii="Calibri" w:hAnsi="Calibri"/>
          <w:b/>
          <w:noProof/>
          <w:sz w:val="16"/>
          <w:szCs w:val="16"/>
        </w:rPr>
        <w:t>16.</w:t>
      </w:r>
      <w:r w:rsidRPr="003512B8">
        <w:rPr>
          <w:rFonts w:ascii="Calibri" w:hAnsi="Calibri"/>
          <w:b/>
          <w:noProof/>
          <w:sz w:val="16"/>
          <w:szCs w:val="16"/>
        </w:rPr>
        <w:tab/>
        <w:t>Cummings J, Hill M, Jenkins D, Pearson J, Wiggins H. Changes in fecal composition and colonic function due to cereal fiber. Am J Clin Nutr. 1976;29(12):1468-73.</w:t>
      </w:r>
      <w:bookmarkEnd w:id="154"/>
    </w:p>
    <w:p w:rsidR="00AB7E17" w:rsidRPr="003512B8" w:rsidRDefault="00AB7E17" w:rsidP="00AB7E17">
      <w:pPr>
        <w:spacing w:after="0" w:line="240" w:lineRule="auto"/>
        <w:jc w:val="both"/>
        <w:rPr>
          <w:rFonts w:ascii="Calibri" w:hAnsi="Calibri"/>
          <w:b/>
          <w:noProof/>
          <w:sz w:val="16"/>
          <w:szCs w:val="16"/>
        </w:rPr>
      </w:pPr>
      <w:bookmarkStart w:id="155" w:name="_ENREF_17"/>
      <w:r w:rsidRPr="003512B8">
        <w:rPr>
          <w:rFonts w:ascii="Calibri" w:hAnsi="Calibri"/>
          <w:b/>
          <w:noProof/>
          <w:sz w:val="16"/>
          <w:szCs w:val="16"/>
        </w:rPr>
        <w:t>17.</w:t>
      </w:r>
      <w:r w:rsidRPr="003512B8">
        <w:rPr>
          <w:rFonts w:ascii="Calibri" w:hAnsi="Calibri"/>
          <w:b/>
          <w:noProof/>
          <w:sz w:val="16"/>
          <w:szCs w:val="16"/>
        </w:rPr>
        <w:tab/>
        <w:t>Thornton J. High colonic pH promotes colorectal cancer. Lancet. 1981;1(8229):1081-3.</w:t>
      </w:r>
      <w:bookmarkEnd w:id="155"/>
    </w:p>
    <w:p w:rsidR="00AB7E17" w:rsidRPr="003512B8" w:rsidRDefault="00AB7E17" w:rsidP="00AB7E17">
      <w:pPr>
        <w:spacing w:after="0" w:line="240" w:lineRule="auto"/>
        <w:jc w:val="both"/>
        <w:rPr>
          <w:rFonts w:ascii="Calibri" w:hAnsi="Calibri"/>
          <w:b/>
          <w:noProof/>
          <w:sz w:val="16"/>
          <w:szCs w:val="16"/>
        </w:rPr>
      </w:pPr>
      <w:bookmarkStart w:id="156" w:name="_ENREF_18"/>
      <w:r w:rsidRPr="003512B8">
        <w:rPr>
          <w:rFonts w:ascii="Calibri" w:hAnsi="Calibri"/>
          <w:b/>
          <w:noProof/>
          <w:sz w:val="16"/>
          <w:szCs w:val="16"/>
        </w:rPr>
        <w:t>18.</w:t>
      </w:r>
      <w:r w:rsidRPr="003512B8">
        <w:rPr>
          <w:rFonts w:ascii="Calibri" w:hAnsi="Calibri"/>
          <w:b/>
          <w:noProof/>
          <w:sz w:val="16"/>
          <w:szCs w:val="16"/>
        </w:rPr>
        <w:tab/>
        <w:t>Isfort R, Cody D, Asqtlilh T, Ridder G, Stuard S, LeBoeuf R. Induction of protein phosphorylation, protein synthesis, immediate early gene expression and cellular proliferation by intercellular pH modification. Implications of hydrogen ions in signal transduction. Eur J Biochem. 1993;213(1):349-57.</w:t>
      </w:r>
      <w:bookmarkEnd w:id="156"/>
    </w:p>
    <w:p w:rsidR="00AB7E17" w:rsidRPr="003512B8" w:rsidRDefault="00AB7E17" w:rsidP="00AB7E17">
      <w:pPr>
        <w:spacing w:after="0" w:line="240" w:lineRule="auto"/>
        <w:jc w:val="both"/>
        <w:rPr>
          <w:rFonts w:ascii="Calibri" w:hAnsi="Calibri"/>
          <w:b/>
          <w:noProof/>
          <w:sz w:val="16"/>
          <w:szCs w:val="16"/>
        </w:rPr>
      </w:pPr>
      <w:bookmarkStart w:id="157" w:name="_ENREF_19"/>
      <w:r w:rsidRPr="003512B8">
        <w:rPr>
          <w:rFonts w:ascii="Calibri" w:hAnsi="Calibri"/>
          <w:b/>
          <w:noProof/>
          <w:sz w:val="16"/>
          <w:szCs w:val="16"/>
        </w:rPr>
        <w:t>19.</w:t>
      </w:r>
      <w:r w:rsidRPr="003512B8">
        <w:rPr>
          <w:rFonts w:ascii="Calibri" w:hAnsi="Calibri"/>
          <w:b/>
          <w:noProof/>
          <w:sz w:val="16"/>
          <w:szCs w:val="16"/>
        </w:rPr>
        <w:tab/>
        <w:t>Hinnebusch B, Meng S, Wu J, Archer S, Hodin R. The effects of short-chain fatty acids on human colon cancer cell phenotype are associated with histone hyperacetylation. J Nutr. 2002;132:1012-17.</w:t>
      </w:r>
      <w:bookmarkEnd w:id="157"/>
    </w:p>
    <w:p w:rsidR="00AB7E17" w:rsidRPr="003512B8" w:rsidRDefault="00AB7E17" w:rsidP="00AB7E17">
      <w:pPr>
        <w:spacing w:after="0" w:line="240" w:lineRule="auto"/>
        <w:jc w:val="both"/>
        <w:rPr>
          <w:rFonts w:ascii="Calibri" w:hAnsi="Calibri"/>
          <w:b/>
          <w:noProof/>
          <w:sz w:val="16"/>
          <w:szCs w:val="16"/>
        </w:rPr>
      </w:pPr>
      <w:bookmarkStart w:id="158" w:name="_ENREF_20"/>
      <w:r w:rsidRPr="003512B8">
        <w:rPr>
          <w:rFonts w:ascii="Calibri" w:hAnsi="Calibri"/>
          <w:b/>
          <w:noProof/>
          <w:sz w:val="16"/>
          <w:szCs w:val="16"/>
        </w:rPr>
        <w:t>20.</w:t>
      </w:r>
      <w:r w:rsidRPr="003512B8">
        <w:rPr>
          <w:rFonts w:ascii="Calibri" w:hAnsi="Calibri"/>
          <w:b/>
          <w:noProof/>
          <w:sz w:val="16"/>
          <w:szCs w:val="16"/>
        </w:rPr>
        <w:tab/>
        <w:t>Waldecker M, Kautenburger T, Daumann H, Busch C, Schrenk D. Inhibition of histone-deacetylase activity by short-chain fatty acids and some polyphenol metabolites formed in the colon. Journal of Nutritional Biochemistry. 2008;19:587-93.</w:t>
      </w:r>
      <w:bookmarkEnd w:id="158"/>
    </w:p>
    <w:p w:rsidR="00AB7E17" w:rsidRPr="003512B8" w:rsidRDefault="00AB7E17" w:rsidP="00AB7E17">
      <w:pPr>
        <w:spacing w:after="0" w:line="240" w:lineRule="auto"/>
        <w:jc w:val="both"/>
        <w:rPr>
          <w:rFonts w:ascii="Calibri" w:hAnsi="Calibri"/>
          <w:b/>
          <w:noProof/>
          <w:sz w:val="16"/>
          <w:szCs w:val="16"/>
        </w:rPr>
      </w:pPr>
      <w:bookmarkStart w:id="159" w:name="_ENREF_21"/>
      <w:r w:rsidRPr="003512B8">
        <w:rPr>
          <w:rFonts w:ascii="Calibri" w:hAnsi="Calibri"/>
          <w:b/>
          <w:noProof/>
          <w:sz w:val="16"/>
          <w:szCs w:val="16"/>
        </w:rPr>
        <w:t>21.</w:t>
      </w:r>
      <w:r w:rsidRPr="003512B8">
        <w:rPr>
          <w:rFonts w:ascii="Calibri" w:hAnsi="Calibri"/>
          <w:b/>
          <w:noProof/>
          <w:sz w:val="16"/>
          <w:szCs w:val="16"/>
        </w:rPr>
        <w:tab/>
        <w:t>Vinoloa M, Rodrigues A, E H, Satoa F, Sampaio S, Curia R. Suppressive effect of short-chain fatty acids on production of proinflammatory mediators by neutrophils. Journal of Nutritional Biochemistry. 2011;22:849-55.</w:t>
      </w:r>
      <w:bookmarkEnd w:id="159"/>
    </w:p>
    <w:p w:rsidR="00AB7E17" w:rsidRPr="003512B8" w:rsidRDefault="00AB7E17" w:rsidP="00AB7E17">
      <w:pPr>
        <w:spacing w:after="0" w:line="240" w:lineRule="auto"/>
        <w:jc w:val="both"/>
        <w:rPr>
          <w:rFonts w:ascii="Calibri" w:hAnsi="Calibri"/>
          <w:b/>
          <w:noProof/>
          <w:sz w:val="16"/>
          <w:szCs w:val="16"/>
        </w:rPr>
      </w:pPr>
      <w:bookmarkStart w:id="160" w:name="_ENREF_22"/>
      <w:r w:rsidRPr="003512B8">
        <w:rPr>
          <w:rFonts w:ascii="Calibri" w:hAnsi="Calibri"/>
          <w:b/>
          <w:noProof/>
          <w:sz w:val="16"/>
          <w:szCs w:val="16"/>
        </w:rPr>
        <w:t>22.</w:t>
      </w:r>
      <w:r w:rsidRPr="003512B8">
        <w:rPr>
          <w:rFonts w:ascii="Calibri" w:hAnsi="Calibri"/>
          <w:b/>
          <w:noProof/>
          <w:sz w:val="16"/>
          <w:szCs w:val="16"/>
        </w:rPr>
        <w:tab/>
        <w:t>Davie J. Inhibition of histone deacetylase activity by butyrate. J Nutr. 2003;133(7 Suppl):2485S-93S.</w:t>
      </w:r>
      <w:bookmarkEnd w:id="160"/>
    </w:p>
    <w:p w:rsidR="00AB7E17" w:rsidRPr="003512B8" w:rsidRDefault="00AB7E17" w:rsidP="00AB7E17">
      <w:pPr>
        <w:spacing w:after="0" w:line="240" w:lineRule="auto"/>
        <w:jc w:val="both"/>
        <w:rPr>
          <w:rFonts w:ascii="Calibri" w:hAnsi="Calibri"/>
          <w:b/>
          <w:noProof/>
          <w:sz w:val="16"/>
          <w:szCs w:val="16"/>
        </w:rPr>
      </w:pPr>
      <w:bookmarkStart w:id="161" w:name="_ENREF_23"/>
      <w:r w:rsidRPr="003512B8">
        <w:rPr>
          <w:rFonts w:ascii="Calibri" w:hAnsi="Calibri"/>
          <w:b/>
          <w:noProof/>
          <w:sz w:val="16"/>
          <w:szCs w:val="16"/>
        </w:rPr>
        <w:t>23.</w:t>
      </w:r>
      <w:r w:rsidRPr="003512B8">
        <w:rPr>
          <w:rFonts w:ascii="Calibri" w:hAnsi="Calibri"/>
          <w:b/>
          <w:noProof/>
          <w:sz w:val="16"/>
          <w:szCs w:val="16"/>
        </w:rPr>
        <w:tab/>
        <w:t>Toscani A, Soprano D, Soprano K. Molecular analysis of sodium butyrate-induced growth arrest. Oncogene Res. 1988;3(3):223-38.</w:t>
      </w:r>
      <w:bookmarkEnd w:id="161"/>
    </w:p>
    <w:p w:rsidR="00AB7E17" w:rsidRPr="003512B8" w:rsidRDefault="00AB7E17" w:rsidP="00AB7E17">
      <w:pPr>
        <w:spacing w:after="0" w:line="240" w:lineRule="auto"/>
        <w:jc w:val="both"/>
        <w:rPr>
          <w:rFonts w:ascii="Calibri" w:hAnsi="Calibri"/>
          <w:b/>
          <w:noProof/>
          <w:sz w:val="16"/>
          <w:szCs w:val="16"/>
        </w:rPr>
      </w:pPr>
      <w:bookmarkStart w:id="162" w:name="_ENREF_24"/>
      <w:r w:rsidRPr="003512B8">
        <w:rPr>
          <w:rFonts w:ascii="Calibri" w:hAnsi="Calibri"/>
          <w:b/>
          <w:noProof/>
          <w:sz w:val="16"/>
          <w:szCs w:val="16"/>
        </w:rPr>
        <w:t>24.</w:t>
      </w:r>
      <w:r w:rsidRPr="003512B8">
        <w:rPr>
          <w:rFonts w:ascii="Calibri" w:hAnsi="Calibri"/>
          <w:b/>
          <w:noProof/>
          <w:sz w:val="16"/>
          <w:szCs w:val="16"/>
        </w:rPr>
        <w:tab/>
        <w:t>Yu D, Waby J, Chirakkal H, Staton C, Corfe B. Butyrate suppresses expression of neuropilin I in colorectal cell lines through inhibition of Sp1 transactivation. Mol Cancer. 2010;9(276):doi: 10.1186/476-4598-9-276.</w:t>
      </w:r>
      <w:bookmarkEnd w:id="162"/>
    </w:p>
    <w:p w:rsidR="00AB7E17" w:rsidRPr="003512B8" w:rsidRDefault="00AB7E17" w:rsidP="00AB7E17">
      <w:pPr>
        <w:spacing w:after="0" w:line="240" w:lineRule="auto"/>
        <w:jc w:val="both"/>
        <w:rPr>
          <w:rFonts w:ascii="Calibri" w:hAnsi="Calibri"/>
          <w:b/>
          <w:noProof/>
          <w:sz w:val="16"/>
          <w:szCs w:val="16"/>
        </w:rPr>
      </w:pPr>
      <w:bookmarkStart w:id="163" w:name="_ENREF_25"/>
      <w:r w:rsidRPr="003512B8">
        <w:rPr>
          <w:rFonts w:ascii="Calibri" w:hAnsi="Calibri"/>
          <w:b/>
          <w:noProof/>
          <w:sz w:val="16"/>
          <w:szCs w:val="16"/>
        </w:rPr>
        <w:t>25.</w:t>
      </w:r>
      <w:r w:rsidRPr="003512B8">
        <w:rPr>
          <w:rFonts w:ascii="Calibri" w:hAnsi="Calibri"/>
          <w:b/>
          <w:noProof/>
          <w:sz w:val="16"/>
          <w:szCs w:val="16"/>
        </w:rPr>
        <w:tab/>
        <w:t>Chirakkal H, Leech S, Brookes K, Prais A, Waby J, Corfe B. Upregulation of Bak by butyrate in the colon is associated with increased Sp3 binding. Oncogene. 2006;25(54):7192-200.</w:t>
      </w:r>
      <w:bookmarkEnd w:id="163"/>
    </w:p>
    <w:p w:rsidR="00AB7E17" w:rsidRPr="003512B8" w:rsidRDefault="00AB7E17" w:rsidP="00AB7E17">
      <w:pPr>
        <w:spacing w:after="0" w:line="240" w:lineRule="auto"/>
        <w:jc w:val="both"/>
        <w:rPr>
          <w:rFonts w:ascii="Calibri" w:hAnsi="Calibri"/>
          <w:b/>
          <w:noProof/>
          <w:sz w:val="16"/>
          <w:szCs w:val="16"/>
        </w:rPr>
      </w:pPr>
      <w:bookmarkStart w:id="164" w:name="_ENREF_26"/>
      <w:r w:rsidRPr="003512B8">
        <w:rPr>
          <w:rFonts w:ascii="Calibri" w:hAnsi="Calibri"/>
          <w:b/>
          <w:noProof/>
          <w:sz w:val="16"/>
          <w:szCs w:val="16"/>
        </w:rPr>
        <w:t>26.</w:t>
      </w:r>
      <w:r w:rsidRPr="003512B8">
        <w:rPr>
          <w:rFonts w:ascii="Calibri" w:hAnsi="Calibri"/>
          <w:b/>
          <w:noProof/>
          <w:sz w:val="16"/>
          <w:szCs w:val="16"/>
        </w:rPr>
        <w:tab/>
        <w:t>Hague A, Manning A, Huschlscha L, Hart D, Paraskeva C. Sodium butyrate induces apoptosis in human colonic tumour cell lines in a p53-independent pathway: implications for the possible role of dietary fibre in the prevention of large bowel cancer. Int J Cancer. 1993;55(3):498-505.</w:t>
      </w:r>
      <w:bookmarkEnd w:id="164"/>
    </w:p>
    <w:p w:rsidR="00AB7E17" w:rsidRPr="003512B8" w:rsidRDefault="00AB7E17" w:rsidP="00AB7E17">
      <w:pPr>
        <w:spacing w:after="0" w:line="240" w:lineRule="auto"/>
        <w:jc w:val="both"/>
        <w:rPr>
          <w:rFonts w:ascii="Calibri" w:hAnsi="Calibri"/>
          <w:b/>
          <w:noProof/>
          <w:sz w:val="16"/>
          <w:szCs w:val="16"/>
        </w:rPr>
      </w:pPr>
      <w:bookmarkStart w:id="165" w:name="_ENREF_27"/>
      <w:r w:rsidRPr="003512B8">
        <w:rPr>
          <w:rFonts w:ascii="Calibri" w:hAnsi="Calibri"/>
          <w:b/>
          <w:noProof/>
          <w:sz w:val="16"/>
          <w:szCs w:val="16"/>
        </w:rPr>
        <w:t>27.</w:t>
      </w:r>
      <w:r w:rsidRPr="003512B8">
        <w:rPr>
          <w:rFonts w:ascii="Calibri" w:hAnsi="Calibri"/>
          <w:b/>
          <w:noProof/>
          <w:sz w:val="16"/>
          <w:szCs w:val="16"/>
        </w:rPr>
        <w:tab/>
        <w:t>Velázquez O, Lederer H, Rombeau J. Butyrate and the colonocyte - Implications for neoplasia. Dig Dis Sci. 1996;41(4):727-39.</w:t>
      </w:r>
      <w:bookmarkEnd w:id="165"/>
    </w:p>
    <w:p w:rsidR="00AB7E17" w:rsidRPr="003512B8" w:rsidRDefault="00AB7E17" w:rsidP="00AB7E17">
      <w:pPr>
        <w:spacing w:after="0" w:line="240" w:lineRule="auto"/>
        <w:jc w:val="both"/>
        <w:rPr>
          <w:rFonts w:ascii="Calibri" w:hAnsi="Calibri"/>
          <w:b/>
          <w:noProof/>
          <w:sz w:val="16"/>
          <w:szCs w:val="16"/>
        </w:rPr>
      </w:pPr>
      <w:bookmarkStart w:id="166" w:name="_ENREF_28"/>
      <w:r w:rsidRPr="003512B8">
        <w:rPr>
          <w:rFonts w:ascii="Calibri" w:hAnsi="Calibri"/>
          <w:b/>
          <w:noProof/>
          <w:sz w:val="16"/>
          <w:szCs w:val="16"/>
        </w:rPr>
        <w:t>28.</w:t>
      </w:r>
      <w:r w:rsidRPr="003512B8">
        <w:rPr>
          <w:rFonts w:ascii="Calibri" w:hAnsi="Calibri"/>
          <w:b/>
          <w:noProof/>
          <w:sz w:val="16"/>
          <w:szCs w:val="16"/>
        </w:rPr>
        <w:tab/>
        <w:t>Heerdt B, Houston M, Augenlicht L. Potentiation by specific short chain fatty acids of differentiation and apoptosis in human colonic carcinoma cell lines. Cancer Res. 1994;54(12):3288–94.</w:t>
      </w:r>
      <w:bookmarkEnd w:id="166"/>
    </w:p>
    <w:p w:rsidR="00AB7E17" w:rsidRPr="003512B8" w:rsidRDefault="00AB7E17" w:rsidP="00AB7E17">
      <w:pPr>
        <w:spacing w:after="0" w:line="240" w:lineRule="auto"/>
        <w:jc w:val="both"/>
        <w:rPr>
          <w:rFonts w:ascii="Calibri" w:hAnsi="Calibri"/>
          <w:b/>
          <w:noProof/>
          <w:sz w:val="16"/>
          <w:szCs w:val="16"/>
        </w:rPr>
      </w:pPr>
      <w:bookmarkStart w:id="167" w:name="_ENREF_29"/>
      <w:r w:rsidRPr="003512B8">
        <w:rPr>
          <w:rFonts w:ascii="Calibri" w:hAnsi="Calibri"/>
          <w:b/>
          <w:noProof/>
          <w:sz w:val="16"/>
          <w:szCs w:val="16"/>
        </w:rPr>
        <w:t>29.</w:t>
      </w:r>
      <w:r w:rsidRPr="003512B8">
        <w:rPr>
          <w:rFonts w:ascii="Calibri" w:hAnsi="Calibri"/>
          <w:b/>
          <w:noProof/>
          <w:sz w:val="16"/>
          <w:szCs w:val="16"/>
        </w:rPr>
        <w:tab/>
        <w:t>Le Blay G, Blottiere H, Ferrier L, Le Foll E, Bonnet C, Galmiche J, et al. Short-chain fatty acids induce cytoskeletal and extracellular protein modifications associated with modulation of proliferation in primary culture of rat intestinal smooth muscle cells. Dig Dis Sci. 2000;45(8):1623-30.</w:t>
      </w:r>
      <w:bookmarkEnd w:id="167"/>
    </w:p>
    <w:p w:rsidR="00AB7E17" w:rsidRPr="003512B8" w:rsidRDefault="00AB7E17" w:rsidP="00AB7E17">
      <w:pPr>
        <w:spacing w:after="0" w:line="240" w:lineRule="auto"/>
        <w:jc w:val="both"/>
        <w:rPr>
          <w:rFonts w:ascii="Calibri" w:hAnsi="Calibri"/>
          <w:b/>
          <w:noProof/>
          <w:sz w:val="16"/>
          <w:szCs w:val="16"/>
        </w:rPr>
      </w:pPr>
      <w:bookmarkStart w:id="168" w:name="_ENREF_30"/>
      <w:r w:rsidRPr="003512B8">
        <w:rPr>
          <w:rFonts w:ascii="Calibri" w:hAnsi="Calibri"/>
          <w:b/>
          <w:noProof/>
          <w:sz w:val="16"/>
          <w:szCs w:val="16"/>
        </w:rPr>
        <w:t>30.</w:t>
      </w:r>
      <w:r w:rsidRPr="003512B8">
        <w:rPr>
          <w:rFonts w:ascii="Calibri" w:hAnsi="Calibri"/>
          <w:b/>
          <w:noProof/>
          <w:sz w:val="16"/>
          <w:szCs w:val="16"/>
        </w:rPr>
        <w:tab/>
        <w:t>Csordas A. Butyrate, aspirin and colorectal cancer. Eur J Cancer Prev. 1996;5(4):221-31.</w:t>
      </w:r>
      <w:bookmarkEnd w:id="168"/>
    </w:p>
    <w:p w:rsidR="00AB7E17" w:rsidRPr="003512B8" w:rsidRDefault="00AB7E17" w:rsidP="00AB7E17">
      <w:pPr>
        <w:spacing w:after="0" w:line="240" w:lineRule="auto"/>
        <w:jc w:val="both"/>
        <w:rPr>
          <w:rFonts w:ascii="Calibri" w:hAnsi="Calibri"/>
          <w:b/>
          <w:noProof/>
          <w:sz w:val="16"/>
          <w:szCs w:val="16"/>
        </w:rPr>
      </w:pPr>
      <w:bookmarkStart w:id="169" w:name="_ENREF_31"/>
      <w:r w:rsidRPr="003512B8">
        <w:rPr>
          <w:rFonts w:ascii="Calibri" w:hAnsi="Calibri"/>
          <w:b/>
          <w:noProof/>
          <w:sz w:val="16"/>
          <w:szCs w:val="16"/>
        </w:rPr>
        <w:t>31.</w:t>
      </w:r>
      <w:r w:rsidRPr="003512B8">
        <w:rPr>
          <w:rFonts w:ascii="Calibri" w:hAnsi="Calibri"/>
          <w:b/>
          <w:noProof/>
          <w:sz w:val="16"/>
          <w:szCs w:val="16"/>
        </w:rPr>
        <w:tab/>
        <w:t>Freeman H. Effects of differing concentrations of sodium butyrate on 1, 2-dimethylhydrazine-induced rat intestinal neoplasia. Gastroenterology. 1986;91(3):596-602.</w:t>
      </w:r>
      <w:bookmarkEnd w:id="169"/>
    </w:p>
    <w:p w:rsidR="00AB7E17" w:rsidRPr="003512B8" w:rsidRDefault="00AB7E17" w:rsidP="00AB7E17">
      <w:pPr>
        <w:spacing w:after="0" w:line="240" w:lineRule="auto"/>
        <w:jc w:val="both"/>
        <w:rPr>
          <w:rFonts w:ascii="Calibri" w:hAnsi="Calibri"/>
          <w:b/>
          <w:noProof/>
          <w:sz w:val="16"/>
          <w:szCs w:val="16"/>
        </w:rPr>
      </w:pPr>
      <w:bookmarkStart w:id="170" w:name="_ENREF_32"/>
      <w:r w:rsidRPr="003512B8">
        <w:rPr>
          <w:rFonts w:ascii="Calibri" w:hAnsi="Calibri"/>
          <w:b/>
          <w:noProof/>
          <w:sz w:val="16"/>
          <w:szCs w:val="16"/>
        </w:rPr>
        <w:t>32.</w:t>
      </w:r>
      <w:r w:rsidRPr="003512B8">
        <w:rPr>
          <w:rFonts w:ascii="Calibri" w:hAnsi="Calibri"/>
          <w:b/>
          <w:noProof/>
          <w:sz w:val="16"/>
          <w:szCs w:val="16"/>
        </w:rPr>
        <w:tab/>
        <w:t>Zoran D, Turner N, Taddeo S, Chapkin R, Lupton J. Wheat bran diet reduces tumor incidence in a rat model of colon cancer independent of effects on distal luminal butyrate concentrations. J Nutr. 1997;127(11):2217-25.</w:t>
      </w:r>
      <w:bookmarkEnd w:id="170"/>
    </w:p>
    <w:p w:rsidR="00AB7E17" w:rsidRPr="003512B8" w:rsidRDefault="00AB7E17" w:rsidP="00AB7E17">
      <w:pPr>
        <w:spacing w:after="0" w:line="240" w:lineRule="auto"/>
        <w:jc w:val="both"/>
        <w:rPr>
          <w:rFonts w:ascii="Calibri" w:hAnsi="Calibri"/>
          <w:b/>
          <w:noProof/>
          <w:sz w:val="16"/>
          <w:szCs w:val="16"/>
          <w:lang w:val="es-MX"/>
        </w:rPr>
      </w:pPr>
      <w:bookmarkStart w:id="171" w:name="_ENREF_33"/>
      <w:r w:rsidRPr="003512B8">
        <w:rPr>
          <w:rFonts w:ascii="Calibri" w:hAnsi="Calibri"/>
          <w:b/>
          <w:noProof/>
          <w:sz w:val="16"/>
          <w:szCs w:val="16"/>
        </w:rPr>
        <w:lastRenderedPageBreak/>
        <w:t>33.</w:t>
      </w:r>
      <w:r w:rsidRPr="003512B8">
        <w:rPr>
          <w:rFonts w:ascii="Calibri" w:hAnsi="Calibri"/>
          <w:b/>
          <w:noProof/>
          <w:sz w:val="16"/>
          <w:szCs w:val="16"/>
        </w:rPr>
        <w:tab/>
        <w:t xml:space="preserve">Deschner E, Ruperto J, Lupton J. Dietary butyrate (tributyrin) does not enhance AOM-induced colon tumorigenesis. </w:t>
      </w:r>
      <w:r w:rsidRPr="003512B8">
        <w:rPr>
          <w:rFonts w:ascii="Calibri" w:hAnsi="Calibri"/>
          <w:b/>
          <w:noProof/>
          <w:sz w:val="16"/>
          <w:szCs w:val="16"/>
          <w:lang w:val="es-MX"/>
        </w:rPr>
        <w:t>Cancer Lett. 1990;52(1):79-82.</w:t>
      </w:r>
      <w:bookmarkEnd w:id="171"/>
    </w:p>
    <w:p w:rsidR="00AB7E17" w:rsidRPr="003512B8" w:rsidRDefault="00AB7E17" w:rsidP="00AB7E17">
      <w:pPr>
        <w:spacing w:after="0" w:line="240" w:lineRule="auto"/>
        <w:jc w:val="both"/>
        <w:rPr>
          <w:rFonts w:ascii="Calibri" w:hAnsi="Calibri"/>
          <w:b/>
          <w:noProof/>
          <w:sz w:val="16"/>
          <w:szCs w:val="16"/>
        </w:rPr>
      </w:pPr>
      <w:bookmarkStart w:id="172" w:name="_ENREF_34"/>
      <w:r w:rsidRPr="003512B8">
        <w:rPr>
          <w:rFonts w:ascii="Calibri" w:hAnsi="Calibri"/>
          <w:b/>
          <w:noProof/>
          <w:sz w:val="16"/>
          <w:szCs w:val="16"/>
          <w:lang w:val="es-MX"/>
        </w:rPr>
        <w:t>34.</w:t>
      </w:r>
      <w:r w:rsidRPr="003512B8">
        <w:rPr>
          <w:rFonts w:ascii="Calibri" w:hAnsi="Calibri"/>
          <w:b/>
          <w:noProof/>
          <w:sz w:val="16"/>
          <w:szCs w:val="16"/>
          <w:lang w:val="es-MX"/>
        </w:rPr>
        <w:tab/>
        <w:t xml:space="preserve">Caderni G, Luceri C, De Filippo C, Salvadori M, Giannini A, Tessitore L, et al. </w:t>
      </w:r>
      <w:r w:rsidRPr="003512B8">
        <w:rPr>
          <w:rFonts w:ascii="Calibri" w:hAnsi="Calibri"/>
          <w:b/>
          <w:noProof/>
          <w:sz w:val="16"/>
          <w:szCs w:val="16"/>
        </w:rPr>
        <w:t>Slow-release pellets of sodium butyrate do not modify azoxymethane (AOM)-induced intestinal carcinogenesis in F344 rats. Carcinogenesis. 2001;22(3):525-7.</w:t>
      </w:r>
      <w:bookmarkEnd w:id="172"/>
    </w:p>
    <w:p w:rsidR="00AB7E17" w:rsidRPr="003512B8" w:rsidRDefault="00AB7E17" w:rsidP="00AB7E17">
      <w:pPr>
        <w:spacing w:after="0" w:line="240" w:lineRule="auto"/>
        <w:jc w:val="both"/>
        <w:rPr>
          <w:rFonts w:ascii="Calibri" w:hAnsi="Calibri"/>
          <w:b/>
          <w:noProof/>
          <w:sz w:val="16"/>
          <w:szCs w:val="16"/>
        </w:rPr>
      </w:pPr>
      <w:bookmarkStart w:id="173" w:name="_ENREF_35"/>
      <w:r w:rsidRPr="003512B8">
        <w:rPr>
          <w:rFonts w:ascii="Calibri" w:hAnsi="Calibri"/>
          <w:b/>
          <w:noProof/>
          <w:sz w:val="16"/>
          <w:szCs w:val="16"/>
        </w:rPr>
        <w:t>35.</w:t>
      </w:r>
      <w:r w:rsidRPr="003512B8">
        <w:rPr>
          <w:rFonts w:ascii="Calibri" w:hAnsi="Calibri"/>
          <w:b/>
          <w:noProof/>
          <w:sz w:val="16"/>
          <w:szCs w:val="16"/>
        </w:rPr>
        <w:tab/>
        <w:t>Riester D, Wegener D, Hildmann C, Schwienhorst A. Members of the histone deacetylase superfamily differ in substrate specificity towards small synthetic substrates. Biochemical and Biophysical Research Communications. 2004;324:1116-23.</w:t>
      </w:r>
      <w:bookmarkEnd w:id="173"/>
    </w:p>
    <w:p w:rsidR="00AB7E17" w:rsidRPr="003512B8" w:rsidRDefault="00AB7E17" w:rsidP="00AB7E17">
      <w:pPr>
        <w:spacing w:after="0" w:line="240" w:lineRule="auto"/>
        <w:jc w:val="both"/>
        <w:rPr>
          <w:rFonts w:ascii="Calibri" w:hAnsi="Calibri"/>
          <w:b/>
          <w:noProof/>
          <w:sz w:val="16"/>
          <w:szCs w:val="16"/>
        </w:rPr>
      </w:pPr>
      <w:bookmarkStart w:id="174" w:name="_ENREF_36"/>
      <w:r w:rsidRPr="003512B8">
        <w:rPr>
          <w:rFonts w:ascii="Calibri" w:hAnsi="Calibri"/>
          <w:b/>
          <w:noProof/>
          <w:sz w:val="16"/>
          <w:szCs w:val="16"/>
        </w:rPr>
        <w:t>36.</w:t>
      </w:r>
      <w:r w:rsidRPr="003512B8">
        <w:rPr>
          <w:rFonts w:ascii="Calibri" w:hAnsi="Calibri"/>
          <w:b/>
          <w:noProof/>
          <w:sz w:val="16"/>
          <w:szCs w:val="16"/>
        </w:rPr>
        <w:tab/>
        <w:t>Soliman M, Rosenberger T. Acetate supplementation increases brain histone acetylation and inhibits histone deacetylase activity and expression. Mol Cell Biochem. 2011;352:173-80.</w:t>
      </w:r>
      <w:bookmarkEnd w:id="174"/>
    </w:p>
    <w:p w:rsidR="00AB7E17" w:rsidRPr="003512B8" w:rsidRDefault="00AB7E17" w:rsidP="00AB7E17">
      <w:pPr>
        <w:spacing w:after="0" w:line="240" w:lineRule="auto"/>
        <w:jc w:val="both"/>
        <w:rPr>
          <w:rFonts w:ascii="Calibri" w:hAnsi="Calibri"/>
          <w:b/>
          <w:noProof/>
          <w:sz w:val="16"/>
          <w:szCs w:val="16"/>
        </w:rPr>
      </w:pPr>
      <w:bookmarkStart w:id="175" w:name="_ENREF_37"/>
      <w:r w:rsidRPr="003512B8">
        <w:rPr>
          <w:rFonts w:ascii="Calibri" w:hAnsi="Calibri"/>
          <w:b/>
          <w:noProof/>
          <w:sz w:val="16"/>
          <w:szCs w:val="16"/>
        </w:rPr>
        <w:t>37.</w:t>
      </w:r>
      <w:r w:rsidRPr="003512B8">
        <w:rPr>
          <w:rFonts w:ascii="Calibri" w:hAnsi="Calibri"/>
          <w:b/>
          <w:noProof/>
          <w:sz w:val="16"/>
          <w:szCs w:val="16"/>
        </w:rPr>
        <w:tab/>
        <w:t>Roediger W. Utilization of nutrients by osilated epithelial cells of the rat colon. Gastroenterology. 1982;83(2):424-9.</w:t>
      </w:r>
      <w:bookmarkEnd w:id="175"/>
    </w:p>
    <w:p w:rsidR="00AB7E17" w:rsidRPr="003512B8" w:rsidRDefault="00AB7E17" w:rsidP="00AB7E17">
      <w:pPr>
        <w:spacing w:after="0" w:line="240" w:lineRule="auto"/>
        <w:jc w:val="both"/>
        <w:rPr>
          <w:rFonts w:ascii="Calibri" w:hAnsi="Calibri"/>
          <w:b/>
          <w:noProof/>
          <w:sz w:val="16"/>
          <w:szCs w:val="16"/>
        </w:rPr>
      </w:pPr>
      <w:bookmarkStart w:id="176" w:name="_ENREF_38"/>
      <w:r w:rsidRPr="003512B8">
        <w:rPr>
          <w:rFonts w:ascii="Calibri" w:hAnsi="Calibri"/>
          <w:b/>
          <w:noProof/>
          <w:sz w:val="16"/>
          <w:szCs w:val="16"/>
        </w:rPr>
        <w:t>38.</w:t>
      </w:r>
      <w:r w:rsidRPr="003512B8">
        <w:rPr>
          <w:rFonts w:ascii="Calibri" w:hAnsi="Calibri"/>
          <w:b/>
          <w:noProof/>
          <w:sz w:val="16"/>
          <w:szCs w:val="16"/>
        </w:rPr>
        <w:tab/>
        <w:t>Gonçalves P, Martel F. Butyrate and colorectal cancer: the role of butyrate transport. Curr Drug Metab. 2013;14(9):994-1008.</w:t>
      </w:r>
      <w:bookmarkEnd w:id="176"/>
    </w:p>
    <w:p w:rsidR="00AB7E17" w:rsidRPr="003512B8" w:rsidRDefault="00AB7E17" w:rsidP="00AB7E17">
      <w:pPr>
        <w:spacing w:after="0" w:line="240" w:lineRule="auto"/>
        <w:jc w:val="both"/>
        <w:rPr>
          <w:rFonts w:ascii="Calibri" w:hAnsi="Calibri"/>
          <w:b/>
          <w:noProof/>
          <w:sz w:val="16"/>
          <w:szCs w:val="16"/>
        </w:rPr>
      </w:pPr>
      <w:bookmarkStart w:id="177" w:name="_ENREF_39"/>
      <w:r w:rsidRPr="003512B8">
        <w:rPr>
          <w:rFonts w:ascii="Calibri" w:hAnsi="Calibri"/>
          <w:b/>
          <w:noProof/>
          <w:sz w:val="16"/>
          <w:szCs w:val="16"/>
        </w:rPr>
        <w:t>39.</w:t>
      </w:r>
      <w:r w:rsidRPr="003512B8">
        <w:rPr>
          <w:rFonts w:ascii="Calibri" w:hAnsi="Calibri"/>
          <w:b/>
          <w:noProof/>
          <w:sz w:val="16"/>
          <w:szCs w:val="16"/>
        </w:rPr>
        <w:tab/>
        <w:t>Lupton J. Microbial degradation products influence colon cancer risk: the butyrate controversy. Journal of Nutrition. 2004;134(2):479-82.</w:t>
      </w:r>
      <w:bookmarkEnd w:id="177"/>
    </w:p>
    <w:p w:rsidR="00AB7E17" w:rsidRPr="003512B8" w:rsidRDefault="00AB7E17" w:rsidP="00AB7E17">
      <w:pPr>
        <w:spacing w:after="0" w:line="240" w:lineRule="auto"/>
        <w:jc w:val="both"/>
        <w:rPr>
          <w:rFonts w:ascii="Calibri" w:hAnsi="Calibri"/>
          <w:b/>
          <w:noProof/>
          <w:sz w:val="16"/>
          <w:szCs w:val="16"/>
        </w:rPr>
      </w:pPr>
      <w:bookmarkStart w:id="178" w:name="_ENREF_40"/>
      <w:r w:rsidRPr="003512B8">
        <w:rPr>
          <w:rFonts w:ascii="Calibri" w:hAnsi="Calibri"/>
          <w:b/>
          <w:noProof/>
          <w:sz w:val="16"/>
          <w:szCs w:val="16"/>
        </w:rPr>
        <w:t>40.</w:t>
      </w:r>
      <w:r w:rsidRPr="003512B8">
        <w:rPr>
          <w:rFonts w:ascii="Calibri" w:hAnsi="Calibri"/>
          <w:b/>
          <w:noProof/>
          <w:sz w:val="16"/>
          <w:szCs w:val="16"/>
        </w:rPr>
        <w:tab/>
        <w:t>Corfe B. Hypothesis: butyrate is not an HDAC inhibitor, but a product inhibitor of deacetylation. Mol BioSyst. 2012;8(6):1609-12.</w:t>
      </w:r>
      <w:bookmarkEnd w:id="178"/>
    </w:p>
    <w:p w:rsidR="00AB7E17" w:rsidRPr="003512B8" w:rsidRDefault="00AB7E17" w:rsidP="00AB7E17">
      <w:pPr>
        <w:spacing w:after="0" w:line="240" w:lineRule="auto"/>
        <w:jc w:val="both"/>
        <w:rPr>
          <w:rFonts w:ascii="Calibri" w:hAnsi="Calibri"/>
          <w:b/>
          <w:noProof/>
          <w:sz w:val="16"/>
          <w:szCs w:val="16"/>
        </w:rPr>
      </w:pPr>
      <w:bookmarkStart w:id="179" w:name="_ENREF_41"/>
      <w:r w:rsidRPr="003512B8">
        <w:rPr>
          <w:rFonts w:ascii="Calibri" w:hAnsi="Calibri"/>
          <w:b/>
          <w:noProof/>
          <w:sz w:val="16"/>
          <w:szCs w:val="16"/>
        </w:rPr>
        <w:t>41.</w:t>
      </w:r>
      <w:r w:rsidRPr="003512B8">
        <w:rPr>
          <w:rFonts w:ascii="Calibri" w:hAnsi="Calibri"/>
          <w:b/>
          <w:noProof/>
          <w:sz w:val="16"/>
          <w:szCs w:val="16"/>
        </w:rPr>
        <w:tab/>
        <w:t>Candido E, Reeves R, Davies J. Sodium butyrate inhibits histone deacetylation in culture cells. Cell. 1978;14(1):105-13.</w:t>
      </w:r>
      <w:bookmarkEnd w:id="179"/>
    </w:p>
    <w:p w:rsidR="00AB7E17" w:rsidRPr="003512B8" w:rsidRDefault="00AB7E17" w:rsidP="00AB7E17">
      <w:pPr>
        <w:spacing w:after="0" w:line="240" w:lineRule="auto"/>
        <w:jc w:val="both"/>
        <w:rPr>
          <w:rFonts w:ascii="Calibri" w:hAnsi="Calibri"/>
          <w:b/>
          <w:noProof/>
          <w:sz w:val="16"/>
          <w:szCs w:val="16"/>
        </w:rPr>
      </w:pPr>
      <w:bookmarkStart w:id="180" w:name="_ENREF_42"/>
      <w:r w:rsidRPr="003512B8">
        <w:rPr>
          <w:rFonts w:ascii="Calibri" w:hAnsi="Calibri"/>
          <w:b/>
          <w:noProof/>
          <w:sz w:val="16"/>
          <w:szCs w:val="16"/>
        </w:rPr>
        <w:t>42.</w:t>
      </w:r>
      <w:r w:rsidRPr="003512B8">
        <w:rPr>
          <w:rFonts w:ascii="Calibri" w:hAnsi="Calibri"/>
          <w:b/>
          <w:noProof/>
          <w:sz w:val="16"/>
          <w:szCs w:val="16"/>
        </w:rPr>
        <w:tab/>
        <w:t>Matthews G, Howarth G, Butler R. Short-chain fatty acids induce apoptosis in colon cancer cells associated with changes to intracellular redox state and glucose metabolism. Chemotherapy. 2012;58(2):102-9.</w:t>
      </w:r>
      <w:bookmarkEnd w:id="180"/>
    </w:p>
    <w:p w:rsidR="00AB7E17" w:rsidRPr="003512B8" w:rsidRDefault="00AB7E17" w:rsidP="00AB7E17">
      <w:pPr>
        <w:spacing w:after="0" w:line="240" w:lineRule="auto"/>
        <w:jc w:val="both"/>
        <w:rPr>
          <w:rFonts w:ascii="Calibri" w:hAnsi="Calibri"/>
          <w:b/>
          <w:noProof/>
          <w:sz w:val="16"/>
          <w:szCs w:val="16"/>
        </w:rPr>
      </w:pPr>
      <w:bookmarkStart w:id="181" w:name="_ENREF_43"/>
      <w:r w:rsidRPr="003512B8">
        <w:rPr>
          <w:rFonts w:ascii="Calibri" w:hAnsi="Calibri"/>
          <w:b/>
          <w:noProof/>
          <w:sz w:val="16"/>
          <w:szCs w:val="16"/>
        </w:rPr>
        <w:t>43.</w:t>
      </w:r>
      <w:r w:rsidRPr="003512B8">
        <w:rPr>
          <w:rFonts w:ascii="Calibri" w:hAnsi="Calibri"/>
          <w:b/>
          <w:noProof/>
          <w:sz w:val="16"/>
          <w:szCs w:val="16"/>
        </w:rPr>
        <w:tab/>
        <w:t>Kilner J, Waby J, Chowdry J, Khan A, Noirel J, Wright P, et al. A proteomic analysis of differential cellular responses to the short-chain fatty acids butyrate, valerate and propionate in colon epithelial cancer cells. Mol BioSyst. 2012;8:1146-56.</w:t>
      </w:r>
      <w:bookmarkEnd w:id="181"/>
    </w:p>
    <w:p w:rsidR="00AB7E17" w:rsidRPr="003512B8" w:rsidRDefault="00AB7E17" w:rsidP="00AB7E17">
      <w:pPr>
        <w:spacing w:line="240" w:lineRule="auto"/>
        <w:jc w:val="both"/>
        <w:rPr>
          <w:rFonts w:ascii="Calibri" w:hAnsi="Calibri"/>
          <w:b/>
          <w:noProof/>
          <w:sz w:val="16"/>
          <w:szCs w:val="16"/>
        </w:rPr>
      </w:pPr>
      <w:bookmarkStart w:id="182" w:name="_ENREF_44"/>
      <w:r w:rsidRPr="003512B8">
        <w:rPr>
          <w:rFonts w:ascii="Calibri" w:hAnsi="Calibri"/>
          <w:b/>
          <w:noProof/>
          <w:sz w:val="16"/>
          <w:szCs w:val="16"/>
        </w:rPr>
        <w:t>44.</w:t>
      </w:r>
      <w:r w:rsidRPr="003512B8">
        <w:rPr>
          <w:rFonts w:ascii="Calibri" w:hAnsi="Calibri"/>
          <w:b/>
          <w:noProof/>
          <w:sz w:val="16"/>
          <w:szCs w:val="16"/>
        </w:rPr>
        <w:tab/>
        <w:t>Kilner J, Corfe B, Wilkinson S. Modelling modifications affecting the tubulin code as a route to study the chemopreventive and chemotherapeutic actions of SCFAs as HDAC</w:t>
      </w:r>
    </w:p>
    <w:p w:rsidR="00AB7E17" w:rsidRPr="003512B8" w:rsidRDefault="00AB7E17" w:rsidP="00AB7E17">
      <w:pPr>
        <w:spacing w:after="0" w:line="240" w:lineRule="auto"/>
        <w:jc w:val="both"/>
        <w:rPr>
          <w:rFonts w:ascii="Calibri" w:hAnsi="Calibri"/>
          <w:b/>
          <w:noProof/>
          <w:sz w:val="16"/>
          <w:szCs w:val="16"/>
        </w:rPr>
      </w:pPr>
      <w:r w:rsidRPr="003512B8">
        <w:rPr>
          <w:rFonts w:ascii="Calibri" w:hAnsi="Calibri"/>
          <w:b/>
          <w:noProof/>
          <w:sz w:val="16"/>
          <w:szCs w:val="16"/>
        </w:rPr>
        <w:t>inhibitors. Mol BioSyst. 2011;7:975-83.</w:t>
      </w:r>
      <w:bookmarkEnd w:id="182"/>
    </w:p>
    <w:p w:rsidR="00AB7E17" w:rsidRPr="003512B8" w:rsidRDefault="00AB7E17" w:rsidP="00AB7E17">
      <w:pPr>
        <w:spacing w:after="0" w:line="240" w:lineRule="auto"/>
        <w:jc w:val="both"/>
        <w:rPr>
          <w:rFonts w:ascii="Calibri" w:hAnsi="Calibri"/>
          <w:b/>
          <w:noProof/>
          <w:sz w:val="16"/>
          <w:szCs w:val="16"/>
        </w:rPr>
      </w:pPr>
      <w:bookmarkStart w:id="183" w:name="_ENREF_45"/>
      <w:r w:rsidRPr="003512B8">
        <w:rPr>
          <w:rFonts w:ascii="Calibri" w:hAnsi="Calibri"/>
          <w:b/>
          <w:noProof/>
          <w:sz w:val="16"/>
          <w:szCs w:val="16"/>
        </w:rPr>
        <w:t>45.</w:t>
      </w:r>
      <w:r w:rsidRPr="003512B8">
        <w:rPr>
          <w:rFonts w:ascii="Calibri" w:hAnsi="Calibri"/>
          <w:b/>
          <w:noProof/>
          <w:sz w:val="16"/>
          <w:szCs w:val="16"/>
        </w:rPr>
        <w:tab/>
        <w:t>Knight G, Hager L, Palmiter R. Butyrate and Related Inhibitors of Histone Deacetylation Block the Induction of Egg White Genes by Steroid Hormones. Cell. 1980;22:469-77.</w:t>
      </w:r>
      <w:bookmarkEnd w:id="183"/>
    </w:p>
    <w:p w:rsidR="00AB7E17" w:rsidRPr="003512B8" w:rsidRDefault="00AB7E17" w:rsidP="00AB7E17">
      <w:pPr>
        <w:spacing w:after="0" w:line="240" w:lineRule="auto"/>
        <w:jc w:val="both"/>
        <w:rPr>
          <w:rFonts w:ascii="Calibri" w:hAnsi="Calibri"/>
          <w:b/>
          <w:noProof/>
          <w:sz w:val="16"/>
          <w:szCs w:val="16"/>
        </w:rPr>
      </w:pPr>
      <w:bookmarkStart w:id="184" w:name="_ENREF_46"/>
      <w:r w:rsidRPr="003512B8">
        <w:rPr>
          <w:rFonts w:ascii="Calibri" w:hAnsi="Calibri"/>
          <w:b/>
          <w:noProof/>
          <w:sz w:val="16"/>
          <w:szCs w:val="16"/>
        </w:rPr>
        <w:t>46.</w:t>
      </w:r>
      <w:r w:rsidRPr="003512B8">
        <w:rPr>
          <w:rFonts w:ascii="Calibri" w:hAnsi="Calibri"/>
          <w:b/>
          <w:noProof/>
          <w:sz w:val="16"/>
          <w:szCs w:val="16"/>
        </w:rPr>
        <w:tab/>
        <w:t>Liu Q, Wang C, Huang Y, Dong K, Yang W, Zhang S, et al. Effects of isovalerate on ruminal fermentation, urinary excretion of purine derivatives and digestibility in steers. Journal of Animal Physiology and Animal Nutrition. 2009;93:716-25.</w:t>
      </w:r>
      <w:bookmarkEnd w:id="184"/>
    </w:p>
    <w:p w:rsidR="00AB7E17" w:rsidRPr="003512B8" w:rsidRDefault="00AB7E17" w:rsidP="00AB7E17">
      <w:pPr>
        <w:spacing w:after="0" w:line="240" w:lineRule="auto"/>
        <w:jc w:val="both"/>
        <w:rPr>
          <w:rFonts w:ascii="Calibri" w:hAnsi="Calibri"/>
          <w:b/>
          <w:noProof/>
          <w:sz w:val="16"/>
          <w:szCs w:val="16"/>
        </w:rPr>
      </w:pPr>
      <w:bookmarkStart w:id="185" w:name="_ENREF_47"/>
      <w:r w:rsidRPr="003512B8">
        <w:rPr>
          <w:rFonts w:ascii="Calibri" w:hAnsi="Calibri"/>
          <w:b/>
          <w:noProof/>
          <w:sz w:val="16"/>
          <w:szCs w:val="16"/>
        </w:rPr>
        <w:t>47.</w:t>
      </w:r>
      <w:r w:rsidRPr="003512B8">
        <w:rPr>
          <w:rFonts w:ascii="Calibri" w:hAnsi="Calibri"/>
          <w:b/>
          <w:noProof/>
          <w:sz w:val="16"/>
          <w:szCs w:val="16"/>
        </w:rPr>
        <w:tab/>
        <w:t>Zambell K, Fitch M, Fleming S. Acetate and butyrate are the major substrates for de novo lipogenesis in rat colonic epithelial cells. J Nutr. 2003;133(11):3509-15.</w:t>
      </w:r>
      <w:bookmarkEnd w:id="185"/>
    </w:p>
    <w:p w:rsidR="00AB7E17" w:rsidRPr="003512B8" w:rsidRDefault="00AB7E17" w:rsidP="00AB7E17">
      <w:pPr>
        <w:spacing w:after="0" w:line="240" w:lineRule="auto"/>
        <w:jc w:val="both"/>
        <w:rPr>
          <w:rFonts w:ascii="Calibri" w:hAnsi="Calibri"/>
          <w:b/>
          <w:noProof/>
          <w:sz w:val="16"/>
          <w:szCs w:val="16"/>
        </w:rPr>
      </w:pPr>
      <w:bookmarkStart w:id="186" w:name="_ENREF_48"/>
      <w:r w:rsidRPr="003512B8">
        <w:rPr>
          <w:rFonts w:ascii="Calibri" w:hAnsi="Calibri"/>
          <w:b/>
          <w:noProof/>
          <w:sz w:val="16"/>
          <w:szCs w:val="16"/>
        </w:rPr>
        <w:t>48.</w:t>
      </w:r>
      <w:r w:rsidRPr="003512B8">
        <w:rPr>
          <w:rFonts w:ascii="Calibri" w:hAnsi="Calibri"/>
          <w:b/>
          <w:noProof/>
          <w:sz w:val="16"/>
          <w:szCs w:val="16"/>
        </w:rPr>
        <w:tab/>
        <w:t>Ardawi M, Newsholme E. Fuel utilization in colonocytes of the rat. Biochem J. 1985;231(3):713-9.</w:t>
      </w:r>
      <w:bookmarkEnd w:id="186"/>
    </w:p>
    <w:p w:rsidR="00AB7E17" w:rsidRPr="003512B8" w:rsidRDefault="00AB7E17" w:rsidP="00AB7E17">
      <w:pPr>
        <w:spacing w:after="0" w:line="240" w:lineRule="auto"/>
        <w:jc w:val="both"/>
        <w:rPr>
          <w:rFonts w:ascii="Calibri" w:hAnsi="Calibri"/>
          <w:b/>
          <w:noProof/>
          <w:sz w:val="16"/>
          <w:szCs w:val="16"/>
        </w:rPr>
      </w:pPr>
      <w:bookmarkStart w:id="187" w:name="_ENREF_49"/>
      <w:r w:rsidRPr="003512B8">
        <w:rPr>
          <w:rFonts w:ascii="Calibri" w:hAnsi="Calibri"/>
          <w:b/>
          <w:noProof/>
          <w:sz w:val="16"/>
          <w:szCs w:val="16"/>
        </w:rPr>
        <w:t>49.</w:t>
      </w:r>
      <w:r w:rsidRPr="003512B8">
        <w:rPr>
          <w:rFonts w:ascii="Calibri" w:hAnsi="Calibri"/>
          <w:b/>
          <w:noProof/>
          <w:sz w:val="16"/>
          <w:szCs w:val="16"/>
        </w:rPr>
        <w:tab/>
        <w:t>Anderson J, Bridges S. Short-chain fatty acid fermentation products of plant fiber affect glucose metabolism of isolated rat hepatocytes. Proc Soc Exp Biol Med. 1984;177 (2):372-6.</w:t>
      </w:r>
      <w:bookmarkEnd w:id="187"/>
    </w:p>
    <w:p w:rsidR="00AB7E17" w:rsidRPr="003512B8" w:rsidRDefault="00AB7E17" w:rsidP="00AB7E17">
      <w:pPr>
        <w:spacing w:after="0" w:line="240" w:lineRule="auto"/>
        <w:jc w:val="both"/>
        <w:rPr>
          <w:rFonts w:ascii="Calibri" w:hAnsi="Calibri"/>
          <w:b/>
          <w:noProof/>
          <w:sz w:val="16"/>
          <w:szCs w:val="16"/>
        </w:rPr>
      </w:pPr>
      <w:bookmarkStart w:id="188" w:name="_ENREF_50"/>
      <w:r w:rsidRPr="003512B8">
        <w:rPr>
          <w:rFonts w:ascii="Calibri" w:hAnsi="Calibri"/>
          <w:b/>
          <w:noProof/>
          <w:sz w:val="16"/>
          <w:szCs w:val="16"/>
        </w:rPr>
        <w:t>50.</w:t>
      </w:r>
      <w:r w:rsidRPr="003512B8">
        <w:rPr>
          <w:rFonts w:ascii="Calibri" w:hAnsi="Calibri"/>
          <w:b/>
          <w:noProof/>
          <w:sz w:val="16"/>
          <w:szCs w:val="16"/>
        </w:rPr>
        <w:tab/>
        <w:t>Dihazi H, Kessler R, Müller G, Eschrich K. Lysine 3 acetylation regulates the phosphorylation of yeast 6-phosphofructo-2-kinase under hypo-osmotic stress. Biol Chem. 2005;386(9):895-900.</w:t>
      </w:r>
      <w:bookmarkEnd w:id="188"/>
    </w:p>
    <w:p w:rsidR="00AB7E17" w:rsidRPr="003512B8" w:rsidRDefault="00AB7E17" w:rsidP="00AB7E17">
      <w:pPr>
        <w:spacing w:after="0" w:line="240" w:lineRule="auto"/>
        <w:jc w:val="both"/>
        <w:rPr>
          <w:rFonts w:ascii="Calibri" w:hAnsi="Calibri"/>
          <w:b/>
          <w:noProof/>
          <w:sz w:val="16"/>
          <w:szCs w:val="16"/>
        </w:rPr>
      </w:pPr>
      <w:bookmarkStart w:id="189" w:name="_ENREF_51"/>
      <w:r w:rsidRPr="003512B8">
        <w:rPr>
          <w:rFonts w:ascii="Calibri" w:hAnsi="Calibri"/>
          <w:b/>
          <w:noProof/>
          <w:sz w:val="16"/>
          <w:szCs w:val="16"/>
        </w:rPr>
        <w:t>51.</w:t>
      </w:r>
      <w:r w:rsidRPr="003512B8">
        <w:rPr>
          <w:rFonts w:ascii="Calibri" w:hAnsi="Calibri"/>
          <w:b/>
          <w:noProof/>
          <w:sz w:val="16"/>
          <w:szCs w:val="16"/>
        </w:rPr>
        <w:tab/>
        <w:t>Ventura M, Mateo F, Serratosa J, Salaet I, Carujo S, Bachs O, et al. Nuclear translocation of glyceraldehyde-3-phosphate dehydrogenase is regulated by acetylation The International Journal of Biochemistry &amp; Cell Biology. 2010;42:1672–80.</w:t>
      </w:r>
      <w:bookmarkEnd w:id="189"/>
    </w:p>
    <w:p w:rsidR="00AB7E17" w:rsidRPr="003512B8" w:rsidRDefault="00AB7E17" w:rsidP="00AB7E17">
      <w:pPr>
        <w:spacing w:after="0" w:line="240" w:lineRule="auto"/>
        <w:jc w:val="both"/>
        <w:rPr>
          <w:rFonts w:ascii="Calibri" w:hAnsi="Calibri"/>
          <w:b/>
          <w:noProof/>
          <w:sz w:val="16"/>
          <w:szCs w:val="16"/>
        </w:rPr>
      </w:pPr>
      <w:bookmarkStart w:id="190" w:name="_ENREF_52"/>
      <w:r w:rsidRPr="003512B8">
        <w:rPr>
          <w:rFonts w:ascii="Calibri" w:hAnsi="Calibri"/>
          <w:b/>
          <w:noProof/>
          <w:sz w:val="16"/>
          <w:szCs w:val="16"/>
        </w:rPr>
        <w:t>52.</w:t>
      </w:r>
      <w:r w:rsidRPr="003512B8">
        <w:rPr>
          <w:rFonts w:ascii="Calibri" w:hAnsi="Calibri"/>
          <w:b/>
          <w:noProof/>
          <w:sz w:val="16"/>
          <w:szCs w:val="16"/>
        </w:rPr>
        <w:tab/>
        <w:t>Sen N, Hara M, Kornberg M, Cascio M, Bae B, Shahani N, et al. Nitric oxide-induced nuclear GAPDH activates p300/CBP and mediates apoptosis. Nat Cell Biol. 2008;10(7):866-73.</w:t>
      </w:r>
      <w:bookmarkEnd w:id="190"/>
    </w:p>
    <w:p w:rsidR="00AB7E17" w:rsidRPr="003512B8" w:rsidRDefault="00AB7E17" w:rsidP="00AB7E17">
      <w:pPr>
        <w:spacing w:after="0" w:line="240" w:lineRule="auto"/>
        <w:jc w:val="both"/>
        <w:rPr>
          <w:rFonts w:ascii="Calibri" w:hAnsi="Calibri"/>
          <w:b/>
          <w:noProof/>
          <w:sz w:val="16"/>
          <w:szCs w:val="16"/>
        </w:rPr>
      </w:pPr>
      <w:bookmarkStart w:id="191" w:name="_ENREF_53"/>
      <w:r w:rsidRPr="003512B8">
        <w:rPr>
          <w:rFonts w:ascii="Calibri" w:hAnsi="Calibri"/>
          <w:b/>
          <w:noProof/>
          <w:sz w:val="16"/>
          <w:szCs w:val="16"/>
        </w:rPr>
        <w:t>53.</w:t>
      </w:r>
      <w:r w:rsidRPr="003512B8">
        <w:rPr>
          <w:rFonts w:ascii="Calibri" w:hAnsi="Calibri"/>
          <w:b/>
          <w:noProof/>
          <w:sz w:val="16"/>
          <w:szCs w:val="16"/>
        </w:rPr>
        <w:tab/>
        <w:t>Li T, Liu M, Feng X, Wang Z, Das I, Xu Y, et al. Glyceraldehyde-3-phosphate Dehydrogenase Is Activated by Lysine 254 Acetylation in Response to Glucose Signal. J Biol Chem. 2014;289(6):3775-85.</w:t>
      </w:r>
      <w:bookmarkEnd w:id="191"/>
    </w:p>
    <w:p w:rsidR="00AB7E17" w:rsidRPr="003512B8" w:rsidRDefault="00AB7E17" w:rsidP="00AB7E17">
      <w:pPr>
        <w:spacing w:after="0" w:line="240" w:lineRule="auto"/>
        <w:jc w:val="both"/>
        <w:rPr>
          <w:rFonts w:ascii="Calibri" w:hAnsi="Calibri"/>
          <w:b/>
          <w:noProof/>
          <w:sz w:val="16"/>
          <w:szCs w:val="16"/>
        </w:rPr>
      </w:pPr>
      <w:bookmarkStart w:id="192" w:name="_ENREF_54"/>
      <w:r w:rsidRPr="003512B8">
        <w:rPr>
          <w:rFonts w:ascii="Calibri" w:hAnsi="Calibri"/>
          <w:b/>
          <w:noProof/>
          <w:sz w:val="16"/>
          <w:szCs w:val="16"/>
        </w:rPr>
        <w:t>54.</w:t>
      </w:r>
      <w:r w:rsidRPr="003512B8">
        <w:rPr>
          <w:rFonts w:ascii="Calibri" w:hAnsi="Calibri"/>
          <w:b/>
          <w:noProof/>
          <w:sz w:val="16"/>
          <w:szCs w:val="16"/>
        </w:rPr>
        <w:tab/>
        <w:t>Hallows W, Yu W, Denu J. Regulation of glycolytic enzyme phosphoglycerate mutase-1 by Sirt1 protein-mediated deacetylation. J Biol Chem. 2012;287(6):3850-8.</w:t>
      </w:r>
      <w:bookmarkEnd w:id="192"/>
    </w:p>
    <w:p w:rsidR="00AB7E17" w:rsidRPr="003512B8" w:rsidRDefault="00AB7E17" w:rsidP="00AB7E17">
      <w:pPr>
        <w:spacing w:after="0" w:line="240" w:lineRule="auto"/>
        <w:jc w:val="both"/>
        <w:rPr>
          <w:rFonts w:ascii="Calibri" w:hAnsi="Calibri"/>
          <w:b/>
          <w:noProof/>
          <w:sz w:val="16"/>
          <w:szCs w:val="16"/>
        </w:rPr>
      </w:pPr>
      <w:bookmarkStart w:id="193" w:name="_ENREF_55"/>
      <w:r w:rsidRPr="003512B8">
        <w:rPr>
          <w:rFonts w:ascii="Calibri" w:hAnsi="Calibri"/>
          <w:b/>
          <w:noProof/>
          <w:sz w:val="16"/>
          <w:szCs w:val="16"/>
        </w:rPr>
        <w:t>55.</w:t>
      </w:r>
      <w:r w:rsidRPr="003512B8">
        <w:rPr>
          <w:rFonts w:ascii="Calibri" w:hAnsi="Calibri"/>
          <w:b/>
          <w:noProof/>
          <w:sz w:val="16"/>
          <w:szCs w:val="16"/>
        </w:rPr>
        <w:tab/>
        <w:t>Finkemeier I, Laxa M, Miguet L, Howden A, Sweetlove L. Proteins of diverse function and subcellular location are lysine acetylated in Arabidopsis. Plant Physiol. 2011;155(4):1779-90.</w:t>
      </w:r>
      <w:bookmarkEnd w:id="193"/>
    </w:p>
    <w:p w:rsidR="00AB7E17" w:rsidRPr="003512B8" w:rsidRDefault="00AB7E17" w:rsidP="00AB7E17">
      <w:pPr>
        <w:spacing w:after="0" w:line="240" w:lineRule="auto"/>
        <w:jc w:val="both"/>
        <w:rPr>
          <w:rFonts w:ascii="Calibri" w:hAnsi="Calibri"/>
          <w:b/>
          <w:noProof/>
          <w:sz w:val="16"/>
          <w:szCs w:val="16"/>
        </w:rPr>
      </w:pPr>
      <w:bookmarkStart w:id="194" w:name="_ENREF_56"/>
      <w:r w:rsidRPr="003512B8">
        <w:rPr>
          <w:rFonts w:ascii="Calibri" w:hAnsi="Calibri"/>
          <w:b/>
          <w:noProof/>
          <w:sz w:val="16"/>
          <w:szCs w:val="16"/>
        </w:rPr>
        <w:t>56.</w:t>
      </w:r>
      <w:r w:rsidRPr="003512B8">
        <w:rPr>
          <w:rFonts w:ascii="Calibri" w:hAnsi="Calibri"/>
          <w:b/>
          <w:noProof/>
          <w:sz w:val="16"/>
          <w:szCs w:val="16"/>
        </w:rPr>
        <w:tab/>
        <w:t>Yu W, Dittenhafer-Reed K, Denu J. SIRT3 protein deacetylates isocitrate  dehydrogenase 2 (IDH2) and regulates mitochondrial redox status. J Biol Chem. 2012;287(17):14078-86.</w:t>
      </w:r>
      <w:bookmarkEnd w:id="194"/>
    </w:p>
    <w:p w:rsidR="00AB7E17" w:rsidRPr="003512B8" w:rsidRDefault="00AB7E17" w:rsidP="00AB7E17">
      <w:pPr>
        <w:spacing w:after="0" w:line="240" w:lineRule="auto"/>
        <w:jc w:val="both"/>
        <w:rPr>
          <w:rFonts w:ascii="Calibri" w:hAnsi="Calibri"/>
          <w:b/>
          <w:noProof/>
          <w:sz w:val="16"/>
          <w:szCs w:val="16"/>
        </w:rPr>
      </w:pPr>
      <w:bookmarkStart w:id="195" w:name="_ENREF_57"/>
      <w:r w:rsidRPr="003512B8">
        <w:rPr>
          <w:rFonts w:ascii="Calibri" w:hAnsi="Calibri"/>
          <w:b/>
          <w:noProof/>
          <w:sz w:val="16"/>
          <w:szCs w:val="16"/>
        </w:rPr>
        <w:t>57.</w:t>
      </w:r>
      <w:r w:rsidRPr="003512B8">
        <w:rPr>
          <w:rFonts w:ascii="Calibri" w:hAnsi="Calibri"/>
          <w:b/>
          <w:noProof/>
          <w:sz w:val="16"/>
          <w:szCs w:val="16"/>
        </w:rPr>
        <w:tab/>
        <w:t>Schlicker C, Gertz M, Papatheodorou P, Kachholz B, Becker C, Steegborn C. Substrates and Regulation Mechanisms for the Human Mitochondrial Sirtuins Sirt3 and Sirt5. J Mol Biol. 2008;382:790-801.</w:t>
      </w:r>
      <w:bookmarkEnd w:id="195"/>
    </w:p>
    <w:p w:rsidR="00AB7E17" w:rsidRPr="003512B8" w:rsidRDefault="00AB7E17" w:rsidP="00AB7E17">
      <w:pPr>
        <w:spacing w:after="0" w:line="240" w:lineRule="auto"/>
        <w:jc w:val="both"/>
        <w:rPr>
          <w:rFonts w:ascii="Calibri" w:hAnsi="Calibri"/>
          <w:b/>
          <w:noProof/>
          <w:sz w:val="16"/>
          <w:szCs w:val="16"/>
        </w:rPr>
      </w:pPr>
      <w:bookmarkStart w:id="196" w:name="_ENREF_58"/>
      <w:r w:rsidRPr="003512B8">
        <w:rPr>
          <w:rFonts w:ascii="Calibri" w:hAnsi="Calibri"/>
          <w:b/>
          <w:noProof/>
          <w:sz w:val="16"/>
          <w:szCs w:val="16"/>
        </w:rPr>
        <w:t>58.</w:t>
      </w:r>
      <w:r w:rsidRPr="003512B8">
        <w:rPr>
          <w:rFonts w:ascii="Calibri" w:hAnsi="Calibri"/>
          <w:b/>
          <w:noProof/>
          <w:sz w:val="16"/>
          <w:szCs w:val="16"/>
        </w:rPr>
        <w:tab/>
        <w:t>Finley L, Haas W, Desquiret-Dumas V, Wallace D, Procaccio V, Gygi S, et al. Succinate dehydrogenase is a direct target of sirtuin 3 deacetylase activity. PLoS One. 2011;6(8):doi: 10.1371/journal.pone.0023295.</w:t>
      </w:r>
      <w:bookmarkEnd w:id="196"/>
    </w:p>
    <w:p w:rsidR="00AB7E17" w:rsidRPr="003512B8" w:rsidRDefault="00AB7E17" w:rsidP="00AB7E17">
      <w:pPr>
        <w:spacing w:after="0" w:line="240" w:lineRule="auto"/>
        <w:jc w:val="both"/>
        <w:rPr>
          <w:rFonts w:ascii="Calibri" w:hAnsi="Calibri"/>
          <w:b/>
          <w:noProof/>
          <w:sz w:val="16"/>
          <w:szCs w:val="16"/>
        </w:rPr>
      </w:pPr>
      <w:bookmarkStart w:id="197" w:name="_ENREF_59"/>
      <w:r w:rsidRPr="003512B8">
        <w:rPr>
          <w:rFonts w:ascii="Calibri" w:hAnsi="Calibri"/>
          <w:b/>
          <w:noProof/>
          <w:sz w:val="16"/>
          <w:szCs w:val="16"/>
        </w:rPr>
        <w:t>59.</w:t>
      </w:r>
      <w:r w:rsidRPr="003512B8">
        <w:rPr>
          <w:rFonts w:ascii="Calibri" w:hAnsi="Calibri"/>
          <w:b/>
          <w:noProof/>
          <w:sz w:val="16"/>
          <w:szCs w:val="16"/>
        </w:rPr>
        <w:tab/>
        <w:t>Cimen H, Han M, Yang Y, Tong Q, Koc H, Koc E. Regulation of succinate dehydrogenase activity by SIRT3 in mammalian mitochondria. Biochemistry. 2010;49(2):304-11.</w:t>
      </w:r>
      <w:bookmarkEnd w:id="197"/>
    </w:p>
    <w:p w:rsidR="00AB7E17" w:rsidRPr="003512B8" w:rsidRDefault="00AB7E17" w:rsidP="00AB7E17">
      <w:pPr>
        <w:spacing w:after="0" w:line="240" w:lineRule="auto"/>
        <w:jc w:val="both"/>
        <w:rPr>
          <w:rFonts w:ascii="Calibri" w:hAnsi="Calibri"/>
          <w:b/>
          <w:noProof/>
          <w:sz w:val="16"/>
          <w:szCs w:val="16"/>
        </w:rPr>
      </w:pPr>
      <w:bookmarkStart w:id="198" w:name="_ENREF_60"/>
      <w:r w:rsidRPr="003512B8">
        <w:rPr>
          <w:rFonts w:ascii="Calibri" w:hAnsi="Calibri"/>
          <w:b/>
          <w:noProof/>
          <w:sz w:val="16"/>
          <w:szCs w:val="16"/>
        </w:rPr>
        <w:t>60.</w:t>
      </w:r>
      <w:r w:rsidRPr="003512B8">
        <w:rPr>
          <w:rFonts w:ascii="Calibri" w:hAnsi="Calibri"/>
          <w:b/>
          <w:noProof/>
          <w:sz w:val="16"/>
          <w:szCs w:val="16"/>
        </w:rPr>
        <w:tab/>
        <w:t>Kim E, Han B, Kim W, Lee S, Bae K. Acceleration of adipogenic differentiation via acetylation of malate dehydrogenase 2. Biochem Biophys Res Commun. 2013;441(1):77-82.</w:t>
      </w:r>
      <w:bookmarkEnd w:id="198"/>
    </w:p>
    <w:p w:rsidR="00AB7E17" w:rsidRPr="003512B8" w:rsidRDefault="00AB7E17" w:rsidP="00AB7E17">
      <w:pPr>
        <w:spacing w:after="0" w:line="240" w:lineRule="auto"/>
        <w:jc w:val="both"/>
        <w:rPr>
          <w:rFonts w:ascii="Calibri" w:hAnsi="Calibri"/>
          <w:b/>
          <w:noProof/>
          <w:sz w:val="16"/>
          <w:szCs w:val="16"/>
        </w:rPr>
      </w:pPr>
      <w:bookmarkStart w:id="199" w:name="_ENREF_61"/>
      <w:r w:rsidRPr="003512B8">
        <w:rPr>
          <w:rFonts w:ascii="Calibri" w:hAnsi="Calibri"/>
          <w:b/>
          <w:noProof/>
          <w:sz w:val="16"/>
          <w:szCs w:val="16"/>
        </w:rPr>
        <w:t>61.</w:t>
      </w:r>
      <w:r w:rsidRPr="003512B8">
        <w:rPr>
          <w:rFonts w:ascii="Calibri" w:hAnsi="Calibri"/>
          <w:b/>
          <w:noProof/>
          <w:sz w:val="16"/>
          <w:szCs w:val="16"/>
        </w:rPr>
        <w:tab/>
        <w:t>Kim E, Kim W, Kang H, Kim J, Chung S, Seo Y, et al. Acetylation of malate dehydrogenase 1 promotes adipogenic differentiation via activating its enzymatic activity. J Lipid Res. 2012;53(9):1864-76.</w:t>
      </w:r>
      <w:bookmarkEnd w:id="199"/>
    </w:p>
    <w:p w:rsidR="00AB7E17" w:rsidRPr="003512B8" w:rsidRDefault="00AB7E17" w:rsidP="00AB7E17">
      <w:pPr>
        <w:spacing w:after="0" w:line="240" w:lineRule="auto"/>
        <w:jc w:val="both"/>
        <w:rPr>
          <w:rFonts w:ascii="Calibri" w:hAnsi="Calibri"/>
          <w:b/>
          <w:noProof/>
          <w:sz w:val="16"/>
          <w:szCs w:val="16"/>
        </w:rPr>
      </w:pPr>
      <w:bookmarkStart w:id="200" w:name="_ENREF_62"/>
      <w:r w:rsidRPr="003512B8">
        <w:rPr>
          <w:rFonts w:ascii="Calibri" w:hAnsi="Calibri"/>
          <w:b/>
          <w:noProof/>
          <w:sz w:val="16"/>
          <w:szCs w:val="16"/>
        </w:rPr>
        <w:t>62.</w:t>
      </w:r>
      <w:r w:rsidRPr="003512B8">
        <w:rPr>
          <w:rFonts w:ascii="Calibri" w:hAnsi="Calibri"/>
          <w:b/>
          <w:noProof/>
          <w:sz w:val="16"/>
          <w:szCs w:val="16"/>
        </w:rPr>
        <w:tab/>
        <w:t>Zhao X, León I, Bak S, Mogensen M, Wrzesinski K, Højlund K, et al. Phosphoproteome analysis of functional mitochondria isolated from resting human muscle reveals extensivephosphorylation of inner membrane protein complexes and enzymes. Mol Cell Proteomics. 2011;10(1):doi: 10.1074/mcp.M110.000299.</w:t>
      </w:r>
      <w:bookmarkEnd w:id="200"/>
    </w:p>
    <w:p w:rsidR="00AB7E17" w:rsidRPr="003512B8" w:rsidRDefault="00AB7E17" w:rsidP="00AB7E17">
      <w:pPr>
        <w:spacing w:after="0" w:line="240" w:lineRule="auto"/>
        <w:jc w:val="both"/>
        <w:rPr>
          <w:rFonts w:ascii="Calibri" w:hAnsi="Calibri"/>
          <w:b/>
          <w:noProof/>
          <w:sz w:val="16"/>
          <w:szCs w:val="16"/>
        </w:rPr>
      </w:pPr>
      <w:bookmarkStart w:id="201" w:name="_ENREF_63"/>
      <w:r w:rsidRPr="003512B8">
        <w:rPr>
          <w:rFonts w:ascii="Calibri" w:hAnsi="Calibri"/>
          <w:b/>
          <w:noProof/>
          <w:sz w:val="16"/>
          <w:szCs w:val="16"/>
        </w:rPr>
        <w:t>63.</w:t>
      </w:r>
      <w:r w:rsidRPr="003512B8">
        <w:rPr>
          <w:rFonts w:ascii="Calibri" w:hAnsi="Calibri"/>
          <w:b/>
          <w:noProof/>
          <w:sz w:val="16"/>
          <w:szCs w:val="16"/>
        </w:rPr>
        <w:tab/>
        <w:t>Frahm J, Li L, Grevengoed T, Coleman R. Phosphorylation and Acetylation of Acyl-CoA Synthetase- I. J Proteomics Bioinform. 2011;4(7):129-37.</w:t>
      </w:r>
      <w:bookmarkEnd w:id="201"/>
    </w:p>
    <w:p w:rsidR="00AB7E17" w:rsidRPr="003512B8" w:rsidRDefault="00AB7E17" w:rsidP="00AB7E17">
      <w:pPr>
        <w:spacing w:after="0" w:line="240" w:lineRule="auto"/>
        <w:jc w:val="both"/>
        <w:rPr>
          <w:rFonts w:ascii="Calibri" w:hAnsi="Calibri"/>
          <w:b/>
          <w:noProof/>
          <w:sz w:val="16"/>
          <w:szCs w:val="16"/>
        </w:rPr>
      </w:pPr>
      <w:bookmarkStart w:id="202" w:name="_ENREF_64"/>
      <w:r w:rsidRPr="003512B8">
        <w:rPr>
          <w:rFonts w:ascii="Calibri" w:hAnsi="Calibri"/>
          <w:b/>
          <w:noProof/>
          <w:sz w:val="16"/>
          <w:szCs w:val="16"/>
        </w:rPr>
        <w:t>64.</w:t>
      </w:r>
      <w:r w:rsidRPr="003512B8">
        <w:rPr>
          <w:rFonts w:ascii="Calibri" w:hAnsi="Calibri"/>
          <w:b/>
          <w:noProof/>
          <w:sz w:val="16"/>
          <w:szCs w:val="16"/>
        </w:rPr>
        <w:tab/>
        <w:t>Choudhary  C, Kumar  C, Gnad  F, Nielsen  ML, Rehman  M, Walther  TC, et al. Lysine acetylation targets protein complexes and co-regulates major  cellular functions. Science. 2009;325(5942):834-40.</w:t>
      </w:r>
      <w:bookmarkEnd w:id="202"/>
    </w:p>
    <w:p w:rsidR="00AB7E17" w:rsidRPr="003512B8" w:rsidRDefault="00AB7E17" w:rsidP="00AB7E17">
      <w:pPr>
        <w:spacing w:after="0" w:line="240" w:lineRule="auto"/>
        <w:jc w:val="both"/>
        <w:rPr>
          <w:rFonts w:ascii="Calibri" w:hAnsi="Calibri"/>
          <w:b/>
          <w:noProof/>
          <w:sz w:val="16"/>
          <w:szCs w:val="16"/>
        </w:rPr>
      </w:pPr>
      <w:bookmarkStart w:id="203" w:name="_ENREF_65"/>
      <w:r w:rsidRPr="003512B8">
        <w:rPr>
          <w:rFonts w:ascii="Calibri" w:hAnsi="Calibri"/>
          <w:b/>
          <w:noProof/>
          <w:sz w:val="16"/>
          <w:szCs w:val="16"/>
        </w:rPr>
        <w:t>65.</w:t>
      </w:r>
      <w:r w:rsidRPr="003512B8">
        <w:rPr>
          <w:rFonts w:ascii="Calibri" w:hAnsi="Calibri"/>
          <w:b/>
          <w:noProof/>
          <w:sz w:val="16"/>
          <w:szCs w:val="16"/>
        </w:rPr>
        <w:tab/>
        <w:t>Crosby H, Escalante-Semerena J. The acetylation motif in AMP-forming acyl-CoA synthetases contains residues critical for acetylation and recognition by the protein acetyltransferase Pat of Rhodopseudomonas palustris. J Bacteriol. 2014:1496-504.</w:t>
      </w:r>
      <w:bookmarkEnd w:id="203"/>
    </w:p>
    <w:p w:rsidR="00AB7E17" w:rsidRPr="003512B8" w:rsidRDefault="00AB7E17" w:rsidP="00AB7E17">
      <w:pPr>
        <w:spacing w:after="0" w:line="240" w:lineRule="auto"/>
        <w:jc w:val="both"/>
        <w:rPr>
          <w:rFonts w:ascii="Calibri" w:hAnsi="Calibri"/>
          <w:b/>
          <w:noProof/>
          <w:sz w:val="16"/>
          <w:szCs w:val="16"/>
        </w:rPr>
      </w:pPr>
      <w:bookmarkStart w:id="204" w:name="_ENREF_66"/>
      <w:r w:rsidRPr="003512B8">
        <w:rPr>
          <w:rFonts w:ascii="Calibri" w:hAnsi="Calibri"/>
          <w:b/>
          <w:noProof/>
          <w:sz w:val="16"/>
          <w:szCs w:val="16"/>
        </w:rPr>
        <w:lastRenderedPageBreak/>
        <w:t>66.</w:t>
      </w:r>
      <w:r w:rsidRPr="003512B8">
        <w:rPr>
          <w:rFonts w:ascii="Calibri" w:hAnsi="Calibri"/>
          <w:b/>
          <w:noProof/>
          <w:sz w:val="16"/>
          <w:szCs w:val="16"/>
        </w:rPr>
        <w:tab/>
        <w:t>Lv L, Li D, Zhao D, Lin R, Chu Y, Zhang H, et al. Acetylation targets the M2 isoform of pyruvate kinase for degradation through chaperone-mediated autophagy and promotes tumor growth. Mol Cell. 2011;42(6):719-30.</w:t>
      </w:r>
      <w:bookmarkEnd w:id="204"/>
    </w:p>
    <w:p w:rsidR="00AB7E17" w:rsidRPr="003512B8" w:rsidRDefault="00AB7E17" w:rsidP="00AB7E17">
      <w:pPr>
        <w:spacing w:after="0" w:line="240" w:lineRule="auto"/>
        <w:jc w:val="both"/>
        <w:rPr>
          <w:rFonts w:ascii="Calibri" w:hAnsi="Calibri"/>
          <w:b/>
          <w:noProof/>
          <w:sz w:val="16"/>
          <w:szCs w:val="16"/>
        </w:rPr>
      </w:pPr>
      <w:bookmarkStart w:id="205" w:name="_ENREF_67"/>
      <w:r w:rsidRPr="003512B8">
        <w:rPr>
          <w:rFonts w:ascii="Calibri" w:hAnsi="Calibri"/>
          <w:b/>
          <w:noProof/>
          <w:sz w:val="16"/>
          <w:szCs w:val="16"/>
        </w:rPr>
        <w:t>67.</w:t>
      </w:r>
      <w:r w:rsidRPr="003512B8">
        <w:rPr>
          <w:rFonts w:ascii="Calibri" w:hAnsi="Calibri"/>
          <w:b/>
          <w:noProof/>
          <w:sz w:val="16"/>
          <w:szCs w:val="16"/>
        </w:rPr>
        <w:tab/>
        <w:t>Lin Y, Lu J, Zhang J, Walter W, Dang W, Wan J, et al. Protein acetylation microarray reveals that NuA4 controls key metabolic target regulating gluconeogenesis. Cell. 2009;136(6):1073-84.</w:t>
      </w:r>
      <w:bookmarkEnd w:id="205"/>
    </w:p>
    <w:p w:rsidR="00AB7E17" w:rsidRPr="003512B8" w:rsidRDefault="00AB7E17" w:rsidP="00AB7E17">
      <w:pPr>
        <w:spacing w:after="0" w:line="240" w:lineRule="auto"/>
        <w:jc w:val="both"/>
        <w:rPr>
          <w:rFonts w:ascii="Calibri" w:hAnsi="Calibri"/>
          <w:b/>
          <w:noProof/>
          <w:sz w:val="16"/>
          <w:szCs w:val="16"/>
        </w:rPr>
      </w:pPr>
      <w:bookmarkStart w:id="206" w:name="_ENREF_68"/>
      <w:r w:rsidRPr="003512B8">
        <w:rPr>
          <w:rFonts w:ascii="Calibri" w:hAnsi="Calibri"/>
          <w:b/>
          <w:noProof/>
          <w:sz w:val="16"/>
          <w:szCs w:val="16"/>
        </w:rPr>
        <w:t>68.</w:t>
      </w:r>
      <w:r w:rsidRPr="003512B8">
        <w:rPr>
          <w:rFonts w:ascii="Calibri" w:hAnsi="Calibri"/>
          <w:b/>
          <w:noProof/>
          <w:sz w:val="16"/>
          <w:szCs w:val="16"/>
        </w:rPr>
        <w:tab/>
        <w:t>Jiang W, Wang S, Xiao M, Lin Y, Zhou L, Lei Q, et al. Acetylation regulates gluconeogenesis by promoting PEPCK1 degradation via recruiting the UBR5 ubiquitin ligase. Mol Cell. 2011;43(1):33-44.</w:t>
      </w:r>
      <w:bookmarkEnd w:id="206"/>
    </w:p>
    <w:p w:rsidR="00AB7E17" w:rsidRPr="003512B8" w:rsidRDefault="00AB7E17" w:rsidP="00AB7E17">
      <w:pPr>
        <w:spacing w:after="0" w:line="240" w:lineRule="auto"/>
        <w:jc w:val="both"/>
        <w:rPr>
          <w:rFonts w:ascii="Calibri" w:hAnsi="Calibri"/>
          <w:b/>
          <w:noProof/>
          <w:sz w:val="16"/>
          <w:szCs w:val="16"/>
        </w:rPr>
      </w:pPr>
      <w:bookmarkStart w:id="207" w:name="_ENREF_69"/>
      <w:r w:rsidRPr="003512B8">
        <w:rPr>
          <w:rFonts w:ascii="Calibri" w:hAnsi="Calibri"/>
          <w:b/>
          <w:noProof/>
          <w:sz w:val="16"/>
          <w:szCs w:val="16"/>
        </w:rPr>
        <w:t>69.</w:t>
      </w:r>
      <w:r w:rsidRPr="003512B8">
        <w:rPr>
          <w:rFonts w:ascii="Calibri" w:hAnsi="Calibri"/>
          <w:b/>
          <w:noProof/>
          <w:sz w:val="16"/>
          <w:szCs w:val="16"/>
        </w:rPr>
        <w:tab/>
        <w:t>Zhao D, Zou S, Liu Y, Zhou X, Mo Y, Wang P, et al. Lysine-5 acetylation negatively regulates lactate dehydrogenase A and is decreased in pancreatic cancer. Cancer Cell. 2013;23(4):464-76.</w:t>
      </w:r>
      <w:bookmarkEnd w:id="207"/>
    </w:p>
    <w:p w:rsidR="00AB7E17" w:rsidRPr="003512B8" w:rsidRDefault="00AB7E17" w:rsidP="00AB7E17">
      <w:pPr>
        <w:spacing w:after="0" w:line="240" w:lineRule="auto"/>
        <w:jc w:val="both"/>
        <w:rPr>
          <w:rFonts w:ascii="Calibri" w:hAnsi="Calibri"/>
          <w:b/>
          <w:noProof/>
          <w:sz w:val="16"/>
          <w:szCs w:val="16"/>
        </w:rPr>
      </w:pPr>
      <w:bookmarkStart w:id="208" w:name="_ENREF_70"/>
      <w:r w:rsidRPr="003512B8">
        <w:rPr>
          <w:rFonts w:ascii="Calibri" w:hAnsi="Calibri"/>
          <w:b/>
          <w:noProof/>
          <w:sz w:val="16"/>
          <w:szCs w:val="16"/>
        </w:rPr>
        <w:t>70.</w:t>
      </w:r>
      <w:r w:rsidRPr="003512B8">
        <w:rPr>
          <w:rFonts w:ascii="Calibri" w:hAnsi="Calibri"/>
          <w:b/>
          <w:noProof/>
          <w:sz w:val="16"/>
          <w:szCs w:val="16"/>
        </w:rPr>
        <w:tab/>
        <w:t>Wirth M, Karaca S, Wenzel D, Ho L, Tishkoff D, Lombard D, et al. Mitochondrial SIRT4-type proteins in Caenorhabditis elegans and mammals interact with pyruvate carboxylase and other acetylated biotin-dependent carboxylases. Mitochondrion. 2013;13(6):705-20.</w:t>
      </w:r>
      <w:bookmarkEnd w:id="208"/>
    </w:p>
    <w:p w:rsidR="00AB7E17" w:rsidRPr="003512B8" w:rsidRDefault="00AB7E17" w:rsidP="00AB7E17">
      <w:pPr>
        <w:spacing w:after="0" w:line="240" w:lineRule="auto"/>
        <w:jc w:val="both"/>
        <w:rPr>
          <w:rFonts w:ascii="Calibri" w:hAnsi="Calibri"/>
          <w:b/>
          <w:noProof/>
          <w:sz w:val="16"/>
          <w:szCs w:val="16"/>
        </w:rPr>
      </w:pPr>
      <w:bookmarkStart w:id="209" w:name="_ENREF_71"/>
      <w:r w:rsidRPr="003512B8">
        <w:rPr>
          <w:rFonts w:ascii="Calibri" w:hAnsi="Calibri"/>
          <w:b/>
          <w:noProof/>
          <w:sz w:val="16"/>
          <w:szCs w:val="16"/>
        </w:rPr>
        <w:t>71.</w:t>
      </w:r>
      <w:r w:rsidRPr="003512B8">
        <w:rPr>
          <w:rFonts w:ascii="Calibri" w:hAnsi="Calibri"/>
          <w:b/>
          <w:noProof/>
          <w:sz w:val="16"/>
          <w:szCs w:val="16"/>
        </w:rPr>
        <w:tab/>
        <w:t>Monti M, Orrù S, Pagnozzi D, Pucci P. Functional proteomics. Clin Chim Acta. 2005;357(2):140-50.</w:t>
      </w:r>
      <w:bookmarkEnd w:id="209"/>
    </w:p>
    <w:p w:rsidR="00AB7E17" w:rsidRPr="003512B8" w:rsidRDefault="00AB7E17" w:rsidP="00AB7E17">
      <w:pPr>
        <w:spacing w:after="0" w:line="240" w:lineRule="auto"/>
        <w:jc w:val="both"/>
        <w:rPr>
          <w:rFonts w:ascii="Calibri" w:hAnsi="Calibri"/>
          <w:b/>
          <w:noProof/>
          <w:sz w:val="16"/>
          <w:szCs w:val="16"/>
        </w:rPr>
      </w:pPr>
      <w:bookmarkStart w:id="210" w:name="_ENREF_72"/>
      <w:r w:rsidRPr="003512B8">
        <w:rPr>
          <w:rFonts w:ascii="Calibri" w:hAnsi="Calibri"/>
          <w:b/>
          <w:noProof/>
          <w:sz w:val="16"/>
          <w:szCs w:val="16"/>
        </w:rPr>
        <w:t>72.</w:t>
      </w:r>
      <w:r w:rsidRPr="003512B8">
        <w:rPr>
          <w:rFonts w:ascii="Calibri" w:hAnsi="Calibri"/>
          <w:b/>
          <w:noProof/>
          <w:sz w:val="16"/>
          <w:szCs w:val="16"/>
        </w:rPr>
        <w:tab/>
        <w:t>Neubauer G, Gottschalk A, Fabrizio P, Seraphin B, Lurhmann R, Mann M. Identification of the proteins of the yeast U1 small nuclear ribonucleoprotein complex by mass spectrometry. Proc Natl Acad Sci U S A. 1997;94(2):385-90.</w:t>
      </w:r>
      <w:bookmarkEnd w:id="210"/>
    </w:p>
    <w:p w:rsidR="00AB7E17" w:rsidRPr="003512B8" w:rsidRDefault="00AB7E17" w:rsidP="00AB7E17">
      <w:pPr>
        <w:spacing w:after="0" w:line="240" w:lineRule="auto"/>
        <w:jc w:val="both"/>
        <w:rPr>
          <w:rFonts w:ascii="Calibri" w:hAnsi="Calibri"/>
          <w:b/>
          <w:noProof/>
          <w:sz w:val="16"/>
          <w:szCs w:val="16"/>
        </w:rPr>
      </w:pPr>
      <w:bookmarkStart w:id="211" w:name="_ENREF_73"/>
      <w:r w:rsidRPr="003512B8">
        <w:rPr>
          <w:rFonts w:ascii="Calibri" w:hAnsi="Calibri"/>
          <w:b/>
          <w:noProof/>
          <w:sz w:val="16"/>
          <w:szCs w:val="16"/>
        </w:rPr>
        <w:t>73.</w:t>
      </w:r>
      <w:r w:rsidRPr="003512B8">
        <w:rPr>
          <w:rFonts w:ascii="Calibri" w:hAnsi="Calibri"/>
          <w:b/>
          <w:noProof/>
          <w:sz w:val="16"/>
          <w:szCs w:val="16"/>
        </w:rPr>
        <w:tab/>
        <w:t>Shevchenko A, Keller P, Scheiffele P, Mann M, Simons K. Identification of components of trans-Golgi network-derived transport vesicles and detergent-insoluble complexes by nanoelectrospray tandem mass spectrometry. Electrophoresis. 1997;18(14):2591-600.</w:t>
      </w:r>
      <w:bookmarkEnd w:id="211"/>
    </w:p>
    <w:p w:rsidR="00AB7E17" w:rsidRPr="003512B8" w:rsidRDefault="00AB7E17" w:rsidP="00AB7E17">
      <w:pPr>
        <w:spacing w:after="0" w:line="240" w:lineRule="auto"/>
        <w:jc w:val="both"/>
        <w:rPr>
          <w:rFonts w:ascii="Calibri" w:hAnsi="Calibri"/>
          <w:b/>
          <w:noProof/>
          <w:sz w:val="16"/>
          <w:szCs w:val="16"/>
        </w:rPr>
      </w:pPr>
      <w:bookmarkStart w:id="212" w:name="_ENREF_74"/>
      <w:r w:rsidRPr="003512B8">
        <w:rPr>
          <w:rFonts w:ascii="Calibri" w:hAnsi="Calibri"/>
          <w:b/>
          <w:noProof/>
          <w:sz w:val="16"/>
          <w:szCs w:val="16"/>
        </w:rPr>
        <w:t>74.</w:t>
      </w:r>
      <w:r w:rsidRPr="003512B8">
        <w:rPr>
          <w:rFonts w:ascii="Calibri" w:hAnsi="Calibri"/>
          <w:b/>
          <w:noProof/>
          <w:sz w:val="16"/>
          <w:szCs w:val="16"/>
        </w:rPr>
        <w:tab/>
        <w:t>Pandey A, Fernandez M, Steen H, Blagoev B, Nielsen M, Roche S, et al. Identification of a novel immunoreceptor tyrosine-based activation motif-containing molecule, STAM2, by mass spectrometry and its involvement in growth factor and cytokine receptor signaling pathways. J Biol Chem. 2000;275(49):38633-9.</w:t>
      </w:r>
      <w:bookmarkEnd w:id="212"/>
    </w:p>
    <w:p w:rsidR="00AB7E17" w:rsidRPr="003512B8" w:rsidRDefault="00AB7E17" w:rsidP="00AB7E17">
      <w:pPr>
        <w:spacing w:after="0" w:line="240" w:lineRule="auto"/>
        <w:jc w:val="both"/>
        <w:rPr>
          <w:rFonts w:ascii="Calibri" w:hAnsi="Calibri"/>
          <w:b/>
          <w:noProof/>
          <w:sz w:val="16"/>
          <w:szCs w:val="16"/>
        </w:rPr>
      </w:pPr>
      <w:bookmarkStart w:id="213" w:name="_ENREF_75"/>
      <w:r w:rsidRPr="003512B8">
        <w:rPr>
          <w:rFonts w:ascii="Calibri" w:hAnsi="Calibri"/>
          <w:b/>
          <w:noProof/>
          <w:sz w:val="16"/>
          <w:szCs w:val="16"/>
        </w:rPr>
        <w:t>75.</w:t>
      </w:r>
      <w:r w:rsidRPr="003512B8">
        <w:rPr>
          <w:rFonts w:ascii="Calibri" w:hAnsi="Calibri"/>
          <w:b/>
          <w:noProof/>
          <w:sz w:val="16"/>
          <w:szCs w:val="16"/>
        </w:rPr>
        <w:tab/>
        <w:t>Hinsby A, Olsen J, Bennett K, Mann M. Signaling initiated by overexpression of the fibroblast growth factor receptor-1 investigated by mass spectrometry. Mol Cell Proteomics. 2003;2(1):29-36.</w:t>
      </w:r>
      <w:bookmarkEnd w:id="213"/>
    </w:p>
    <w:p w:rsidR="00AB7E17" w:rsidRPr="003512B8" w:rsidRDefault="00AB7E17" w:rsidP="00AB7E17">
      <w:pPr>
        <w:spacing w:after="0" w:line="240" w:lineRule="auto"/>
        <w:jc w:val="both"/>
        <w:rPr>
          <w:rFonts w:ascii="Calibri" w:hAnsi="Calibri"/>
          <w:b/>
          <w:noProof/>
          <w:sz w:val="16"/>
          <w:szCs w:val="16"/>
        </w:rPr>
      </w:pPr>
      <w:bookmarkStart w:id="214" w:name="_ENREF_76"/>
      <w:r w:rsidRPr="003512B8">
        <w:rPr>
          <w:rFonts w:ascii="Calibri" w:hAnsi="Calibri"/>
          <w:b/>
          <w:noProof/>
          <w:sz w:val="16"/>
          <w:szCs w:val="16"/>
        </w:rPr>
        <w:t>76.</w:t>
      </w:r>
      <w:r w:rsidRPr="003512B8">
        <w:rPr>
          <w:rFonts w:ascii="Calibri" w:hAnsi="Calibri"/>
          <w:b/>
          <w:noProof/>
          <w:sz w:val="16"/>
          <w:szCs w:val="16"/>
        </w:rPr>
        <w:tab/>
        <w:t>Godovac-Zimmermann J, Brown L. Perspectives for mass spectrometry and functional proteomics. Mass Spectrom Rev. 2001;20(1):1-57.</w:t>
      </w:r>
      <w:bookmarkEnd w:id="214"/>
    </w:p>
    <w:p w:rsidR="00AB7E17" w:rsidRPr="003512B8" w:rsidRDefault="00AB7E17" w:rsidP="00AB7E17">
      <w:pPr>
        <w:spacing w:after="0" w:line="240" w:lineRule="auto"/>
        <w:jc w:val="both"/>
        <w:rPr>
          <w:rFonts w:ascii="Calibri" w:hAnsi="Calibri"/>
          <w:b/>
          <w:noProof/>
          <w:sz w:val="16"/>
          <w:szCs w:val="16"/>
        </w:rPr>
      </w:pPr>
      <w:bookmarkStart w:id="215" w:name="_ENREF_77"/>
      <w:r w:rsidRPr="003512B8">
        <w:rPr>
          <w:rFonts w:ascii="Calibri" w:hAnsi="Calibri"/>
          <w:b/>
          <w:noProof/>
          <w:sz w:val="16"/>
          <w:szCs w:val="16"/>
        </w:rPr>
        <w:t>77.</w:t>
      </w:r>
      <w:r w:rsidRPr="003512B8">
        <w:rPr>
          <w:rFonts w:ascii="Calibri" w:hAnsi="Calibri"/>
          <w:b/>
          <w:noProof/>
          <w:sz w:val="16"/>
          <w:szCs w:val="16"/>
        </w:rPr>
        <w:tab/>
        <w:t>Chen W, Kang S, Lubec G. Protein profiling by the combination of two independent mass spectrometry techniques. Nat Protoc. 2006;1(3):1446-52.</w:t>
      </w:r>
      <w:bookmarkEnd w:id="215"/>
    </w:p>
    <w:p w:rsidR="00AB7E17" w:rsidRPr="003512B8" w:rsidRDefault="00AB7E17" w:rsidP="00AB7E17">
      <w:pPr>
        <w:spacing w:after="0" w:line="240" w:lineRule="auto"/>
        <w:jc w:val="both"/>
        <w:rPr>
          <w:rFonts w:ascii="Calibri" w:hAnsi="Calibri"/>
          <w:b/>
          <w:noProof/>
          <w:sz w:val="16"/>
          <w:szCs w:val="16"/>
        </w:rPr>
      </w:pPr>
      <w:bookmarkStart w:id="216" w:name="_ENREF_78"/>
      <w:r w:rsidRPr="003512B8">
        <w:rPr>
          <w:rFonts w:ascii="Calibri" w:hAnsi="Calibri"/>
          <w:b/>
          <w:noProof/>
          <w:sz w:val="16"/>
          <w:szCs w:val="16"/>
        </w:rPr>
        <w:t>78.</w:t>
      </w:r>
      <w:r w:rsidRPr="003512B8">
        <w:rPr>
          <w:rFonts w:ascii="Calibri" w:hAnsi="Calibri"/>
          <w:b/>
          <w:noProof/>
          <w:sz w:val="16"/>
          <w:szCs w:val="16"/>
        </w:rPr>
        <w:tab/>
        <w:t>Smolka M, Zhou H, Aebersold R. Quantitative Protein Profiling Using Two-dimensional Gel Electrophoresis, Isotope-coded Affinity Tag Labeling, and Mass Spectrometry Molecular &amp; Cellular Proteomics. 2002;1(1):19-29.</w:t>
      </w:r>
      <w:bookmarkEnd w:id="216"/>
    </w:p>
    <w:p w:rsidR="00AB7E17" w:rsidRPr="003512B8" w:rsidRDefault="00AB7E17" w:rsidP="00AB7E17">
      <w:pPr>
        <w:spacing w:after="0" w:line="240" w:lineRule="auto"/>
        <w:jc w:val="both"/>
        <w:rPr>
          <w:rFonts w:ascii="Calibri" w:hAnsi="Calibri"/>
          <w:b/>
          <w:noProof/>
          <w:sz w:val="16"/>
          <w:szCs w:val="16"/>
        </w:rPr>
      </w:pPr>
      <w:bookmarkStart w:id="217" w:name="_ENREF_79"/>
      <w:r w:rsidRPr="003512B8">
        <w:rPr>
          <w:rFonts w:ascii="Calibri" w:hAnsi="Calibri"/>
          <w:b/>
          <w:noProof/>
          <w:sz w:val="16"/>
          <w:szCs w:val="16"/>
        </w:rPr>
        <w:t>79.</w:t>
      </w:r>
      <w:r w:rsidRPr="003512B8">
        <w:rPr>
          <w:rFonts w:ascii="Calibri" w:hAnsi="Calibri"/>
          <w:b/>
          <w:noProof/>
          <w:sz w:val="16"/>
          <w:szCs w:val="16"/>
        </w:rPr>
        <w:tab/>
        <w:t>Lengqvist J, Sandberg A. Stable isotope labeling methods in protein profiling. Methods Mol Biol. 2013;1023:21-51.</w:t>
      </w:r>
      <w:bookmarkEnd w:id="217"/>
    </w:p>
    <w:p w:rsidR="00AB7E17" w:rsidRPr="003512B8" w:rsidRDefault="00AB7E17" w:rsidP="00AB7E17">
      <w:pPr>
        <w:spacing w:after="0" w:line="240" w:lineRule="auto"/>
        <w:jc w:val="both"/>
        <w:rPr>
          <w:rFonts w:ascii="Calibri" w:hAnsi="Calibri"/>
          <w:b/>
          <w:noProof/>
          <w:sz w:val="16"/>
          <w:szCs w:val="16"/>
        </w:rPr>
      </w:pPr>
      <w:bookmarkStart w:id="218" w:name="_ENREF_80"/>
      <w:r w:rsidRPr="003512B8">
        <w:rPr>
          <w:rFonts w:ascii="Calibri" w:hAnsi="Calibri"/>
          <w:b/>
          <w:noProof/>
          <w:sz w:val="16"/>
          <w:szCs w:val="16"/>
        </w:rPr>
        <w:t>80.</w:t>
      </w:r>
      <w:r w:rsidRPr="003512B8">
        <w:rPr>
          <w:rFonts w:ascii="Calibri" w:hAnsi="Calibri"/>
          <w:b/>
          <w:noProof/>
          <w:sz w:val="16"/>
          <w:szCs w:val="16"/>
        </w:rPr>
        <w:tab/>
        <w:t>Kim S, Sprung R, Chen Y, Xu Y, Ball H, Pei J, et al. Substrate and Functional Diversity Resource of Lysine Acetylation Revealed by a Proteomics Survey Molecular Cell. 2006;23(607-618).</w:t>
      </w:r>
      <w:bookmarkEnd w:id="218"/>
    </w:p>
    <w:p w:rsidR="00AB7E17" w:rsidRPr="003512B8" w:rsidRDefault="00AB7E17" w:rsidP="00AB7E17">
      <w:pPr>
        <w:spacing w:after="0" w:line="240" w:lineRule="auto"/>
        <w:jc w:val="both"/>
        <w:rPr>
          <w:rFonts w:ascii="Calibri" w:hAnsi="Calibri"/>
          <w:b/>
          <w:noProof/>
          <w:sz w:val="16"/>
          <w:szCs w:val="16"/>
        </w:rPr>
      </w:pPr>
      <w:bookmarkStart w:id="219" w:name="_ENREF_81"/>
      <w:r w:rsidRPr="003512B8">
        <w:rPr>
          <w:rFonts w:ascii="Calibri" w:hAnsi="Calibri"/>
          <w:b/>
          <w:noProof/>
          <w:sz w:val="16"/>
          <w:szCs w:val="16"/>
        </w:rPr>
        <w:t>81.</w:t>
      </w:r>
      <w:r w:rsidRPr="003512B8">
        <w:rPr>
          <w:rFonts w:ascii="Calibri" w:hAnsi="Calibri"/>
          <w:b/>
          <w:noProof/>
          <w:sz w:val="16"/>
          <w:szCs w:val="16"/>
        </w:rPr>
        <w:tab/>
        <w:t>Schwer B, Eckersdorff M, Li Y, Silva J, Fermin D, Kurtev M, et al. Calorie restriction alters mitochondrial protein acetylation. Aging Cell. 2009;8(5):604-6.</w:t>
      </w:r>
      <w:bookmarkEnd w:id="219"/>
    </w:p>
    <w:p w:rsidR="00AB7E17" w:rsidRPr="003512B8" w:rsidRDefault="00AB7E17" w:rsidP="00AB7E17">
      <w:pPr>
        <w:spacing w:after="0" w:line="240" w:lineRule="auto"/>
        <w:jc w:val="both"/>
        <w:rPr>
          <w:rFonts w:ascii="Calibri" w:hAnsi="Calibri"/>
          <w:b/>
          <w:noProof/>
          <w:sz w:val="16"/>
          <w:szCs w:val="16"/>
        </w:rPr>
      </w:pPr>
      <w:bookmarkStart w:id="220" w:name="_ENREF_82"/>
      <w:r w:rsidRPr="003512B8">
        <w:rPr>
          <w:rFonts w:ascii="Calibri" w:hAnsi="Calibri"/>
          <w:b/>
          <w:noProof/>
          <w:sz w:val="16"/>
          <w:szCs w:val="16"/>
        </w:rPr>
        <w:t>82.</w:t>
      </w:r>
      <w:r w:rsidRPr="003512B8">
        <w:rPr>
          <w:rFonts w:ascii="Calibri" w:hAnsi="Calibri"/>
          <w:b/>
          <w:noProof/>
          <w:sz w:val="16"/>
          <w:szCs w:val="16"/>
        </w:rPr>
        <w:tab/>
        <w:t xml:space="preserve">Shevade S, Jindal N, Dutta S, Jarori G. Food vacuole associated enolase in </w:t>
      </w:r>
      <w:r w:rsidRPr="003512B8">
        <w:rPr>
          <w:rFonts w:ascii="Calibri" w:hAnsi="Calibri"/>
          <w:b/>
          <w:i/>
          <w:noProof/>
          <w:sz w:val="16"/>
          <w:szCs w:val="16"/>
        </w:rPr>
        <w:t>Plasmodium</w:t>
      </w:r>
      <w:r w:rsidRPr="003512B8">
        <w:rPr>
          <w:rFonts w:ascii="Calibri" w:hAnsi="Calibri"/>
          <w:b/>
          <w:noProof/>
          <w:sz w:val="16"/>
          <w:szCs w:val="16"/>
        </w:rPr>
        <w:t xml:space="preserve"> undergoes multiple post-translational modifications: evidence for atypical ubiquitination. PLoS One. 2013;8(8):doi: 10.1371/journal.pone.0072687.</w:t>
      </w:r>
      <w:bookmarkEnd w:id="220"/>
    </w:p>
    <w:p w:rsidR="00AB7E17" w:rsidRPr="003512B8" w:rsidRDefault="00AB7E17" w:rsidP="00AB7E17">
      <w:pPr>
        <w:spacing w:after="0" w:line="240" w:lineRule="auto"/>
        <w:jc w:val="both"/>
        <w:rPr>
          <w:rFonts w:ascii="Calibri" w:hAnsi="Calibri"/>
          <w:b/>
          <w:noProof/>
          <w:sz w:val="16"/>
          <w:szCs w:val="16"/>
        </w:rPr>
      </w:pPr>
      <w:bookmarkStart w:id="221" w:name="_ENREF_83"/>
      <w:r w:rsidRPr="003512B8">
        <w:rPr>
          <w:rFonts w:ascii="Calibri" w:hAnsi="Calibri"/>
          <w:b/>
          <w:noProof/>
          <w:sz w:val="16"/>
          <w:szCs w:val="16"/>
        </w:rPr>
        <w:t>83.</w:t>
      </w:r>
      <w:r w:rsidRPr="003512B8">
        <w:rPr>
          <w:rFonts w:ascii="Calibri" w:hAnsi="Calibri"/>
          <w:b/>
          <w:noProof/>
          <w:sz w:val="16"/>
          <w:szCs w:val="16"/>
        </w:rPr>
        <w:tab/>
        <w:t>Wang Y, Tsai C, Hong T, Tsou C, Lin P, Pan S, et al. An informatics-assisted label-free quantitation strategy that depicts phosphoproteomic profiles in lung cancer cell invasion. J Proteome Res. 2010;9(11):doi: 10.1021/pr100394u.</w:t>
      </w:r>
      <w:bookmarkEnd w:id="221"/>
    </w:p>
    <w:p w:rsidR="00AB7E17" w:rsidRPr="003512B8" w:rsidRDefault="00AB7E17" w:rsidP="00AB7E17">
      <w:pPr>
        <w:spacing w:after="0" w:line="240" w:lineRule="auto"/>
        <w:jc w:val="both"/>
        <w:rPr>
          <w:rFonts w:ascii="Calibri" w:hAnsi="Calibri"/>
          <w:b/>
          <w:noProof/>
          <w:sz w:val="16"/>
          <w:szCs w:val="16"/>
        </w:rPr>
      </w:pPr>
      <w:bookmarkStart w:id="222" w:name="_ENREF_84"/>
      <w:r w:rsidRPr="003512B8">
        <w:rPr>
          <w:rFonts w:ascii="Calibri" w:hAnsi="Calibri"/>
          <w:b/>
          <w:noProof/>
          <w:sz w:val="16"/>
          <w:szCs w:val="16"/>
        </w:rPr>
        <w:t>84.</w:t>
      </w:r>
      <w:r w:rsidRPr="003512B8">
        <w:rPr>
          <w:rFonts w:ascii="Calibri" w:hAnsi="Calibri"/>
          <w:b/>
          <w:noProof/>
          <w:sz w:val="16"/>
          <w:szCs w:val="16"/>
        </w:rPr>
        <w:tab/>
        <w:t>Zhou W, Capello M, Fredolini C, Piemonti L, Liotta L, Novelli F, et al. Mass Spectrometry Analysis of the Post-Translational Modiﬁcations of alpha-Enolase from Pancreatic Ductal Adenocarcinoma Cells  J Proteome Res. 2010;9:2929-36 </w:t>
      </w:r>
      <w:bookmarkEnd w:id="222"/>
    </w:p>
    <w:p w:rsidR="00AB7E17" w:rsidRPr="003512B8" w:rsidRDefault="00AB7E17" w:rsidP="00AB7E17">
      <w:pPr>
        <w:spacing w:after="0" w:line="240" w:lineRule="auto"/>
        <w:jc w:val="both"/>
        <w:rPr>
          <w:rFonts w:ascii="Calibri" w:hAnsi="Calibri"/>
          <w:b/>
          <w:noProof/>
          <w:sz w:val="16"/>
          <w:szCs w:val="16"/>
        </w:rPr>
      </w:pPr>
      <w:bookmarkStart w:id="223" w:name="_ENREF_85"/>
      <w:r w:rsidRPr="003512B8">
        <w:rPr>
          <w:rFonts w:ascii="Calibri" w:hAnsi="Calibri"/>
          <w:b/>
          <w:noProof/>
          <w:sz w:val="16"/>
          <w:szCs w:val="16"/>
        </w:rPr>
        <w:t>85.</w:t>
      </w:r>
      <w:r w:rsidRPr="003512B8">
        <w:rPr>
          <w:rFonts w:ascii="Calibri" w:hAnsi="Calibri"/>
          <w:b/>
          <w:noProof/>
          <w:sz w:val="16"/>
          <w:szCs w:val="16"/>
        </w:rPr>
        <w:tab/>
        <w:t>Patel V, Thalassinos K, Slade S, Connolly J, Crombie A, Murrell J, et al. A Comparison of Labeling and Label-Free Mass Spectrometry-Based Proteomics Approaches Journal of Proteome Research. 2009;8:3752–9.</w:t>
      </w:r>
      <w:bookmarkEnd w:id="223"/>
    </w:p>
    <w:p w:rsidR="00AB7E17" w:rsidRPr="003512B8" w:rsidRDefault="00AB7E17" w:rsidP="00AB7E17">
      <w:pPr>
        <w:spacing w:after="0" w:line="240" w:lineRule="auto"/>
        <w:jc w:val="both"/>
        <w:rPr>
          <w:rFonts w:ascii="Calibri" w:hAnsi="Calibri"/>
          <w:b/>
          <w:noProof/>
          <w:sz w:val="16"/>
          <w:szCs w:val="16"/>
        </w:rPr>
      </w:pPr>
      <w:bookmarkStart w:id="224" w:name="_ENREF_86"/>
      <w:r w:rsidRPr="003512B8">
        <w:rPr>
          <w:rFonts w:ascii="Calibri" w:hAnsi="Calibri"/>
          <w:b/>
          <w:noProof/>
          <w:sz w:val="16"/>
          <w:szCs w:val="16"/>
        </w:rPr>
        <w:t>86.</w:t>
      </w:r>
      <w:r w:rsidRPr="003512B8">
        <w:rPr>
          <w:rFonts w:ascii="Calibri" w:hAnsi="Calibri"/>
          <w:b/>
          <w:noProof/>
          <w:sz w:val="16"/>
          <w:szCs w:val="16"/>
        </w:rPr>
        <w:tab/>
        <w:t>Dennis G, Sherman B, Hosack D, Yang J, Gao W, Lane C, et al. DAVID: Database for Annotation, Visualization, and Integrated Discovery. Genome Biol. 2003;4(5):P3.</w:t>
      </w:r>
      <w:bookmarkEnd w:id="224"/>
    </w:p>
    <w:p w:rsidR="00AB7E17" w:rsidRPr="003512B8" w:rsidRDefault="00AB7E17" w:rsidP="00AB7E17">
      <w:pPr>
        <w:spacing w:after="0" w:line="240" w:lineRule="auto"/>
        <w:jc w:val="both"/>
        <w:rPr>
          <w:rFonts w:ascii="Calibri" w:hAnsi="Calibri"/>
          <w:b/>
          <w:noProof/>
          <w:sz w:val="16"/>
          <w:szCs w:val="16"/>
        </w:rPr>
      </w:pPr>
      <w:bookmarkStart w:id="225" w:name="_ENREF_87"/>
      <w:r w:rsidRPr="003512B8">
        <w:rPr>
          <w:rFonts w:ascii="Calibri" w:hAnsi="Calibri"/>
          <w:b/>
          <w:noProof/>
          <w:sz w:val="16"/>
          <w:szCs w:val="16"/>
        </w:rPr>
        <w:t>87.</w:t>
      </w:r>
      <w:r w:rsidRPr="003512B8">
        <w:rPr>
          <w:rFonts w:ascii="Calibri" w:hAnsi="Calibri"/>
          <w:b/>
          <w:noProof/>
          <w:sz w:val="16"/>
          <w:szCs w:val="16"/>
        </w:rPr>
        <w:tab/>
        <w:t>Stadtman E. Functional group of coenzyme A and its metabolic relations, especially in the fatty acid cycle: Discussion. Fed Proc. 1953;12(3):692-3.</w:t>
      </w:r>
      <w:bookmarkEnd w:id="225"/>
    </w:p>
    <w:p w:rsidR="00AB7E17" w:rsidRPr="003512B8" w:rsidRDefault="00AB7E17" w:rsidP="00AB7E17">
      <w:pPr>
        <w:spacing w:after="0" w:line="240" w:lineRule="auto"/>
        <w:jc w:val="both"/>
        <w:rPr>
          <w:rFonts w:ascii="Calibri" w:hAnsi="Calibri"/>
          <w:b/>
          <w:noProof/>
          <w:sz w:val="16"/>
          <w:szCs w:val="16"/>
        </w:rPr>
      </w:pPr>
      <w:bookmarkStart w:id="226" w:name="_ENREF_88"/>
      <w:r w:rsidRPr="003512B8">
        <w:rPr>
          <w:rFonts w:ascii="Calibri" w:hAnsi="Calibri"/>
          <w:b/>
          <w:noProof/>
          <w:sz w:val="16"/>
          <w:szCs w:val="16"/>
        </w:rPr>
        <w:t>88.</w:t>
      </w:r>
      <w:r w:rsidRPr="003512B8">
        <w:rPr>
          <w:rFonts w:ascii="Calibri" w:hAnsi="Calibri"/>
          <w:b/>
          <w:noProof/>
          <w:sz w:val="16"/>
          <w:szCs w:val="16"/>
        </w:rPr>
        <w:tab/>
        <w:t>Wellen K, Thompson C. A two-way street: reciprocal regulation of metabolism and signaling. Nat Rev Mol Cell Biol. 2012;13(4):270-6.</w:t>
      </w:r>
      <w:bookmarkEnd w:id="226"/>
    </w:p>
    <w:p w:rsidR="00AB7E17" w:rsidRPr="003512B8" w:rsidRDefault="00AB7E17" w:rsidP="00AB7E17">
      <w:pPr>
        <w:spacing w:after="0" w:line="240" w:lineRule="auto"/>
        <w:jc w:val="both"/>
        <w:rPr>
          <w:rFonts w:ascii="Calibri" w:hAnsi="Calibri"/>
          <w:b/>
          <w:noProof/>
          <w:sz w:val="16"/>
          <w:szCs w:val="16"/>
        </w:rPr>
      </w:pPr>
      <w:bookmarkStart w:id="227" w:name="_ENREF_89"/>
      <w:r w:rsidRPr="003512B8">
        <w:rPr>
          <w:rFonts w:ascii="Calibri" w:hAnsi="Calibri"/>
          <w:b/>
          <w:noProof/>
          <w:sz w:val="16"/>
          <w:szCs w:val="16"/>
        </w:rPr>
        <w:t>89.</w:t>
      </w:r>
      <w:r w:rsidRPr="003512B8">
        <w:rPr>
          <w:rFonts w:ascii="Calibri" w:hAnsi="Calibri"/>
          <w:b/>
          <w:noProof/>
          <w:sz w:val="16"/>
          <w:szCs w:val="16"/>
        </w:rPr>
        <w:tab/>
        <w:t>Xiong Y, Lei Q, Zhao S, Guan K. Regulation of glycolysis and gluconeogenesis by acetylation of PKM and PEPCK. Cold Spring Harb Symp Quant Biol. 2011;76(285-289).</w:t>
      </w:r>
      <w:bookmarkEnd w:id="227"/>
    </w:p>
    <w:p w:rsidR="00AB7E17" w:rsidRPr="003512B8" w:rsidRDefault="00AB7E17" w:rsidP="00AB7E17">
      <w:pPr>
        <w:spacing w:after="0" w:line="240" w:lineRule="auto"/>
        <w:jc w:val="both"/>
        <w:rPr>
          <w:rFonts w:ascii="Calibri" w:hAnsi="Calibri"/>
          <w:b/>
          <w:noProof/>
          <w:sz w:val="16"/>
          <w:szCs w:val="16"/>
        </w:rPr>
      </w:pPr>
      <w:bookmarkStart w:id="228" w:name="_ENREF_90"/>
      <w:r w:rsidRPr="003512B8">
        <w:rPr>
          <w:rFonts w:ascii="Calibri" w:hAnsi="Calibri"/>
          <w:b/>
          <w:noProof/>
          <w:sz w:val="16"/>
          <w:szCs w:val="16"/>
        </w:rPr>
        <w:t>90.</w:t>
      </w:r>
      <w:r w:rsidRPr="003512B8">
        <w:rPr>
          <w:rFonts w:ascii="Calibri" w:hAnsi="Calibri"/>
          <w:b/>
          <w:noProof/>
          <w:sz w:val="16"/>
          <w:szCs w:val="16"/>
        </w:rPr>
        <w:tab/>
        <w:t>Lea M, Randolph V. Induction of reporter gene expression by inhibitors of histone deacytilase. Anticancer Res. 1998;18(4A):2717-22.</w:t>
      </w:r>
      <w:bookmarkEnd w:id="228"/>
    </w:p>
    <w:p w:rsidR="00AB7E17" w:rsidRPr="003512B8" w:rsidRDefault="00AB7E17" w:rsidP="00AB7E17">
      <w:pPr>
        <w:spacing w:after="0" w:line="240" w:lineRule="auto"/>
        <w:jc w:val="both"/>
        <w:rPr>
          <w:rFonts w:ascii="Calibri" w:hAnsi="Calibri"/>
          <w:b/>
          <w:noProof/>
          <w:sz w:val="16"/>
          <w:szCs w:val="16"/>
        </w:rPr>
      </w:pPr>
      <w:bookmarkStart w:id="229" w:name="_ENREF_91"/>
      <w:r w:rsidRPr="003512B8">
        <w:rPr>
          <w:rFonts w:ascii="Calibri" w:hAnsi="Calibri"/>
          <w:b/>
          <w:noProof/>
          <w:sz w:val="16"/>
          <w:szCs w:val="16"/>
        </w:rPr>
        <w:t>91.</w:t>
      </w:r>
      <w:r w:rsidRPr="003512B8">
        <w:rPr>
          <w:rFonts w:ascii="Calibri" w:hAnsi="Calibri"/>
          <w:b/>
          <w:noProof/>
          <w:sz w:val="16"/>
          <w:szCs w:val="16"/>
        </w:rPr>
        <w:tab/>
        <w:t>Kung C, Hixon J, Choe S, Marks K, Gross S, Murphy E, et al. Small Molecule Activation of PKM2 in Cancer Cells Induces Serine Auxotrophy. Chem Biol. 2012;19(9):1187-98.</w:t>
      </w:r>
      <w:bookmarkEnd w:id="229"/>
    </w:p>
    <w:p w:rsidR="00AB7E17" w:rsidRPr="003512B8" w:rsidRDefault="00AB7E17" w:rsidP="00AB7E17">
      <w:pPr>
        <w:spacing w:after="0" w:line="240" w:lineRule="auto"/>
        <w:jc w:val="both"/>
        <w:rPr>
          <w:rFonts w:ascii="Calibri" w:hAnsi="Calibri"/>
          <w:b/>
          <w:noProof/>
          <w:sz w:val="16"/>
          <w:szCs w:val="16"/>
        </w:rPr>
      </w:pPr>
      <w:bookmarkStart w:id="230" w:name="_ENREF_92"/>
      <w:r w:rsidRPr="003512B8">
        <w:rPr>
          <w:rFonts w:ascii="Calibri" w:hAnsi="Calibri"/>
          <w:b/>
          <w:noProof/>
          <w:sz w:val="16"/>
          <w:szCs w:val="16"/>
        </w:rPr>
        <w:t>92.</w:t>
      </w:r>
      <w:r w:rsidRPr="003512B8">
        <w:rPr>
          <w:rFonts w:ascii="Calibri" w:hAnsi="Calibri"/>
          <w:b/>
          <w:noProof/>
          <w:sz w:val="16"/>
          <w:szCs w:val="16"/>
        </w:rPr>
        <w:tab/>
        <w:t>Jahns F, Wilhelm A, Greulich K, Mothes H, Radeva M, Wölfert A, et al. Impact of butyrate on PKM2 and HSP90β expression in human colon tissues of different transformation stages: a comparison fo gene and protein data. Genes Nutr. 2012;7(2):235-46.</w:t>
      </w:r>
      <w:bookmarkEnd w:id="230"/>
    </w:p>
    <w:p w:rsidR="00AB7E17" w:rsidRPr="003512B8" w:rsidRDefault="00AB7E17" w:rsidP="00AB7E17">
      <w:pPr>
        <w:spacing w:after="0" w:line="240" w:lineRule="auto"/>
        <w:jc w:val="both"/>
        <w:rPr>
          <w:rFonts w:ascii="Calibri" w:hAnsi="Calibri"/>
          <w:b/>
          <w:noProof/>
          <w:sz w:val="16"/>
          <w:szCs w:val="16"/>
        </w:rPr>
      </w:pPr>
      <w:bookmarkStart w:id="231" w:name="_ENREF_93"/>
      <w:r w:rsidRPr="003512B8">
        <w:rPr>
          <w:rFonts w:ascii="Calibri" w:hAnsi="Calibri"/>
          <w:b/>
          <w:noProof/>
          <w:sz w:val="16"/>
          <w:szCs w:val="16"/>
        </w:rPr>
        <w:t>93.</w:t>
      </w:r>
      <w:r w:rsidRPr="003512B8">
        <w:rPr>
          <w:rFonts w:ascii="Calibri" w:hAnsi="Calibri"/>
          <w:b/>
          <w:noProof/>
          <w:sz w:val="16"/>
          <w:szCs w:val="16"/>
        </w:rPr>
        <w:tab/>
        <w:t>Steták A, Veress R, Ovádi J, Csermely P, Kéri G, Ullrich A. Nuclear translocation of the tumor marker pyruvate kinase M2 induces programmed cell death Cancer Res. 2007;67(4):1602-8.</w:t>
      </w:r>
      <w:bookmarkEnd w:id="231"/>
    </w:p>
    <w:p w:rsidR="00AB7E17" w:rsidRPr="003512B8" w:rsidRDefault="00AB7E17" w:rsidP="00AB7E17">
      <w:pPr>
        <w:spacing w:after="0" w:line="240" w:lineRule="auto"/>
        <w:jc w:val="both"/>
        <w:rPr>
          <w:rFonts w:ascii="Calibri" w:hAnsi="Calibri"/>
          <w:b/>
          <w:noProof/>
          <w:sz w:val="16"/>
          <w:szCs w:val="16"/>
          <w:lang w:val="es-MX"/>
        </w:rPr>
      </w:pPr>
      <w:bookmarkStart w:id="232" w:name="_ENREF_94"/>
      <w:r w:rsidRPr="003512B8">
        <w:rPr>
          <w:rFonts w:ascii="Calibri" w:hAnsi="Calibri"/>
          <w:b/>
          <w:noProof/>
          <w:sz w:val="16"/>
          <w:szCs w:val="16"/>
        </w:rPr>
        <w:t>94.</w:t>
      </w:r>
      <w:r w:rsidRPr="003512B8">
        <w:rPr>
          <w:rFonts w:ascii="Calibri" w:hAnsi="Calibri"/>
          <w:b/>
          <w:noProof/>
          <w:sz w:val="16"/>
          <w:szCs w:val="16"/>
        </w:rPr>
        <w:tab/>
        <w:t xml:space="preserve">Luo W, Semenza G. Emerging roles of PKM2 in cell metabolism and cancer progression. </w:t>
      </w:r>
      <w:r w:rsidRPr="003512B8">
        <w:rPr>
          <w:rFonts w:ascii="Calibri" w:hAnsi="Calibri"/>
          <w:b/>
          <w:noProof/>
          <w:sz w:val="16"/>
          <w:szCs w:val="16"/>
          <w:lang w:val="es-MX"/>
        </w:rPr>
        <w:t>Trends Endocrinol Metab. 2012;23(11):560-6.</w:t>
      </w:r>
      <w:bookmarkEnd w:id="232"/>
    </w:p>
    <w:p w:rsidR="00AB7E17" w:rsidRPr="003512B8" w:rsidRDefault="00AB7E17" w:rsidP="00AB7E17">
      <w:pPr>
        <w:spacing w:after="0" w:line="240" w:lineRule="auto"/>
        <w:jc w:val="both"/>
        <w:rPr>
          <w:rFonts w:ascii="Calibri" w:hAnsi="Calibri"/>
          <w:b/>
          <w:noProof/>
          <w:sz w:val="16"/>
          <w:szCs w:val="16"/>
        </w:rPr>
      </w:pPr>
      <w:bookmarkStart w:id="233" w:name="_ENREF_95"/>
      <w:r w:rsidRPr="003512B8">
        <w:rPr>
          <w:rFonts w:ascii="Calibri" w:hAnsi="Calibri"/>
          <w:b/>
          <w:noProof/>
          <w:sz w:val="16"/>
          <w:szCs w:val="16"/>
          <w:lang w:val="es-MX"/>
        </w:rPr>
        <w:t>95.</w:t>
      </w:r>
      <w:r w:rsidRPr="003512B8">
        <w:rPr>
          <w:rFonts w:ascii="Calibri" w:hAnsi="Calibri"/>
          <w:b/>
          <w:noProof/>
          <w:sz w:val="16"/>
          <w:szCs w:val="16"/>
          <w:lang w:val="es-MX"/>
        </w:rPr>
        <w:tab/>
        <w:t xml:space="preserve">Amoêdo N, Rodrigues M, Pezzuto P, Galina A, da Costa R, de Almeida F, et al. </w:t>
      </w:r>
      <w:r w:rsidRPr="003512B8">
        <w:rPr>
          <w:rFonts w:ascii="Calibri" w:hAnsi="Calibri"/>
          <w:b/>
          <w:noProof/>
          <w:sz w:val="16"/>
          <w:szCs w:val="16"/>
        </w:rPr>
        <w:t>Energy metabolism in H460 lung cancer cells: effects of histone deacetylase inhibitors. PLoS One. 2011;6((7):e22264):doi: 10.1371/journal.pone.0022264.</w:t>
      </w:r>
      <w:bookmarkEnd w:id="233"/>
    </w:p>
    <w:p w:rsidR="00AB7E17" w:rsidRPr="003512B8" w:rsidRDefault="00AB7E17" w:rsidP="00AB7E17">
      <w:pPr>
        <w:spacing w:after="0" w:line="240" w:lineRule="auto"/>
        <w:jc w:val="both"/>
        <w:rPr>
          <w:rFonts w:ascii="Calibri" w:hAnsi="Calibri"/>
          <w:b/>
          <w:noProof/>
          <w:sz w:val="16"/>
          <w:szCs w:val="16"/>
        </w:rPr>
      </w:pPr>
      <w:bookmarkStart w:id="234" w:name="_ENREF_96"/>
      <w:r w:rsidRPr="003512B8">
        <w:rPr>
          <w:rFonts w:ascii="Calibri" w:hAnsi="Calibri"/>
          <w:b/>
          <w:noProof/>
          <w:sz w:val="16"/>
          <w:szCs w:val="16"/>
        </w:rPr>
        <w:t>96.</w:t>
      </w:r>
      <w:r w:rsidRPr="003512B8">
        <w:rPr>
          <w:rFonts w:ascii="Calibri" w:hAnsi="Calibri"/>
          <w:b/>
          <w:noProof/>
          <w:sz w:val="16"/>
          <w:szCs w:val="16"/>
        </w:rPr>
        <w:tab/>
        <w:t>Tiedge M, Lenzen S. Effects of sodium butyrate on glucose transporter and glucose-phosphorylating enzyme gene expression in RINm5F insulinoma cells. J Mol Endocrinol. 1996;17(1):19-26.</w:t>
      </w:r>
      <w:bookmarkEnd w:id="234"/>
    </w:p>
    <w:p w:rsidR="00AB7E17" w:rsidRPr="003512B8" w:rsidRDefault="00AB7E17" w:rsidP="00AB7E17">
      <w:pPr>
        <w:spacing w:after="0" w:line="240" w:lineRule="auto"/>
        <w:jc w:val="both"/>
        <w:rPr>
          <w:rFonts w:ascii="Calibri" w:hAnsi="Calibri"/>
          <w:b/>
          <w:noProof/>
          <w:sz w:val="16"/>
          <w:szCs w:val="16"/>
        </w:rPr>
      </w:pPr>
      <w:bookmarkStart w:id="235" w:name="_ENREF_97"/>
      <w:r w:rsidRPr="003512B8">
        <w:rPr>
          <w:rFonts w:ascii="Calibri" w:hAnsi="Calibri"/>
          <w:b/>
          <w:noProof/>
          <w:sz w:val="16"/>
          <w:szCs w:val="16"/>
        </w:rPr>
        <w:t>97.</w:t>
      </w:r>
      <w:r w:rsidRPr="003512B8">
        <w:rPr>
          <w:rFonts w:ascii="Calibri" w:hAnsi="Calibri"/>
          <w:b/>
          <w:noProof/>
          <w:sz w:val="16"/>
          <w:szCs w:val="16"/>
        </w:rPr>
        <w:tab/>
        <w:t>Fernández-Mejía C, Davidson M. Effect of sodium butyrate on glucose transport and glucose-phosphorylating enzymes in RIN-m5F cells. Pancres. 1993;8(5):589-96.</w:t>
      </w:r>
      <w:bookmarkEnd w:id="235"/>
    </w:p>
    <w:p w:rsidR="00AB7E17" w:rsidRPr="003512B8" w:rsidRDefault="00AB7E17" w:rsidP="00AB7E17">
      <w:pPr>
        <w:spacing w:after="0" w:line="240" w:lineRule="auto"/>
        <w:jc w:val="both"/>
        <w:rPr>
          <w:rFonts w:ascii="Calibri" w:hAnsi="Calibri"/>
          <w:b/>
          <w:noProof/>
          <w:sz w:val="16"/>
          <w:szCs w:val="16"/>
        </w:rPr>
      </w:pPr>
      <w:bookmarkStart w:id="236" w:name="_ENREF_98"/>
      <w:r w:rsidRPr="003512B8">
        <w:rPr>
          <w:rFonts w:ascii="Calibri" w:hAnsi="Calibri"/>
          <w:b/>
          <w:noProof/>
          <w:sz w:val="16"/>
          <w:szCs w:val="16"/>
        </w:rPr>
        <w:lastRenderedPageBreak/>
        <w:t>98.</w:t>
      </w:r>
      <w:r w:rsidRPr="003512B8">
        <w:rPr>
          <w:rFonts w:ascii="Calibri" w:hAnsi="Calibri"/>
          <w:b/>
          <w:noProof/>
          <w:sz w:val="16"/>
          <w:szCs w:val="16"/>
        </w:rPr>
        <w:tab/>
        <w:t>Wang Q, Zhang Y, Yang C, Xiong H, Lin Y, Yao J, et al. Acetylation of metabolic enzymes coordinates carbon source utilization and metabolic flux. Science. 2010;327(5968):1004-7.</w:t>
      </w:r>
      <w:bookmarkEnd w:id="236"/>
    </w:p>
    <w:p w:rsidR="00AB7E17" w:rsidRPr="003512B8" w:rsidRDefault="00AB7E17" w:rsidP="00AB7E17">
      <w:pPr>
        <w:spacing w:after="0" w:line="240" w:lineRule="auto"/>
        <w:jc w:val="both"/>
        <w:rPr>
          <w:rFonts w:ascii="Calibri" w:hAnsi="Calibri"/>
          <w:b/>
          <w:noProof/>
          <w:sz w:val="16"/>
          <w:szCs w:val="16"/>
        </w:rPr>
      </w:pPr>
      <w:bookmarkStart w:id="237" w:name="_ENREF_99"/>
      <w:r w:rsidRPr="003512B8">
        <w:rPr>
          <w:rFonts w:ascii="Calibri" w:hAnsi="Calibri"/>
          <w:b/>
          <w:noProof/>
          <w:sz w:val="16"/>
          <w:szCs w:val="16"/>
        </w:rPr>
        <w:t>99.</w:t>
      </w:r>
      <w:r w:rsidRPr="003512B8">
        <w:rPr>
          <w:rFonts w:ascii="Calibri" w:hAnsi="Calibri"/>
          <w:b/>
          <w:noProof/>
          <w:sz w:val="16"/>
          <w:szCs w:val="16"/>
        </w:rPr>
        <w:tab/>
        <w:t>Van Dyk D, Misztal D, Wilkins M, Mackintosh J, Poljak A, Varnai J, et al. Identification of cellular changes associated with increased production of human growth hormone in a recombinant Chinese hamster ovary cell line. Proteomics. 2003;3(2):147-56.</w:t>
      </w:r>
      <w:bookmarkEnd w:id="237"/>
    </w:p>
    <w:p w:rsidR="00AB7E17" w:rsidRPr="003512B8" w:rsidRDefault="00AB7E17" w:rsidP="00AB7E17">
      <w:pPr>
        <w:spacing w:after="0" w:line="240" w:lineRule="auto"/>
        <w:jc w:val="both"/>
        <w:rPr>
          <w:rFonts w:ascii="Calibri" w:hAnsi="Calibri"/>
          <w:b/>
          <w:noProof/>
          <w:sz w:val="16"/>
          <w:szCs w:val="16"/>
        </w:rPr>
      </w:pPr>
      <w:bookmarkStart w:id="238" w:name="_ENREF_100"/>
      <w:r w:rsidRPr="003512B8">
        <w:rPr>
          <w:rFonts w:ascii="Calibri" w:hAnsi="Calibri"/>
          <w:b/>
          <w:noProof/>
          <w:sz w:val="16"/>
          <w:szCs w:val="16"/>
        </w:rPr>
        <w:t>100.</w:t>
      </w:r>
      <w:r w:rsidRPr="003512B8">
        <w:rPr>
          <w:rFonts w:ascii="Calibri" w:hAnsi="Calibri"/>
          <w:b/>
          <w:noProof/>
          <w:sz w:val="16"/>
          <w:szCs w:val="16"/>
        </w:rPr>
        <w:tab/>
        <w:t>Ngo J, Chute H, Sanders D, Orlando R, Ibsen K. Regulation of pyruvate kinase expression and growth in mastocytoma cells. I. Initial observations. Exp Cell Res. 1983;149(2):565-75.</w:t>
      </w:r>
      <w:bookmarkEnd w:id="238"/>
    </w:p>
    <w:p w:rsidR="00AB7E17" w:rsidRPr="003512B8" w:rsidRDefault="00AB7E17" w:rsidP="00AB7E17">
      <w:pPr>
        <w:spacing w:after="0" w:line="240" w:lineRule="auto"/>
        <w:jc w:val="both"/>
        <w:rPr>
          <w:rFonts w:ascii="Calibri" w:hAnsi="Calibri"/>
          <w:b/>
          <w:noProof/>
          <w:sz w:val="16"/>
          <w:szCs w:val="16"/>
        </w:rPr>
      </w:pPr>
      <w:bookmarkStart w:id="239" w:name="_ENREF_101"/>
      <w:r w:rsidRPr="003512B8">
        <w:rPr>
          <w:rFonts w:ascii="Calibri" w:hAnsi="Calibri"/>
          <w:b/>
          <w:noProof/>
          <w:sz w:val="16"/>
          <w:szCs w:val="16"/>
        </w:rPr>
        <w:t>101.</w:t>
      </w:r>
      <w:r w:rsidRPr="003512B8">
        <w:rPr>
          <w:rFonts w:ascii="Calibri" w:hAnsi="Calibri"/>
          <w:b/>
          <w:noProof/>
          <w:sz w:val="16"/>
          <w:szCs w:val="16"/>
        </w:rPr>
        <w:tab/>
        <w:t>Shimada N, Yamada K, Tanaka T, Kawata H, Mizutani T, Miyamoto K, et al. Alterations of gene expression in endoderm differentiation of F9 teratocarcinoma cells. Mol Reprod Dev. 2001;60(2):165-71.</w:t>
      </w:r>
      <w:bookmarkEnd w:id="239"/>
    </w:p>
    <w:p w:rsidR="00AB7E17" w:rsidRPr="003512B8" w:rsidRDefault="00AB7E17" w:rsidP="00AB7E17">
      <w:pPr>
        <w:spacing w:after="0" w:line="240" w:lineRule="auto"/>
        <w:jc w:val="both"/>
        <w:rPr>
          <w:rFonts w:ascii="Calibri" w:hAnsi="Calibri"/>
          <w:b/>
          <w:noProof/>
          <w:sz w:val="16"/>
          <w:szCs w:val="16"/>
        </w:rPr>
      </w:pPr>
      <w:bookmarkStart w:id="240" w:name="_ENREF_102"/>
      <w:r w:rsidRPr="003512B8">
        <w:rPr>
          <w:rFonts w:ascii="Calibri" w:hAnsi="Calibri"/>
          <w:b/>
          <w:noProof/>
          <w:sz w:val="16"/>
          <w:szCs w:val="16"/>
        </w:rPr>
        <w:t>102.</w:t>
      </w:r>
      <w:r w:rsidRPr="003512B8">
        <w:rPr>
          <w:rFonts w:ascii="Calibri" w:hAnsi="Calibri"/>
          <w:b/>
          <w:noProof/>
          <w:sz w:val="16"/>
          <w:szCs w:val="16"/>
        </w:rPr>
        <w:tab/>
        <w:t>Valvassori S, Calixto K, Budni J, Resende W, Varela R, de Freitas K, et al. Sodium butyrate reverses the inhibition of Krebs cycle enzymes induced by amphetamine in the rat brain. J Neural Transm. 2013;120(12):1737-42.</w:t>
      </w:r>
      <w:bookmarkEnd w:id="240"/>
    </w:p>
    <w:p w:rsidR="00AB7E17" w:rsidRPr="003512B8" w:rsidRDefault="00AB7E17" w:rsidP="00AB7E17">
      <w:pPr>
        <w:spacing w:line="240" w:lineRule="auto"/>
        <w:jc w:val="both"/>
        <w:rPr>
          <w:rFonts w:ascii="Calibri" w:hAnsi="Calibri"/>
          <w:b/>
          <w:noProof/>
          <w:sz w:val="16"/>
          <w:szCs w:val="16"/>
        </w:rPr>
      </w:pPr>
      <w:bookmarkStart w:id="241" w:name="_ENREF_103"/>
      <w:r w:rsidRPr="003512B8">
        <w:rPr>
          <w:rFonts w:ascii="Calibri" w:hAnsi="Calibri"/>
          <w:b/>
          <w:noProof/>
          <w:sz w:val="16"/>
          <w:szCs w:val="16"/>
        </w:rPr>
        <w:t>103.</w:t>
      </w:r>
      <w:r w:rsidRPr="003512B8">
        <w:rPr>
          <w:rFonts w:ascii="Calibri" w:hAnsi="Calibri"/>
          <w:b/>
          <w:noProof/>
          <w:sz w:val="16"/>
          <w:szCs w:val="16"/>
        </w:rPr>
        <w:tab/>
        <w:t>Shahriari A, Dawson N, Bell R, Storey K. Stable Suppression of Lactate Dehydrogenase Activity during Anoxia in the Foot Muscle of Littorina littorea and the Potential Role of Acetylation as a Novel Posttranslational Regulatory Mechanism. Enzyme Res. 2013;2013(461374):doi: 10.1155/2013/461374.</w:t>
      </w:r>
      <w:bookmarkEnd w:id="241"/>
    </w:p>
    <w:p w:rsidR="00AB7E17" w:rsidRDefault="00AB7E17" w:rsidP="00AB7E17">
      <w:pPr>
        <w:spacing w:line="240" w:lineRule="auto"/>
        <w:jc w:val="both"/>
        <w:rPr>
          <w:rFonts w:ascii="Calibri" w:hAnsi="Calibri"/>
          <w:b/>
          <w:noProof/>
          <w:szCs w:val="16"/>
        </w:rPr>
      </w:pPr>
    </w:p>
    <w:p w:rsidR="00EF1380" w:rsidRPr="007D7370" w:rsidRDefault="006C2756" w:rsidP="00EF1380">
      <w:pPr>
        <w:jc w:val="both"/>
        <w:rPr>
          <w:rFonts w:ascii="Arial" w:hAnsi="Arial" w:cs="Arial"/>
          <w:sz w:val="28"/>
          <w:szCs w:val="28"/>
          <w:lang w:val="fr-CA"/>
        </w:rPr>
      </w:pPr>
      <w:r w:rsidRPr="003F02C4">
        <w:rPr>
          <w:rFonts w:ascii="Arial" w:hAnsi="Arial" w:cs="Arial"/>
          <w:b/>
          <w:sz w:val="16"/>
          <w:szCs w:val="16"/>
        </w:rPr>
        <w:fldChar w:fldCharType="end"/>
      </w:r>
    </w:p>
    <w:p w:rsidR="00EF1380" w:rsidRPr="007D7370" w:rsidRDefault="00EF1380" w:rsidP="00EF1380">
      <w:pPr>
        <w:rPr>
          <w:rFonts w:ascii="Arial" w:eastAsia="Times New Roman" w:hAnsi="Arial" w:cs="Arial"/>
          <w:b/>
          <w:bCs/>
          <w:kern w:val="36"/>
          <w:sz w:val="28"/>
          <w:szCs w:val="28"/>
          <w:lang w:val="fr-CA"/>
        </w:rPr>
      </w:pPr>
      <w:r w:rsidRPr="007D7370">
        <w:rPr>
          <w:rFonts w:ascii="Arial" w:hAnsi="Arial" w:cs="Arial"/>
          <w:sz w:val="28"/>
          <w:szCs w:val="28"/>
          <w:lang w:val="fr-CA"/>
        </w:rPr>
        <w:br w:type="page"/>
      </w:r>
    </w:p>
    <w:p w:rsidR="00EF1380" w:rsidRPr="00006DFE" w:rsidRDefault="00EF1380" w:rsidP="00EF1380">
      <w:pPr>
        <w:pStyle w:val="Heading1"/>
        <w:rPr>
          <w:rFonts w:ascii="Arial" w:hAnsi="Arial" w:cs="Arial"/>
          <w:sz w:val="28"/>
          <w:szCs w:val="24"/>
          <w:lang w:val="en-US"/>
        </w:rPr>
      </w:pPr>
      <w:bookmarkStart w:id="242" w:name="_Toc379983956"/>
      <w:bookmarkStart w:id="243" w:name="_Toc413753773"/>
      <w:r w:rsidRPr="00006DFE">
        <w:rPr>
          <w:rFonts w:ascii="Arial" w:hAnsi="Arial" w:cs="Arial"/>
          <w:sz w:val="28"/>
          <w:szCs w:val="28"/>
          <w:lang w:val="en-US"/>
        </w:rPr>
        <w:lastRenderedPageBreak/>
        <w:t xml:space="preserve">APPENDIX </w:t>
      </w:r>
      <w:bookmarkEnd w:id="242"/>
      <w:r w:rsidRPr="00006DFE">
        <w:rPr>
          <w:rFonts w:ascii="Arial" w:hAnsi="Arial" w:cs="Arial"/>
          <w:sz w:val="28"/>
          <w:szCs w:val="28"/>
          <w:lang w:val="en-US"/>
        </w:rPr>
        <w:t xml:space="preserve">I. </w:t>
      </w:r>
      <w:r w:rsidRPr="00006DFE">
        <w:rPr>
          <w:rFonts w:ascii="Arial" w:hAnsi="Arial" w:cs="Arial"/>
          <w:sz w:val="28"/>
          <w:szCs w:val="24"/>
          <w:lang w:val="en-US"/>
        </w:rPr>
        <w:t>Abbreviations</w:t>
      </w:r>
      <w:bookmarkEnd w:id="243"/>
    </w:p>
    <w:p w:rsidR="008C3CDA" w:rsidRPr="008C3CDA" w:rsidRDefault="008C3CDA" w:rsidP="008C3CDA">
      <w:pPr>
        <w:rPr>
          <w:rFonts w:ascii="Arial" w:hAnsi="Arial" w:cs="Arial"/>
          <w:sz w:val="16"/>
          <w:szCs w:val="16"/>
          <w:lang w:val="en-US"/>
        </w:rPr>
      </w:pPr>
      <w:bookmarkStart w:id="244" w:name="_Toc364682866"/>
      <w:bookmarkStart w:id="245" w:name="_Toc379983957"/>
      <w:r w:rsidRPr="008C3CDA">
        <w:rPr>
          <w:rFonts w:ascii="Arial" w:hAnsi="Arial" w:cs="Arial"/>
          <w:sz w:val="16"/>
          <w:szCs w:val="16"/>
          <w:lang w:val="en-US"/>
        </w:rPr>
        <w:t>Adenosine triphosphate (ATP)</w:t>
      </w:r>
    </w:p>
    <w:p w:rsidR="008C3CDA" w:rsidRPr="008C3CDA" w:rsidRDefault="008C3CDA" w:rsidP="008C3CDA">
      <w:pPr>
        <w:rPr>
          <w:rFonts w:ascii="Arial" w:hAnsi="Arial" w:cs="Arial"/>
          <w:color w:val="000000"/>
          <w:sz w:val="16"/>
          <w:szCs w:val="16"/>
          <w:shd w:val="clear" w:color="auto" w:fill="FFFFFF"/>
        </w:rPr>
      </w:pPr>
      <w:r w:rsidRPr="008C3CDA">
        <w:rPr>
          <w:rFonts w:ascii="Arial" w:hAnsi="Arial" w:cs="Arial"/>
          <w:color w:val="000000"/>
          <w:sz w:val="16"/>
          <w:szCs w:val="16"/>
          <w:shd w:val="clear" w:color="auto" w:fill="FFFFFF"/>
        </w:rPr>
        <w:t>Azoxymethane (AOM)</w:t>
      </w:r>
    </w:p>
    <w:p w:rsidR="008C3CDA" w:rsidRPr="008C3CDA" w:rsidRDefault="008C3CDA" w:rsidP="008C3CDA">
      <w:pPr>
        <w:rPr>
          <w:rFonts w:ascii="Arial" w:hAnsi="Arial" w:cs="Arial"/>
          <w:noProof/>
          <w:sz w:val="16"/>
          <w:szCs w:val="16"/>
          <w:lang w:val="en-US"/>
        </w:rPr>
      </w:pPr>
      <w:r w:rsidRPr="008C3CDA">
        <w:rPr>
          <w:rFonts w:ascii="Arial" w:hAnsi="Arial" w:cs="Arial"/>
          <w:noProof/>
          <w:sz w:val="16"/>
          <w:szCs w:val="16"/>
          <w:lang w:val="en-US"/>
        </w:rPr>
        <w:t>Bcl antagonist killer (Bak)</w:t>
      </w:r>
    </w:p>
    <w:p w:rsidR="008C3CDA" w:rsidRPr="008C3CDA" w:rsidRDefault="008C3CDA" w:rsidP="008C3CDA">
      <w:pPr>
        <w:rPr>
          <w:rFonts w:ascii="Arial" w:hAnsi="Arial" w:cs="Arial"/>
          <w:sz w:val="16"/>
          <w:szCs w:val="16"/>
          <w:lang w:val="en-US" w:eastAsia="es-MX"/>
        </w:rPr>
      </w:pPr>
      <w:r w:rsidRPr="008C3CDA">
        <w:rPr>
          <w:rFonts w:ascii="Arial" w:hAnsi="Arial" w:cs="Arial"/>
          <w:sz w:val="16"/>
          <w:szCs w:val="16"/>
          <w:lang w:val="en-US" w:eastAsia="es-MX"/>
        </w:rPr>
        <w:t>Bernard Corfe (BC)</w:t>
      </w:r>
    </w:p>
    <w:p w:rsidR="008C3CDA" w:rsidRPr="008C3CDA" w:rsidRDefault="008C3CDA" w:rsidP="008C3CDA">
      <w:pPr>
        <w:rPr>
          <w:rFonts w:ascii="Arial" w:hAnsi="Arial" w:cs="Arial"/>
          <w:sz w:val="16"/>
          <w:szCs w:val="16"/>
        </w:rPr>
      </w:pPr>
      <w:r w:rsidRPr="008C3CDA">
        <w:rPr>
          <w:rFonts w:ascii="Arial" w:hAnsi="Arial" w:cs="Arial"/>
          <w:sz w:val="16"/>
          <w:szCs w:val="16"/>
        </w:rPr>
        <w:t>Biological Process (BP)</w:t>
      </w:r>
    </w:p>
    <w:p w:rsidR="008C3CDA" w:rsidRPr="008C3CDA" w:rsidRDefault="008C3CDA" w:rsidP="008C3CDA">
      <w:pPr>
        <w:rPr>
          <w:rFonts w:ascii="Arial" w:hAnsi="Arial" w:cs="Arial"/>
          <w:sz w:val="16"/>
          <w:szCs w:val="16"/>
        </w:rPr>
      </w:pPr>
      <w:r w:rsidRPr="008C3CDA">
        <w:rPr>
          <w:rFonts w:ascii="Arial" w:hAnsi="Arial" w:cs="Arial"/>
          <w:sz w:val="16"/>
          <w:szCs w:val="16"/>
        </w:rPr>
        <w:t>Calorie restriction (CR)</w:t>
      </w:r>
    </w:p>
    <w:p w:rsidR="008C3CDA" w:rsidRPr="008C3CDA" w:rsidRDefault="008C3CDA" w:rsidP="008C3CDA">
      <w:pPr>
        <w:rPr>
          <w:rFonts w:ascii="Arial" w:hAnsi="Arial" w:cs="Arial"/>
          <w:sz w:val="16"/>
          <w:szCs w:val="16"/>
          <w:lang w:val="en-US" w:eastAsia="es-MX"/>
        </w:rPr>
      </w:pPr>
      <w:r w:rsidRPr="008C3CDA">
        <w:rPr>
          <w:rFonts w:ascii="Arial" w:hAnsi="Arial" w:cs="Arial"/>
          <w:sz w:val="16"/>
          <w:szCs w:val="16"/>
          <w:lang w:val="en-US" w:eastAsia="es-MX"/>
        </w:rPr>
        <w:t>Caroline Evans (CE)</w:t>
      </w:r>
    </w:p>
    <w:p w:rsidR="008C3CDA" w:rsidRPr="008C3CDA" w:rsidRDefault="008C3CDA" w:rsidP="008C3CDA">
      <w:pPr>
        <w:pStyle w:val="Caption"/>
        <w:jc w:val="both"/>
        <w:rPr>
          <w:rStyle w:val="Strong"/>
          <w:rFonts w:ascii="Arial" w:hAnsi="Arial" w:cs="Arial"/>
          <w:color w:val="auto"/>
          <w:sz w:val="16"/>
          <w:szCs w:val="16"/>
          <w:lang w:val="en-US"/>
        </w:rPr>
      </w:pPr>
      <w:r w:rsidRPr="008C3CDA">
        <w:rPr>
          <w:rStyle w:val="Strong"/>
          <w:rFonts w:ascii="Arial" w:hAnsi="Arial" w:cs="Arial"/>
          <w:color w:val="auto"/>
          <w:sz w:val="16"/>
          <w:szCs w:val="16"/>
          <w:lang w:val="en-US"/>
        </w:rPr>
        <w:t>Cation exchange (CEX)</w:t>
      </w:r>
    </w:p>
    <w:p w:rsidR="008C3CDA" w:rsidRPr="008C3CDA" w:rsidRDefault="008C3CDA" w:rsidP="008C3CDA">
      <w:pPr>
        <w:rPr>
          <w:rFonts w:ascii="Arial" w:hAnsi="Arial" w:cs="Arial"/>
          <w:sz w:val="16"/>
          <w:szCs w:val="16"/>
        </w:rPr>
      </w:pPr>
      <w:r w:rsidRPr="008C3CDA">
        <w:rPr>
          <w:rFonts w:ascii="Arial" w:hAnsi="Arial" w:cs="Arial"/>
          <w:sz w:val="16"/>
          <w:szCs w:val="16"/>
        </w:rPr>
        <w:t>Cellular Compartment (CC)</w:t>
      </w:r>
    </w:p>
    <w:p w:rsidR="008C3CDA" w:rsidRPr="008C3CDA" w:rsidRDefault="008C3CDA" w:rsidP="008C3CDA">
      <w:pPr>
        <w:rPr>
          <w:rStyle w:val="hps"/>
          <w:rFonts w:ascii="Arial" w:hAnsi="Arial" w:cs="Arial"/>
          <w:sz w:val="16"/>
          <w:szCs w:val="16"/>
          <w:lang w:val="en-US"/>
        </w:rPr>
      </w:pPr>
      <w:r w:rsidRPr="008C3CDA">
        <w:rPr>
          <w:rStyle w:val="hps"/>
          <w:rFonts w:ascii="Arial" w:hAnsi="Arial" w:cs="Arial"/>
          <w:sz w:val="16"/>
          <w:szCs w:val="16"/>
          <w:lang w:val="en-US"/>
        </w:rPr>
        <w:t>Complex pathway simulator (COPASI)</w:t>
      </w:r>
    </w:p>
    <w:p w:rsidR="008C3CDA" w:rsidRPr="008C3CDA" w:rsidRDefault="008C3CDA" w:rsidP="008C3CDA">
      <w:pPr>
        <w:rPr>
          <w:rStyle w:val="Emphasis"/>
          <w:rFonts w:ascii="Arial" w:hAnsi="Arial" w:cs="Arial"/>
          <w:i w:val="0"/>
          <w:sz w:val="16"/>
          <w:szCs w:val="16"/>
        </w:rPr>
      </w:pPr>
      <w:r w:rsidRPr="008C3CDA">
        <w:rPr>
          <w:rStyle w:val="Emphasis"/>
          <w:rFonts w:ascii="Arial" w:hAnsi="Arial" w:cs="Arial"/>
          <w:i w:val="0"/>
          <w:sz w:val="16"/>
          <w:szCs w:val="16"/>
        </w:rPr>
        <w:t>Database for Annotation, Visualization and Integrated Discovery (DAVID)</w:t>
      </w:r>
    </w:p>
    <w:p w:rsidR="008C3CDA" w:rsidRDefault="008C3CDA" w:rsidP="008C3CDA">
      <w:pPr>
        <w:rPr>
          <w:rFonts w:ascii="Arial" w:hAnsi="Arial" w:cs="Arial"/>
          <w:noProof/>
          <w:sz w:val="16"/>
          <w:szCs w:val="16"/>
          <w:lang w:val="en-US"/>
        </w:rPr>
      </w:pPr>
      <w:r w:rsidRPr="008C3CDA">
        <w:rPr>
          <w:rFonts w:ascii="Arial" w:hAnsi="Arial" w:cs="Arial"/>
          <w:noProof/>
          <w:sz w:val="16"/>
          <w:szCs w:val="16"/>
          <w:lang w:val="en-US"/>
        </w:rPr>
        <w:t>Deoxyribonucleic acid (DNA)</w:t>
      </w:r>
    </w:p>
    <w:p w:rsidR="005C2D87" w:rsidRPr="005C2D87" w:rsidRDefault="005C2D87" w:rsidP="008C3CDA">
      <w:pPr>
        <w:rPr>
          <w:rFonts w:ascii="Arial" w:hAnsi="Arial" w:cs="Arial"/>
          <w:noProof/>
          <w:sz w:val="16"/>
          <w:szCs w:val="16"/>
          <w:lang w:val="en-US"/>
        </w:rPr>
      </w:pPr>
      <w:r w:rsidRPr="005C2D87">
        <w:rPr>
          <w:rFonts w:ascii="Arial" w:hAnsi="Arial" w:cs="Arial"/>
          <w:sz w:val="16"/>
          <w:szCs w:val="16"/>
        </w:rPr>
        <w:t>Dulbecco’s Modified Eagle Medium</w:t>
      </w:r>
      <w:r>
        <w:rPr>
          <w:rFonts w:ascii="Arial" w:hAnsi="Arial" w:cs="Arial"/>
          <w:sz w:val="16"/>
          <w:szCs w:val="16"/>
        </w:rPr>
        <w:t xml:space="preserve"> (DMEM)</w:t>
      </w:r>
    </w:p>
    <w:p w:rsidR="008C3CDA" w:rsidRPr="008C3CDA" w:rsidRDefault="008C3CDA" w:rsidP="008C3CDA">
      <w:pPr>
        <w:rPr>
          <w:rFonts w:ascii="Arial" w:hAnsi="Arial" w:cs="Arial"/>
          <w:sz w:val="16"/>
          <w:szCs w:val="16"/>
        </w:rPr>
      </w:pPr>
      <w:r w:rsidRPr="008C3CDA">
        <w:rPr>
          <w:rFonts w:ascii="Arial" w:hAnsi="Arial" w:cs="Arial"/>
          <w:sz w:val="16"/>
          <w:szCs w:val="16"/>
        </w:rPr>
        <w:t>Elevated high definition mass spectrometry (HDMS</w:t>
      </w:r>
      <w:r w:rsidRPr="008C3CDA">
        <w:rPr>
          <w:rFonts w:ascii="Arial" w:hAnsi="Arial" w:cs="Arial"/>
          <w:sz w:val="16"/>
          <w:szCs w:val="16"/>
          <w:vertAlign w:val="superscript"/>
        </w:rPr>
        <w:t>E</w:t>
      </w:r>
      <w:r w:rsidRPr="008C3CDA">
        <w:rPr>
          <w:rFonts w:ascii="Arial" w:hAnsi="Arial" w:cs="Arial"/>
          <w:sz w:val="16"/>
          <w:szCs w:val="16"/>
        </w:rPr>
        <w:t>)</w:t>
      </w:r>
    </w:p>
    <w:p w:rsidR="008C3CDA" w:rsidRDefault="008C3CDA" w:rsidP="008C3CDA">
      <w:pPr>
        <w:rPr>
          <w:rFonts w:ascii="Arial" w:hAnsi="Arial" w:cs="Arial"/>
          <w:sz w:val="16"/>
          <w:szCs w:val="16"/>
        </w:rPr>
      </w:pPr>
      <w:r w:rsidRPr="008C3CDA">
        <w:rPr>
          <w:rFonts w:ascii="Arial" w:hAnsi="Arial" w:cs="Arial"/>
          <w:sz w:val="16"/>
          <w:szCs w:val="16"/>
        </w:rPr>
        <w:t>Enzyme-linked immunosorbent assay (ELISA)</w:t>
      </w:r>
    </w:p>
    <w:p w:rsidR="005C2D87" w:rsidRPr="005C2D87" w:rsidRDefault="005C2D87" w:rsidP="008C3CDA">
      <w:pPr>
        <w:rPr>
          <w:rFonts w:ascii="Arial" w:hAnsi="Arial" w:cs="Arial"/>
          <w:sz w:val="16"/>
          <w:szCs w:val="16"/>
        </w:rPr>
      </w:pPr>
      <w:r w:rsidRPr="005C2D87">
        <w:rPr>
          <w:rFonts w:ascii="Arial" w:hAnsi="Arial" w:cs="Arial"/>
          <w:sz w:val="16"/>
          <w:szCs w:val="16"/>
        </w:rPr>
        <w:t>Foetal bovine serum (FBS)</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Gene ontology (GO)</w:t>
      </w:r>
    </w:p>
    <w:p w:rsidR="008C3CDA" w:rsidRPr="008C3CDA" w:rsidRDefault="008C3CDA" w:rsidP="008C3CDA">
      <w:pPr>
        <w:pStyle w:val="Caption"/>
        <w:jc w:val="both"/>
        <w:rPr>
          <w:rStyle w:val="Strong"/>
          <w:rFonts w:ascii="Arial" w:hAnsi="Arial" w:cs="Arial"/>
          <w:color w:val="auto"/>
          <w:sz w:val="16"/>
          <w:szCs w:val="16"/>
          <w:lang w:val="en-US"/>
        </w:rPr>
      </w:pPr>
      <w:r w:rsidRPr="008C3CDA">
        <w:rPr>
          <w:rStyle w:val="Strong"/>
          <w:rFonts w:ascii="Arial" w:hAnsi="Arial" w:cs="Arial"/>
          <w:color w:val="auto"/>
          <w:sz w:val="16"/>
          <w:szCs w:val="16"/>
          <w:lang w:val="en-US"/>
        </w:rPr>
        <w:t>High Definition MS (HDMS)</w:t>
      </w:r>
    </w:p>
    <w:p w:rsidR="008C3CDA" w:rsidRPr="008C3CDA" w:rsidRDefault="008C3CDA" w:rsidP="008C3CDA">
      <w:pPr>
        <w:rPr>
          <w:rFonts w:ascii="Arial" w:hAnsi="Arial" w:cs="Arial"/>
          <w:sz w:val="16"/>
          <w:szCs w:val="16"/>
        </w:rPr>
      </w:pPr>
      <w:r w:rsidRPr="008C3CDA">
        <w:rPr>
          <w:rFonts w:ascii="Arial" w:hAnsi="Arial" w:cs="Arial"/>
          <w:sz w:val="16"/>
          <w:szCs w:val="16"/>
        </w:rPr>
        <w:t>Histone deacetylases (HDACs)</w:t>
      </w:r>
    </w:p>
    <w:p w:rsidR="008C3CDA" w:rsidRPr="008C3CDA" w:rsidRDefault="008C3CDA" w:rsidP="008C3CDA">
      <w:pPr>
        <w:rPr>
          <w:rFonts w:ascii="Arial" w:hAnsi="Arial" w:cs="Arial"/>
          <w:sz w:val="16"/>
          <w:szCs w:val="16"/>
        </w:rPr>
      </w:pPr>
      <w:r w:rsidRPr="008C3CDA">
        <w:rPr>
          <w:rFonts w:ascii="Arial" w:hAnsi="Arial" w:cs="Arial"/>
          <w:sz w:val="16"/>
          <w:szCs w:val="16"/>
        </w:rPr>
        <w:t>Histone-3 (H3)</w:t>
      </w:r>
    </w:p>
    <w:p w:rsidR="008C3CDA" w:rsidRPr="008C3CDA" w:rsidRDefault="008C3CDA" w:rsidP="008C3CDA">
      <w:pPr>
        <w:rPr>
          <w:rFonts w:ascii="Arial" w:hAnsi="Arial" w:cs="Arial"/>
          <w:sz w:val="16"/>
          <w:szCs w:val="16"/>
        </w:rPr>
      </w:pPr>
      <w:r w:rsidRPr="008C3CDA">
        <w:rPr>
          <w:rFonts w:ascii="Arial" w:hAnsi="Arial" w:cs="Arial"/>
          <w:sz w:val="16"/>
          <w:szCs w:val="16"/>
        </w:rPr>
        <w:t>Histone-4 (H4)</w:t>
      </w:r>
    </w:p>
    <w:p w:rsidR="008C3CDA" w:rsidRPr="008C3CDA" w:rsidRDefault="008C3CDA" w:rsidP="008C3CDA">
      <w:pPr>
        <w:rPr>
          <w:rFonts w:ascii="Arial" w:hAnsi="Arial" w:cs="Arial"/>
          <w:sz w:val="16"/>
          <w:szCs w:val="16"/>
        </w:rPr>
      </w:pPr>
      <w:r w:rsidRPr="008C3CDA">
        <w:rPr>
          <w:rFonts w:ascii="Arial" w:hAnsi="Arial" w:cs="Arial"/>
          <w:sz w:val="16"/>
          <w:szCs w:val="16"/>
        </w:rPr>
        <w:t>Human embryonic kidney (HEK)</w:t>
      </w:r>
    </w:p>
    <w:p w:rsidR="008C3CDA" w:rsidRPr="008C3CDA" w:rsidRDefault="008C3CDA" w:rsidP="008C3CDA">
      <w:pPr>
        <w:rPr>
          <w:rFonts w:ascii="Arial" w:hAnsi="Arial" w:cs="Arial"/>
          <w:sz w:val="16"/>
          <w:szCs w:val="16"/>
          <w:shd w:val="clear" w:color="auto" w:fill="FFFFFF"/>
        </w:rPr>
      </w:pPr>
      <w:r w:rsidRPr="008C3CDA">
        <w:rPr>
          <w:rStyle w:val="highlight"/>
          <w:rFonts w:ascii="Arial" w:hAnsi="Arial" w:cs="Arial"/>
          <w:color w:val="000000"/>
          <w:sz w:val="16"/>
          <w:szCs w:val="16"/>
          <w:shd w:val="clear" w:color="auto" w:fill="FFFFFF"/>
        </w:rPr>
        <w:t>I</w:t>
      </w:r>
      <w:r w:rsidRPr="008C3CDA">
        <w:rPr>
          <w:rFonts w:ascii="Arial" w:hAnsi="Arial" w:cs="Arial"/>
          <w:sz w:val="16"/>
          <w:szCs w:val="16"/>
          <w:shd w:val="clear" w:color="auto" w:fill="FFFFFF"/>
        </w:rPr>
        <w:t>sobaric tagging for relative and absolute quantification (iTRAQ)</w:t>
      </w:r>
    </w:p>
    <w:p w:rsidR="008C3CDA" w:rsidRPr="008C3CDA" w:rsidRDefault="008C3CDA" w:rsidP="008C3CDA">
      <w:pPr>
        <w:rPr>
          <w:rFonts w:ascii="Arial" w:hAnsi="Arial" w:cs="Arial"/>
          <w:sz w:val="16"/>
          <w:szCs w:val="16"/>
          <w:shd w:val="clear" w:color="auto" w:fill="FFFFFF"/>
        </w:rPr>
      </w:pPr>
      <w:r w:rsidRPr="008C3CDA">
        <w:rPr>
          <w:rStyle w:val="highlight"/>
          <w:rFonts w:ascii="Arial" w:hAnsi="Arial" w:cs="Arial"/>
          <w:color w:val="000000"/>
          <w:sz w:val="16"/>
          <w:szCs w:val="16"/>
          <w:shd w:val="clear" w:color="auto" w:fill="FFFFFF"/>
        </w:rPr>
        <w:t>I</w:t>
      </w:r>
      <w:r w:rsidRPr="008C3CDA">
        <w:rPr>
          <w:rFonts w:ascii="Arial" w:hAnsi="Arial" w:cs="Arial"/>
          <w:sz w:val="16"/>
          <w:szCs w:val="16"/>
          <w:shd w:val="clear" w:color="auto" w:fill="FFFFFF"/>
        </w:rPr>
        <w:t>sotope-coded affinity-tag-based protein profiling (ICAT)</w:t>
      </w:r>
    </w:p>
    <w:p w:rsidR="008C3CDA" w:rsidRPr="008C3CDA" w:rsidRDefault="008C3CDA" w:rsidP="008C3CDA">
      <w:pPr>
        <w:rPr>
          <w:rFonts w:ascii="Arial" w:hAnsi="Arial" w:cs="Arial"/>
          <w:sz w:val="16"/>
          <w:szCs w:val="16"/>
          <w:lang w:val="en-US" w:eastAsia="es-MX"/>
        </w:rPr>
      </w:pPr>
      <w:r w:rsidRPr="008C3CDA">
        <w:rPr>
          <w:rFonts w:ascii="Arial" w:hAnsi="Arial" w:cs="Arial"/>
          <w:sz w:val="16"/>
          <w:szCs w:val="16"/>
          <w:lang w:val="en-US" w:eastAsia="es-MX"/>
        </w:rPr>
        <w:t>Joanne Connolly (JC)</w:t>
      </w:r>
    </w:p>
    <w:p w:rsidR="008C3CDA" w:rsidRPr="008C3CDA" w:rsidRDefault="008C3CDA" w:rsidP="008C3CDA">
      <w:pPr>
        <w:rPr>
          <w:rFonts w:ascii="Arial" w:hAnsi="Arial" w:cs="Arial"/>
          <w:sz w:val="16"/>
          <w:szCs w:val="16"/>
        </w:rPr>
      </w:pPr>
      <w:r w:rsidRPr="008C3CDA">
        <w:rPr>
          <w:rFonts w:ascii="Arial" w:hAnsi="Arial" w:cs="Arial"/>
          <w:sz w:val="16"/>
          <w:szCs w:val="16"/>
        </w:rPr>
        <w:t xml:space="preserve">KDAC6-like enzyme from </w:t>
      </w:r>
      <w:r w:rsidRPr="008C3CDA">
        <w:rPr>
          <w:rFonts w:ascii="Arial" w:hAnsi="Arial" w:cs="Arial"/>
          <w:i/>
          <w:sz w:val="16"/>
          <w:szCs w:val="16"/>
        </w:rPr>
        <w:t>Bordetella/Alcaligenes</w:t>
      </w:r>
      <w:r w:rsidRPr="008C3CDA">
        <w:rPr>
          <w:rFonts w:ascii="Arial" w:hAnsi="Arial" w:cs="Arial"/>
          <w:sz w:val="16"/>
          <w:szCs w:val="16"/>
        </w:rPr>
        <w:t xml:space="preserve"> strain (FB188FB188 HDAH)</w:t>
      </w:r>
    </w:p>
    <w:p w:rsidR="008C3CDA" w:rsidRPr="008C3CDA" w:rsidRDefault="008C3CDA" w:rsidP="008C3CDA">
      <w:pPr>
        <w:rPr>
          <w:rFonts w:ascii="Arial" w:hAnsi="Arial" w:cs="Arial"/>
          <w:sz w:val="16"/>
          <w:szCs w:val="16"/>
        </w:rPr>
      </w:pPr>
      <w:r w:rsidRPr="008C3CDA">
        <w:rPr>
          <w:rFonts w:ascii="Arial" w:hAnsi="Arial" w:cs="Arial"/>
          <w:sz w:val="16"/>
          <w:szCs w:val="16"/>
        </w:rPr>
        <w:t>Kyoto Encyclopaedia of Genes and Genome (KEGG)</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t>Label Free Quantitation (LFQ)</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t>Liquid chromatography-mass spectrometry (LC-MS)</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t>Liquid chromatography-tandem mass spectrometry (LC-MS/MS)</w:t>
      </w:r>
    </w:p>
    <w:p w:rsidR="008C3CDA" w:rsidRPr="008C3CDA" w:rsidRDefault="008C3CDA" w:rsidP="008C3CDA">
      <w:pPr>
        <w:rPr>
          <w:rFonts w:ascii="Arial" w:hAnsi="Arial" w:cs="Arial"/>
          <w:sz w:val="16"/>
          <w:szCs w:val="16"/>
          <w:lang w:val="en-US" w:eastAsia="es-MX"/>
        </w:rPr>
      </w:pPr>
      <w:r w:rsidRPr="008C3CDA">
        <w:rPr>
          <w:rFonts w:ascii="Arial" w:hAnsi="Arial" w:cs="Arial"/>
          <w:sz w:val="16"/>
          <w:szCs w:val="16"/>
          <w:lang w:val="en-US" w:eastAsia="es-MX"/>
        </w:rPr>
        <w:lastRenderedPageBreak/>
        <w:t>LNCaP (Lymph node prostate cancer cell line)</w:t>
      </w:r>
    </w:p>
    <w:p w:rsidR="008C3CDA" w:rsidRPr="008C3CDA" w:rsidRDefault="008C3CDA" w:rsidP="008C3CDA">
      <w:pPr>
        <w:rPr>
          <w:rFonts w:ascii="Arial" w:hAnsi="Arial" w:cs="Arial"/>
          <w:color w:val="000000"/>
          <w:sz w:val="16"/>
          <w:szCs w:val="16"/>
          <w:shd w:val="clear" w:color="auto" w:fill="FFFFFF"/>
        </w:rPr>
      </w:pPr>
      <w:r w:rsidRPr="008C3CDA">
        <w:rPr>
          <w:rFonts w:ascii="Arial" w:hAnsi="Arial" w:cs="Arial"/>
          <w:color w:val="000000"/>
          <w:sz w:val="16"/>
          <w:szCs w:val="16"/>
          <w:shd w:val="clear" w:color="auto" w:fill="FFFFFF"/>
        </w:rPr>
        <w:t>Lysine acetyltransferases (KATs)</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Lysine deacetylase inhibitors (KDACi)</w:t>
      </w:r>
    </w:p>
    <w:p w:rsidR="008C3CDA" w:rsidRPr="008C3CDA" w:rsidRDefault="008C3CDA" w:rsidP="008C3CDA">
      <w:pPr>
        <w:rPr>
          <w:rFonts w:ascii="Arial" w:hAnsi="Arial" w:cs="Arial"/>
          <w:sz w:val="16"/>
          <w:szCs w:val="16"/>
        </w:rPr>
      </w:pPr>
      <w:r w:rsidRPr="008C3CDA">
        <w:rPr>
          <w:rFonts w:ascii="Arial" w:hAnsi="Arial" w:cs="Arial"/>
          <w:sz w:val="16"/>
          <w:szCs w:val="16"/>
        </w:rPr>
        <w:t>Lysine deacetylase-8 (HDAC8)</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Lysine deacetylases (KDACs)</w:t>
      </w:r>
    </w:p>
    <w:p w:rsidR="008C3CDA" w:rsidRPr="008C3CDA" w:rsidRDefault="008C3CDA" w:rsidP="008C3CDA">
      <w:pPr>
        <w:rPr>
          <w:rFonts w:ascii="Arial" w:hAnsi="Arial" w:cs="Arial"/>
          <w:sz w:val="16"/>
          <w:szCs w:val="16"/>
        </w:rPr>
      </w:pPr>
      <w:r w:rsidRPr="008C3CDA">
        <w:rPr>
          <w:rFonts w:ascii="Arial" w:hAnsi="Arial" w:cs="Arial"/>
          <w:sz w:val="16"/>
          <w:szCs w:val="16"/>
        </w:rPr>
        <w:t>Lysine deactylase-6 (HDAC6)</w:t>
      </w:r>
    </w:p>
    <w:p w:rsidR="008C3CDA" w:rsidRPr="008C3CDA" w:rsidRDefault="008C3CDA" w:rsidP="008C3CDA">
      <w:pPr>
        <w:rPr>
          <w:rFonts w:ascii="Arial" w:eastAsia="Times New Roman" w:hAnsi="Arial" w:cs="Arial"/>
          <w:color w:val="000000"/>
          <w:sz w:val="16"/>
          <w:szCs w:val="16"/>
        </w:rPr>
      </w:pPr>
      <w:r w:rsidRPr="008C3CDA">
        <w:rPr>
          <w:rFonts w:ascii="Arial" w:eastAsia="Times New Roman" w:hAnsi="Arial" w:cs="Arial"/>
          <w:color w:val="000000"/>
          <w:sz w:val="16"/>
          <w:szCs w:val="16"/>
        </w:rPr>
        <w:t>Mass-spectrometry (MS)</w:t>
      </w:r>
    </w:p>
    <w:p w:rsidR="008C3CDA" w:rsidRPr="008C3CDA" w:rsidRDefault="008C3CDA" w:rsidP="008C3CDA">
      <w:pPr>
        <w:rPr>
          <w:rFonts w:ascii="Arial" w:hAnsi="Arial" w:cs="Arial"/>
          <w:sz w:val="16"/>
          <w:szCs w:val="16"/>
          <w:shd w:val="clear" w:color="auto" w:fill="FFFFFF"/>
        </w:rPr>
      </w:pPr>
      <w:r w:rsidRPr="008C3CDA">
        <w:rPr>
          <w:rFonts w:ascii="Arial" w:hAnsi="Arial" w:cs="Arial"/>
          <w:iCs/>
          <w:color w:val="252525"/>
          <w:sz w:val="16"/>
          <w:szCs w:val="16"/>
          <w:shd w:val="clear" w:color="auto" w:fill="FFFFFF"/>
        </w:rPr>
        <w:t>Matrix-Assisted Laser Desorption/Ionization-Time of Flight MS</w:t>
      </w:r>
      <w:r w:rsidRPr="008C3CDA">
        <w:rPr>
          <w:rFonts w:ascii="Arial" w:hAnsi="Arial" w:cs="Arial"/>
          <w:sz w:val="16"/>
          <w:szCs w:val="16"/>
          <w:shd w:val="clear" w:color="auto" w:fill="FFFFFF"/>
        </w:rPr>
        <w:t xml:space="preserve"> (MALDI-TOF)</w:t>
      </w:r>
    </w:p>
    <w:p w:rsidR="008C3CDA" w:rsidRPr="008C3CDA" w:rsidRDefault="008C3CDA" w:rsidP="008C3CDA">
      <w:pPr>
        <w:rPr>
          <w:rFonts w:ascii="Arial" w:hAnsi="Arial" w:cs="Arial"/>
          <w:sz w:val="16"/>
          <w:szCs w:val="16"/>
        </w:rPr>
      </w:pPr>
      <w:r w:rsidRPr="008C3CDA">
        <w:rPr>
          <w:rFonts w:ascii="Arial" w:hAnsi="Arial" w:cs="Arial"/>
          <w:sz w:val="16"/>
          <w:szCs w:val="16"/>
        </w:rPr>
        <w:t>Messenger ribonucleic acid (mRNA)</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Michigan Cancer Foundation-7 (MCF-7)</w:t>
      </w:r>
    </w:p>
    <w:p w:rsidR="008C3CDA" w:rsidRPr="008C3CDA" w:rsidRDefault="008C3CDA" w:rsidP="008C3CDA">
      <w:pPr>
        <w:rPr>
          <w:rFonts w:ascii="Arial" w:hAnsi="Arial" w:cs="Arial"/>
          <w:sz w:val="16"/>
          <w:szCs w:val="16"/>
          <w:lang w:eastAsia="es-MX"/>
        </w:rPr>
      </w:pPr>
      <w:r w:rsidRPr="008C3CDA">
        <w:rPr>
          <w:rFonts w:ascii="Arial" w:hAnsi="Arial" w:cs="Arial"/>
          <w:sz w:val="16"/>
          <w:szCs w:val="16"/>
          <w:lang w:eastAsia="es-MX"/>
        </w:rPr>
        <w:t>Micro molar (</w:t>
      </w:r>
      <w:r w:rsidRPr="008C3CDA">
        <w:rPr>
          <w:rFonts w:ascii="Calibri" w:hAnsi="Calibri" w:cs="Arial"/>
          <w:sz w:val="16"/>
          <w:szCs w:val="16"/>
          <w:lang w:eastAsia="es-MX"/>
        </w:rPr>
        <w:t>μM)</w:t>
      </w:r>
    </w:p>
    <w:p w:rsidR="008C3CDA" w:rsidRPr="008C3CDA" w:rsidRDefault="008C3CDA" w:rsidP="008C3CDA">
      <w:pPr>
        <w:rPr>
          <w:rFonts w:ascii="Arial" w:hAnsi="Arial" w:cs="Arial"/>
          <w:sz w:val="16"/>
          <w:szCs w:val="16"/>
        </w:rPr>
      </w:pPr>
      <w:r w:rsidRPr="008C3CDA">
        <w:rPr>
          <w:rFonts w:ascii="Arial" w:hAnsi="Arial" w:cs="Arial"/>
          <w:sz w:val="16"/>
          <w:szCs w:val="16"/>
        </w:rPr>
        <w:t>Millimolar (mM)</w:t>
      </w:r>
    </w:p>
    <w:p w:rsidR="008C3CDA" w:rsidRPr="008C3CDA" w:rsidRDefault="008C3CDA" w:rsidP="008C3CDA">
      <w:pPr>
        <w:rPr>
          <w:rFonts w:ascii="Arial" w:hAnsi="Arial" w:cs="Arial"/>
          <w:sz w:val="16"/>
          <w:szCs w:val="16"/>
        </w:rPr>
      </w:pPr>
      <w:r w:rsidRPr="008C3CDA">
        <w:rPr>
          <w:rFonts w:ascii="Arial" w:hAnsi="Arial" w:cs="Arial"/>
          <w:sz w:val="16"/>
          <w:szCs w:val="16"/>
        </w:rPr>
        <w:t>Molecular Function (MF)</w:t>
      </w:r>
    </w:p>
    <w:p w:rsidR="008C3CDA" w:rsidRPr="008C3CDA" w:rsidRDefault="008C3CDA" w:rsidP="008C3CDA">
      <w:pPr>
        <w:rPr>
          <w:rFonts w:ascii="Arial" w:hAnsi="Arial" w:cs="Arial"/>
          <w:sz w:val="16"/>
          <w:szCs w:val="16"/>
        </w:rPr>
      </w:pPr>
      <w:r w:rsidRPr="008C3CDA">
        <w:rPr>
          <w:rFonts w:ascii="Arial" w:hAnsi="Arial" w:cs="Arial"/>
          <w:sz w:val="16"/>
          <w:szCs w:val="16"/>
        </w:rPr>
        <w:t>Mouse embryonic fibroblasts (MEF)</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t>Multi-dimensional Protein Identification Technology (MudPIT)}</w:t>
      </w:r>
    </w:p>
    <w:p w:rsidR="008C3CDA" w:rsidRPr="008C3CDA" w:rsidRDefault="008C3CDA" w:rsidP="008C3CDA">
      <w:pPr>
        <w:rPr>
          <w:rFonts w:ascii="Arial" w:hAnsi="Arial" w:cs="Arial"/>
          <w:sz w:val="16"/>
          <w:szCs w:val="16"/>
        </w:rPr>
      </w:pPr>
      <w:r w:rsidRPr="008C3CDA">
        <w:rPr>
          <w:rFonts w:ascii="Arial" w:hAnsi="Arial" w:cs="Arial"/>
          <w:sz w:val="16"/>
          <w:szCs w:val="16"/>
        </w:rPr>
        <w:t>NAD dependant deacetylase sirtuin-1 (Sirt1)</w:t>
      </w:r>
    </w:p>
    <w:p w:rsidR="008C3CDA" w:rsidRPr="008C3CDA" w:rsidRDefault="008C3CDA" w:rsidP="008C3CDA">
      <w:pPr>
        <w:rPr>
          <w:rFonts w:ascii="Arial" w:hAnsi="Arial" w:cs="Arial"/>
          <w:sz w:val="16"/>
          <w:szCs w:val="16"/>
        </w:rPr>
      </w:pPr>
      <w:r w:rsidRPr="008C3CDA">
        <w:rPr>
          <w:rFonts w:ascii="Arial" w:hAnsi="Arial" w:cs="Arial"/>
          <w:sz w:val="16"/>
          <w:szCs w:val="16"/>
        </w:rPr>
        <w:t>NAD dependant deacetylase sirtuin-2 (Sirt2)</w:t>
      </w:r>
    </w:p>
    <w:p w:rsidR="008C3CDA" w:rsidRPr="008C3CDA" w:rsidRDefault="008C3CDA" w:rsidP="008C3CDA">
      <w:pPr>
        <w:rPr>
          <w:rFonts w:ascii="Arial" w:hAnsi="Arial" w:cs="Arial"/>
          <w:sz w:val="16"/>
          <w:szCs w:val="16"/>
        </w:rPr>
      </w:pPr>
      <w:r w:rsidRPr="008C3CDA">
        <w:rPr>
          <w:rFonts w:ascii="Arial" w:hAnsi="Arial" w:cs="Arial"/>
          <w:sz w:val="16"/>
          <w:szCs w:val="16"/>
        </w:rPr>
        <w:t>NAD dependant deacetylase sirtuin-3 (Sirt3)</w:t>
      </w:r>
    </w:p>
    <w:p w:rsidR="008C3CDA" w:rsidRPr="008C3CDA" w:rsidRDefault="008C3CDA" w:rsidP="008C3CDA">
      <w:pPr>
        <w:rPr>
          <w:rFonts w:ascii="Arial" w:hAnsi="Arial" w:cs="Arial"/>
          <w:sz w:val="16"/>
          <w:szCs w:val="16"/>
        </w:rPr>
      </w:pPr>
      <w:r w:rsidRPr="008C3CDA">
        <w:rPr>
          <w:rFonts w:ascii="Arial" w:hAnsi="Arial" w:cs="Arial"/>
          <w:sz w:val="16"/>
          <w:szCs w:val="16"/>
        </w:rPr>
        <w:t>NAD dependant deacetylase sirtuin-4 (Sirt4)</w:t>
      </w:r>
    </w:p>
    <w:p w:rsidR="008C3CDA" w:rsidRPr="008C3CDA" w:rsidRDefault="008C3CDA" w:rsidP="008C3CDA">
      <w:pPr>
        <w:rPr>
          <w:rFonts w:ascii="Arial" w:hAnsi="Arial" w:cs="Arial"/>
          <w:sz w:val="16"/>
          <w:szCs w:val="16"/>
        </w:rPr>
      </w:pPr>
      <w:r w:rsidRPr="008C3CDA">
        <w:rPr>
          <w:rFonts w:ascii="Arial" w:hAnsi="Arial" w:cs="Arial"/>
          <w:sz w:val="16"/>
          <w:szCs w:val="16"/>
        </w:rPr>
        <w:t>NAD dependant deacetylase sirtuin-4 (Sirt5)</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Nicotinamide adenine dinucleotide (NADH)</w:t>
      </w:r>
    </w:p>
    <w:p w:rsidR="008C3CDA" w:rsidRPr="008C3CDA" w:rsidRDefault="008C3CDA" w:rsidP="008C3CDA">
      <w:pPr>
        <w:rPr>
          <w:rFonts w:ascii="Arial" w:hAnsi="Arial" w:cs="Arial"/>
          <w:sz w:val="16"/>
          <w:szCs w:val="16"/>
        </w:rPr>
      </w:pPr>
      <w:r w:rsidRPr="008C3CDA">
        <w:rPr>
          <w:rFonts w:ascii="Arial" w:hAnsi="Arial" w:cs="Arial"/>
          <w:sz w:val="16"/>
          <w:szCs w:val="16"/>
          <w:lang w:val="en-US"/>
        </w:rPr>
        <w:t>Nicotinamide adenine dinucleotide phosphate</w:t>
      </w:r>
      <w:r w:rsidRPr="008C3CDA">
        <w:rPr>
          <w:rFonts w:ascii="Arial" w:hAnsi="Arial" w:cs="Arial"/>
          <w:sz w:val="16"/>
          <w:szCs w:val="16"/>
        </w:rPr>
        <w:t xml:space="preserve"> (NADPH)</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Post-translational modifications (PTMs)</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t>ProteomeLab PF2D (2D LC)</w:t>
      </w:r>
    </w:p>
    <w:p w:rsidR="008C3CDA" w:rsidRPr="008C3CDA" w:rsidRDefault="008C3CDA" w:rsidP="008C3CDA">
      <w:pPr>
        <w:rPr>
          <w:rFonts w:ascii="Arial" w:hAnsi="Arial" w:cs="Arial"/>
          <w:sz w:val="16"/>
          <w:szCs w:val="16"/>
        </w:rPr>
      </w:pPr>
      <w:r w:rsidRPr="008C3CDA">
        <w:rPr>
          <w:rFonts w:ascii="Arial" w:hAnsi="Arial" w:cs="Arial"/>
          <w:sz w:val="16"/>
          <w:szCs w:val="16"/>
        </w:rPr>
        <w:t>Reactive oxygen species (ROS)</w:t>
      </w:r>
    </w:p>
    <w:p w:rsidR="008C3CDA" w:rsidRPr="008C3CDA" w:rsidRDefault="008C3CDA" w:rsidP="008C3CDA">
      <w:pPr>
        <w:pStyle w:val="Caption"/>
        <w:jc w:val="both"/>
        <w:rPr>
          <w:rStyle w:val="Strong"/>
          <w:rFonts w:ascii="Arial" w:hAnsi="Arial" w:cs="Arial"/>
          <w:color w:val="auto"/>
          <w:sz w:val="16"/>
          <w:szCs w:val="16"/>
          <w:lang w:val="en-US"/>
        </w:rPr>
      </w:pPr>
      <w:r w:rsidRPr="008C3CDA">
        <w:rPr>
          <w:rStyle w:val="Strong"/>
          <w:rFonts w:ascii="Arial" w:hAnsi="Arial" w:cs="Arial"/>
          <w:color w:val="auto"/>
          <w:sz w:val="16"/>
          <w:szCs w:val="16"/>
          <w:lang w:val="en-US"/>
        </w:rPr>
        <w:t>Reverse Phase (Rp)</w:t>
      </w:r>
    </w:p>
    <w:p w:rsidR="008C3CDA" w:rsidRPr="008C3CDA" w:rsidRDefault="008C3CDA" w:rsidP="008C3CDA">
      <w:pPr>
        <w:pStyle w:val="Caption"/>
        <w:jc w:val="both"/>
        <w:rPr>
          <w:rStyle w:val="Strong"/>
          <w:rFonts w:ascii="Arial" w:hAnsi="Arial" w:cs="Arial"/>
          <w:color w:val="auto"/>
          <w:sz w:val="16"/>
          <w:szCs w:val="16"/>
          <w:lang w:val="en-US"/>
        </w:rPr>
      </w:pPr>
      <w:r w:rsidRPr="008C3CDA">
        <w:rPr>
          <w:rStyle w:val="Strong"/>
          <w:rFonts w:ascii="Arial" w:hAnsi="Arial" w:cs="Arial"/>
          <w:color w:val="auto"/>
          <w:sz w:val="16"/>
          <w:szCs w:val="16"/>
          <w:lang w:val="en-US"/>
        </w:rPr>
        <w:t>Reversed Phase High Performance Liquid Chromatography (RP HPLC)</w:t>
      </w:r>
    </w:p>
    <w:p w:rsidR="008C3CDA" w:rsidRPr="008C3CDA" w:rsidRDefault="008C3CDA" w:rsidP="008C3CDA">
      <w:pPr>
        <w:rPr>
          <w:rFonts w:ascii="Arial" w:hAnsi="Arial" w:cs="Arial"/>
          <w:noProof/>
          <w:sz w:val="16"/>
          <w:szCs w:val="16"/>
          <w:lang w:val="en-US"/>
        </w:rPr>
      </w:pPr>
      <w:r w:rsidRPr="008C3CDA">
        <w:rPr>
          <w:rFonts w:ascii="Arial" w:hAnsi="Arial" w:cs="Arial"/>
          <w:noProof/>
          <w:sz w:val="16"/>
          <w:szCs w:val="16"/>
          <w:lang w:val="en-US"/>
        </w:rPr>
        <w:t>Short chain fatty acid (SCFA)</w:t>
      </w:r>
    </w:p>
    <w:p w:rsidR="008C3CDA" w:rsidRPr="008C3CDA" w:rsidRDefault="008C3CDA" w:rsidP="008C3CDA">
      <w:pPr>
        <w:rPr>
          <w:rFonts w:ascii="Arial" w:hAnsi="Arial" w:cs="Arial"/>
          <w:noProof/>
          <w:sz w:val="16"/>
          <w:szCs w:val="16"/>
          <w:lang w:val="en-US"/>
        </w:rPr>
      </w:pPr>
      <w:r w:rsidRPr="008C3CDA">
        <w:rPr>
          <w:rFonts w:ascii="Arial" w:hAnsi="Arial" w:cs="Arial"/>
          <w:noProof/>
          <w:sz w:val="16"/>
          <w:szCs w:val="16"/>
          <w:lang w:val="en-US"/>
        </w:rPr>
        <w:t>Short chain fatty acids (SCFAs)</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Specific protein-1 (Sp1)</w:t>
      </w:r>
    </w:p>
    <w:p w:rsidR="008C3CDA" w:rsidRPr="008C3CDA" w:rsidRDefault="008C3CDA" w:rsidP="008C3CDA">
      <w:pPr>
        <w:rPr>
          <w:rFonts w:ascii="Arial" w:hAnsi="Arial" w:cs="Arial"/>
          <w:sz w:val="16"/>
          <w:szCs w:val="16"/>
          <w:lang w:val="en-US"/>
        </w:rPr>
      </w:pPr>
      <w:r w:rsidRPr="008C3CDA">
        <w:rPr>
          <w:rFonts w:ascii="Arial" w:hAnsi="Arial" w:cs="Arial"/>
          <w:sz w:val="16"/>
          <w:szCs w:val="16"/>
          <w:lang w:val="en-US"/>
        </w:rPr>
        <w:t>Specific protein-3 (Sp3)</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t>Stable Isotopic Labelling by Amino Acids in Cell Culture (SILAC)</w:t>
      </w:r>
    </w:p>
    <w:p w:rsidR="008C3CDA" w:rsidRPr="008C3CDA" w:rsidRDefault="008C3CDA" w:rsidP="008C3CDA">
      <w:pPr>
        <w:rPr>
          <w:rFonts w:ascii="Arial" w:hAnsi="Arial" w:cs="Arial"/>
          <w:sz w:val="16"/>
          <w:szCs w:val="16"/>
          <w:shd w:val="clear" w:color="auto" w:fill="FFFFFF"/>
        </w:rPr>
      </w:pPr>
      <w:r w:rsidRPr="008C3CDA">
        <w:rPr>
          <w:rFonts w:ascii="Arial" w:hAnsi="Arial" w:cs="Arial"/>
          <w:sz w:val="16"/>
          <w:szCs w:val="16"/>
          <w:shd w:val="clear" w:color="auto" w:fill="FFFFFF"/>
        </w:rPr>
        <w:lastRenderedPageBreak/>
        <w:t>Tandem mass tags (TMT)</w:t>
      </w:r>
    </w:p>
    <w:p w:rsidR="008C3CDA" w:rsidRPr="008C3CDA" w:rsidRDefault="008C3CDA" w:rsidP="008C3CDA">
      <w:pPr>
        <w:rPr>
          <w:rStyle w:val="highlight"/>
          <w:rFonts w:ascii="Arial" w:hAnsi="Arial" w:cs="Arial"/>
          <w:color w:val="000000"/>
          <w:sz w:val="16"/>
          <w:szCs w:val="16"/>
          <w:shd w:val="clear" w:color="auto" w:fill="FFFFFF"/>
        </w:rPr>
      </w:pPr>
      <w:r w:rsidRPr="008C3CDA">
        <w:rPr>
          <w:rStyle w:val="highlight"/>
          <w:rFonts w:ascii="Arial" w:hAnsi="Arial" w:cs="Arial"/>
          <w:color w:val="000000"/>
          <w:sz w:val="16"/>
          <w:szCs w:val="16"/>
          <w:shd w:val="clear" w:color="auto" w:fill="FFFFFF"/>
        </w:rPr>
        <w:t>Tandem MS (MS/MS)</w:t>
      </w:r>
    </w:p>
    <w:p w:rsidR="008C3CDA" w:rsidRPr="008C3CDA" w:rsidRDefault="008C3CDA" w:rsidP="008C3CDA">
      <w:pPr>
        <w:rPr>
          <w:rFonts w:ascii="Arial" w:hAnsi="Arial" w:cs="Arial"/>
          <w:sz w:val="16"/>
          <w:szCs w:val="16"/>
        </w:rPr>
      </w:pPr>
      <w:r w:rsidRPr="008C3CDA">
        <w:rPr>
          <w:rFonts w:ascii="Arial" w:hAnsi="Arial" w:cs="Arial"/>
          <w:sz w:val="16"/>
          <w:szCs w:val="16"/>
        </w:rPr>
        <w:t>Tricarboxylic acid (TCA)</w:t>
      </w:r>
    </w:p>
    <w:p w:rsidR="008C3CDA" w:rsidRPr="008C3CDA" w:rsidRDefault="008C3CDA" w:rsidP="008C3CDA">
      <w:pPr>
        <w:rPr>
          <w:rStyle w:val="st"/>
          <w:rFonts w:ascii="Arial" w:hAnsi="Arial" w:cs="Arial"/>
          <w:sz w:val="16"/>
          <w:szCs w:val="16"/>
        </w:rPr>
      </w:pPr>
      <w:r w:rsidRPr="008C3CDA">
        <w:rPr>
          <w:rStyle w:val="st"/>
          <w:rFonts w:ascii="Arial" w:hAnsi="Arial" w:cs="Arial"/>
          <w:sz w:val="16"/>
          <w:szCs w:val="16"/>
        </w:rPr>
        <w:t>Universal Protein Resource (Uniprot)</w:t>
      </w:r>
    </w:p>
    <w:p w:rsidR="00EF1380" w:rsidRPr="0041596D" w:rsidRDefault="00EF1380" w:rsidP="00EF1380">
      <w:pPr>
        <w:rPr>
          <w:rStyle w:val="st"/>
          <w:rFonts w:ascii="Arial" w:eastAsiaTheme="majorEastAsia" w:hAnsi="Arial" w:cs="Arial"/>
          <w:bCs/>
          <w:sz w:val="28"/>
          <w:szCs w:val="28"/>
        </w:rPr>
      </w:pPr>
    </w:p>
    <w:p w:rsidR="00EF1380" w:rsidRPr="007D7370" w:rsidRDefault="00EF1380" w:rsidP="00EF1380">
      <w:pPr>
        <w:spacing w:after="160" w:line="259" w:lineRule="auto"/>
        <w:rPr>
          <w:rStyle w:val="st"/>
          <w:rFonts w:ascii="Arial" w:eastAsiaTheme="majorEastAsia" w:hAnsi="Arial" w:cs="Arial"/>
          <w:bCs/>
          <w:sz w:val="28"/>
          <w:szCs w:val="28"/>
          <w:lang w:val="fr-CA"/>
        </w:rPr>
      </w:pPr>
      <w:r w:rsidRPr="007D7370">
        <w:rPr>
          <w:rStyle w:val="st"/>
          <w:rFonts w:ascii="Arial" w:eastAsiaTheme="majorEastAsia" w:hAnsi="Arial" w:cs="Arial"/>
          <w:bCs/>
          <w:sz w:val="28"/>
          <w:szCs w:val="28"/>
          <w:lang w:val="fr-CA"/>
        </w:rPr>
        <w:br w:type="page"/>
      </w:r>
    </w:p>
    <w:p w:rsidR="00EF1380" w:rsidRDefault="00EF1380" w:rsidP="00EF1380">
      <w:pPr>
        <w:pStyle w:val="Heading1"/>
        <w:jc w:val="both"/>
        <w:rPr>
          <w:rStyle w:val="st"/>
          <w:rFonts w:ascii="Arial" w:hAnsi="Arial" w:cs="Arial"/>
          <w:sz w:val="28"/>
          <w:szCs w:val="28"/>
        </w:rPr>
      </w:pPr>
      <w:bookmarkStart w:id="246" w:name="_Toc413753774"/>
      <w:proofErr w:type="gramStart"/>
      <w:r w:rsidRPr="001E7BC5">
        <w:rPr>
          <w:rStyle w:val="st"/>
          <w:rFonts w:ascii="Arial" w:eastAsiaTheme="majorEastAsia" w:hAnsi="Arial" w:cs="Arial"/>
          <w:bCs w:val="0"/>
          <w:sz w:val="28"/>
          <w:szCs w:val="28"/>
        </w:rPr>
        <w:lastRenderedPageBreak/>
        <w:t xml:space="preserve">APPENDIX </w:t>
      </w:r>
      <w:r>
        <w:rPr>
          <w:rStyle w:val="st"/>
          <w:rFonts w:ascii="Arial" w:eastAsiaTheme="majorEastAsia" w:hAnsi="Arial" w:cs="Arial"/>
          <w:bCs w:val="0"/>
          <w:sz w:val="28"/>
          <w:szCs w:val="28"/>
        </w:rPr>
        <w:t>II</w:t>
      </w:r>
      <w:r w:rsidRPr="001E7BC5">
        <w:rPr>
          <w:rStyle w:val="st"/>
          <w:rFonts w:ascii="Arial" w:eastAsiaTheme="majorEastAsia" w:hAnsi="Arial" w:cs="Arial"/>
          <w:bCs w:val="0"/>
          <w:sz w:val="28"/>
          <w:szCs w:val="28"/>
        </w:rPr>
        <w:t>.</w:t>
      </w:r>
      <w:bookmarkEnd w:id="244"/>
      <w:bookmarkEnd w:id="245"/>
      <w:proofErr w:type="gramEnd"/>
      <w:r w:rsidRPr="001E7BC5">
        <w:rPr>
          <w:rStyle w:val="st"/>
          <w:rFonts w:ascii="Arial" w:eastAsiaTheme="majorEastAsia" w:hAnsi="Arial" w:cs="Arial"/>
          <w:bCs w:val="0"/>
          <w:sz w:val="28"/>
          <w:szCs w:val="28"/>
        </w:rPr>
        <w:t xml:space="preserve"> </w:t>
      </w:r>
      <w:bookmarkStart w:id="247" w:name="_Toc379983958"/>
      <w:r w:rsidRPr="00492DA2">
        <w:rPr>
          <w:rStyle w:val="st"/>
          <w:rFonts w:ascii="Arial" w:hAnsi="Arial" w:cs="Arial"/>
          <w:sz w:val="24"/>
          <w:szCs w:val="28"/>
        </w:rPr>
        <w:t>Implications of acetylated lysine residues</w:t>
      </w:r>
      <w:bookmarkEnd w:id="247"/>
      <w:r w:rsidRPr="00492DA2">
        <w:rPr>
          <w:rStyle w:val="st"/>
          <w:rFonts w:ascii="Arial" w:hAnsi="Arial" w:cs="Arial"/>
          <w:sz w:val="24"/>
          <w:szCs w:val="28"/>
        </w:rPr>
        <w:t xml:space="preserve"> in metabolic enzymes/Variations in response to butyrate in metabolic enzymes</w:t>
      </w:r>
      <w:bookmarkEnd w:id="246"/>
    </w:p>
    <w:tbl>
      <w:tblPr>
        <w:tblStyle w:val="LightList"/>
        <w:tblW w:w="8845" w:type="dxa"/>
        <w:jc w:val="center"/>
        <w:tblLook w:val="04A0" w:firstRow="1" w:lastRow="0" w:firstColumn="1" w:lastColumn="0" w:noHBand="0" w:noVBand="1"/>
      </w:tblPr>
      <w:tblGrid>
        <w:gridCol w:w="1622"/>
        <w:gridCol w:w="3485"/>
        <w:gridCol w:w="2127"/>
        <w:gridCol w:w="1611"/>
      </w:tblGrid>
      <w:tr w:rsidR="00EF1380" w:rsidRPr="008658C5" w:rsidTr="009B400B">
        <w:trPr>
          <w:cnfStyle w:val="100000000000" w:firstRow="1" w:lastRow="0" w:firstColumn="0" w:lastColumn="0" w:oddVBand="0" w:evenVBand="0" w:oddHBand="0" w:evenHBand="0" w:firstRowFirstColumn="0" w:firstRowLastColumn="0" w:lastRowFirstColumn="0" w:lastRowLastColumn="0"/>
          <w:trHeight w:hRule="exact" w:val="628"/>
          <w:jc w:val="center"/>
        </w:trPr>
        <w:tc>
          <w:tcPr>
            <w:cnfStyle w:val="001000000000" w:firstRow="0" w:lastRow="0" w:firstColumn="1" w:lastColumn="0" w:oddVBand="0" w:evenVBand="0" w:oddHBand="0" w:evenHBand="0" w:firstRowFirstColumn="0" w:firstRowLastColumn="0" w:lastRowFirstColumn="0" w:lastRowLastColumn="0"/>
            <w:tcW w:w="1622" w:type="dxa"/>
            <w:hideMark/>
          </w:tcPr>
          <w:p w:rsidR="00EF1380" w:rsidRPr="00E33CD3" w:rsidRDefault="00EF1380" w:rsidP="009B400B">
            <w:pPr>
              <w:jc w:val="center"/>
              <w:rPr>
                <w:rFonts w:cs="Arial"/>
                <w:color w:val="auto"/>
                <w:sz w:val="16"/>
                <w:szCs w:val="16"/>
              </w:rPr>
            </w:pPr>
            <w:r>
              <w:rPr>
                <w:rFonts w:cs="Arial"/>
                <w:color w:val="auto"/>
                <w:sz w:val="16"/>
                <w:szCs w:val="16"/>
              </w:rPr>
              <w:t>Glycolytic enzyme</w:t>
            </w:r>
          </w:p>
        </w:tc>
        <w:tc>
          <w:tcPr>
            <w:tcW w:w="3485" w:type="dxa"/>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E33CD3">
              <w:rPr>
                <w:rFonts w:cs="Arial"/>
                <w:color w:val="auto"/>
                <w:sz w:val="16"/>
                <w:szCs w:val="16"/>
              </w:rPr>
              <w:t>Acetylated Lys</w:t>
            </w:r>
            <w:r>
              <w:rPr>
                <w:rFonts w:cs="Arial"/>
                <w:color w:val="auto"/>
                <w:sz w:val="16"/>
                <w:szCs w:val="16"/>
              </w:rPr>
              <w:t>ine</w:t>
            </w:r>
            <w:r w:rsidRPr="00E33CD3">
              <w:rPr>
                <w:rFonts w:cs="Arial"/>
                <w:color w:val="auto"/>
                <w:sz w:val="16"/>
                <w:szCs w:val="16"/>
              </w:rPr>
              <w:t xml:space="preserve"> residues</w:t>
            </w:r>
          </w:p>
        </w:tc>
        <w:tc>
          <w:tcPr>
            <w:tcW w:w="2127" w:type="dxa"/>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E33CD3">
              <w:rPr>
                <w:rFonts w:cs="Arial"/>
                <w:color w:val="auto"/>
                <w:sz w:val="16"/>
                <w:szCs w:val="16"/>
              </w:rPr>
              <w:t>Variation in response to butyrate</w:t>
            </w:r>
          </w:p>
        </w:tc>
        <w:tc>
          <w:tcPr>
            <w:tcW w:w="1611" w:type="dxa"/>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E33CD3">
              <w:rPr>
                <w:rFonts w:cs="Arial"/>
                <w:color w:val="auto"/>
                <w:sz w:val="16"/>
                <w:szCs w:val="16"/>
              </w:rPr>
              <w:t>Impact of Lys acetylation on the enzyme</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hRule="exact" w:val="1364"/>
          <w:jc w:val="center"/>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rsidR="00EF1380" w:rsidRPr="00E33CD3" w:rsidRDefault="00EF1380" w:rsidP="009B400B">
            <w:pPr>
              <w:jc w:val="center"/>
              <w:rPr>
                <w:rFonts w:cs="Arial"/>
                <w:sz w:val="16"/>
                <w:szCs w:val="16"/>
              </w:rPr>
            </w:pPr>
            <w:r w:rsidRPr="00E33CD3">
              <w:rPr>
                <w:rFonts w:eastAsia="Times New Roman" w:cs="Arial"/>
                <w:sz w:val="16"/>
                <w:szCs w:val="16"/>
              </w:rPr>
              <w:t>Hexokinase</w:t>
            </w:r>
          </w:p>
        </w:tc>
        <w:tc>
          <w:tcPr>
            <w:tcW w:w="3485" w:type="dxa"/>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eastAsia="Times New Roman" w:cs="Arial"/>
                <w:sz w:val="16"/>
                <w:szCs w:val="16"/>
              </w:rPr>
              <w:t xml:space="preserve">21, 24, 62, 77, 176, 187, 191, 333, 344, 346, 353, 418, 429, 481, 544 and </w:t>
            </w:r>
            <w:r w:rsidRPr="00E33CD3">
              <w:rPr>
                <w:rFonts w:eastAsia="Times New Roman" w:cs="Arial"/>
                <w:sz w:val="16"/>
                <w:szCs w:val="16"/>
              </w:rPr>
              <w:t>763.</w:t>
            </w:r>
          </w:p>
        </w:tc>
        <w:tc>
          <w:tcPr>
            <w:tcW w:w="2127" w:type="dxa"/>
            <w:vAlign w:val="center"/>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Increased mitochondrial bound activity in H460 lung cancer cells </w:t>
            </w:r>
            <w:r w:rsidR="006C2756" w:rsidRPr="00E33CD3">
              <w:rPr>
                <w:rFonts w:eastAsia="Times New Roman" w:cs="Arial"/>
                <w:sz w:val="16"/>
                <w:szCs w:val="16"/>
              </w:rPr>
              <w:fldChar w:fldCharType="begin"/>
            </w:r>
            <w:r w:rsidR="00FC3C1A">
              <w:rPr>
                <w:rFonts w:eastAsia="Times New Roman" w:cs="Arial"/>
                <w:sz w:val="16"/>
                <w:szCs w:val="16"/>
              </w:rPr>
              <w:instrText xml:space="preserve"> ADDIN EN.CITE &lt;EndNote&gt;&lt;Cite&gt;&lt;Author&gt;Amoêdo N&lt;/Author&gt;&lt;Year&gt;2011&lt;/Year&gt;&lt;RecNum&gt;311&lt;/RecNum&gt;&lt;DisplayText&gt;(95)&lt;/DisplayText&gt;&lt;record&gt;&lt;rec-number&gt;311&lt;/rec-number&gt;&lt;foreign-keys&gt;&lt;key app="EN" db-id="zxp9w5sa30aeafes0xox2eem00dz2z2aswad"&gt;311&lt;/key&gt;&lt;/foreign-keys&gt;&lt;ref-type name="Journal Article"&gt;17&lt;/ref-type&gt;&lt;contributors&gt;&lt;authors&gt;&lt;author&gt;Amoêdo N,&lt;/author&gt;&lt;author&gt;Rodrigues M,&lt;/author&gt;&lt;author&gt;Pezzuto P,&lt;/author&gt;&lt;author&gt;Galina A,&lt;/author&gt;&lt;author&gt;da Costa R,&lt;/author&gt;&lt;author&gt;de Almeida F,&lt;/author&gt;&lt;author&gt;El-Bacha T,&lt;/author&gt;&lt;author&gt;Rumjanek F,&lt;/author&gt;&lt;/authors&gt;&lt;/contributors&gt;&lt;titles&gt;&lt;title&gt;Energy metabolism in H460 lung cancer cells: effects of histone deacetylase inhibitors&lt;/title&gt;&lt;secondary-title&gt;PLoS One&lt;/secondary-title&gt;&lt;/titles&gt;&lt;periodical&gt;&lt;full-title&gt;PLoS One&lt;/full-title&gt;&lt;/periodical&gt;&lt;pages&gt;doi: 10.1371/journal.pone.0022264&lt;/pages&gt;&lt;volume&gt;6&lt;/volume&gt;&lt;number&gt;(7):e22264&lt;/number&gt;&lt;dates&gt;&lt;year&gt;2011&lt;/year&gt;&lt;/dates&gt;&lt;urls&gt;&lt;/urls&gt;&lt;/record&gt;&lt;/Cite&gt;&lt;/EndNote&gt;</w:instrText>
            </w:r>
            <w:r w:rsidR="006C2756" w:rsidRPr="00E33CD3">
              <w:rPr>
                <w:rFonts w:eastAsia="Times New Roman" w:cs="Arial"/>
                <w:sz w:val="16"/>
                <w:szCs w:val="16"/>
              </w:rPr>
              <w:fldChar w:fldCharType="separate"/>
            </w:r>
            <w:r w:rsidR="00FC3C1A">
              <w:rPr>
                <w:rFonts w:eastAsia="Times New Roman" w:cs="Arial"/>
                <w:noProof/>
                <w:sz w:val="16"/>
                <w:szCs w:val="16"/>
              </w:rPr>
              <w:t>(</w:t>
            </w:r>
            <w:hyperlink w:anchor="_ENREF_95" w:tooltip="Amoêdo N, 2011 #311" w:history="1">
              <w:r w:rsidR="00AB7E17">
                <w:rPr>
                  <w:rFonts w:eastAsia="Times New Roman" w:cs="Arial"/>
                  <w:noProof/>
                  <w:sz w:val="16"/>
                  <w:szCs w:val="16"/>
                </w:rPr>
                <w:t>95</w:t>
              </w:r>
            </w:hyperlink>
            <w:r w:rsidR="00FC3C1A">
              <w:rPr>
                <w:rFonts w:eastAsia="Times New Roman" w:cs="Arial"/>
                <w:noProof/>
                <w:sz w:val="16"/>
                <w:szCs w:val="16"/>
              </w:rPr>
              <w:t>)</w:t>
            </w:r>
            <w:r w:rsidR="006C2756" w:rsidRPr="00E33CD3">
              <w:rPr>
                <w:rFonts w:eastAsia="Times New Roman" w:cs="Arial"/>
                <w:sz w:val="16"/>
                <w:szCs w:val="16"/>
              </w:rPr>
              <w:fldChar w:fldCharType="end"/>
            </w:r>
            <w:r w:rsidRPr="00E33CD3">
              <w:rPr>
                <w:rFonts w:eastAsia="Times New Roman" w:cs="Arial"/>
                <w:sz w:val="16"/>
                <w:szCs w:val="16"/>
              </w:rPr>
              <w:t xml:space="preserve"> and increased expression and activity </w:t>
            </w:r>
            <w:r>
              <w:rPr>
                <w:rFonts w:eastAsia="Times New Roman" w:cs="Arial"/>
                <w:sz w:val="16"/>
                <w:szCs w:val="16"/>
              </w:rPr>
              <w:t xml:space="preserve">in </w:t>
            </w:r>
            <w:r w:rsidRPr="00E33CD3">
              <w:rPr>
                <w:rFonts w:eastAsia="Times New Roman" w:cs="Arial"/>
                <w:sz w:val="16"/>
                <w:szCs w:val="16"/>
              </w:rPr>
              <w:t xml:space="preserve">RINm5F insulinoma cells  </w:t>
            </w:r>
            <w:r w:rsidR="006C2756" w:rsidRPr="00E33CD3">
              <w:rPr>
                <w:rFonts w:eastAsia="Times New Roman" w:cs="Arial"/>
                <w:sz w:val="16"/>
                <w:szCs w:val="16"/>
              </w:rPr>
              <w:fldChar w:fldCharType="begin"/>
            </w:r>
            <w:r w:rsidR="00FC3C1A">
              <w:rPr>
                <w:rFonts w:eastAsia="Times New Roman" w:cs="Arial"/>
                <w:sz w:val="16"/>
                <w:szCs w:val="16"/>
              </w:rPr>
              <w:instrText xml:space="preserve"> ADDIN EN.CITE &lt;EndNote&gt;&lt;Cite&gt;&lt;Author&gt;Tiedge M&lt;/Author&gt;&lt;Year&gt;1996&lt;/Year&gt;&lt;RecNum&gt;313&lt;/RecNum&gt;&lt;DisplayText&gt;(96, 97)&lt;/DisplayText&gt;&lt;record&gt;&lt;rec-number&gt;313&lt;/rec-number&gt;&lt;foreign-keys&gt;&lt;key app="EN" db-id="zxp9w5sa30aeafes0xox2eem00dz2z2aswad"&gt;313&lt;/key&gt;&lt;/foreign-keys&gt;&lt;ref-type name="Journal Article"&gt;17&lt;/ref-type&gt;&lt;contributors&gt;&lt;authors&gt;&lt;author&gt;Tiedge M,&lt;/author&gt;&lt;author&gt;Lenzen S,&lt;/author&gt;&lt;/authors&gt;&lt;/contributors&gt;&lt;titles&gt;&lt;title&gt;Effects of sodium butyrate on glucose transporter and glucose-phosphorylating enzyme gene expression in RINm5F insulinoma cells&lt;/title&gt;&lt;secondary-title&gt;J Mol Endocrinol&lt;/secondary-title&gt;&lt;/titles&gt;&lt;periodical&gt;&lt;full-title&gt;J Mol Endocrinol&lt;/full-title&gt;&lt;/periodical&gt;&lt;pages&gt;19-26&lt;/pages&gt;&lt;volume&gt;17&lt;/volume&gt;&lt;number&gt;1&lt;/number&gt;&lt;dates&gt;&lt;year&gt;1996&lt;/year&gt;&lt;/dates&gt;&lt;urls&gt;&lt;/urls&gt;&lt;/record&gt;&lt;/Cite&gt;&lt;Cite&gt;&lt;Author&gt;Fernández-Mejía C&lt;/Author&gt;&lt;Year&gt;1993&lt;/Year&gt;&lt;RecNum&gt;314&lt;/RecNum&gt;&lt;record&gt;&lt;rec-number&gt;314&lt;/rec-number&gt;&lt;foreign-keys&gt;&lt;key app="EN" db-id="zxp9w5sa30aeafes0xox2eem00dz2z2aswad"&gt;314&lt;/key&gt;&lt;/foreign-keys&gt;&lt;ref-type name="Journal Article"&gt;17&lt;/ref-type&gt;&lt;contributors&gt;&lt;authors&gt;&lt;author&gt;Fernández-Mejía C,&lt;/author&gt;&lt;author&gt;Davidson M,&lt;/author&gt;&lt;/authors&gt;&lt;/contributors&gt;&lt;titles&gt;&lt;title&gt;Effect of sodium butyrate on glucose transport and glucose-phosphorylating enzymes in RIN-m5F cells&lt;/title&gt;&lt;secondary-title&gt;Pancres&lt;/secondary-title&gt;&lt;/titles&gt;&lt;periodical&gt;&lt;full-title&gt;Pancres&lt;/full-title&gt;&lt;/periodical&gt;&lt;pages&gt;589-596&lt;/pages&gt;&lt;volume&gt;8&lt;/volume&gt;&lt;number&gt;5&lt;/number&gt;&lt;dates&gt;&lt;year&gt;1993&lt;/year&gt;&lt;/dates&gt;&lt;urls&gt;&lt;/urls&gt;&lt;/record&gt;&lt;/Cite&gt;&lt;/EndNote&gt;</w:instrText>
            </w:r>
            <w:r w:rsidR="006C2756" w:rsidRPr="00E33CD3">
              <w:rPr>
                <w:rFonts w:eastAsia="Times New Roman" w:cs="Arial"/>
                <w:sz w:val="16"/>
                <w:szCs w:val="16"/>
              </w:rPr>
              <w:fldChar w:fldCharType="separate"/>
            </w:r>
            <w:r w:rsidR="00FC3C1A">
              <w:rPr>
                <w:rFonts w:eastAsia="Times New Roman" w:cs="Arial"/>
                <w:noProof/>
                <w:sz w:val="16"/>
                <w:szCs w:val="16"/>
              </w:rPr>
              <w:t>(</w:t>
            </w:r>
            <w:hyperlink w:anchor="_ENREF_96" w:tooltip="Tiedge M, 1996 #313" w:history="1">
              <w:r w:rsidR="00AB7E17">
                <w:rPr>
                  <w:rFonts w:eastAsia="Times New Roman" w:cs="Arial"/>
                  <w:noProof/>
                  <w:sz w:val="16"/>
                  <w:szCs w:val="16"/>
                </w:rPr>
                <w:t>96</w:t>
              </w:r>
            </w:hyperlink>
            <w:r w:rsidR="00FC3C1A">
              <w:rPr>
                <w:rFonts w:eastAsia="Times New Roman" w:cs="Arial"/>
                <w:noProof/>
                <w:sz w:val="16"/>
                <w:szCs w:val="16"/>
              </w:rPr>
              <w:t xml:space="preserve">, </w:t>
            </w:r>
            <w:hyperlink w:anchor="_ENREF_97" w:tooltip="Fernández-Mejía C, 1993 #314" w:history="1">
              <w:r w:rsidR="00AB7E17">
                <w:rPr>
                  <w:rFonts w:eastAsia="Times New Roman" w:cs="Arial"/>
                  <w:noProof/>
                  <w:sz w:val="16"/>
                  <w:szCs w:val="16"/>
                </w:rPr>
                <w:t>97</w:t>
              </w:r>
            </w:hyperlink>
            <w:r w:rsidR="00FC3C1A">
              <w:rPr>
                <w:rFonts w:eastAsia="Times New Roman" w:cs="Arial"/>
                <w:noProof/>
                <w:sz w:val="16"/>
                <w:szCs w:val="16"/>
              </w:rPr>
              <w:t>)</w:t>
            </w:r>
            <w:r w:rsidR="006C2756" w:rsidRPr="00E33CD3">
              <w:rPr>
                <w:rFonts w:eastAsia="Times New Roman" w:cs="Arial"/>
                <w:sz w:val="16"/>
                <w:szCs w:val="16"/>
              </w:rPr>
              <w:fldChar w:fldCharType="end"/>
            </w:r>
            <w:r w:rsidRPr="00E33CD3">
              <w:rPr>
                <w:rFonts w:eastAsia="Times New Roman" w:cs="Arial"/>
                <w:sz w:val="16"/>
                <w:szCs w:val="16"/>
              </w:rPr>
              <w:t>.</w:t>
            </w:r>
          </w:p>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611" w:type="dxa"/>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eastAsia="Times New Roman" w:cs="Arial"/>
                <w:sz w:val="16"/>
                <w:szCs w:val="16"/>
              </w:rPr>
              <w:t>No effect reported</w:t>
            </w:r>
          </w:p>
        </w:tc>
      </w:tr>
      <w:tr w:rsidR="00EF1380" w:rsidRPr="008658C5" w:rsidTr="009B400B">
        <w:trPr>
          <w:trHeight w:hRule="exact" w:val="428"/>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Glucose 6-phosphate isomerase</w:t>
            </w:r>
          </w:p>
        </w:tc>
        <w:tc>
          <w:tcPr>
            <w:tcW w:w="3485" w:type="dxa"/>
            <w:noWrap/>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12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142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211, 252, 362, and 466.</w:t>
            </w:r>
          </w:p>
        </w:tc>
        <w:tc>
          <w:tcPr>
            <w:tcW w:w="2127" w:type="dxa"/>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1611" w:type="dxa"/>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Pr>
                <w:rFonts w:eastAsia="Times New Roman" w:cs="Arial"/>
                <w:sz w:val="16"/>
                <w:szCs w:val="16"/>
                <w:lang w:val="en-US"/>
              </w:rPr>
              <w:t>No effect reported</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hRule="exact" w:val="993"/>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Phosphoglycerate kinase</w:t>
            </w:r>
          </w:p>
        </w:tc>
        <w:tc>
          <w:tcPr>
            <w:tcW w:w="3485" w:type="dxa"/>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6, 11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48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56, 75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97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131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133, 141, 146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w:t>
            </w:r>
            <w:r>
              <w:rPr>
                <w:rFonts w:eastAsia="Times New Roman" w:cs="Arial"/>
                <w:sz w:val="16"/>
                <w:szCs w:val="16"/>
                <w:lang w:val="en-US"/>
              </w:rPr>
              <w:t xml:space="preserve">149 </w:t>
            </w:r>
            <w:r w:rsidR="006C2756">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Pr>
                <w:rFonts w:eastAsia="Times New Roman" w:cs="Arial"/>
                <w:sz w:val="16"/>
                <w:szCs w:val="16"/>
                <w:lang w:val="en-US"/>
              </w:rPr>
              <w:fldChar w:fldCharType="separate"/>
            </w:r>
            <w:r w:rsidR="00FC3C1A">
              <w:rPr>
                <w:rFonts w:eastAsia="Times New Roman" w:cs="Arial"/>
                <w:noProof/>
                <w:sz w:val="16"/>
                <w:szCs w:val="16"/>
                <w:lang w:val="en-US"/>
              </w:rPr>
              <w:t>(</w:t>
            </w:r>
            <w:hyperlink w:anchor="_ENREF_55" w:tooltip="Finkemeier I, 2011 #315" w:history="1">
              <w:r w:rsidR="00AB7E17">
                <w:rPr>
                  <w:rFonts w:eastAsia="Times New Roman" w:cs="Arial"/>
                  <w:noProof/>
                  <w:sz w:val="16"/>
                  <w:szCs w:val="16"/>
                  <w:lang w:val="en-US"/>
                </w:rPr>
                <w:t>55</w:t>
              </w:r>
            </w:hyperlink>
            <w:r w:rsidR="00FC3C1A">
              <w:rPr>
                <w:rFonts w:eastAsia="Times New Roman" w:cs="Arial"/>
                <w:noProof/>
                <w:sz w:val="16"/>
                <w:szCs w:val="16"/>
                <w:lang w:val="en-US"/>
              </w:rPr>
              <w:t>)</w:t>
            </w:r>
            <w:r w:rsidR="006C2756">
              <w:rPr>
                <w:rFonts w:eastAsia="Times New Roman" w:cs="Arial"/>
                <w:sz w:val="16"/>
                <w:szCs w:val="16"/>
                <w:lang w:val="en-US"/>
              </w:rPr>
              <w:fldChar w:fldCharType="end"/>
            </w:r>
            <w:r>
              <w:rPr>
                <w:rFonts w:eastAsia="Times New Roman" w:cs="Arial"/>
                <w:sz w:val="16"/>
                <w:szCs w:val="16"/>
                <w:lang w:val="en-US"/>
              </w:rPr>
              <w:t xml:space="preserve">, 169 </w:t>
            </w:r>
            <w:r w:rsidR="006C2756">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Pr>
                <w:rFonts w:eastAsia="Times New Roman" w:cs="Arial"/>
                <w:sz w:val="16"/>
                <w:szCs w:val="16"/>
                <w:lang w:val="en-US"/>
              </w:rPr>
              <w:fldChar w:fldCharType="separate"/>
            </w:r>
            <w:r w:rsidR="00FC3C1A">
              <w:rPr>
                <w:rFonts w:eastAsia="Times New Roman" w:cs="Arial"/>
                <w:noProof/>
                <w:sz w:val="16"/>
                <w:szCs w:val="16"/>
                <w:lang w:val="en-US"/>
              </w:rPr>
              <w:t>(</w:t>
            </w:r>
            <w:hyperlink w:anchor="_ENREF_55" w:tooltip="Finkemeier I, 2011 #315" w:history="1">
              <w:r w:rsidR="00AB7E17">
                <w:rPr>
                  <w:rFonts w:eastAsia="Times New Roman" w:cs="Arial"/>
                  <w:noProof/>
                  <w:sz w:val="16"/>
                  <w:szCs w:val="16"/>
                  <w:lang w:val="en-US"/>
                </w:rPr>
                <w:t>55</w:t>
              </w:r>
            </w:hyperlink>
            <w:r w:rsidR="00FC3C1A">
              <w:rPr>
                <w:rFonts w:eastAsia="Times New Roman" w:cs="Arial"/>
                <w:noProof/>
                <w:sz w:val="16"/>
                <w:szCs w:val="16"/>
                <w:lang w:val="en-US"/>
              </w:rPr>
              <w:t>)</w:t>
            </w:r>
            <w:r w:rsidR="006C2756">
              <w:rPr>
                <w:rFonts w:eastAsia="Times New Roman" w:cs="Arial"/>
                <w:sz w:val="16"/>
                <w:szCs w:val="16"/>
                <w:lang w:val="en-US"/>
              </w:rPr>
              <w:fldChar w:fldCharType="end"/>
            </w:r>
            <w:r>
              <w:rPr>
                <w:rFonts w:eastAsia="Times New Roman" w:cs="Arial"/>
                <w:sz w:val="16"/>
                <w:szCs w:val="16"/>
                <w:lang w:val="en-US"/>
              </w:rPr>
              <w:t xml:space="preserve">,  </w:t>
            </w:r>
            <w:r w:rsidRPr="00E33CD3">
              <w:rPr>
                <w:rFonts w:eastAsia="Times New Roman" w:cs="Arial"/>
                <w:sz w:val="16"/>
                <w:szCs w:val="16"/>
                <w:lang w:val="en-US"/>
              </w:rPr>
              <w:t xml:space="preserve">191, 199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216, 220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S&lt;/Author&gt;&lt;Year&gt;2010&lt;/Year&gt;&lt;RecNum&gt;301&lt;/RecNum&gt;&lt;IDText&gt;Regulation of cellular metabolism by protein lysine acetylation&lt;/IDText&gt;&lt;DisplayText&gt;(11)&lt;/DisplayText&gt;&lt;record&gt;&lt;rec-number&gt;301&lt;/rec-number&gt;&lt;foreign-keys&gt;&lt;key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267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272, 275, 291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322, 323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361, and 406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127" w:type="dxa"/>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1611" w:type="dxa"/>
            <w:noWrap/>
            <w:vAlign w:val="center"/>
            <w:hideMark/>
          </w:tcPr>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lang w:val="en-US"/>
              </w:rPr>
              <w:t xml:space="preserve">Inhibition in </w:t>
            </w:r>
            <w:r w:rsidRPr="00E33CD3">
              <w:rPr>
                <w:rFonts w:cs="Arial"/>
                <w:i/>
                <w:sz w:val="16"/>
                <w:szCs w:val="16"/>
              </w:rPr>
              <w:t>Arabidopsis thaliana</w:t>
            </w:r>
            <w:r w:rsidRPr="00E33CD3">
              <w:rPr>
                <w:rFonts w:eastAsia="Times New Roman" w:cs="Arial"/>
                <w:sz w:val="16"/>
                <w:szCs w:val="16"/>
                <w:lang w:val="en-US"/>
              </w:rPr>
              <w:t xml:space="preserve">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5" w:tooltip="Finkemeier I, 2011 #315" w:history="1">
              <w:r w:rsidR="00AB7E17">
                <w:rPr>
                  <w:rFonts w:eastAsia="Times New Roman" w:cs="Arial"/>
                  <w:noProof/>
                  <w:sz w:val="16"/>
                  <w:szCs w:val="16"/>
                  <w:lang w:val="en-US"/>
                </w:rPr>
                <w:t>55</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p>
        </w:tc>
      </w:tr>
      <w:tr w:rsidR="00EF1380" w:rsidRPr="008658C5" w:rsidTr="009B400B">
        <w:trPr>
          <w:trHeight w:hRule="exact" w:val="1171"/>
          <w:jc w:val="center"/>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rsidR="00EF1380" w:rsidRPr="00E33CD3" w:rsidRDefault="00EF1380" w:rsidP="009B400B">
            <w:pPr>
              <w:jc w:val="center"/>
              <w:rPr>
                <w:rFonts w:cs="Arial"/>
                <w:sz w:val="16"/>
                <w:szCs w:val="16"/>
              </w:rPr>
            </w:pPr>
            <w:r w:rsidRPr="00E33CD3">
              <w:rPr>
                <w:rFonts w:eastAsia="Times New Roman" w:cs="Arial"/>
                <w:sz w:val="16"/>
                <w:szCs w:val="16"/>
              </w:rPr>
              <w:t>Fructose</w:t>
            </w:r>
            <w:r>
              <w:rPr>
                <w:rFonts w:eastAsia="Times New Roman" w:cs="Arial"/>
                <w:sz w:val="16"/>
                <w:szCs w:val="16"/>
              </w:rPr>
              <w:t>-</w:t>
            </w:r>
            <w:r w:rsidRPr="00E33CD3">
              <w:rPr>
                <w:rFonts w:eastAsia="Times New Roman" w:cs="Arial"/>
                <w:sz w:val="16"/>
                <w:szCs w:val="16"/>
              </w:rPr>
              <w:t xml:space="preserve"> bisphosphate aldolase</w:t>
            </w:r>
          </w:p>
        </w:tc>
        <w:tc>
          <w:tcPr>
            <w:tcW w:w="3485" w:type="dxa"/>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eastAsia="Times New Roman" w:cs="Arial"/>
                <w:sz w:val="16"/>
                <w:szCs w:val="16"/>
                <w:lang w:val="en-US"/>
              </w:rPr>
              <w:t xml:space="preserve">7 , </w:t>
            </w:r>
            <w:r w:rsidRPr="00E33CD3">
              <w:rPr>
                <w:rFonts w:eastAsia="Times New Roman" w:cs="Arial"/>
                <w:sz w:val="16"/>
                <w:szCs w:val="16"/>
                <w:lang w:val="en-US"/>
              </w:rPr>
              <w:t xml:space="preserve">13, 14, 42, 108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139, 147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C&lt;/Author&gt;&lt;Year&gt;2009&lt;/Year&gt;&lt;RecNum&gt;44&lt;/RecNum&gt;&lt;DisplayText&gt;(12, 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Cite&gt;&lt;Author&gt;Lundby A&lt;/Author&gt;&lt;Year&gt;2012&lt;/Year&gt;&lt;RecNum&gt;156&lt;/RecNum&gt;&lt;record&gt;&lt;rec-number&gt;156&lt;/rec-number&gt;&lt;foreign-keys&gt;&lt;key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2" w:tooltip="Lundby A, 2012 #156" w:history="1">
              <w:r w:rsidR="00AB7E17">
                <w:rPr>
                  <w:rFonts w:eastAsia="Times New Roman" w:cs="Arial"/>
                  <w:noProof/>
                  <w:sz w:val="16"/>
                  <w:szCs w:val="16"/>
                  <w:lang w:val="en-US"/>
                </w:rPr>
                <w:t>12</w:t>
              </w:r>
            </w:hyperlink>
            <w:r w:rsidR="00FC3C1A">
              <w:rPr>
                <w:rFonts w:eastAsia="Times New Roman" w:cs="Arial"/>
                <w:noProof/>
                <w:sz w:val="16"/>
                <w:szCs w:val="16"/>
                <w:lang w:val="en-US"/>
              </w:rPr>
              <w:t xml:space="preserve">, </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153, 200, 208, 230, 294, 312, 330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342, 395 .</w:t>
            </w:r>
          </w:p>
        </w:tc>
        <w:tc>
          <w:tcPr>
            <w:tcW w:w="2127" w:type="dxa"/>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eastAsia="Times New Roman" w:cs="Arial"/>
                <w:sz w:val="16"/>
                <w:szCs w:val="16"/>
              </w:rPr>
              <w:t>No effect reported</w:t>
            </w:r>
          </w:p>
        </w:tc>
        <w:tc>
          <w:tcPr>
            <w:tcW w:w="1611" w:type="dxa"/>
            <w:vAlign w:val="center"/>
          </w:tcPr>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lang w:val="en-US"/>
              </w:rPr>
              <w:t xml:space="preserve">Inhibition </w:t>
            </w:r>
            <w:r w:rsidRPr="00E33CD3">
              <w:rPr>
                <w:rFonts w:eastAsia="Times New Roman" w:cs="Arial"/>
                <w:i/>
                <w:sz w:val="16"/>
                <w:szCs w:val="16"/>
                <w:lang w:val="en-US"/>
              </w:rPr>
              <w:t>in vivo</w:t>
            </w:r>
            <w:r w:rsidRPr="00E33CD3">
              <w:rPr>
                <w:rFonts w:eastAsia="Times New Roman" w:cs="Arial"/>
                <w:sz w:val="16"/>
                <w:szCs w:val="16"/>
                <w:lang w:val="en-US"/>
              </w:rPr>
              <w:t xml:space="preserve"> in rats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&lt;EndNote&gt;&lt;Cite&gt;&lt;Author&gt;Lundby A&lt;/Author&gt;&lt;Year&gt;2012&lt;/Year&gt;&lt;RecNum&gt;156&lt;/RecNum&gt;&lt;DisplayText&gt;(12)&lt;/DisplayText&gt;&lt;record&gt;&lt;rec-number&gt;156&lt;/rec-number&gt;&lt;foreign-keys&gt;&lt;key app="EN" db-id="zxp9w5sa30aeafes0xox2eem00dz2z2aswad"&gt;156&lt;/key&gt;&lt;key app="ENWeb" db-id="UG1-3grtqigAAEqvEt0"&gt;386&lt;/key&gt;&lt;/foreign-keys&gt;&lt;ref-type name="Journal Article"&gt;17&lt;/ref-type&gt;&lt;contributors&gt;&lt;authors&gt;&lt;author&gt;Lundby A,&lt;/author&gt;&lt;author&gt;Lage K,&lt;/author&gt;&lt;author&gt;Weinert B,&lt;/author&gt;&lt;author&gt;Bekker-Jensen D,&lt;/author&gt;&lt;author&gt;Secher A,&lt;/author&gt;&lt;author&gt;Skovgaard T,&lt;/author&gt;&lt;author&gt;Kelstrup C,&lt;/author&gt;&lt;author&gt;Dmytriyev A,&lt;/author&gt;&lt;author&gt;Choudhary C,&lt;/author&gt;&lt;author&gt;Lundby C,&lt;/author&gt;&lt;author&gt;Olsen J,&lt;/author&gt;&lt;/authors&gt;&lt;/contributors&gt;&lt;titles&gt;&lt;title&gt;Proteomic analysis of lysine acetylation sites in rat tissues reveals organ specificity and subcellular patterns&lt;/title&gt;&lt;secondary-title&gt;Cell Rep&lt;/secondary-title&gt;&lt;/titles&gt;&lt;periodical&gt;&lt;full-title&gt;Cell Rep&lt;/full-title&gt;&lt;/periodical&gt;&lt;pages&gt;419-431&lt;/pages&gt;&lt;volume&gt;2&lt;/volume&gt;&lt;number&gt;2&lt;/number&gt;&lt;dates&gt;&lt;year&gt;2012&lt;/year&gt;&lt;/dates&gt;&lt;urls&gt;&lt;/urls&gt;&lt;/record&gt;&lt;/Cite&gt;&lt;/EndNote&gt;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2" w:tooltip="Lundby A, 2012 #156" w:history="1">
              <w:r w:rsidR="00AB7E17">
                <w:rPr>
                  <w:rFonts w:eastAsia="Times New Roman" w:cs="Arial"/>
                  <w:noProof/>
                  <w:sz w:val="16"/>
                  <w:szCs w:val="16"/>
                  <w:lang w:val="en-US"/>
                </w:rPr>
                <w:t>12</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lang w:val="en-US"/>
              </w:rPr>
              <w:t xml:space="preserve">Impact on protein-protein interactions in </w:t>
            </w:r>
            <w:r w:rsidRPr="00E33CD3">
              <w:rPr>
                <w:rFonts w:cs="Arial"/>
                <w:i/>
                <w:sz w:val="16"/>
                <w:szCs w:val="16"/>
              </w:rPr>
              <w:t xml:space="preserve">Arabidopsis thaliana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5" w:tooltip="Finkemeier I, 2011 #315" w:history="1">
              <w:r w:rsidR="00AB7E17">
                <w:rPr>
                  <w:rFonts w:eastAsia="Times New Roman" w:cs="Arial"/>
                  <w:noProof/>
                  <w:sz w:val="16"/>
                  <w:szCs w:val="16"/>
                  <w:lang w:val="en-US"/>
                </w:rPr>
                <w:t>55</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p>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hRule="exact" w:val="537"/>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Triophosphate isomerase</w:t>
            </w:r>
          </w:p>
        </w:tc>
        <w:tc>
          <w:tcPr>
            <w:tcW w:w="3485" w:type="dxa"/>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43, 51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96, 106, 168, 193, 225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 80)&lt;/DisplayText&gt;&lt;record&gt;&lt;rec-number&gt;44&lt;/rec-number&gt;&lt;foreign-keys&gt;&lt;key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Cite&gt;&lt;Author&gt;Kim S&lt;/Author&gt;&lt;Year&gt;2006&lt;/Year&gt;&lt;RecNum&gt;135&lt;/RecNum&gt;&lt;record&gt;&lt;rec-number&gt;135&lt;/rec-number&gt;&lt;foreign-keys&gt;&lt;key app="EN" db-id="zxp9w5sa30aeafes0xox2eem00dz2z2aswad"&gt;135&lt;/key&gt;&lt;key app="ENWeb" db-id="UG1-3grtqigAAEqvEt0"&gt;206&lt;/key&gt;&lt;/foreign-keys&gt;&lt;ref-type name="Journal Article"&gt;17&lt;/ref-type&gt;&lt;contributors&gt;&lt;authors&gt;&lt;author&gt;Kim S,&lt;/author&gt;&lt;author&gt;Sprung R,&lt;/author&gt;&lt;author&gt;Chen Y,&lt;/author&gt;&lt;author&gt;Xu Y,&lt;/author&gt;&lt;author&gt;Ball H,&lt;/author&gt;&lt;author&gt;Pei J,&lt;/author&gt;&lt;author&gt;Cheng T,&lt;/author&gt;&lt;author&gt;Kho Y,&lt;/author&gt;&lt;author&gt;Xiao H,&lt;/author&gt;&lt;author&gt;Xiao L,&lt;/author&gt;&lt;author&gt;Grishin N,&lt;/author&gt;&lt;author&gt;White M,&lt;/author&gt;&lt;author&gt;Yang X,&lt;/author&gt;&lt;author&gt;Zhao Y,&lt;/author&gt;&lt;/authors&gt;&lt;/contributors&gt;&lt;titles&gt;&lt;title&gt;Substrate and Functional Diversity Resource of Lysine Acetylation Revealed by a Proteomics Survey &lt;/title&gt;&lt;secondary-title&gt;Molecular Cell&lt;/secondary-title&gt;&lt;/titles&gt;&lt;periodical&gt;&lt;full-title&gt;Molecular Cell&lt;/full-title&gt;&lt;/periodical&gt;&lt;volume&gt;23&lt;/volume&gt;&lt;number&gt;607-618&lt;/number&gt;&lt;dates&gt;&lt;year&gt;2006&lt;/year&gt;&lt;/dates&gt;&lt;urls&gt;&lt;/urls&gt;&lt;/record&gt;&lt;/Cite&gt;&lt;/EndNote&gt;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0" w:tooltip="Kim S, 2006 #135" w:history="1">
              <w:r w:rsidR="00AB7E17">
                <w:rPr>
                  <w:rFonts w:eastAsia="Times New Roman" w:cs="Arial"/>
                  <w:noProof/>
                  <w:sz w:val="16"/>
                  <w:szCs w:val="16"/>
                  <w:lang w:val="en-US"/>
                </w:rPr>
                <w:t>80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275 </w:t>
            </w:r>
            <w:r w:rsidR="006C2756" w:rsidRPr="00E33CD3">
              <w:rPr>
                <w:rFonts w:eastAsia="Times New Roman" w:cs="Arial"/>
                <w:sz w:val="16"/>
                <w:szCs w:val="16"/>
                <w:lang w:val="en-US"/>
              </w:rPr>
              <w:fldChar w:fldCharType="begin">
                <w:fldData xml:space="preserve">PEVuZE5vdGU+PENpdGU+PEF1dGhvcj5aaGFvIFM8L0F1dGhvcj48WWVhcj4yMDEwPC9ZZWFyPjxS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PEVuZE5vdGU+PENpdGU+PEF1dGhvcj5aaGFvIFM8L0F1dGhvcj48WWVhcj4yMDEwPC9ZZWFyPjxS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and 285.</w:t>
            </w:r>
          </w:p>
        </w:tc>
        <w:tc>
          <w:tcPr>
            <w:tcW w:w="2127" w:type="dxa"/>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1611" w:type="dxa"/>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trHeight w:hRule="exact" w:val="1424"/>
          <w:jc w:val="center"/>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rsidR="00EF1380" w:rsidRPr="00E33CD3" w:rsidRDefault="00EF1380" w:rsidP="009B400B">
            <w:pPr>
              <w:jc w:val="center"/>
              <w:rPr>
                <w:rFonts w:cs="Arial"/>
                <w:sz w:val="16"/>
                <w:szCs w:val="16"/>
              </w:rPr>
            </w:pPr>
            <w:r w:rsidRPr="00E33CD3">
              <w:rPr>
                <w:rFonts w:eastAsia="Times New Roman" w:cs="Arial"/>
                <w:sz w:val="16"/>
                <w:szCs w:val="16"/>
              </w:rPr>
              <w:t>Glyceraldehyde 3-phosphate dehydrogenase</w:t>
            </w:r>
          </w:p>
        </w:tc>
        <w:tc>
          <w:tcPr>
            <w:tcW w:w="3485" w:type="dxa"/>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 xml:space="preserve">55, 61 </w:t>
            </w:r>
            <w:r w:rsidR="006C2756" w:rsidRPr="00E33CD3">
              <w:rPr>
                <w:rFonts w:cs="Arial"/>
                <w:sz w:val="16"/>
                <w:szCs w:val="16"/>
              </w:rPr>
              <w:fldChar w:fldCharType="begin"/>
            </w:r>
            <w:r w:rsidR="00FC3C1A">
              <w:rPr>
                <w:rFonts w:cs="Arial"/>
                <w:sz w:val="16"/>
                <w:szCs w:val="16"/>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107, 117</w:t>
            </w:r>
            <w:r>
              <w:rPr>
                <w:rFonts w:cs="Arial"/>
                <w:sz w:val="16"/>
                <w:szCs w:val="16"/>
              </w:rPr>
              <w:t xml:space="preserve"> </w:t>
            </w:r>
            <w:r w:rsidR="006C2756" w:rsidRPr="00E33CD3">
              <w:rPr>
                <w:rFonts w:cs="Arial"/>
                <w:sz w:val="16"/>
                <w:szCs w:val="16"/>
              </w:rPr>
              <w:fldChar w:fldCharType="begin"/>
            </w:r>
            <w:r w:rsidR="00FC3C1A">
              <w:rPr>
                <w:rFonts w:cs="Arial"/>
                <w:sz w:val="16"/>
                <w:szCs w:val="16"/>
              </w:rPr>
              <w:instrText xml:space="preserve"> ADDIN EN.CITE &lt;EndNote&gt;&lt;Cite&gt;&lt;Author&gt;Ventura M&lt;/Author&gt;&lt;Year&gt;2010&lt;/Year&gt;&lt;RecNum&gt;264&lt;/RecNum&gt;&lt;IDText&gt;Nuclear translocation of glyceraldehyde-3-phosphate dehydrogenase is regulated by acetylation &lt;/IDText&gt;&lt;DisplayText&gt;(51)&lt;/DisplayText&gt;&lt;record&gt;&lt;rec-number&gt;264&lt;/rec-number&gt;&lt;foreign-keys&gt;&lt;key app="EN" db-id="zxp9w5sa30aeafes0xox2eem00dz2z2aswad"&gt;264&lt;/key&gt;&lt;key app="ENWeb" db-id="UG1-3grtqigAAEqvEt0"&gt;207&lt;/key&gt;&lt;/foreign-keys&gt;&lt;ref-type name="Journal Article"&gt;17&lt;/ref-type&gt;&lt;contributors&gt;&lt;authors&gt;&lt;author&gt;Ventura M,&lt;/author&gt;&lt;author&gt;Mateo F,&lt;/author&gt;&lt;author&gt;Serratosa J,&lt;/author&gt;&lt;author&gt;Salaet I,&lt;/author&gt;&lt;author&gt;Carujo S,&lt;/author&gt;&lt;author&gt;Bachs O,&lt;/author&gt;&lt;author&gt;Pujol M,&lt;/author&gt;&lt;/authors&gt;&lt;/contributors&gt;&lt;titles&gt;&lt;title&gt;Nuclear translocation of glyceraldehyde-3-phosphate dehydrogenase is regulated by acetylation &lt;/title&gt;&lt;secondary-title&gt;The International Journal of Biochemistry &amp;amp; Cell Biology&lt;/secondary-title&gt;&lt;/titles&gt;&lt;periodical&gt;&lt;full-title&gt;The International Journal of Biochemistry &amp;amp; Cell Biology&lt;/full-title&gt;&lt;/periodical&gt;&lt;pages&gt;1672–1680&lt;/pages&gt;&lt;volume&gt;42&lt;/volume&gt;&lt;dates&gt;&lt;year&gt;2010&lt;/year&gt;&lt;/dates&gt;&lt;urls&gt;&lt;/urls&gt;&lt;/record&gt;&lt;/Cite&gt;&lt;/EndNote&gt;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120 , 139 </w:t>
            </w:r>
            <w:r w:rsidR="006C2756" w:rsidRPr="00E33CD3">
              <w:rPr>
                <w:rFonts w:cs="Arial"/>
                <w:sz w:val="16"/>
                <w:szCs w:val="16"/>
              </w:rPr>
              <w:fldChar w:fldCharType="begin"/>
            </w:r>
            <w:r w:rsidR="00FC3C1A">
              <w:rPr>
                <w:rFonts w:cs="Arial"/>
                <w:sz w:val="16"/>
                <w:szCs w:val="16"/>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160 </w:t>
            </w:r>
            <w:r w:rsidR="006C2756" w:rsidRPr="00E33CD3">
              <w:rPr>
                <w:rFonts w:cs="Arial"/>
                <w:sz w:val="16"/>
                <w:szCs w:val="16"/>
              </w:rPr>
              <w:fldChar w:fldCharType="begin"/>
            </w:r>
            <w:r w:rsidR="00FC3C1A">
              <w:rPr>
                <w:rFonts w:cs="Arial"/>
                <w:sz w:val="16"/>
                <w:szCs w:val="16"/>
              </w:rPr>
              <w:instrText xml:space="preserve"> ADDIN EN.CITE &lt;EndNote&gt;&lt;Cite&gt;&lt;Author&gt;Sen N&lt;/Author&gt;&lt;Year&gt;2008&lt;/Year&gt;&lt;RecNum&gt;382&lt;/RecNum&gt;&lt;DisplayText&gt;(52)&lt;/DisplayText&gt;&lt;record&gt;&lt;rec-number&gt;382&lt;/rec-number&gt;&lt;foreign-keys&gt;&lt;key app="EN" db-id="zxp9w5sa30aeafes0xox2eem00dz2z2aswad"&gt;382&lt;/key&gt;&lt;/foreign-keys&gt;&lt;ref-type name="Journal Article"&gt;17&lt;/ref-type&gt;&lt;contributors&gt;&lt;authors&gt;&lt;author&gt;Sen N,&lt;/author&gt;&lt;author&gt;Hara M,&lt;/author&gt;&lt;author&gt;Kornberg M,&lt;/author&gt;&lt;author&gt;Cascio M,&lt;/author&gt;&lt;author&gt;Bae B,&lt;/author&gt;&lt;author&gt;Shahani N,&lt;/author&gt;&lt;author&gt;Thomas B,&lt;/author&gt;&lt;author&gt;Dawson T,&lt;/author&gt;&lt;author&gt;Dawson V,&lt;/author&gt;&lt;author&gt;Snyder S,&lt;/author&gt;&lt;author&gt;Sawa A,&lt;/author&gt;&lt;/authors&gt;&lt;/contributors&gt;&lt;titles&gt;&lt;title&gt;Nitric oxide-induced nuclear GAPDH activates p300/CBP and mediates apoptosis&lt;/title&gt;&lt;secondary-title&gt;Nat Cell Biol&lt;/secondary-title&gt;&lt;/titles&gt;&lt;periodical&gt;&lt;full-title&gt;Nat Cell Biol&lt;/full-title&gt;&lt;/periodical&gt;&lt;pages&gt;866-873&lt;/pages&gt;&lt;volume&gt;10&lt;/volume&gt;&lt;number&gt;7&lt;/number&gt;&lt;dates&gt;&lt;year&gt;2008&lt;/year&gt;&lt;/dates&gt;&lt;urls&gt;&lt;/urls&gt;&lt;/record&gt;&lt;/Cite&gt;&lt;/EndNote&gt;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52" w:tooltip="Sen N, 2008 #382" w:history="1">
              <w:r w:rsidR="00AB7E17">
                <w:rPr>
                  <w:rFonts w:cs="Arial"/>
                  <w:noProof/>
                  <w:sz w:val="16"/>
                  <w:szCs w:val="16"/>
                </w:rPr>
                <w:t>52</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162, 186</w:t>
            </w:r>
            <w:r w:rsidR="006C2756" w:rsidRPr="00E33CD3">
              <w:rPr>
                <w:rFonts w:cs="Arial"/>
                <w:sz w:val="16"/>
                <w:szCs w:val="16"/>
              </w:rPr>
              <w:fldChar w:fldCharType="begin"/>
            </w:r>
            <w:r w:rsidR="00FC3C1A">
              <w:rPr>
                <w:rFonts w:cs="Arial"/>
                <w:sz w:val="16"/>
                <w:szCs w:val="16"/>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194 </w:t>
            </w:r>
            <w:r w:rsidR="006C2756" w:rsidRPr="00E33CD3">
              <w:rPr>
                <w:rFonts w:cs="Arial"/>
                <w:sz w:val="16"/>
                <w:szCs w:val="16"/>
              </w:rPr>
              <w:fldChar w:fldCharType="begin"/>
            </w:r>
            <w:r w:rsidR="00FC3C1A">
              <w:rPr>
                <w:rFonts w:cs="Arial"/>
                <w:sz w:val="16"/>
                <w:szCs w:val="16"/>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215, 219 </w:t>
            </w:r>
            <w:r w:rsidR="006C2756" w:rsidRPr="00E33CD3">
              <w:rPr>
                <w:rFonts w:cs="Arial"/>
                <w:sz w:val="16"/>
                <w:szCs w:val="16"/>
              </w:rPr>
              <w:fldChar w:fldCharType="begin"/>
            </w:r>
            <w:r w:rsidR="00FC3C1A">
              <w:rPr>
                <w:rFonts w:cs="Arial"/>
                <w:sz w:val="16"/>
                <w:szCs w:val="16"/>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227 </w:t>
            </w:r>
            <w:r w:rsidR="006C2756" w:rsidRPr="00E33CD3">
              <w:rPr>
                <w:rFonts w:cs="Arial"/>
                <w:sz w:val="16"/>
                <w:szCs w:val="16"/>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aW9uczwvSURUZXh0PjxEaXNwbGF5VGV4dD4oNTEsIDY0KTwvRGlzcGxheVRleHQ+PHJlY29yZD48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cz48dXJscz48L3VybHM+PC9yZWNvcmQ+PC9DaXRlPjxDaXRlPjxBdXRob3I+VmVudHVyYSBNPC9B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</w:fldData>
              </w:fldChar>
            </w:r>
            <w:r w:rsidR="00FC3C1A">
              <w:rPr>
                <w:rFonts w:cs="Arial"/>
                <w:sz w:val="16"/>
                <w:szCs w:val="16"/>
              </w:rPr>
              <w:instrText xml:space="preserve"> ADDIN EN.CITE </w:instrText>
            </w:r>
            <w:r w:rsidR="00FC3C1A">
              <w:rPr>
                <w:rFonts w:cs="Arial"/>
                <w:sz w:val="16"/>
                <w:szCs w:val="16"/>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aW9uczwvSURUZXh0PjxEaXNwbGF5VGV4dD4oNTEsIDY0KTwvRGlzcGxheVRleHQ+PHJlY29yZD48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cz48dXJscz48L3VybHM+PC9yZWNvcmQ+PC9DaXRlPjxDaXRlPjxBdXRob3I+VmVudHVyYSBNPC9B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</w:fldData>
              </w:fldChar>
            </w:r>
            <w:r w:rsidR="00FC3C1A">
              <w:rPr>
                <w:rFonts w:cs="Arial"/>
                <w:sz w:val="16"/>
                <w:szCs w:val="16"/>
              </w:rPr>
              <w:instrText xml:space="preserve"> ADDIN EN.CITE.DATA </w:instrText>
            </w:r>
            <w:r w:rsidR="00FC3C1A">
              <w:rPr>
                <w:rFonts w:cs="Arial"/>
                <w:sz w:val="16"/>
                <w:szCs w:val="16"/>
              </w:rPr>
            </w:r>
            <w:r w:rsidR="00FC3C1A">
              <w:rPr>
                <w:rFonts w:cs="Arial"/>
                <w:sz w:val="16"/>
                <w:szCs w:val="16"/>
              </w:rPr>
              <w:fldChar w:fldCharType="end"/>
            </w:r>
            <w:r w:rsidR="006C2756" w:rsidRPr="00E33CD3">
              <w:rPr>
                <w:rFonts w:cs="Arial"/>
                <w:sz w:val="16"/>
                <w:szCs w:val="16"/>
              </w:rPr>
            </w:r>
            <w:r w:rsidR="006C2756" w:rsidRPr="00E33CD3">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 xml:space="preserve">, </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251 </w:t>
            </w:r>
            <w:r w:rsidR="006C2756" w:rsidRPr="00E33CD3">
              <w:rPr>
                <w:rFonts w:cs="Arial"/>
                <w:sz w:val="16"/>
                <w:szCs w:val="16"/>
              </w:rPr>
              <w:fldChar w:fldCharType="begin"/>
            </w:r>
            <w:r w:rsidR="00FC3C1A">
              <w:rPr>
                <w:rFonts w:cs="Arial"/>
                <w:sz w:val="16"/>
                <w:szCs w:val="16"/>
              </w:rPr>
              <w:instrText xml:space="preserve"> ADDIN EN.CITE &lt;EndNote&gt;&lt;Cite&gt;&lt;Author&gt;Ventura M&lt;/Author&gt;&lt;Year&gt;2010&lt;/Year&gt;&lt;RecNum&gt;264&lt;/RecNum&gt;&lt;IDText&gt;Nuclear translocation of glyceraldehyde-3-phosphate dehydrogenase is regulated by acetylation &lt;/IDText&gt;&lt;DisplayText&gt;(51)&lt;/DisplayText&gt;&lt;record&gt;&lt;rec-number&gt;264&lt;/rec-number&gt;&lt;foreign-keys&gt;&lt;key app="EN" db-id="zxp9w5sa30aeafes0xox2eem00dz2z2aswad"&gt;264&lt;/key&gt;&lt;key app="ENWeb" db-id="UG1-3grtqigAAEqvEt0"&gt;207&lt;/key&gt;&lt;/foreign-keys&gt;&lt;ref-type name="Journal Article"&gt;17&lt;/ref-type&gt;&lt;contributors&gt;&lt;authors&gt;&lt;author&gt;Ventura M,&lt;/author&gt;&lt;author&gt;Mateo F,&lt;/author&gt;&lt;author&gt;Serratosa J,&lt;/author&gt;&lt;author&gt;Salaet I,&lt;/author&gt;&lt;author&gt;Carujo S,&lt;/author&gt;&lt;author&gt;Bachs O,&lt;/author&gt;&lt;author&gt;Pujol M,&lt;/author&gt;&lt;/authors&gt;&lt;/contributors&gt;&lt;titles&gt;&lt;title&gt;Nuclear translocation of glyceraldehyde-3-phosphate dehydrogenase is regulated by acetylation &lt;/title&gt;&lt;secondary-title&gt;The International Journal of Biochemistry &amp;amp; Cell Biology&lt;/secondary-title&gt;&lt;/titles&gt;&lt;periodical&gt;&lt;full-title&gt;The International Journal of Biochemistry &amp;amp; Cell Biology&lt;/full-title&gt;&lt;/periodical&gt;&lt;pages&gt;1672–1680&lt;/pages&gt;&lt;volume&gt;42&lt;/volume&gt;&lt;dates&gt;&lt;year&gt;2010&lt;/year&gt;&lt;/dates&gt;&lt;urls&gt;&lt;/urls&gt;&lt;/record&gt;&lt;/Cite&gt;&lt;/EndNote&gt;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254 </w:t>
            </w:r>
            <w:r w:rsidR="006C2756" w:rsidRPr="00E33CD3">
              <w:rPr>
                <w:rFonts w:cs="Arial"/>
                <w:sz w:val="16"/>
                <w:szCs w:val="16"/>
              </w:rPr>
              <w:fldChar w:fldCharType="begin">
                <w:fldData xml:space="preserve">PEVuZE5vdGU+PENpdGU+PEF1dGhvcj5aaGFvIFM8L0F1dGhvcj48WWVhcj4yMDEwPC9ZZWFyPjxS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</w:fldData>
              </w:fldChar>
            </w:r>
            <w:r w:rsidR="00FC3C1A">
              <w:rPr>
                <w:rFonts w:cs="Arial"/>
                <w:sz w:val="16"/>
                <w:szCs w:val="16"/>
              </w:rPr>
              <w:instrText xml:space="preserve"> ADDIN EN.CITE </w:instrText>
            </w:r>
            <w:r w:rsidR="00FC3C1A">
              <w:rPr>
                <w:rFonts w:cs="Arial"/>
                <w:sz w:val="16"/>
                <w:szCs w:val="16"/>
              </w:rPr>
              <w:fldChar w:fldCharType="begin">
                <w:fldData xml:space="preserve">PEVuZE5vdGU+PENpdGU+PEF1dGhvcj5aaGFvIFM8L0F1dGhvcj48WWVhcj4yMDEwPC9ZZWFyPjxS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</w:fldData>
              </w:fldChar>
            </w:r>
            <w:r w:rsidR="00FC3C1A">
              <w:rPr>
                <w:rFonts w:cs="Arial"/>
                <w:sz w:val="16"/>
                <w:szCs w:val="16"/>
              </w:rPr>
              <w:instrText xml:space="preserve"> ADDIN EN.CITE.DATA </w:instrText>
            </w:r>
            <w:r w:rsidR="00FC3C1A">
              <w:rPr>
                <w:rFonts w:cs="Arial"/>
                <w:sz w:val="16"/>
                <w:szCs w:val="16"/>
              </w:rPr>
            </w:r>
            <w:r w:rsidR="00FC3C1A">
              <w:rPr>
                <w:rFonts w:cs="Arial"/>
                <w:sz w:val="16"/>
                <w:szCs w:val="16"/>
              </w:rPr>
              <w:fldChar w:fldCharType="end"/>
            </w:r>
            <w:r w:rsidR="006C2756" w:rsidRPr="00E33CD3">
              <w:rPr>
                <w:rFonts w:cs="Arial"/>
                <w:sz w:val="16"/>
                <w:szCs w:val="16"/>
              </w:rPr>
            </w:r>
            <w:r w:rsidR="006C2756" w:rsidRPr="00E33CD3">
              <w:rPr>
                <w:rFonts w:cs="Arial"/>
                <w:sz w:val="16"/>
                <w:szCs w:val="16"/>
              </w:rPr>
              <w:fldChar w:fldCharType="separate"/>
            </w:r>
            <w:r w:rsidR="00FC3C1A">
              <w:rPr>
                <w:rFonts w:cs="Arial"/>
                <w:noProof/>
                <w:sz w:val="16"/>
                <w:szCs w:val="16"/>
              </w:rPr>
              <w:t>(</w:t>
            </w:r>
            <w:hyperlink w:anchor="_ENREF_11" w:tooltip="Zhao S, 2010 #301" w:history="1">
              <w:r w:rsidR="00AB7E17">
                <w:rPr>
                  <w:rFonts w:cs="Arial"/>
                  <w:noProof/>
                  <w:sz w:val="16"/>
                  <w:szCs w:val="16"/>
                </w:rPr>
                <w:t>11</w:t>
              </w:r>
            </w:hyperlink>
            <w:r w:rsidR="00FC3C1A">
              <w:rPr>
                <w:rFonts w:cs="Arial"/>
                <w:noProof/>
                <w:sz w:val="16"/>
                <w:szCs w:val="16"/>
              </w:rPr>
              <w:t xml:space="preserve">, </w:t>
            </w:r>
            <w:hyperlink w:anchor="_ENREF_53" w:tooltip="Li T, 2014 #316" w:history="1">
              <w:r w:rsidR="00AB7E17">
                <w:rPr>
                  <w:rFonts w:cs="Arial"/>
                  <w:noProof/>
                  <w:sz w:val="16"/>
                  <w:szCs w:val="16"/>
                </w:rPr>
                <w:t>53</w:t>
              </w:r>
            </w:hyperlink>
            <w:r w:rsidR="00FC3C1A">
              <w:rPr>
                <w:rFonts w:cs="Arial"/>
                <w:noProof/>
                <w:sz w:val="16"/>
                <w:szCs w:val="16"/>
              </w:rPr>
              <w:t xml:space="preserve">, </w:t>
            </w:r>
            <w:hyperlink w:anchor="_ENREF_64" w:tooltip="Choudhary  C, 2009 #44" w:history="1">
              <w:r w:rsidR="00AB7E17">
                <w:rPr>
                  <w:rFonts w:cs="Arial"/>
                  <w:noProof/>
                  <w:sz w:val="16"/>
                  <w:szCs w:val="16"/>
                </w:rPr>
                <w:t>64</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259, 260, 314  and 334.</w:t>
            </w:r>
          </w:p>
        </w:tc>
        <w:tc>
          <w:tcPr>
            <w:tcW w:w="2127" w:type="dxa"/>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eastAsia="Times New Roman" w:cs="Arial"/>
                <w:sz w:val="16"/>
                <w:szCs w:val="16"/>
              </w:rPr>
              <w:t>No effect reported</w:t>
            </w:r>
          </w:p>
        </w:tc>
        <w:tc>
          <w:tcPr>
            <w:tcW w:w="1611" w:type="dxa"/>
            <w:vAlign w:val="center"/>
            <w:hideMark/>
          </w:tcPr>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lang w:val="en-US"/>
              </w:rPr>
              <w:t xml:space="preserve">Impact on protein-protein interactions in </w:t>
            </w:r>
            <w:r w:rsidRPr="00E33CD3">
              <w:rPr>
                <w:rFonts w:cs="Arial"/>
                <w:i/>
                <w:sz w:val="16"/>
                <w:szCs w:val="16"/>
              </w:rPr>
              <w:t xml:space="preserve">Arabidopsis thaliana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5" w:tooltip="Finkemeier I, 2011 #315" w:history="1">
              <w:r w:rsidR="00AB7E17">
                <w:rPr>
                  <w:rFonts w:eastAsia="Times New Roman" w:cs="Arial"/>
                  <w:noProof/>
                  <w:sz w:val="16"/>
                  <w:szCs w:val="16"/>
                  <w:lang w:val="en-US"/>
                </w:rPr>
                <w:t>55</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p>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cs="Arial"/>
                <w:sz w:val="16"/>
                <w:szCs w:val="16"/>
              </w:rPr>
              <w:t xml:space="preserve">Increase activity in HEK 293T, A549, and stable pool cells  at Lys 254 residue </w:t>
            </w:r>
            <w:r w:rsidR="006C2756" w:rsidRPr="00E33CD3">
              <w:rPr>
                <w:rFonts w:cs="Arial"/>
                <w:sz w:val="16"/>
                <w:szCs w:val="16"/>
              </w:rPr>
              <w:fldChar w:fldCharType="begin"/>
            </w:r>
            <w:r w:rsidR="00FC3C1A">
              <w:rPr>
                <w:rFonts w:cs="Arial"/>
                <w:sz w:val="16"/>
                <w:szCs w:val="16"/>
              </w:rPr>
              <w:instrText xml:space="preserve"> ADDIN EN.CITE &lt;EndNote&gt;&lt;Cite&gt;&lt;Author&gt;Li T&lt;/Author&gt;&lt;Year&gt;2014&lt;/Year&gt;&lt;RecNum&gt;316&lt;/RecNum&gt;&lt;DisplayText&gt;(53)&lt;/DisplayText&gt;&lt;record&gt;&lt;rec-number&gt;316&lt;/rec-number&gt;&lt;foreign-keys&gt;&lt;key app="EN" db-id="zxp9w5sa30aeafes0xox2eem00dz2z2aswad"&gt;316&lt;/key&gt;&lt;/foreign-keys&gt;&lt;ref-type name="Journal Article"&gt;17&lt;/ref-type&gt;&lt;contributors&gt;&lt;authors&gt;&lt;author&gt;Li T,&lt;/author&gt;&lt;author&gt;Liu M,&lt;/author&gt;&lt;author&gt;Feng X,&lt;/author&gt;&lt;author&gt;Wang Z,&lt;/author&gt;&lt;author&gt;Das I,&lt;/author&gt;&lt;author&gt;Xu Y,&lt;/author&gt;&lt;author&gt;Zhou X,&lt;/author&gt;&lt;author&gt;Sun Y,&lt;/author&gt;&lt;author&gt;Guan K,&lt;/author&gt;&lt;author&gt;Xiong Y,&lt;/author&gt;&lt;author&gt;Lei Q,&lt;/author&gt;&lt;/authors&gt;&lt;/contributors&gt;&lt;titles&gt;&lt;title&gt;Glyceraldehyde-3-phosphate Dehydrogenase Is Activated by Lysine 254 Acetylation in Response to Glucose Signal&lt;/title&gt;&lt;secondary-title&gt;J Biol Chem&lt;/secondary-title&gt;&lt;/titles&gt;&lt;periodical&gt;&lt;full-title&gt;J Biol Chem&lt;/full-title&gt;&lt;/periodical&gt;&lt;pages&gt;3775-3785&lt;/pages&gt;&lt;volume&gt;289&lt;/volume&gt;&lt;number&gt;6&lt;/number&gt;&lt;dates&gt;&lt;year&gt;2014&lt;/year&gt;&lt;/dates&gt;&lt;urls&gt;&lt;/urls&gt;&lt;/record&gt;&lt;/Cite&gt;&lt;/EndNote&gt;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53" w:tooltip="Li T, 2014 #316" w:history="1">
              <w:r w:rsidR="00AB7E17">
                <w:rPr>
                  <w:rFonts w:cs="Arial"/>
                  <w:noProof/>
                  <w:sz w:val="16"/>
                  <w:szCs w:val="16"/>
                </w:rPr>
                <w:t>53</w:t>
              </w:r>
            </w:hyperlink>
            <w:r w:rsidR="00FC3C1A">
              <w:rPr>
                <w:rFonts w:cs="Arial"/>
                <w:noProof/>
                <w:sz w:val="16"/>
                <w:szCs w:val="16"/>
              </w:rPr>
              <w:t>)</w:t>
            </w:r>
            <w:r w:rsidR="006C2756" w:rsidRPr="00E33CD3">
              <w:rPr>
                <w:rFonts w:cs="Arial"/>
                <w:sz w:val="16"/>
                <w:szCs w:val="16"/>
              </w:rPr>
              <w:fldChar w:fldCharType="end"/>
            </w:r>
            <w:r w:rsidRPr="00E33CD3">
              <w:rPr>
                <w:rFonts w:eastAsia="Times New Roman" w:cs="Arial"/>
                <w:sz w:val="16"/>
                <w:szCs w:val="16"/>
              </w:rPr>
              <w:t xml:space="preserve">. </w:t>
            </w:r>
          </w:p>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Regulation of nuclear translocation in NIH3T3 and HCT116 cells lines at Lys residues 117, 227 and 251 </w:t>
            </w:r>
            <w:r w:rsidR="006C2756" w:rsidRPr="00E33CD3">
              <w:rPr>
                <w:rFonts w:cs="Arial"/>
                <w:sz w:val="16"/>
                <w:szCs w:val="16"/>
              </w:rPr>
              <w:fldChar w:fldCharType="begin"/>
            </w:r>
            <w:r w:rsidR="00FC3C1A">
              <w:rPr>
                <w:rFonts w:cs="Arial"/>
                <w:sz w:val="16"/>
                <w:szCs w:val="16"/>
              </w:rPr>
              <w:instrText xml:space="preserve"> ADDIN EN.CITE &lt;EndNote&gt;&lt;Cite&gt;&lt;Author&gt;Ventura M&lt;/Author&gt;&lt;Year&gt;2010&lt;/Year&gt;&lt;RecNum&gt;264&lt;/RecNum&gt;&lt;DisplayText&gt;(51)&lt;/DisplayText&gt;&lt;record&gt;&lt;rec-number&gt;264&lt;/rec-number&gt;&lt;foreign-keys&gt;&lt;key app="EN" db-id="zxp9w5sa30aeafes0xox2eem00dz2z2aswad"&gt;264&lt;/key&gt;&lt;key app="ENWeb" db-id="UG1-3grtqigAAEqvEt0"&gt;207&lt;/key&gt;&lt;/foreign-keys&gt;&lt;ref-type name="Journal Article"&gt;17&lt;/ref-type&gt;&lt;contributors&gt;&lt;authors&gt;&lt;author&gt;Ventura M,&lt;/author&gt;&lt;author&gt;Mateo F,&lt;/author&gt;&lt;author&gt;Serratosa J,&lt;/author&gt;&lt;author&gt;Salaet I,&lt;/author&gt;&lt;author&gt;Carujo S,&lt;/author&gt;&lt;author&gt;Bachs O,&lt;/author&gt;&lt;author&gt;Pujol M,&lt;/author&gt;&lt;/authors&gt;&lt;/contributors&gt;&lt;titles&gt;&lt;title&gt;Nuclear translocation of glyceraldehyde-3-phosphate dehydrogenase is regulated by acetylation &lt;/title&gt;&lt;secondary-title&gt;The International Journal of Biochemistry &amp;amp; Cell Biology&lt;/secondary-title&gt;&lt;/titles&gt;&lt;periodical&gt;&lt;full-title&gt;The International Journal of Biochemistry &amp;amp; Cell Biology&lt;/full-title&gt;&lt;/periodical&gt;&lt;pages&gt;1672–1680&lt;/pages&gt;&lt;volume&gt;42&lt;/volume&gt;&lt;dates&gt;&lt;year&gt;2010&lt;/year&gt;&lt;/dates&gt;&lt;urls&gt;&lt;/urls&gt;&lt;/record&gt;&lt;/Cite&gt;&lt;/EndNote&gt;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51" w:tooltip="Ventura M, 2010 #264" w:history="1">
              <w:r w:rsidR="00AB7E17">
                <w:rPr>
                  <w:rFonts w:cs="Arial"/>
                  <w:noProof/>
                  <w:sz w:val="16"/>
                  <w:szCs w:val="16"/>
                </w:rPr>
                <w:t>51</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w:t>
            </w:r>
          </w:p>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Fonts w:eastAsia="Times New Roman" w:cs="Arial"/>
                <w:sz w:val="16"/>
                <w:szCs w:val="16"/>
              </w:rPr>
              <w:t xml:space="preserve">Increase of glycolytic activity and inhibition of gluconeogenetic activity </w:t>
            </w:r>
            <w:r w:rsidRPr="00E33CD3">
              <w:rPr>
                <w:rFonts w:cs="Arial"/>
                <w:sz w:val="16"/>
                <w:szCs w:val="16"/>
              </w:rPr>
              <w:t xml:space="preserve">in </w:t>
            </w:r>
            <w:r w:rsidRPr="00E33CD3">
              <w:rPr>
                <w:rFonts w:cs="Arial"/>
                <w:i/>
                <w:sz w:val="16"/>
                <w:szCs w:val="16"/>
              </w:rPr>
              <w:t>Salmonella</w:t>
            </w:r>
            <w:r w:rsidRPr="00E33CD3">
              <w:rPr>
                <w:rFonts w:cs="Arial"/>
                <w:sz w:val="16"/>
                <w:szCs w:val="16"/>
              </w:rPr>
              <w:t xml:space="preserve"> </w:t>
            </w:r>
            <w:r w:rsidR="006C2756" w:rsidRPr="00E33CD3">
              <w:rPr>
                <w:rFonts w:cs="Arial"/>
                <w:sz w:val="16"/>
                <w:szCs w:val="16"/>
              </w:rPr>
              <w:fldChar w:fldCharType="begin"/>
            </w:r>
            <w:r w:rsidR="00FC3C1A">
              <w:rPr>
                <w:rFonts w:cs="Arial"/>
                <w:sz w:val="16"/>
                <w:szCs w:val="16"/>
              </w:rPr>
              <w:instrText xml:space="preserve"> ADDIN EN.CITE &lt;EndNote&gt;&lt;Cite&gt;&lt;Author&gt;Wang Q&lt;/Author&gt;&lt;Year&gt;2010&lt;/Year&gt;&lt;RecNum&gt;317&lt;/RecNum&gt;&lt;DisplayText&gt;(98)&lt;/DisplayText&gt;&lt;record&gt;&lt;rec-number&gt;317&lt;/rec-number&gt;&lt;foreign-keys&gt;&lt;key app="EN" db-id="zxp9w5sa30aeafes0xox2eem00dz2z2aswad"&gt;317&lt;/key&gt;&lt;/foreign-keys&gt;&lt;ref-type name="Journal Article"&gt;17&lt;/ref-type&gt;&lt;contributors&gt;&lt;authors&gt;&lt;author&gt;Wang Q,&lt;/author&gt;&lt;author&gt;Zhang Y,&lt;/author&gt;&lt;author&gt;Yang C,&lt;/author&gt;&lt;author&gt;Xiong H,&lt;/author&gt;&lt;author&gt;Lin Y,&lt;/author&gt;&lt;author&gt;Yao J,&lt;/author&gt;&lt;author&gt;Li H,&lt;/author&gt;&lt;author&gt;Xie L,&lt;/author&gt;&lt;author&gt;Zhao W,&lt;/author&gt;&lt;author&gt;Yao Y,&lt;/author&gt;&lt;author&gt;Ning ZB,&lt;/author&gt;&lt;author&gt;Zeng R,&lt;/author&gt;&lt;author&gt;Xiong Y,&lt;/author&gt;&lt;author&gt;Guan K,&lt;/author&gt;&lt;author&gt;Zhao S,&lt;/author&gt;&lt;author&gt;Zhao G,&lt;/author&gt;&lt;/authors&gt;&lt;/contributors&gt;&lt;titles&gt;&lt;title&gt;Acetylation of metabolic enzymes coordinates carbon source utilization and metabolic flux&lt;/title&gt;&lt;secondary-title&gt;Science&lt;/secondary-title&gt;&lt;/titles&gt;&lt;periodical&gt;&lt;full-title&gt;Science&lt;/full-title&gt;&lt;/periodical&gt;&lt;pages&gt;1004-1007&lt;/pages&gt;&lt;volume&gt;327&lt;/volume&gt;&lt;number&gt;5968&lt;/number&gt;&lt;dates&gt;&lt;year&gt;2010&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98" w:tooltip="Wang Q, 2010 #317" w:history="1">
              <w:r w:rsidR="00AB7E17">
                <w:rPr>
                  <w:rFonts w:cs="Arial"/>
                  <w:noProof/>
                  <w:sz w:val="16"/>
                  <w:szCs w:val="16"/>
                </w:rPr>
                <w:t>98</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hRule="exact" w:val="616"/>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Phosphofructokinase</w:t>
            </w:r>
          </w:p>
        </w:tc>
        <w:tc>
          <w:tcPr>
            <w:tcW w:w="3485" w:type="dxa"/>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3 , 395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480, 486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574, 688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700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S&lt;/Author&gt;&lt;Year&gt;2010&lt;/Year&gt;&lt;RecNum&gt;301&lt;/RecNum&gt;&lt;IDText&gt;Regulation of cellular metabolism by protein lysine acetylation&lt;/IDText&gt;&lt;DisplayText&gt;(11)&lt;/DisplayText&gt;&lt;record&gt;&lt;rec-number&gt;301&lt;/rec-number&gt;&lt;foreign-keys&gt;&lt;key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736, and 747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S&lt;/Author&gt;&lt;Year&gt;2010&lt;/Year&gt;&lt;RecNum&gt;301&lt;/RecNum&gt;&lt;IDText&gt;Regulation of cellular metabolism by protein lysine acetylation&lt;/IDText&gt;&lt;DisplayText&gt;(11)&lt;/DisplayText&gt;&lt;record&gt;&lt;rec-number&gt;301&lt;/rec-number&gt;&lt;foreign-keys&gt;&lt;key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127" w:type="dxa"/>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1611" w:type="dxa"/>
            <w:noWrap/>
            <w:vAlign w:val="center"/>
            <w:hideMark/>
          </w:tcPr>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Regulation of phosphorylation in yeast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&lt;EndNote&gt;&lt;Cite&gt;&lt;Author&gt;Dihazi H&lt;/Author&gt;&lt;Year&gt;2005&lt;/Year&gt;&lt;RecNum&gt;320&lt;/RecNum&gt;&lt;DisplayText&gt;(50)&lt;/DisplayText&gt;&lt;record&gt;&lt;rec-number&gt;320&lt;/rec-number&gt;&lt;foreign-keys&gt;&lt;key app="EN" db-id="zxp9w5sa30aeafes0xox2eem00dz2z2aswad"&gt;320&lt;/key&gt;&lt;/foreign-keys&gt;&lt;ref-type name="Journal Article"&gt;17&lt;/ref-type&gt;&lt;contributors&gt;&lt;authors&gt;&lt;author&gt;Dihazi H,&lt;/author&gt;&lt;author&gt;Kessler R,&lt;/author&gt;&lt;author&gt;Müller G,&lt;/author&gt;&lt;author&gt;Eschrich K,&lt;/author&gt;&lt;/authors&gt;&lt;/contributors&gt;&lt;titles&gt;&lt;title&gt;Lysine 3 acetylation regulates the phosphorylation of yeast 6-phosphofructo-2-kinase under hypo-osmotic stress&lt;/title&gt;&lt;secondary-title&gt;Biol. Chem.&lt;/secondary-title&gt;&lt;/titles&gt;&lt;periodical&gt;&lt;full-title&gt;Biol. Chem.&lt;/full-title&gt;&lt;/periodical&gt;&lt;pages&gt;895-900&lt;/pages&gt;&lt;volume&gt;386&lt;/volume&gt;&lt;number&gt;9&lt;/number&gt;&lt;dates&gt;&lt;year&gt;2005&lt;/year&gt;&lt;/dates&gt;&lt;urls&gt;&lt;/urls&gt;&lt;/record&gt;&lt;/Cite&gt;&lt;/EndNote&gt;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0" w:tooltip="Dihazi H, 2005 #320" w:history="1">
              <w:r w:rsidR="00AB7E17">
                <w:rPr>
                  <w:rFonts w:eastAsia="Times New Roman" w:cs="Arial"/>
                  <w:noProof/>
                  <w:sz w:val="16"/>
                  <w:szCs w:val="16"/>
                  <w:lang w:val="en-US"/>
                </w:rPr>
                <w:t>50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rPr>
              <w:t>.</w:t>
            </w:r>
          </w:p>
        </w:tc>
      </w:tr>
      <w:tr w:rsidR="00EF1380" w:rsidRPr="008658C5" w:rsidTr="009B400B">
        <w:trPr>
          <w:trHeight w:hRule="exact" w:val="572"/>
          <w:jc w:val="center"/>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rsidR="00EF1380" w:rsidRPr="00E33CD3" w:rsidRDefault="00EF1380" w:rsidP="009B400B">
            <w:pPr>
              <w:jc w:val="center"/>
              <w:rPr>
                <w:rFonts w:cs="Arial"/>
                <w:sz w:val="16"/>
                <w:szCs w:val="16"/>
              </w:rPr>
            </w:pPr>
            <w:r w:rsidRPr="00E33CD3">
              <w:rPr>
                <w:rFonts w:eastAsia="Times New Roman" w:cs="Arial"/>
                <w:sz w:val="16"/>
                <w:szCs w:val="16"/>
              </w:rPr>
              <w:t xml:space="preserve">Phosphoglycerate mutase </w:t>
            </w:r>
          </w:p>
        </w:tc>
        <w:tc>
          <w:tcPr>
            <w:tcW w:w="3485" w:type="dxa"/>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Fonts w:eastAsia="Times New Roman" w:cs="Arial"/>
                <w:sz w:val="16"/>
                <w:szCs w:val="16"/>
                <w:lang w:val="en-US"/>
              </w:rPr>
              <w:t xml:space="preserve">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39, </w:t>
            </w:r>
            <w:r>
              <w:rPr>
                <w:rFonts w:eastAsia="Times New Roman" w:cs="Arial"/>
                <w:sz w:val="16"/>
                <w:szCs w:val="16"/>
                <w:lang w:val="en-US"/>
              </w:rPr>
              <w:t xml:space="preserve">61, </w:t>
            </w:r>
            <w:r w:rsidRPr="00E33CD3">
              <w:rPr>
                <w:rFonts w:eastAsia="Times New Roman" w:cs="Arial"/>
                <w:sz w:val="16"/>
                <w:szCs w:val="16"/>
                <w:lang w:val="en-US"/>
              </w:rPr>
              <w:t xml:space="preserve">100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106 , 113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w:t>
            </w:r>
            <w:r>
              <w:rPr>
                <w:rFonts w:eastAsia="Times New Roman" w:cs="Arial"/>
                <w:sz w:val="16"/>
                <w:szCs w:val="16"/>
                <w:lang w:val="en-US"/>
              </w:rPr>
              <w:t xml:space="preserve">125, </w:t>
            </w:r>
            <w:r w:rsidRPr="00E33CD3">
              <w:rPr>
                <w:rFonts w:eastAsia="Times New Roman" w:cs="Arial"/>
                <w:sz w:val="16"/>
                <w:szCs w:val="16"/>
                <w:lang w:val="en-US"/>
              </w:rPr>
              <w:t xml:space="preserve">157, 251 </w:t>
            </w:r>
            <w:r w:rsidR="006C2756">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Fonts w:eastAsia="Times New Roman" w:cs="Arial"/>
                <w:sz w:val="16"/>
                <w:szCs w:val="16"/>
                <w:lang w:val="en-US"/>
              </w:rPr>
              <w:fldChar w:fldCharType="separate"/>
            </w:r>
            <w:r w:rsidR="00FC3C1A">
              <w:rPr>
                <w:rFonts w:eastAsia="Times New Roman" w:cs="Arial"/>
                <w:noProof/>
                <w:sz w:val="16"/>
                <w:szCs w:val="16"/>
                <w:lang w:val="en-US"/>
              </w:rPr>
              <w:t>(</w:t>
            </w:r>
            <w:hyperlink w:anchor="_ENREF_54" w:tooltip="Hallows W, 2012 #101" w:history="1">
              <w:r w:rsidR="00AB7E17">
                <w:rPr>
                  <w:rFonts w:eastAsia="Times New Roman" w:cs="Arial"/>
                  <w:noProof/>
                  <w:sz w:val="16"/>
                  <w:szCs w:val="16"/>
                  <w:lang w:val="en-US"/>
                </w:rPr>
                <w:t>54</w:t>
              </w:r>
            </w:hyperlink>
            <w:r w:rsidR="00FC3C1A">
              <w:rPr>
                <w:rFonts w:eastAsia="Times New Roman" w:cs="Arial"/>
                <w:noProof/>
                <w:sz w:val="16"/>
                <w:szCs w:val="16"/>
                <w:lang w:val="en-US"/>
              </w:rPr>
              <w:t>)</w:t>
            </w:r>
            <w:r w:rsidR="006C2756">
              <w:rPr>
                <w:rFonts w:eastAsia="Times New Roman" w:cs="Arial"/>
                <w:sz w:val="16"/>
                <w:szCs w:val="16"/>
                <w:lang w:val="en-US"/>
              </w:rPr>
              <w:fldChar w:fldCharType="end"/>
            </w:r>
            <w:r w:rsidRPr="00E33CD3">
              <w:rPr>
                <w:rFonts w:eastAsia="Times New Roman" w:cs="Arial"/>
                <w:sz w:val="16"/>
                <w:szCs w:val="16"/>
                <w:lang w:val="en-US"/>
              </w:rPr>
              <w:t>, 253</w:t>
            </w:r>
            <w:r w:rsidRPr="00E33CD3">
              <w:rPr>
                <w:rFonts w:eastAsia="Times New Roman" w:cs="Arial"/>
                <w:noProof/>
                <w:sz w:val="16"/>
                <w:szCs w:val="16"/>
                <w:lang w:val="en-US"/>
              </w:rPr>
              <w:t xml:space="preserve"> </w:t>
            </w:r>
            <w:r w:rsidR="006C2756">
              <w:rPr>
                <w:rFonts w:eastAsia="Times New Roman" w:cs="Arial"/>
                <w:noProof/>
                <w:sz w:val="16"/>
                <w:szCs w:val="16"/>
                <w:lang w:val="en-US"/>
              </w:rPr>
              <w:fldChar w:fldCharType="begin"/>
            </w:r>
            <w:r w:rsidR="00FC3C1A">
              <w:rPr>
                <w:rFonts w:eastAsia="Times New Roman" w:cs="Arial"/>
                <w:noProof/>
                <w:sz w:val="16"/>
                <w:szCs w:val="16"/>
                <w:lang w:val="en-US"/>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Fonts w:eastAsia="Times New Roman" w:cs="Arial"/>
                <w:noProof/>
                <w:sz w:val="16"/>
                <w:szCs w:val="16"/>
                <w:lang w:val="en-US"/>
              </w:rPr>
              <w:fldChar w:fldCharType="separate"/>
            </w:r>
            <w:r w:rsidR="00FC3C1A">
              <w:rPr>
                <w:rFonts w:eastAsia="Times New Roman" w:cs="Arial"/>
                <w:noProof/>
                <w:sz w:val="16"/>
                <w:szCs w:val="16"/>
                <w:lang w:val="en-US"/>
              </w:rPr>
              <w:t>(</w:t>
            </w:r>
            <w:hyperlink w:anchor="_ENREF_54" w:tooltip="Hallows W, 2012 #101" w:history="1">
              <w:r w:rsidR="00AB7E17">
                <w:rPr>
                  <w:rFonts w:eastAsia="Times New Roman" w:cs="Arial"/>
                  <w:noProof/>
                  <w:sz w:val="16"/>
                  <w:szCs w:val="16"/>
                  <w:lang w:val="en-US"/>
                </w:rPr>
                <w:t>54</w:t>
              </w:r>
            </w:hyperlink>
            <w:r w:rsidR="00FC3C1A">
              <w:rPr>
                <w:rFonts w:eastAsia="Times New Roman" w:cs="Arial"/>
                <w:noProof/>
                <w:sz w:val="16"/>
                <w:szCs w:val="16"/>
                <w:lang w:val="en-US"/>
              </w:rPr>
              <w:t>)</w:t>
            </w:r>
            <w:r w:rsidR="006C2756">
              <w:rPr>
                <w:rFonts w:eastAsia="Times New Roman" w:cs="Arial"/>
                <w:noProof/>
                <w:sz w:val="16"/>
                <w:szCs w:val="16"/>
                <w:lang w:val="en-US"/>
              </w:rPr>
              <w:fldChar w:fldCharType="end"/>
            </w:r>
            <w:r w:rsidRPr="00E33CD3">
              <w:rPr>
                <w:rFonts w:eastAsia="Times New Roman" w:cs="Arial"/>
                <w:sz w:val="16"/>
                <w:szCs w:val="16"/>
                <w:lang w:val="en-US"/>
              </w:rPr>
              <w:t>and 254</w:t>
            </w:r>
            <w:r>
              <w:rPr>
                <w:rFonts w:eastAsia="Times New Roman" w:cs="Arial"/>
                <w:sz w:val="16"/>
                <w:szCs w:val="16"/>
                <w:lang w:val="en-US"/>
              </w:rPr>
              <w:t xml:space="preserve"> </w:t>
            </w:r>
            <w:r w:rsidR="006C2756">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Pr>
                <w:rFonts w:eastAsia="Times New Roman" w:cs="Arial"/>
                <w:sz w:val="16"/>
                <w:szCs w:val="16"/>
                <w:lang w:val="en-US"/>
              </w:rPr>
              <w:fldChar w:fldCharType="separate"/>
            </w:r>
            <w:r w:rsidR="00FC3C1A">
              <w:rPr>
                <w:rFonts w:eastAsia="Times New Roman" w:cs="Arial"/>
                <w:noProof/>
                <w:sz w:val="16"/>
                <w:szCs w:val="16"/>
                <w:lang w:val="en-US"/>
              </w:rPr>
              <w:t>(</w:t>
            </w:r>
            <w:hyperlink w:anchor="_ENREF_54" w:tooltip="Hallows W, 2012 #101" w:history="1">
              <w:r w:rsidR="00AB7E17">
                <w:rPr>
                  <w:rFonts w:eastAsia="Times New Roman" w:cs="Arial"/>
                  <w:noProof/>
                  <w:sz w:val="16"/>
                  <w:szCs w:val="16"/>
                  <w:lang w:val="en-US"/>
                </w:rPr>
                <w:t>54</w:t>
              </w:r>
            </w:hyperlink>
            <w:r w:rsidR="00FC3C1A">
              <w:rPr>
                <w:rFonts w:eastAsia="Times New Roman" w:cs="Arial"/>
                <w:noProof/>
                <w:sz w:val="16"/>
                <w:szCs w:val="16"/>
                <w:lang w:val="en-US"/>
              </w:rPr>
              <w:t>)</w:t>
            </w:r>
            <w:r w:rsidR="006C2756">
              <w:rPr>
                <w:rFonts w:eastAsia="Times New Roman" w:cs="Arial"/>
                <w:sz w:val="16"/>
                <w:szCs w:val="16"/>
                <w:lang w:val="en-US"/>
              </w:rPr>
              <w:fldChar w:fldCharType="end"/>
            </w:r>
            <w:r w:rsidRPr="00E33CD3">
              <w:rPr>
                <w:rFonts w:eastAsia="Times New Roman" w:cs="Arial"/>
                <w:noProof/>
                <w:sz w:val="16"/>
                <w:szCs w:val="16"/>
                <w:lang w:val="en-US"/>
              </w:rPr>
              <w:t>.</w:t>
            </w:r>
          </w:p>
        </w:tc>
        <w:tc>
          <w:tcPr>
            <w:tcW w:w="2127" w:type="dxa"/>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eastAsia="Times New Roman" w:cs="Arial"/>
                <w:sz w:val="16"/>
                <w:szCs w:val="16"/>
              </w:rPr>
              <w:t>No effect reported</w:t>
            </w:r>
          </w:p>
        </w:tc>
        <w:tc>
          <w:tcPr>
            <w:tcW w:w="1611" w:type="dxa"/>
            <w:vAlign w:val="center"/>
            <w:hideMark/>
          </w:tcPr>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Fonts w:eastAsia="Times New Roman" w:cs="Arial"/>
                <w:sz w:val="16"/>
                <w:szCs w:val="16"/>
              </w:rPr>
              <w:t xml:space="preserve">Down-regulation </w:t>
            </w:r>
            <w:r w:rsidRPr="00E33CD3">
              <w:rPr>
                <w:rFonts w:eastAsia="Times New Roman" w:cs="Arial"/>
                <w:sz w:val="16"/>
                <w:szCs w:val="16"/>
                <w:lang w:val="en-US"/>
              </w:rPr>
              <w:t xml:space="preserve">in HEK293 cells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&lt;EndNote&gt;&lt;Cite&gt;&lt;Author&gt;Hallows W&lt;/Author&gt;&lt;Year&gt;2012&lt;/Year&gt;&lt;RecNum&gt;101&lt;/RecNum&gt;&lt;DisplayText&gt;(54)&lt;/DisplayText&gt;&lt;record&gt;&lt;rec-number&gt;101&lt;/rec-number&gt;&lt;foreign-keys&gt;&lt;key app="EN" db-id="zxp9w5sa30aeafes0xox2eem00dz2z2aswad"&gt;101&lt;/key&gt;&lt;key app="ENWeb" db-id="UG1-3grtqigAAEqvEt0"&gt;390&lt;/key&gt;&lt;/foreign-keys&gt;&lt;ref-type name="Journal Article"&gt;17&lt;/ref-type&gt;&lt;contributors&gt;&lt;authors&gt;&lt;author&gt;Hallows W,&lt;/author&gt;&lt;author&gt;Yu W,&lt;/author&gt;&lt;author&gt;Denu J,&lt;/author&gt;&lt;/authors&gt;&lt;/contributors&gt;&lt;titles&gt;&lt;title&gt;Regulation of glycolytic enzyme phosphoglycerate mutase-1 by Sirt1 protein-mediated deacetylation&lt;/title&gt;&lt;secondary-title&gt;J Biol Chem&lt;/secondary-title&gt;&lt;/titles&gt;&lt;periodical&gt;&lt;full-title&gt;J Biol Chem&lt;/full-title&gt;&lt;/periodical&gt;&lt;pages&gt;3850-3858&lt;/pages&gt;&lt;volume&gt;287&lt;/volume&gt;&lt;number&gt;6&lt;/number&gt;&lt;dates&gt;&lt;year&gt;2012&lt;/year&gt;&lt;/dates&gt;&lt;urls&gt;&lt;/urls&gt;&lt;/record&gt;&lt;/Cite&gt;&lt;/EndNote&gt;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4" w:tooltip="Hallows W, 2012 #101" w:history="1">
              <w:r w:rsidR="00AB7E17">
                <w:rPr>
                  <w:rFonts w:eastAsia="Times New Roman" w:cs="Arial"/>
                  <w:noProof/>
                  <w:sz w:val="16"/>
                  <w:szCs w:val="16"/>
                  <w:lang w:val="en-US"/>
                </w:rPr>
                <w:t>54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hRule="exact" w:val="1517"/>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Enolase</w:t>
            </w:r>
          </w:p>
        </w:tc>
        <w:tc>
          <w:tcPr>
            <w:tcW w:w="3485" w:type="dxa"/>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Pr>
                <w:rFonts w:eastAsia="Times New Roman" w:cs="Arial"/>
                <w:sz w:val="16"/>
                <w:szCs w:val="16"/>
                <w:lang w:val="en-US"/>
              </w:rPr>
              <w:t>, 28</w:t>
            </w:r>
            <w:r w:rsidRPr="00E33CD3">
              <w:rPr>
                <w:rFonts w:eastAsia="Times New Roman" w:cs="Arial"/>
                <w:sz w:val="16"/>
                <w:szCs w:val="16"/>
                <w:lang w:val="en-US"/>
              </w:rPr>
              <w:t xml:space="preserve">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60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64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71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80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89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92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YXlUZXh0PigxMSwgODQpPC9EaXNwbGF5VGV4dD48cmVjb3JkPjxyZWMtbnVtYmVyPjMwMzwvcmVj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PHVybHM+PC91cmxzPjwvcmVjb3JkPjwvQ2l0ZT48Q2l0ZT48QXV0aG9yPlpoYW8gUzwvQXV0aG9y
PjxZZWFyPjIwMTA8L1llYXI+PFJlY051bT4zMDE8L1JlY051bT48SURUZXh0PlJlZ3VsYXRpb24g
b2YgY2VsbHVsYXIgbWV0YWJvbGlzbSBieSBwcm90ZWluIGx5c2luZSBhY2V0eWxhdGlvbjwvSURU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L2RhdGVzPjx1cmxzPjwvdXJscz48L3JlY29yZD48L0NpdGU+PC9FbmROb3RlPgB=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YXlUZXh0PigxMSwgODQpPC9EaXNwbGF5VGV4dD48cmVjb3JkPjxyZWMtbnVtYmVyPjMwMzwvcmVj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PHVybHM+PC91cmxzPjwvcmVjb3JkPjwvQ2l0ZT48Q2l0ZT48QXV0aG9yPlpoYW8gUzwvQXV0aG9y
PjxZZWFyPjIwMTA8L1llYXI+PFJlY051bT4zMDE8L1JlY051bT48SURUZXh0PlJlZ3VsYXRpb24g
b2YgY2VsbHVsYXIgbWV0YWJvbGlzbSBieSBwcm90ZWluIGx5c2luZSBhY2V0eWxhdGlvbjwvSURU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L2RhdGVzPjx1cmxzPjwvdXJscz48L3JlY29yZD48L0NpdGU+PC9FbmROb3RlPgB=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103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105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126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142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&lt;EndNote&gt;&lt;Cite&gt;&lt;Author&gt;Shevade S&lt;/Author&gt;&lt;Year&gt;2013&lt;/Year&gt;&lt;RecNum&gt;323&lt;/RecNum&gt;&lt;DisplayText&gt;(82)&lt;/DisplayText&gt;&lt;record&gt;&lt;rec-number&gt;323&lt;/rec-number&gt;&lt;foreign-keys&gt;&lt;key app="EN" db-id="zxp9w5sa30aeafes0xox2eem00dz2z2aswad"&gt;323&lt;/key&gt;&lt;/foreign-keys&gt;&lt;ref-type name="Journal Article"&gt;17&lt;/ref-type&gt;&lt;contributors&gt;&lt;authors&gt;&lt;author&gt;Shevade S,&lt;/author&gt;&lt;author&gt;Jindal N,&lt;/author&gt;&lt;author&gt;Dutta S,&lt;/author&gt;&lt;author&gt;Jarori G,&lt;/author&gt;&lt;/authors&gt;&lt;/contributors&gt;&lt;titles&gt;&lt;title&gt;&lt;style face="normal" font="default" size="100%"&gt;Food vacuole associated enolase in &lt;/style&gt;&lt;style face="italic" font="default" size="100%"&gt;Plasmodium&lt;/style&gt;&lt;style face="normal" font="default" size="100%"&gt; undergoes multiple post-translational modifications: evidence for atypical ubiquitination&lt;/style&gt;&lt;/title&gt;&lt;secondary-title&gt;PLoS One&lt;/secondary-title&gt;&lt;/titles&gt;&lt;periodical&gt;&lt;full-title&gt;PLoS One&lt;/full-title&gt;&lt;/periodical&gt;&lt;pages&gt;doi: 10.1371/journal.pone.0072687&lt;/pages&gt;&lt;volume&gt;8&lt;/volume&gt;&lt;number&gt;8&lt;/number&gt;&lt;dates&gt;&lt;year&gt;2013&lt;/year&gt;&lt;/dates&gt;&lt;urls&gt;&lt;/urls&gt;&lt;/record&gt;&lt;/Cite&gt;&lt;/EndNote&gt;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2" w:tooltip="Shevade S, 2013 #323" w:history="1">
              <w:r w:rsidR="00AB7E17">
                <w:rPr>
                  <w:rFonts w:eastAsia="Times New Roman" w:cs="Arial"/>
                  <w:noProof/>
                  <w:sz w:val="16"/>
                  <w:szCs w:val="16"/>
                  <w:lang w:val="en-US"/>
                </w:rPr>
                <w:t>82</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193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197, 199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202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221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228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233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239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256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262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281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285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306, 326, 330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335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343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358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&lt;EndNote&gt;&lt;Cite&gt;&lt;Author&gt;Zhou W&lt;/Author&gt;&lt;Year&gt;2010&lt;/Year&gt;&lt;RecNum&gt;303&lt;/RecNum&gt;&lt;IDText&gt;Mass Spectrometry Analysis of the Post-Translational Modiﬁcations of alpha-Enolase from Pancreatic Ductal Adenocarcinoma Cells &lt;/IDText&gt;&lt;DisplayText&gt;(84)&lt;/DisplayText&gt;&lt;record&gt;&lt;rec-number&gt;303&lt;/rec-number&gt;&lt;foreign-keys&gt;&lt;key app="EN" db-id="zxp9w5sa30aeafes0xox2eem00dz2z2aswad"&gt;303&lt;/key&gt;&lt;key app="ENWeb" db-id="UG1-3grtqigAAEqvEt0"&gt;208&lt;/key&gt;&lt;/foreign-keys&gt;&lt;ref-type name="Journal Article"&gt;17&lt;/ref-type&gt;&lt;contributors&gt;&lt;authors&gt;&lt;author&gt;Zhou W,&lt;/author&gt;&lt;author&gt;Capello M,&lt;/author&gt;&lt;author&gt;Fredolini C,&lt;/author&gt;&lt;author&gt;Piemonti L,&lt;/author&gt;&lt;author&gt;Liotta L,&lt;/author&gt;&lt;author&gt;Novelli F,&lt;/author&gt;&lt;author&gt;Petricoin E,&lt;/author&gt;&lt;/authors&gt;&lt;/contributors&gt;&lt;titles&gt;&lt;title&gt;Mass Spectrometry Analysis of the Post-Translational Modiﬁcations of alpha-Enolase from Pancreatic Ductal Adenocarcinoma Cells &lt;/title&gt;&lt;secondary-title&gt; J Proteome Res&lt;/secondary-title&gt;&lt;/titles&gt;&lt;periodical&gt;&lt;full-title&gt; J Proteome Res&lt;/full-title&gt;&lt;/periodical&gt;&lt;pages&gt;2929-2936 &lt;/pages&gt;&lt;volume&gt;9&lt;/volume&gt;&lt;dates&gt;&lt;year&gt;2010&lt;/year&gt;&lt;/dates&gt;&lt;urls&gt;&lt;/urls&gt;&lt;/record&gt;&lt;/Cite&gt;&lt;/EndNote&gt;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384 , 406 </w:t>
            </w:r>
            <w:r w:rsidR="006C2756" w:rsidRPr="00E33CD3">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PEVuZE5vdGU+PENpdGU+PEF1dGhvcj5aaG91IFc8L0F1dGhvcj48WWVhcj4yMDEwPC9ZZWFyPjxS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420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aW9uczwvSURUZXh0PjxEaXNwbGF5VGV4dD4oNjQsIDg0KTwvRGlzcGxheVRleHQ+PHJlY29yZD48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cz48dXJscz48L3VybHM+PC9yZWNvcmQ+PC9DaXRlPjxDaXRlPjxBdXRob3I+WmhvdSBXPC9BdXRo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84" w:tooltip="Zhou W, 2010 #303" w:history="1">
              <w:r w:rsidR="00AB7E17">
                <w:rPr>
                  <w:rFonts w:eastAsia="Times New Roman" w:cs="Arial"/>
                  <w:noProof/>
                  <w:sz w:val="16"/>
                  <w:szCs w:val="16"/>
                  <w:lang w:val="en-US"/>
                </w:rPr>
                <w:t>84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and 434.</w:t>
            </w:r>
          </w:p>
        </w:tc>
        <w:tc>
          <w:tcPr>
            <w:tcW w:w="2127" w:type="dxa"/>
            <w:noWrap/>
            <w:vAlign w:val="center"/>
            <w:hideMark/>
          </w:tcPr>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rPr>
              <w:t xml:space="preserve">Induction of expression in CHO cells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&lt;EndNote&gt;&lt;Cite&gt;&lt;Author&gt;Van Dyk D&lt;/Author&gt;&lt;Year&gt;2003&lt;/Year&gt;&lt;RecNum&gt;322&lt;/RecNum&gt;&lt;DisplayText&gt;(99)&lt;/DisplayText&gt;&lt;record&gt;&lt;rec-number&gt;322&lt;/rec-number&gt;&lt;foreign-keys&gt;&lt;key app="EN" db-id="zxp9w5sa30aeafes0xox2eem00dz2z2aswad"&gt;322&lt;/key&gt;&lt;/foreign-keys&gt;&lt;ref-type name="Journal Article"&gt;17&lt;/ref-type&gt;&lt;contributors&gt;&lt;authors&gt;&lt;author&gt;Van Dyk D,&lt;/author&gt;&lt;author&gt;Misztal D,&lt;/author&gt;&lt;author&gt;Wilkins M,&lt;/author&gt;&lt;author&gt;Mackintosh J,&lt;/author&gt;&lt;author&gt;Poljak A,&lt;/author&gt;&lt;author&gt;Varnai J,&lt;/author&gt;&lt;author&gt;Teber E,&lt;/author&gt;&lt;author&gt;Walsh B,&lt;/author&gt;&lt;author&gt;Gray P,&lt;/author&gt;&lt;/authors&gt;&lt;/contributors&gt;&lt;titles&gt;&lt;title&gt;Identification of cellular changes associated with increased production of human growth hormone in a recombinant Chinese hamster ovary cell line&lt;/title&gt;&lt;secondary-title&gt;Proteomics&lt;/secondary-title&gt;&lt;/titles&gt;&lt;periodical&gt;&lt;full-title&gt;Proteomics&lt;/full-title&gt;&lt;/periodical&gt;&lt;pages&gt;147-156&lt;/pages&gt;&lt;volume&gt;3&lt;/volume&gt;&lt;number&gt;2&lt;/number&gt;&lt;dates&gt;&lt;year&gt;2003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99" w:tooltip="Van Dyk D, 2003 #322" w:history="1">
              <w:r w:rsidR="00AB7E17">
                <w:rPr>
                  <w:rFonts w:eastAsia="Times New Roman" w:cs="Arial"/>
                  <w:noProof/>
                  <w:sz w:val="16"/>
                  <w:szCs w:val="16"/>
                  <w:lang w:val="en-US"/>
                </w:rPr>
                <w:t>99</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1611" w:type="dxa"/>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trHeight w:hRule="exact" w:val="1938"/>
          <w:jc w:val="center"/>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rsidR="00EF1380" w:rsidRPr="00E33CD3" w:rsidRDefault="00EF1380" w:rsidP="009B400B">
            <w:pPr>
              <w:jc w:val="center"/>
              <w:rPr>
                <w:rFonts w:cs="Arial"/>
                <w:sz w:val="16"/>
                <w:szCs w:val="16"/>
              </w:rPr>
            </w:pPr>
            <w:r w:rsidRPr="00E33CD3">
              <w:rPr>
                <w:rFonts w:eastAsia="Times New Roman" w:cs="Arial"/>
                <w:sz w:val="16"/>
                <w:szCs w:val="16"/>
              </w:rPr>
              <w:t>Pyruvate kinase</w:t>
            </w:r>
          </w:p>
        </w:tc>
        <w:tc>
          <w:tcPr>
            <w:tcW w:w="3485" w:type="dxa"/>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Fonts w:eastAsia="Times New Roman" w:cs="Arial"/>
                <w:sz w:val="16"/>
                <w:szCs w:val="16"/>
                <w:lang w:val="en-US"/>
              </w:rPr>
              <w:t xml:space="preserve">3, 62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135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151, 162, 166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186, 206, 207, 230, 261, 266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305 </w:t>
            </w:r>
            <w:r w:rsidR="006C2756" w:rsidRPr="00E33CD3">
              <w:rPr>
                <w:rFonts w:eastAsia="Times New Roman" w:cs="Arial"/>
                <w:sz w:val="16"/>
                <w:szCs w:val="16"/>
                <w:lang w:val="en-US"/>
              </w:rPr>
              <w:fldChar w:fldCharType="begin">
                <w:fldData xml:space="preserve">PEVuZE5vdGU+PENpdGU+PEF1dGhvcj5MdiBMPC9BdXRob3I+PFllYXI+MjAxMTwvWWVhcj48UmVj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PC9yZWNvcmQ+PC9DaXRlPjwvRW5kTm90ZT5=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PEVuZE5vdGU+PENpdGU+PEF1dGhvcj5MdiBMPC9BdXRob3I+PFllYXI+MjAxMTwvWWVhcj48UmVj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66" w:tooltip="Lv L, 2011 #161" w:history="1">
              <w:r w:rsidR="00AB7E17">
                <w:rPr>
                  <w:rFonts w:eastAsia="Times New Roman" w:cs="Arial"/>
                  <w:noProof/>
                  <w:sz w:val="16"/>
                  <w:szCs w:val="16"/>
                  <w:lang w:val="en-US"/>
                </w:rPr>
                <w:t>66</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422, 433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and 498.</w:t>
            </w:r>
          </w:p>
        </w:tc>
        <w:tc>
          <w:tcPr>
            <w:tcW w:w="2127" w:type="dxa"/>
            <w:vAlign w:val="center"/>
            <w:hideMark/>
          </w:tcPr>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Enhanced expression in P-815 mastocytoma cells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&lt;EndNote&gt;&lt;Cite&gt;&lt;Author&gt;Ngo J&lt;/Author&gt;&lt;Year&gt;1983&lt;/Year&gt;&lt;RecNum&gt;319&lt;/RecNum&gt;&lt;DisplayText&gt;(100)&lt;/DisplayText&gt;&lt;record&gt;&lt;rec-number&gt;319&lt;/rec-number&gt;&lt;foreign-keys&gt;&lt;key app="EN" db-id="zxp9w5sa30aeafes0xox2eem00dz2z2aswad"&gt;319&lt;/key&gt;&lt;/foreign-keys&gt;&lt;ref-type name="Journal Article"&gt;17&lt;/ref-type&gt;&lt;contributors&gt;&lt;authors&gt;&lt;author&gt;Ngo J,&lt;/author&gt;&lt;author&gt;Chute H,&lt;/author&gt;&lt;author&gt;Sanders D,&lt;/author&gt;&lt;author&gt;Orlando R,&lt;/author&gt;&lt;author&gt;Ibsen K,&lt;/author&gt;&lt;/authors&gt;&lt;/contributors&gt;&lt;titles&gt;&lt;title&gt;Regulation of pyruvate kinase expression and growth in mastocytoma cells. I. Initial observations&lt;/title&gt;&lt;secondary-title&gt;Exp Cell Res&lt;/secondary-title&gt;&lt;/titles&gt;&lt;periodical&gt;&lt;full-title&gt;Exp Cell Res&lt;/full-title&gt;&lt;/periodical&gt;&lt;pages&gt;565-575&lt;/pages&gt;&lt;volume&gt;149&lt;/volume&gt;&lt;number&gt;2&lt;/number&gt;&lt;dates&gt;&lt;year&gt;1983&lt;/year&gt;&lt;/dates&gt;&lt;urls&gt;&lt;/urls&gt;&lt;/record&gt;&lt;/Cite&gt;&lt;/EndNote&gt;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00" w:tooltip="Ngo J, 1983 #319" w:history="1">
              <w:r w:rsidR="00AB7E17">
                <w:rPr>
                  <w:rFonts w:eastAsia="Times New Roman" w:cs="Arial"/>
                  <w:noProof/>
                  <w:sz w:val="16"/>
                  <w:szCs w:val="16"/>
                  <w:lang w:val="en-US"/>
                </w:rPr>
                <w:t>100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rPr>
              <w:t>.</w:t>
            </w:r>
          </w:p>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rPr>
              <w:t xml:space="preserve">Decrease in the amount of transcripts in human colon tissues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&lt;EndNote&gt;&lt;Cite&gt;&lt;Author&gt;Jahns F&lt;/Author&gt;&lt;Year&gt;2012&lt;/Year&gt;&lt;RecNum&gt;124&lt;/RecNum&gt;&lt;DisplayText&gt;(92)&lt;/DisplayText&gt;&lt;record&gt;&lt;rec-number&gt;124&lt;/rec-number&gt;&lt;foreign-keys&gt;&lt;key app="EN" db-id="zxp9w5sa30aeafes0xox2eem00dz2z2aswad"&gt;124&lt;/key&gt;&lt;key app="ENWeb" db-id="UG1-3grtqigAAEqvEt0"&gt;384&lt;/key&gt;&lt;/foreign-keys&gt;&lt;ref-type name="Journal Article"&gt;17&lt;/ref-type&gt;&lt;contributors&gt;&lt;authors&gt;&lt;author&gt;Jahns F,&lt;/author&gt;&lt;author&gt;Wilhelm A,&lt;/author&gt;&lt;author&gt;Greulich K,&lt;/author&gt;&lt;author&gt;Mothes H,&lt;/author&gt;&lt;author&gt;Radeva M,&lt;/author&gt;&lt;author&gt;Wölfert A,&lt;/author&gt;&lt;author&gt;Glei M,&lt;/author&gt;&lt;/authors&gt;&lt;/contributors&gt;&lt;titles&gt;&lt;title&gt;Impact of butyrate on PKM2 and HSP90β expression in human colon tissues of different transformation stages: a comparison fo gene and protein data&lt;/title&gt;&lt;secondary-title&gt;Genes Nutr&lt;/secondary-title&gt;&lt;/titles&gt;&lt;periodical&gt;&lt;full-title&gt;Genes Nutr&lt;/full-title&gt;&lt;/periodical&gt;&lt;pages&gt;235-246&lt;/pages&gt;&lt;volume&gt;7&lt;/volume&gt;&lt;number&gt;2&lt;/number&gt;&lt;dates&gt;&lt;year&gt;2012&lt;/year&gt;&lt;/dates&gt;&lt;urls&gt;&lt;/urls&gt;&lt;/record&gt;&lt;/Cite&gt;&lt;/EndNote&gt;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92" w:tooltip="Jahns F, 2012 #124" w:history="1">
              <w:r w:rsidR="00AB7E17">
                <w:rPr>
                  <w:rFonts w:eastAsia="Times New Roman" w:cs="Arial"/>
                  <w:noProof/>
                  <w:sz w:val="16"/>
                  <w:szCs w:val="16"/>
                  <w:lang w:val="en-US"/>
                </w:rPr>
                <w:t>92</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w:t>
            </w:r>
          </w:p>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Fonts w:eastAsia="Times New Roman" w:cs="Arial"/>
                <w:sz w:val="16"/>
                <w:szCs w:val="16"/>
                <w:lang w:val="en-US"/>
              </w:rPr>
              <w:t xml:space="preserve">Decrease in gene expression in F9 terotocarcinoma cells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&lt;EndNote&gt;&lt;Cite&gt;&lt;Author&gt;Shimada N&lt;/Author&gt;&lt;Year&gt;2001&lt;/Year&gt;&lt;RecNum&gt;324&lt;/RecNum&gt;&lt;DisplayText&gt;(101)&lt;/DisplayText&gt;&lt;record&gt;&lt;rec-number&gt;324&lt;/rec-number&gt;&lt;foreign-keys&gt;&lt;key app="EN" db-id="zxp9w5sa30aeafes0xox2eem00dz2z2aswad"&gt;324&lt;/key&gt;&lt;/foreign-keys&gt;&lt;ref-type name="Journal Article"&gt;17&lt;/ref-type&gt;&lt;contributors&gt;&lt;authors&gt;&lt;author&gt;Shimada N,&lt;/author&gt;&lt;author&gt;Yamada K,&lt;/author&gt;&lt;author&gt;Tanaka T,&lt;/author&gt;&lt;author&gt;Kawata H,&lt;/author&gt;&lt;author&gt;Mizutani T,&lt;/author&gt;&lt;author&gt;Miyamoto K,&lt;/author&gt;&lt;author&gt;Matsuzawa T,&lt;/author&gt;&lt;/authors&gt;&lt;/contributors&gt;&lt;titles&gt;&lt;title&gt;Alterations of gene expression in endoderm differentiation of F9 teratocarcinoma cells&lt;/title&gt;&lt;secondary-title&gt;Mol Reprod Dev&lt;/secondary-title&gt;&lt;/titles&gt;&lt;periodical&gt;&lt;full-title&gt;Mol Reprod Dev&lt;/full-title&gt;&lt;/periodical&gt;&lt;pages&gt;165-171&lt;/pages&gt;&lt;volume&gt;60&lt;/volume&gt;&lt;number&gt;2&lt;/number&gt;&lt;dates&gt;&lt;year&gt;2001&lt;/year&gt;&lt;/dates&gt;&lt;urls&gt;&lt;/urls&gt;&lt;/record&gt;&lt;/Cite&gt;&lt;/EndNote&gt;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01" w:tooltip="Shimada N, 2001 #324" w:history="1">
              <w:r w:rsidR="00AB7E17">
                <w:rPr>
                  <w:rFonts w:eastAsia="Times New Roman" w:cs="Arial"/>
                  <w:noProof/>
                  <w:sz w:val="16"/>
                  <w:szCs w:val="16"/>
                  <w:lang w:val="en-US"/>
                </w:rPr>
                <w:t>101</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1611" w:type="dxa"/>
            <w:vAlign w:val="center"/>
          </w:tcPr>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Regulation of activity and stability at Lys residue 305 in 293T cells </w:t>
            </w:r>
            <w:r w:rsidR="006C2756" w:rsidRPr="00E33CD3">
              <w:rPr>
                <w:rFonts w:cs="Arial"/>
                <w:sz w:val="16"/>
                <w:szCs w:val="16"/>
              </w:rPr>
              <w:fldChar w:fldCharType="begin"/>
            </w:r>
            <w:r w:rsidR="00FC3C1A">
              <w:rPr>
                <w:rFonts w:cs="Arial"/>
                <w:sz w:val="16"/>
                <w:szCs w:val="16"/>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6" w:tooltip="Lv L, 2011 #161" w:history="1">
              <w:r w:rsidR="00AB7E17">
                <w:rPr>
                  <w:rFonts w:cs="Arial"/>
                  <w:noProof/>
                  <w:sz w:val="16"/>
                  <w:szCs w:val="16"/>
                </w:rPr>
                <w:t>66</w:t>
              </w:r>
            </w:hyperlink>
            <w:r w:rsidR="00FC3C1A">
              <w:rPr>
                <w:rFonts w:cs="Arial"/>
                <w:noProof/>
                <w:sz w:val="16"/>
                <w:szCs w:val="16"/>
              </w:rPr>
              <w:t>)</w:t>
            </w:r>
            <w:r w:rsidR="006C2756" w:rsidRPr="00E33CD3">
              <w:rPr>
                <w:rFonts w:cs="Arial"/>
                <w:sz w:val="16"/>
                <w:szCs w:val="16"/>
              </w:rPr>
              <w:fldChar w:fldCharType="end"/>
            </w:r>
            <w:r w:rsidRPr="00E33CD3">
              <w:rPr>
                <w:rFonts w:eastAsia="Times New Roman" w:cs="Arial"/>
                <w:sz w:val="16"/>
                <w:szCs w:val="16"/>
              </w:rPr>
              <w:t xml:space="preserve">. </w:t>
            </w:r>
          </w:p>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rsidR="00EF1380" w:rsidRPr="004C2A30" w:rsidRDefault="00EF1380" w:rsidP="00EF1380">
      <w:pPr>
        <w:pStyle w:val="Caption"/>
        <w:jc w:val="both"/>
        <w:rPr>
          <w:rFonts w:ascii="Arial" w:hAnsi="Arial" w:cs="Arial"/>
          <w:i/>
          <w:color w:val="auto"/>
          <w:sz w:val="16"/>
          <w:szCs w:val="16"/>
        </w:rPr>
      </w:pPr>
      <w:bookmarkStart w:id="248" w:name="_Toc413667000"/>
      <w:proofErr w:type="gramStart"/>
      <w:r w:rsidRPr="004C2A30">
        <w:rPr>
          <w:rFonts w:ascii="Arial" w:hAnsi="Arial" w:cs="Arial"/>
          <w:color w:val="auto"/>
          <w:sz w:val="16"/>
          <w:szCs w:val="16"/>
        </w:rPr>
        <w:t xml:space="preserve">Table </w:t>
      </w:r>
      <w:r w:rsidR="006C2756" w:rsidRPr="004C2A30">
        <w:rPr>
          <w:rFonts w:ascii="Arial" w:hAnsi="Arial" w:cs="Arial"/>
          <w:color w:val="auto"/>
          <w:sz w:val="16"/>
          <w:szCs w:val="16"/>
        </w:rPr>
        <w:fldChar w:fldCharType="begin"/>
      </w:r>
      <w:r w:rsidRPr="004C2A30">
        <w:rPr>
          <w:rFonts w:ascii="Arial" w:hAnsi="Arial" w:cs="Arial"/>
          <w:color w:val="auto"/>
          <w:sz w:val="16"/>
          <w:szCs w:val="16"/>
        </w:rPr>
        <w:instrText xml:space="preserve"> SEQ Table \* ARABIC </w:instrText>
      </w:r>
      <w:r w:rsidR="006C2756" w:rsidRPr="004C2A30">
        <w:rPr>
          <w:rFonts w:ascii="Arial" w:hAnsi="Arial" w:cs="Arial"/>
          <w:color w:val="auto"/>
          <w:sz w:val="16"/>
          <w:szCs w:val="16"/>
        </w:rPr>
        <w:fldChar w:fldCharType="separate"/>
      </w:r>
      <w:r w:rsidR="00DC0376">
        <w:rPr>
          <w:rFonts w:ascii="Arial" w:hAnsi="Arial" w:cs="Arial"/>
          <w:noProof/>
          <w:color w:val="auto"/>
          <w:sz w:val="16"/>
          <w:szCs w:val="16"/>
        </w:rPr>
        <w:t>13</w:t>
      </w:r>
      <w:r w:rsidR="006C2756" w:rsidRPr="004C2A30">
        <w:rPr>
          <w:rFonts w:ascii="Arial" w:hAnsi="Arial" w:cs="Arial"/>
          <w:color w:val="auto"/>
          <w:sz w:val="16"/>
          <w:szCs w:val="16"/>
        </w:rPr>
        <w:fldChar w:fldCharType="end"/>
      </w:r>
      <w:r w:rsidRPr="008658C5">
        <w:rPr>
          <w:rFonts w:ascii="Arial" w:hAnsi="Arial" w:cs="Arial"/>
          <w:color w:val="auto"/>
          <w:sz w:val="16"/>
          <w:szCs w:val="16"/>
        </w:rPr>
        <w:t>.</w:t>
      </w:r>
      <w:proofErr w:type="gramEnd"/>
      <w:r w:rsidRPr="008658C5">
        <w:rPr>
          <w:rFonts w:ascii="Arial" w:hAnsi="Arial" w:cs="Arial"/>
          <w:color w:val="auto"/>
          <w:sz w:val="16"/>
          <w:szCs w:val="16"/>
        </w:rPr>
        <w:t xml:space="preserve"> </w:t>
      </w:r>
      <w:proofErr w:type="gramStart"/>
      <w:r w:rsidRPr="008658C5">
        <w:rPr>
          <w:rFonts w:ascii="Arial" w:hAnsi="Arial" w:cs="Arial"/>
          <w:color w:val="auto"/>
          <w:sz w:val="16"/>
          <w:szCs w:val="16"/>
        </w:rPr>
        <w:t xml:space="preserve">Acetylation </w:t>
      </w:r>
      <w:r>
        <w:rPr>
          <w:rFonts w:ascii="Arial" w:hAnsi="Arial" w:cs="Arial"/>
          <w:color w:val="auto"/>
          <w:sz w:val="16"/>
          <w:szCs w:val="16"/>
        </w:rPr>
        <w:t>of l</w:t>
      </w:r>
      <w:r w:rsidRPr="008658C5">
        <w:rPr>
          <w:rFonts w:ascii="Arial" w:hAnsi="Arial" w:cs="Arial"/>
          <w:color w:val="auto"/>
          <w:sz w:val="16"/>
          <w:szCs w:val="16"/>
        </w:rPr>
        <w:t>ys</w:t>
      </w:r>
      <w:r>
        <w:rPr>
          <w:rFonts w:ascii="Arial" w:hAnsi="Arial" w:cs="Arial"/>
          <w:color w:val="auto"/>
          <w:sz w:val="16"/>
          <w:szCs w:val="16"/>
        </w:rPr>
        <w:t>ine residues, variation in respo</w:t>
      </w:r>
      <w:r w:rsidRPr="008658C5">
        <w:rPr>
          <w:rFonts w:ascii="Arial" w:hAnsi="Arial" w:cs="Arial"/>
          <w:color w:val="auto"/>
          <w:sz w:val="16"/>
          <w:szCs w:val="16"/>
        </w:rPr>
        <w:t>n</w:t>
      </w:r>
      <w:r>
        <w:rPr>
          <w:rFonts w:ascii="Arial" w:hAnsi="Arial" w:cs="Arial"/>
          <w:color w:val="auto"/>
          <w:sz w:val="16"/>
          <w:szCs w:val="16"/>
        </w:rPr>
        <w:t>s</w:t>
      </w:r>
      <w:r w:rsidRPr="008658C5">
        <w:rPr>
          <w:rFonts w:ascii="Arial" w:hAnsi="Arial" w:cs="Arial"/>
          <w:color w:val="auto"/>
          <w:sz w:val="16"/>
          <w:szCs w:val="16"/>
        </w:rPr>
        <w:t xml:space="preserve">e to butyrate and impact of </w:t>
      </w:r>
      <w:r>
        <w:rPr>
          <w:rFonts w:ascii="Arial" w:hAnsi="Arial" w:cs="Arial"/>
          <w:color w:val="auto"/>
          <w:sz w:val="16"/>
          <w:szCs w:val="16"/>
        </w:rPr>
        <w:t>l</w:t>
      </w:r>
      <w:r w:rsidRPr="008658C5">
        <w:rPr>
          <w:rFonts w:ascii="Arial" w:hAnsi="Arial" w:cs="Arial"/>
          <w:color w:val="auto"/>
          <w:sz w:val="16"/>
          <w:szCs w:val="16"/>
        </w:rPr>
        <w:t>ys</w:t>
      </w:r>
      <w:r>
        <w:rPr>
          <w:rFonts w:ascii="Arial" w:hAnsi="Arial" w:cs="Arial"/>
          <w:color w:val="auto"/>
          <w:sz w:val="16"/>
          <w:szCs w:val="16"/>
        </w:rPr>
        <w:t>ine residues</w:t>
      </w:r>
      <w:r w:rsidRPr="008658C5">
        <w:rPr>
          <w:rFonts w:ascii="Arial" w:hAnsi="Arial" w:cs="Arial"/>
          <w:color w:val="auto"/>
          <w:sz w:val="16"/>
          <w:szCs w:val="16"/>
        </w:rPr>
        <w:t xml:space="preserve"> acetylation on glycolytic enzymes.</w:t>
      </w:r>
      <w:proofErr w:type="gramEnd"/>
      <w:r>
        <w:rPr>
          <w:rFonts w:ascii="Arial" w:hAnsi="Arial" w:cs="Arial"/>
          <w:color w:val="auto"/>
          <w:sz w:val="16"/>
          <w:szCs w:val="16"/>
        </w:rPr>
        <w:t xml:space="preserve"> </w:t>
      </w:r>
      <w:r w:rsidR="00492DA2" w:rsidRPr="00492DA2">
        <w:rPr>
          <w:rFonts w:ascii="Arial" w:hAnsi="Arial" w:cs="Arial"/>
          <w:i/>
          <w:color w:val="auto"/>
          <w:sz w:val="16"/>
          <w:szCs w:val="16"/>
        </w:rPr>
        <w:t>Some of</w:t>
      </w:r>
      <w:r w:rsidR="00492DA2">
        <w:rPr>
          <w:rFonts w:ascii="Arial" w:hAnsi="Arial" w:cs="Arial"/>
          <w:color w:val="auto"/>
          <w:sz w:val="16"/>
          <w:szCs w:val="16"/>
        </w:rPr>
        <w:t xml:space="preserve"> t</w:t>
      </w:r>
      <w:r w:rsidRPr="004C2A30">
        <w:rPr>
          <w:rFonts w:ascii="Arial" w:hAnsi="Arial" w:cs="Arial"/>
          <w:i/>
          <w:color w:val="auto"/>
          <w:sz w:val="16"/>
          <w:szCs w:val="16"/>
        </w:rPr>
        <w:t xml:space="preserve">he acetylated lysine residues </w:t>
      </w:r>
      <w:r w:rsidR="00492DA2">
        <w:rPr>
          <w:rFonts w:ascii="Arial" w:hAnsi="Arial" w:cs="Arial"/>
          <w:i/>
          <w:color w:val="auto"/>
          <w:sz w:val="16"/>
          <w:szCs w:val="16"/>
        </w:rPr>
        <w:t xml:space="preserve">were found in other species, but match the </w:t>
      </w:r>
      <w:r w:rsidRPr="004C2A30">
        <w:rPr>
          <w:rFonts w:ascii="Arial" w:hAnsi="Arial" w:cs="Arial"/>
          <w:i/>
          <w:color w:val="auto"/>
          <w:sz w:val="16"/>
          <w:szCs w:val="16"/>
        </w:rPr>
        <w:t>reported in humans.</w:t>
      </w:r>
      <w:bookmarkEnd w:id="248"/>
      <w:r w:rsidRPr="004C2A30">
        <w:rPr>
          <w:rFonts w:ascii="Arial" w:hAnsi="Arial" w:cs="Arial"/>
          <w:i/>
          <w:color w:val="auto"/>
          <w:sz w:val="16"/>
          <w:szCs w:val="16"/>
        </w:rPr>
        <w:t xml:space="preserve"> </w:t>
      </w:r>
    </w:p>
    <w:tbl>
      <w:tblPr>
        <w:tblStyle w:val="LightList"/>
        <w:tblW w:w="8981" w:type="dxa"/>
        <w:jc w:val="center"/>
        <w:tblLayout w:type="fixed"/>
        <w:tblLook w:val="04A0" w:firstRow="1" w:lastRow="0" w:firstColumn="1" w:lastColumn="0" w:noHBand="0" w:noVBand="1"/>
      </w:tblPr>
      <w:tblGrid>
        <w:gridCol w:w="1348"/>
        <w:gridCol w:w="1843"/>
        <w:gridCol w:w="2551"/>
        <w:gridCol w:w="3239"/>
      </w:tblGrid>
      <w:tr w:rsidR="00EF1380" w:rsidRPr="008658C5" w:rsidTr="009B40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8" w:type="dxa"/>
            <w:tcBorders>
              <w:top w:val="single" w:sz="8" w:space="0" w:color="000000" w:themeColor="text1"/>
              <w:left w:val="single" w:sz="8" w:space="0" w:color="000000" w:themeColor="text1"/>
              <w:bottom w:val="nil"/>
              <w:right w:val="nil"/>
            </w:tcBorders>
            <w:hideMark/>
          </w:tcPr>
          <w:p w:rsidR="00EF1380" w:rsidRPr="00E33CD3" w:rsidRDefault="00EF1380" w:rsidP="009B400B">
            <w:pPr>
              <w:jc w:val="center"/>
              <w:rPr>
                <w:rFonts w:cs="Arial"/>
                <w:color w:val="auto"/>
                <w:sz w:val="16"/>
                <w:szCs w:val="16"/>
              </w:rPr>
            </w:pPr>
            <w:r w:rsidRPr="00E33CD3">
              <w:rPr>
                <w:rFonts w:eastAsia="Times New Roman" w:cs="Arial"/>
                <w:color w:val="auto"/>
                <w:sz w:val="16"/>
                <w:szCs w:val="16"/>
              </w:rPr>
              <w:lastRenderedPageBreak/>
              <w:t>TCA cycle enzyme</w:t>
            </w:r>
          </w:p>
        </w:tc>
        <w:tc>
          <w:tcPr>
            <w:tcW w:w="1843" w:type="dxa"/>
            <w:tcBorders>
              <w:top w:val="single" w:sz="8" w:space="0" w:color="000000" w:themeColor="text1"/>
              <w:left w:val="nil"/>
              <w:bottom w:val="nil"/>
              <w:right w:val="nil"/>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E33CD3">
              <w:rPr>
                <w:rFonts w:eastAsia="Times New Roman" w:cs="Arial"/>
                <w:color w:val="auto"/>
                <w:sz w:val="16"/>
                <w:szCs w:val="16"/>
              </w:rPr>
              <w:t>Acetylated Lys residues</w:t>
            </w:r>
          </w:p>
        </w:tc>
        <w:tc>
          <w:tcPr>
            <w:tcW w:w="2551" w:type="dxa"/>
            <w:tcBorders>
              <w:top w:val="single" w:sz="8" w:space="0" w:color="000000" w:themeColor="text1"/>
              <w:left w:val="nil"/>
              <w:bottom w:val="nil"/>
              <w:right w:val="nil"/>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E33CD3">
              <w:rPr>
                <w:rFonts w:eastAsia="Times New Roman" w:cs="Arial"/>
                <w:color w:val="auto"/>
                <w:sz w:val="16"/>
                <w:szCs w:val="16"/>
              </w:rPr>
              <w:t>Variation in response to butyrate</w:t>
            </w:r>
          </w:p>
        </w:tc>
        <w:tc>
          <w:tcPr>
            <w:tcW w:w="3239" w:type="dxa"/>
            <w:tcBorders>
              <w:top w:val="single" w:sz="8" w:space="0" w:color="000000" w:themeColor="text1"/>
              <w:left w:val="nil"/>
              <w:bottom w:val="nil"/>
              <w:right w:val="single" w:sz="8" w:space="0" w:color="000000" w:themeColor="text1"/>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E33CD3">
              <w:rPr>
                <w:rFonts w:eastAsia="Times New Roman" w:cs="Arial"/>
                <w:color w:val="auto"/>
                <w:sz w:val="16"/>
                <w:szCs w:val="16"/>
              </w:rPr>
              <w:t>Impact of Lys acetylation on enzyme function</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8" w:type="dxa"/>
            <w:tcBorders>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Citrate synthase</w:t>
            </w:r>
          </w:p>
        </w:tc>
        <w:tc>
          <w:tcPr>
            <w:tcW w:w="1843" w:type="dxa"/>
            <w:tcBorders>
              <w:left w:val="nil"/>
              <w:righ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None</w:t>
            </w:r>
            <w:r>
              <w:rPr>
                <w:rFonts w:eastAsia="Times New Roman" w:cs="Arial"/>
                <w:sz w:val="16"/>
                <w:szCs w:val="16"/>
              </w:rPr>
              <w:t xml:space="preserve"> reported</w:t>
            </w:r>
          </w:p>
        </w:tc>
        <w:tc>
          <w:tcPr>
            <w:tcW w:w="2551" w:type="dxa"/>
            <w:tcBorders>
              <w:left w:val="nil"/>
              <w:right w:val="nil"/>
            </w:tcBorders>
            <w:noWrap/>
            <w:hideMark/>
          </w:tcPr>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Reversion of D-amphetamine (mania inducer in rats) inhi</w:t>
            </w:r>
            <w:r>
              <w:rPr>
                <w:rFonts w:eastAsia="Times New Roman" w:cs="Arial"/>
                <w:sz w:val="16"/>
                <w:szCs w:val="16"/>
              </w:rPr>
              <w:t>bi</w:t>
            </w:r>
            <w:r w:rsidRPr="00E33CD3">
              <w:rPr>
                <w:rFonts w:eastAsia="Times New Roman" w:cs="Arial"/>
                <w:sz w:val="16"/>
                <w:szCs w:val="16"/>
              </w:rPr>
              <w:t>t</w:t>
            </w:r>
            <w:r>
              <w:rPr>
                <w:rFonts w:eastAsia="Times New Roman" w:cs="Arial"/>
                <w:sz w:val="16"/>
                <w:szCs w:val="16"/>
              </w:rPr>
              <w:t xml:space="preserve">ory effect </w:t>
            </w:r>
            <w:r w:rsidRPr="00E33CD3">
              <w:rPr>
                <w:rFonts w:eastAsia="Times New Roman" w:cs="Arial"/>
                <w:sz w:val="16"/>
                <w:szCs w:val="16"/>
              </w:rPr>
              <w:t xml:space="preserve">on this enzyme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&lt;EndNote&gt;&lt;Cite&gt;&lt;Author&gt;Valvassori S&lt;/Author&gt;&lt;Year&gt;2013&lt;/Year&gt;&lt;RecNum&gt;327&lt;/RecNum&gt;&lt;DisplayText&gt;(102)&lt;/DisplayText&gt;&lt;record&gt;&lt;rec-number&gt;327&lt;/rec-number&gt;&lt;foreign-keys&gt;&lt;key app="EN" db-id="zxp9w5sa30aeafes0xox2eem00dz2z2aswad"&gt;327&lt;/key&gt;&lt;/foreign-keys&gt;&lt;ref-type name="Journal Article"&gt;17&lt;/ref-type&gt;&lt;contributors&gt;&lt;authors&gt;&lt;author&gt;Valvassori S,&lt;/author&gt;&lt;author&gt;Calixto K,&lt;/author&gt;&lt;author&gt;Budni J,&lt;/author&gt;&lt;author&gt;Resende W,&lt;/author&gt;&lt;author&gt;Varela R,&lt;/author&gt;&lt;author&gt;de Freitas K,&lt;/author&gt;&lt;author&gt;Gonçalves C,&lt;/author&gt;&lt;author&gt;Streck E,&lt;/author&gt;&lt;author&gt;Quevedo J,&lt;/author&gt;&lt;/authors&gt;&lt;/contributors&gt;&lt;titles&gt;&lt;title&gt;Sodium butyrate reverses the inhibition of Krebs cycle enzymes induced by amphetamine in the rat brain&lt;/title&gt;&lt;secondary-title&gt;J Neural Transm&lt;/secondary-title&gt;&lt;/titles&gt;&lt;periodical&gt;&lt;full-title&gt;J Neural Transm&lt;/full-title&gt;&lt;/periodical&gt;&lt;pages&gt;1737-1742&lt;/pages&gt;&lt;volume&gt;120&lt;/volume&gt;&lt;number&gt;12&lt;/number&gt;&lt;dates&gt;&lt;year&gt;2013&lt;/year&gt;&lt;/dates&gt;&lt;urls&gt;&lt;/urls&gt;&lt;/record&gt;&lt;/Cite&gt;&lt;/EndNote&gt;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02" w:tooltip="Valvassori S, 2013 #327" w:history="1">
              <w:r w:rsidR="00AB7E17">
                <w:rPr>
                  <w:rFonts w:cs="Arial"/>
                  <w:noProof/>
                  <w:sz w:val="16"/>
                  <w:szCs w:val="16"/>
                  <w:shd w:val="clear" w:color="auto" w:fill="FFFFFF"/>
                </w:rPr>
                <w:t>102</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c>
          <w:tcPr>
            <w:tcW w:w="3239" w:type="dxa"/>
            <w:tcBorders>
              <w:lef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trHeight w:val="300"/>
          <w:jc w:val="center"/>
        </w:trPr>
        <w:tc>
          <w:tcPr>
            <w:cnfStyle w:val="001000000000" w:firstRow="0" w:lastRow="0" w:firstColumn="1" w:lastColumn="0" w:oddVBand="0" w:evenVBand="0" w:oddHBand="0" w:evenHBand="0" w:firstRowFirstColumn="0" w:firstRowLastColumn="0" w:lastRowFirstColumn="0" w:lastRowLastColumn="0"/>
            <w:tcW w:w="1348" w:type="dxa"/>
            <w:tcBorders>
              <w:top w:val="nil"/>
              <w:left w:val="single" w:sz="8" w:space="0" w:color="000000" w:themeColor="text1"/>
              <w:bottom w:val="nil"/>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Aconitase</w:t>
            </w:r>
          </w:p>
        </w:tc>
        <w:tc>
          <w:tcPr>
            <w:tcW w:w="1843" w:type="dxa"/>
            <w:tcBorders>
              <w:top w:val="nil"/>
              <w:left w:val="nil"/>
              <w:bottom w:val="nil"/>
              <w:right w:val="nil"/>
            </w:tcBorders>
            <w:noWrap/>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50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233, 520, 521, 549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573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577, 605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689, 700, and 743.</w:t>
            </w:r>
          </w:p>
        </w:tc>
        <w:tc>
          <w:tcPr>
            <w:tcW w:w="2551" w:type="dxa"/>
            <w:tcBorders>
              <w:top w:val="nil"/>
              <w:left w:val="nil"/>
              <w:bottom w:val="nil"/>
              <w:right w:val="nil"/>
            </w:tcBorders>
            <w:noWrap/>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3239" w:type="dxa"/>
            <w:tcBorders>
              <w:top w:val="nil"/>
              <w:left w:val="nil"/>
              <w:bottom w:val="nil"/>
              <w:right w:val="single" w:sz="8" w:space="0" w:color="000000" w:themeColor="text1"/>
            </w:tcBorders>
            <w:noWrap/>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val="730"/>
          <w:jc w:val="center"/>
        </w:trPr>
        <w:tc>
          <w:tcPr>
            <w:cnfStyle w:val="001000000000" w:firstRow="0" w:lastRow="0" w:firstColumn="1" w:lastColumn="0" w:oddVBand="0" w:evenVBand="0" w:oddHBand="0" w:evenHBand="0" w:firstRowFirstColumn="0" w:firstRowLastColumn="0" w:lastRowFirstColumn="0" w:lastRowLastColumn="0"/>
            <w:tcW w:w="1348" w:type="dxa"/>
            <w:tcBorders>
              <w:right w:val="nil"/>
            </w:tcBorders>
            <w:hideMark/>
          </w:tcPr>
          <w:p w:rsidR="00EF1380" w:rsidRPr="00E33CD3" w:rsidRDefault="00EF1380" w:rsidP="009B400B">
            <w:pPr>
              <w:jc w:val="center"/>
              <w:rPr>
                <w:rFonts w:cs="Arial"/>
                <w:b w:val="0"/>
                <w:bCs w:val="0"/>
                <w:sz w:val="16"/>
                <w:szCs w:val="16"/>
              </w:rPr>
            </w:pPr>
            <w:r w:rsidRPr="00E33CD3">
              <w:rPr>
                <w:rFonts w:eastAsia="Times New Roman" w:cs="Arial"/>
                <w:sz w:val="16"/>
                <w:szCs w:val="16"/>
              </w:rPr>
              <w:t>Isocitrate dehydrogenase</w:t>
            </w:r>
          </w:p>
        </w:tc>
        <w:tc>
          <w:tcPr>
            <w:tcW w:w="1843" w:type="dxa"/>
            <w:tcBorders>
              <w:left w:val="nil"/>
              <w:right w:val="nil"/>
            </w:tcBorders>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33CD3">
              <w:rPr>
                <w:rFonts w:eastAsia="Times New Roman" w:cs="Arial"/>
                <w:sz w:val="16"/>
                <w:szCs w:val="16"/>
                <w:lang w:val="en-US"/>
              </w:rPr>
              <w:t xml:space="preserve">81, 93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126, 224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aW9uczwvSURUZXh0PjxEaXNwbGF5VGV4dD4oMTEsIDY0KTwvRGlzcGxheVRleHQ+PHJlY29yZD48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cz48dXJscz48L3VybHM+PC9yZWNvcmQ+PC9DaXRlPjxDaXRlPjxBdXRob3I+WmhhbyBTPC9BdXRo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aW9uczwvSURUZXh0PjxEaXNwbGF5VGV4dD4oMTEsIDY0KTwvRGlzcGxheVRleHQ+PHJlY29yZD48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cz48dXJscz48L3VybHM+PC9yZWNvcmQ+PC9DaXRlPjxDaXRlPjxBdXRob3I+WmhhbyBTPC9BdXRo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211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&lt;EndNote&gt;&lt;Cite&gt;&lt;Author&gt;Schlicker C&lt;/Author&gt;&lt;Year&gt;2008&lt;/Year&gt;&lt;RecNum&gt;224&lt;/RecNum&gt;&lt;DisplayText&gt;(57)&lt;/DisplayText&gt;&lt;record&gt;&lt;rec-number&gt;224&lt;/rec-number&gt;&lt;foreign-keys&gt;&lt;key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7" w:tooltip="Schlicker C, 2008 #224" w:history="1">
              <w:r w:rsidR="00AB7E17">
                <w:rPr>
                  <w:rFonts w:eastAsia="Times New Roman" w:cs="Arial"/>
                  <w:noProof/>
                  <w:sz w:val="16"/>
                  <w:szCs w:val="16"/>
                  <w:lang w:val="en-US"/>
                </w:rPr>
                <w:t>57</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212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&lt;EndNote&gt;&lt;Cite&gt;&lt;Author&gt;Schlicker C&lt;/Author&gt;&lt;Year&gt;2008&lt;/Year&gt;&lt;RecNum&gt;224&lt;/RecNum&gt;&lt;DisplayText&gt;(57)&lt;/DisplayText&gt;&lt;record&gt;&lt;rec-number&gt;224&lt;/rec-number&gt;&lt;foreign-keys&gt;&lt;key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7" w:tooltip="Schlicker C, 2008 #224" w:history="1">
              <w:r w:rsidR="00AB7E17">
                <w:rPr>
                  <w:rFonts w:eastAsia="Times New Roman" w:cs="Arial"/>
                  <w:noProof/>
                  <w:sz w:val="16"/>
                  <w:szCs w:val="16"/>
                  <w:lang w:val="en-US"/>
                </w:rPr>
                <w:t>57</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233, 321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and 413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6" w:tooltip="Yu W, 2012 #298" w:history="1">
              <w:r w:rsidR="00AB7E17">
                <w:rPr>
                  <w:rFonts w:eastAsia="Times New Roman" w:cs="Arial"/>
                  <w:noProof/>
                  <w:sz w:val="16"/>
                  <w:szCs w:val="16"/>
                  <w:lang w:val="en-US"/>
                </w:rPr>
                <w:t>56</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551" w:type="dxa"/>
            <w:tcBorders>
              <w:left w:val="nil"/>
              <w:right w:val="nil"/>
            </w:tcBorders>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eastAsia="Times New Roman" w:cs="Arial"/>
                <w:sz w:val="16"/>
                <w:szCs w:val="16"/>
              </w:rPr>
              <w:t>No effect reported</w:t>
            </w:r>
          </w:p>
        </w:tc>
        <w:tc>
          <w:tcPr>
            <w:tcW w:w="3239" w:type="dxa"/>
            <w:tcBorders>
              <w:left w:val="nil"/>
            </w:tcBorders>
          </w:tcPr>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Style w:val="SC118877"/>
                <w:rFonts w:cs="Arial"/>
                <w:iCs/>
                <w:color w:val="auto"/>
                <w:sz w:val="16"/>
                <w:szCs w:val="16"/>
              </w:rPr>
              <w:t xml:space="preserve">Deacetylation at Lys 413 stimulates its activity in HEK293 and MEFs cells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&lt;EndNote&gt;&lt;Cite&gt;&lt;Author&gt;Yu W&lt;/Author&gt;&lt;Year&gt;2012&lt;/Year&gt;&lt;RecNum&gt;298&lt;/RecNum&gt;&lt;DisplayText&gt;(56)&lt;/DisplayText&gt;&lt;record&gt;&lt;rec-number&gt;298&lt;/rec-number&gt;&lt;foreign-keys&gt;&lt;key app="EN" db-id="zxp9w5sa30aeafes0xox2eem00dz2z2aswad"&gt;298&lt;/key&gt;&lt;key app="ENWeb" db-id="UG1-3grtqigAAEqvEt0"&gt;163&lt;/key&gt;&lt;/foreign-keys&gt;&lt;ref-type name="Journal Article"&gt;17&lt;/ref-type&gt;&lt;contributors&gt;&lt;authors&gt;&lt;author&gt;Yu W,&lt;/author&gt;&lt;author&gt;Dittenhafer-Reed K,&lt;/author&gt;&lt;author&gt;Denu J,&lt;/author&gt;&lt;/authors&gt;&lt;/contributors&gt;&lt;titles&gt;&lt;title&gt;SIRT3 protein deacetylates isocitrate  dehydrogenase 2 (IDH2) and regulates mitochondrial redox status&lt;/title&gt;&lt;secondary-title&gt;J Biol Chem&lt;/secondary-title&gt;&lt;/titles&gt;&lt;periodical&gt;&lt;full-title&gt;J Biol Chem&lt;/full-title&gt;&lt;/periodical&gt;&lt;pages&gt;14078-86&lt;/pages&gt;&lt;volume&gt;287&lt;/volume&gt;&lt;number&gt;17&lt;/number&gt;&lt;dates&gt;&lt;year&gt;2012&lt;/year&gt;&lt;/dates&gt;&lt;urls&gt;&lt;/urls&gt;&lt;/record&gt;&lt;/Cite&gt;&lt;/EndNote&gt;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56" w:tooltip="Yu W, 2012 #298" w:history="1">
              <w:r w:rsidR="00AB7E17">
                <w:rPr>
                  <w:rStyle w:val="SC118877"/>
                  <w:rFonts w:cs="Arial"/>
                  <w:iCs/>
                  <w:noProof/>
                  <w:color w:val="auto"/>
                  <w:sz w:val="16"/>
                  <w:szCs w:val="16"/>
                </w:rPr>
                <w:t>56</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w:t>
            </w:r>
          </w:p>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Deacetylation  enhances activity in </w:t>
            </w:r>
            <w:r w:rsidRPr="00E33CD3">
              <w:rPr>
                <w:rFonts w:cs="Arial"/>
                <w:sz w:val="16"/>
                <w:szCs w:val="16"/>
              </w:rPr>
              <w:t xml:space="preserve">Rosetta2 cells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&lt;EndNote&gt;&lt;Cite&gt;&lt;Author&gt;Schlicker C&lt;/Author&gt;&lt;Year&gt;2008&lt;/Year&gt;&lt;RecNum&gt;224&lt;/RecNum&gt;&lt;DisplayText&gt;(57)&lt;/DisplayText&gt;&lt;record&gt;&lt;rec-number&gt;224&lt;/rec-number&gt;&lt;foreign-keys&gt;&lt;key app="EN" db-id="zxp9w5sa30aeafes0xox2eem00dz2z2aswad"&gt;224&lt;/key&gt;&lt;key app="ENWeb" db-id="UG1-3grtqigAAEqvEt0"&gt;164&lt;/key&gt;&lt;/foreign-keys&gt;&lt;ref-type name="Journal Article"&gt;17&lt;/ref-type&gt;&lt;contributors&gt;&lt;authors&gt;&lt;author&gt;Schlicker C,&lt;/author&gt;&lt;author&gt;Gertz M,&lt;/author&gt;&lt;author&gt;Papatheodorou P,&lt;/author&gt;&lt;author&gt;Kachholz B,&lt;/author&gt;&lt;author&gt;Becker C,&lt;/author&gt;&lt;author&gt;Steegborn C,&lt;/author&gt;&lt;/authors&gt;&lt;/contributors&gt;&lt;titles&gt;&lt;title&gt;Substrates and Regulation Mechanisms for the Human Mitochondrial Sirtuins Sirt3 and Sirt5&lt;/title&gt;&lt;secondary-title&gt;J Mol Biol&lt;/secondary-title&gt;&lt;/titles&gt;&lt;periodical&gt;&lt;full-title&gt;J Mol Biol&lt;/full-title&gt;&lt;/periodical&gt;&lt;pages&gt;790-801&lt;/pages&gt;&lt;volume&gt;382&lt;/volume&gt;&lt;dates&gt;&lt;year&gt;2008&lt;/year&gt;&lt;/dates&gt;&lt;urls&gt;&lt;/urls&gt;&lt;/record&gt;&lt;/Cite&gt;&lt;/EndNote&gt;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7" w:tooltip="Schlicker C, 2008 #224" w:history="1">
              <w:r w:rsidR="00AB7E17">
                <w:rPr>
                  <w:rFonts w:cs="Arial"/>
                  <w:noProof/>
                  <w:sz w:val="16"/>
                  <w:szCs w:val="16"/>
                  <w:shd w:val="clear" w:color="auto" w:fill="FFFFFF"/>
                </w:rPr>
                <w:t>57</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p>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EF1380" w:rsidRPr="008658C5"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1348" w:type="dxa"/>
            <w:tcBorders>
              <w:top w:val="nil"/>
              <w:left w:val="single" w:sz="8" w:space="0" w:color="000000" w:themeColor="text1"/>
              <w:bottom w:val="nil"/>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α-Ketoglutarate dehydrogenase</w:t>
            </w:r>
          </w:p>
        </w:tc>
        <w:tc>
          <w:tcPr>
            <w:tcW w:w="1843" w:type="dxa"/>
            <w:tcBorders>
              <w:top w:val="nil"/>
              <w:left w:val="nil"/>
              <w:bottom w:val="nil"/>
              <w:right w:val="nil"/>
            </w:tcBorders>
            <w:noWrap/>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None</w:t>
            </w:r>
            <w:r>
              <w:rPr>
                <w:rFonts w:eastAsia="Times New Roman" w:cs="Arial"/>
                <w:sz w:val="16"/>
                <w:szCs w:val="16"/>
              </w:rPr>
              <w:t xml:space="preserve"> reported</w:t>
            </w:r>
          </w:p>
        </w:tc>
        <w:tc>
          <w:tcPr>
            <w:tcW w:w="2551" w:type="dxa"/>
            <w:tcBorders>
              <w:top w:val="nil"/>
              <w:left w:val="nil"/>
              <w:bottom w:val="nil"/>
              <w:right w:val="nil"/>
            </w:tcBorders>
            <w:noWrap/>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3239" w:type="dxa"/>
            <w:tcBorders>
              <w:top w:val="nil"/>
              <w:left w:val="nil"/>
              <w:bottom w:val="nil"/>
              <w:right w:val="single" w:sz="8" w:space="0" w:color="000000" w:themeColor="text1"/>
            </w:tcBorders>
            <w:noWrap/>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48" w:type="dxa"/>
            <w:tcBorders>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Succninyl-CoA synthetase</w:t>
            </w:r>
          </w:p>
        </w:tc>
        <w:tc>
          <w:tcPr>
            <w:tcW w:w="1843" w:type="dxa"/>
            <w:tcBorders>
              <w:left w:val="nil"/>
              <w:righ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None</w:t>
            </w:r>
            <w:r>
              <w:rPr>
                <w:rFonts w:eastAsia="Times New Roman" w:cs="Arial"/>
                <w:sz w:val="16"/>
                <w:szCs w:val="16"/>
              </w:rPr>
              <w:t xml:space="preserve"> reported</w:t>
            </w:r>
          </w:p>
        </w:tc>
        <w:tc>
          <w:tcPr>
            <w:tcW w:w="2551" w:type="dxa"/>
            <w:tcBorders>
              <w:left w:val="nil"/>
              <w:righ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3239" w:type="dxa"/>
            <w:tcBorders>
              <w:lef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trHeight w:val="900"/>
          <w:jc w:val="center"/>
        </w:trPr>
        <w:tc>
          <w:tcPr>
            <w:cnfStyle w:val="001000000000" w:firstRow="0" w:lastRow="0" w:firstColumn="1" w:lastColumn="0" w:oddVBand="0" w:evenVBand="0" w:oddHBand="0" w:evenHBand="0" w:firstRowFirstColumn="0" w:firstRowLastColumn="0" w:lastRowFirstColumn="0" w:lastRowLastColumn="0"/>
            <w:tcW w:w="1348" w:type="dxa"/>
            <w:tcBorders>
              <w:top w:val="nil"/>
              <w:left w:val="single" w:sz="8" w:space="0" w:color="000000" w:themeColor="text1"/>
              <w:bottom w:val="nil"/>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Succinate dehydrogenase</w:t>
            </w:r>
          </w:p>
        </w:tc>
        <w:tc>
          <w:tcPr>
            <w:tcW w:w="1843" w:type="dxa"/>
            <w:tcBorders>
              <w:top w:val="nil"/>
              <w:left w:val="nil"/>
              <w:bottom w:val="nil"/>
              <w:right w:val="nil"/>
            </w:tcBorders>
            <w:noWrap/>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cs="Arial"/>
                <w:sz w:val="16"/>
                <w:szCs w:val="16"/>
                <w:shd w:val="clear" w:color="auto" w:fill="FFFFFF"/>
              </w:rPr>
              <w:t xml:space="preserve">179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182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250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335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423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480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485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498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517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538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541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ZWNOdW0+MzAxPC9SZWNOdW0+PERpc3BsYXlUZXh0PigxMSwgNjQsIDgwKTwvRGlzcGxheVRleHQ+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547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550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598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608 </w:t>
            </w:r>
            <w:r w:rsidR="006C2756" w:rsidRPr="00E33CD3">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PEVuZE5vdGU+PENpdGU+PEF1dGhvcj5aaGFvIFM8L0F1dGhvcj48WWVhcj4yMDEwPC9ZZWFyPjxS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 xml:space="preserve">, </w:t>
            </w:r>
            <w:hyperlink w:anchor="_ENREF_64" w:tooltip="Choudhary  C, 2009 #44" w:history="1">
              <w:r w:rsidR="00AB7E17">
                <w:rPr>
                  <w:rFonts w:cs="Arial"/>
                  <w:noProof/>
                  <w:sz w:val="16"/>
                  <w:szCs w:val="16"/>
                  <w:shd w:val="clear" w:color="auto" w:fill="FFFFFF"/>
                </w:rPr>
                <w:t>64</w:t>
              </w:r>
            </w:hyperlink>
            <w:r w:rsidR="00FC3C1A">
              <w:rPr>
                <w:rFonts w:cs="Arial"/>
                <w:noProof/>
                <w:sz w:val="16"/>
                <w:szCs w:val="16"/>
                <w:shd w:val="clear" w:color="auto" w:fill="FFFFFF"/>
              </w:rPr>
              <w:t xml:space="preserve">, </w:t>
            </w:r>
            <w:hyperlink w:anchor="_ENREF_80" w:tooltip="Kim S, 2006 #135" w:history="1">
              <w:r w:rsidR="00AB7E17">
                <w:rPr>
                  <w:rFonts w:cs="Arial"/>
                  <w:noProof/>
                  <w:sz w:val="16"/>
                  <w:szCs w:val="16"/>
                  <w:shd w:val="clear" w:color="auto" w:fill="FFFFFF"/>
                </w:rPr>
                <w:t>80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624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 xml:space="preserve"> and 633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&lt;EndNote&gt;&lt;Cite&gt;&lt;Author&gt;Finley L&lt;/Author&gt;&lt;Year&gt;2011&lt;/Year&gt;&lt;RecNum&gt;330&lt;/RecNum&gt;&lt;DisplayText&gt;(58)&lt;/DisplayText&gt;&lt;record&gt;&lt;rec-number&gt;330&lt;/rec-number&gt;&lt;foreign-keys&gt;&lt;key app="EN" db-id="zxp9w5sa30aeafes0xox2eem00dz2z2aswad"&gt;330&lt;/key&gt;&lt;/foreign-keys&gt;&lt;ref-type name="Journal Article"&gt;17&lt;/ref-type&gt;&lt;contributors&gt;&lt;authors&gt;&lt;author&gt;Finley L,&lt;/author&gt;&lt;author&gt;Haas W,&lt;/author&gt;&lt;author&gt;Desquiret-Dumas V,&lt;/author&gt;&lt;author&gt;Wallace D,&lt;/author&gt;&lt;author&gt;Procaccio V,&lt;/author&gt;&lt;author&gt;Gygi S,&lt;/author&gt;&lt;author&gt;Haigis M,&lt;/author&gt;&lt;/authors&gt;&lt;/contributors&gt;&lt;titles&gt;&lt;title&gt;Succinate dehydrogenase is a direct target of sirtuin 3 deacetylase activity&lt;/title&gt;&lt;secondary-title&gt;PLoS One&lt;/secondary-title&gt;&lt;/titles&gt;&lt;periodical&gt;&lt;full-title&gt;PLoS One&lt;/full-title&gt;&lt;/periodical&gt;&lt;pages&gt;doi: 10.1371/journal.pone.0023295&lt;/pages&gt;&lt;volume&gt;6&lt;/volume&gt;&lt;number&gt;8&lt;/number&gt;&lt;dates&gt;&lt;year&gt;2011&lt;/year&gt;&lt;/dates&gt;&lt;urls&gt;&lt;/urls&gt;&lt;/record&gt;&lt;/Cite&gt;&lt;/EndNote&gt;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8" w:tooltip="Finley L, 2011 #330" w:history="1">
              <w:r w:rsidR="00AB7E17">
                <w:rPr>
                  <w:rFonts w:cs="Arial"/>
                  <w:noProof/>
                  <w:sz w:val="16"/>
                  <w:szCs w:val="16"/>
                  <w:shd w:val="clear" w:color="auto" w:fill="FFFFFF"/>
                </w:rPr>
                <w:t>58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c>
          <w:tcPr>
            <w:tcW w:w="2551" w:type="dxa"/>
            <w:tcBorders>
              <w:top w:val="nil"/>
              <w:left w:val="nil"/>
              <w:bottom w:val="nil"/>
              <w:right w:val="nil"/>
            </w:tcBorders>
            <w:noWrap/>
            <w:hideMark/>
          </w:tcPr>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Increased activity in H640 lung cancer cells </w:t>
            </w:r>
            <w:r w:rsidR="006C2756" w:rsidRPr="00E33CD3">
              <w:rPr>
                <w:rFonts w:eastAsia="Times New Roman" w:cs="Arial"/>
                <w:sz w:val="16"/>
                <w:szCs w:val="16"/>
              </w:rPr>
              <w:fldChar w:fldCharType="begin"/>
            </w:r>
            <w:r w:rsidR="00FC3C1A">
              <w:rPr>
                <w:rFonts w:eastAsia="Times New Roman" w:cs="Arial"/>
                <w:sz w:val="16"/>
                <w:szCs w:val="16"/>
              </w:rPr>
              <w:instrText xml:space="preserve"> ADDIN EN.CITE &lt;EndNote&gt;&lt;Cite&gt;&lt;Author&gt;Amoêdo N&lt;/Author&gt;&lt;Year&gt;2011&lt;/Year&gt;&lt;RecNum&gt;311&lt;/RecNum&gt;&lt;DisplayText&gt;(95)&lt;/DisplayText&gt;&lt;record&gt;&lt;rec-number&gt;311&lt;/rec-number&gt;&lt;foreign-keys&gt;&lt;key app="EN" db-id="zxp9w5sa30aeafes0xox2eem00dz2z2aswad"&gt;311&lt;/key&gt;&lt;/foreign-keys&gt;&lt;ref-type name="Journal Article"&gt;17&lt;/ref-type&gt;&lt;contributors&gt;&lt;authors&gt;&lt;author&gt;Amoêdo N,&lt;/author&gt;&lt;author&gt;Rodrigues M,&lt;/author&gt;&lt;author&gt;Pezzuto P,&lt;/author&gt;&lt;author&gt;Galina A,&lt;/author&gt;&lt;author&gt;da Costa R,&lt;/author&gt;&lt;author&gt;de Almeida F,&lt;/author&gt;&lt;author&gt;El-Bacha T,&lt;/author&gt;&lt;author&gt;Rumjanek F,&lt;/author&gt;&lt;/authors&gt;&lt;/contributors&gt;&lt;titles&gt;&lt;title&gt;Energy metabolism in H460 lung cancer cells: effects of histone deacetylase inhibitors&lt;/title&gt;&lt;secondary-title&gt;PLoS One&lt;/secondary-title&gt;&lt;/titles&gt;&lt;periodical&gt;&lt;full-title&gt;PLoS One&lt;/full-title&gt;&lt;/periodical&gt;&lt;pages&gt;doi: 10.1371/journal.pone.0022264&lt;/pages&gt;&lt;volume&gt;6&lt;/volume&gt;&lt;number&gt;(7):e22264&lt;/number&gt;&lt;dates&gt;&lt;year&gt;2011&lt;/year&gt;&lt;/dates&gt;&lt;urls&gt;&lt;/urls&gt;&lt;/record&gt;&lt;/Cite&gt;&lt;/EndNote&gt;</w:instrText>
            </w:r>
            <w:r w:rsidR="006C2756" w:rsidRPr="00E33CD3">
              <w:rPr>
                <w:rFonts w:eastAsia="Times New Roman" w:cs="Arial"/>
                <w:sz w:val="16"/>
                <w:szCs w:val="16"/>
              </w:rPr>
              <w:fldChar w:fldCharType="separate"/>
            </w:r>
            <w:r w:rsidR="00FC3C1A">
              <w:rPr>
                <w:rFonts w:eastAsia="Times New Roman" w:cs="Arial"/>
                <w:noProof/>
                <w:sz w:val="16"/>
                <w:szCs w:val="16"/>
              </w:rPr>
              <w:t>(</w:t>
            </w:r>
            <w:hyperlink w:anchor="_ENREF_95" w:tooltip="Amoêdo N, 2011 #311" w:history="1">
              <w:r w:rsidR="00AB7E17">
                <w:rPr>
                  <w:rFonts w:eastAsia="Times New Roman" w:cs="Arial"/>
                  <w:noProof/>
                  <w:sz w:val="16"/>
                  <w:szCs w:val="16"/>
                </w:rPr>
                <w:t>95</w:t>
              </w:r>
            </w:hyperlink>
            <w:r w:rsidR="00FC3C1A">
              <w:rPr>
                <w:rFonts w:eastAsia="Times New Roman" w:cs="Arial"/>
                <w:noProof/>
                <w:sz w:val="16"/>
                <w:szCs w:val="16"/>
              </w:rPr>
              <w:t>)</w:t>
            </w:r>
            <w:r w:rsidR="006C2756" w:rsidRPr="00E33CD3">
              <w:rPr>
                <w:rFonts w:eastAsia="Times New Roman" w:cs="Arial"/>
                <w:sz w:val="16"/>
                <w:szCs w:val="16"/>
              </w:rPr>
              <w:fldChar w:fldCharType="end"/>
            </w:r>
            <w:r w:rsidRPr="00E33CD3">
              <w:rPr>
                <w:rFonts w:eastAsia="Times New Roman" w:cs="Arial"/>
                <w:sz w:val="16"/>
                <w:szCs w:val="16"/>
              </w:rPr>
              <w:t>.</w:t>
            </w:r>
          </w:p>
          <w:p w:rsidR="00EF1380"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Reversion of D-amphetamine (mania inducer in rats) inhi</w:t>
            </w:r>
            <w:r>
              <w:rPr>
                <w:rFonts w:eastAsia="Times New Roman" w:cs="Arial"/>
                <w:sz w:val="16"/>
                <w:szCs w:val="16"/>
              </w:rPr>
              <w:t>bi</w:t>
            </w:r>
            <w:r w:rsidRPr="00E33CD3">
              <w:rPr>
                <w:rFonts w:eastAsia="Times New Roman" w:cs="Arial"/>
                <w:sz w:val="16"/>
                <w:szCs w:val="16"/>
              </w:rPr>
              <w:t>t</w:t>
            </w:r>
            <w:r>
              <w:rPr>
                <w:rFonts w:eastAsia="Times New Roman" w:cs="Arial"/>
                <w:sz w:val="16"/>
                <w:szCs w:val="16"/>
              </w:rPr>
              <w:t>ory</w:t>
            </w:r>
            <w:r w:rsidRPr="00E33CD3">
              <w:rPr>
                <w:rFonts w:eastAsia="Times New Roman" w:cs="Arial"/>
                <w:sz w:val="16"/>
                <w:szCs w:val="16"/>
              </w:rPr>
              <w:t xml:space="preserve"> </w:t>
            </w:r>
            <w:r>
              <w:rPr>
                <w:rFonts w:eastAsia="Times New Roman" w:cs="Arial"/>
                <w:sz w:val="16"/>
                <w:szCs w:val="16"/>
              </w:rPr>
              <w:t>effect on this enzyme</w:t>
            </w:r>
            <w:r w:rsidRPr="00E33CD3">
              <w:rPr>
                <w:rFonts w:eastAsia="Times New Roman" w:cs="Arial"/>
                <w:sz w:val="16"/>
                <w:szCs w:val="16"/>
              </w:rPr>
              <w:t xml:space="preserve">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&lt;EndNote&gt;&lt;Cite&gt;&lt;Author&gt;Valvassori S&lt;/Author&gt;&lt;Year&gt;2013&lt;/Year&gt;&lt;RecNum&gt;327&lt;/RecNum&gt;&lt;DisplayText&gt;(102)&lt;/DisplayText&gt;&lt;record&gt;&lt;rec-number&gt;327&lt;/rec-number&gt;&lt;foreign-keys&gt;&lt;key app="EN" db-id="zxp9w5sa30aeafes0xox2eem00dz2z2aswad"&gt;327&lt;/key&gt;&lt;/foreign-keys&gt;&lt;ref-type name="Journal Article"&gt;17&lt;/ref-type&gt;&lt;contributors&gt;&lt;authors&gt;&lt;author&gt;Valvassori S,&lt;/author&gt;&lt;author&gt;Calixto K,&lt;/author&gt;&lt;author&gt;Budni J,&lt;/author&gt;&lt;author&gt;Resende W,&lt;/author&gt;&lt;author&gt;Varela R,&lt;/author&gt;&lt;author&gt;de Freitas K,&lt;/author&gt;&lt;author&gt;Gonçalves C,&lt;/author&gt;&lt;author&gt;Streck E,&lt;/author&gt;&lt;author&gt;Quevedo J,&lt;/author&gt;&lt;/authors&gt;&lt;/contributors&gt;&lt;titles&gt;&lt;title&gt;Sodium butyrate reverses the inhibition of Krebs cycle enzymes induced by amphetamine in the rat brain&lt;/title&gt;&lt;secondary-title&gt;J Neural Transm&lt;/secondary-title&gt;&lt;/titles&gt;&lt;periodical&gt;&lt;full-title&gt;J Neural Transm&lt;/full-title&gt;&lt;/periodical&gt;&lt;pages&gt;1737-1742&lt;/pages&gt;&lt;volume&gt;120&lt;/volume&gt;&lt;number&gt;12&lt;/number&gt;&lt;dates&gt;&lt;year&gt;2013&lt;/year&gt;&lt;/dates&gt;&lt;urls&gt;&lt;/urls&gt;&lt;/record&gt;&lt;/Cite&gt;&lt;/EndNote&gt;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02" w:tooltip="Valvassori S, 2013 #327" w:history="1">
              <w:r w:rsidR="00AB7E17">
                <w:rPr>
                  <w:rFonts w:cs="Arial"/>
                  <w:noProof/>
                  <w:sz w:val="16"/>
                  <w:szCs w:val="16"/>
                  <w:shd w:val="clear" w:color="auto" w:fill="FFFFFF"/>
                </w:rPr>
                <w:t>102</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c>
          <w:tcPr>
            <w:tcW w:w="3239" w:type="dxa"/>
            <w:tcBorders>
              <w:top w:val="nil"/>
              <w:left w:val="nil"/>
              <w:bottom w:val="nil"/>
              <w:right w:val="single" w:sz="8" w:space="0" w:color="000000" w:themeColor="text1"/>
            </w:tcBorders>
            <w:noWrap/>
            <w:hideMark/>
          </w:tcPr>
          <w:p w:rsidR="00EF1380" w:rsidRPr="00E33CD3" w:rsidRDefault="00EF1380" w:rsidP="00AB7E17">
            <w:pPr>
              <w:ind w:left="10" w:hanging="10"/>
              <w:jc w:val="both"/>
              <w:cnfStyle w:val="000000000000" w:firstRow="0" w:lastRow="0" w:firstColumn="0" w:lastColumn="0" w:oddVBand="0" w:evenVBand="0" w:oddHBand="0" w:evenHBand="0" w:firstRowFirstColumn="0" w:firstRowLastColumn="0" w:lastRowFirstColumn="0" w:lastRowLastColumn="0"/>
              <w:rPr>
                <w:rFonts w:cs="Arial"/>
                <w:sz w:val="16"/>
                <w:szCs w:val="16"/>
                <w:shd w:val="clear" w:color="auto" w:fill="FFFFFF"/>
              </w:rPr>
            </w:pPr>
            <w:r w:rsidRPr="00E33CD3">
              <w:rPr>
                <w:rFonts w:eastAsia="Times New Roman" w:cs="Arial"/>
                <w:sz w:val="16"/>
                <w:szCs w:val="16"/>
              </w:rPr>
              <w:t>Regulation of its activity and the activity of complex II electron transport chain. Conformational change in the structure of the enzyme</w:t>
            </w:r>
            <w:r>
              <w:rPr>
                <w:rFonts w:eastAsia="Times New Roman" w:cs="Arial"/>
                <w:sz w:val="16"/>
                <w:szCs w:val="16"/>
              </w:rPr>
              <w:t>.</w:t>
            </w:r>
            <w:r w:rsidRPr="00E33CD3">
              <w:rPr>
                <w:rFonts w:eastAsia="Times New Roman" w:cs="Arial"/>
                <w:sz w:val="16"/>
                <w:szCs w:val="16"/>
              </w:rPr>
              <w:t xml:space="preserve">  </w:t>
            </w:r>
            <w:r>
              <w:rPr>
                <w:rFonts w:eastAsia="Times New Roman" w:cs="Arial"/>
                <w:sz w:val="16"/>
                <w:szCs w:val="16"/>
              </w:rPr>
              <w:t>Acetylated l</w:t>
            </w:r>
            <w:r>
              <w:rPr>
                <w:rFonts w:cs="Arial"/>
                <w:sz w:val="16"/>
                <w:szCs w:val="16"/>
                <w:shd w:val="clear" w:color="auto" w:fill="FFFFFF"/>
              </w:rPr>
              <w:t xml:space="preserve">ysine residues 179, 485, 498 and 538 in mouse are human homologues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&lt;EndNote&gt;&lt;Cite&gt;&lt;Author&gt;Cimen H&lt;/Author&gt;&lt;Year&gt;2010&lt;/Year&gt;&lt;RecNum&gt;331&lt;/RecNum&gt;&lt;DisplayText&gt;(59)&lt;/DisplayText&gt;&lt;record&gt;&lt;rec-number&gt;331&lt;/rec-number&gt;&lt;foreign-keys&gt;&lt;key app="EN" db-id="zxp9w5sa30aeafes0xox2eem00dz2z2aswad"&gt;331&lt;/key&gt;&lt;/foreign-keys&gt;&lt;ref-type name="Journal Article"&gt;17&lt;/ref-type&gt;&lt;contributors&gt;&lt;authors&gt;&lt;author&gt;Cimen H,&lt;/author&gt;&lt;author&gt;Han M,&lt;/author&gt;&lt;author&gt;Yang Y,&lt;/author&gt;&lt;author&gt;Tong Q,&lt;/author&gt;&lt;author&gt;Koc H,&lt;/author&gt;&lt;author&gt;Koc E,&lt;/author&gt;&lt;/authors&gt;&lt;/contributors&gt;&lt;titles&gt;&lt;title&gt;Regulation of succinate dehydrogenase activity by SIRT3 in mammalian mitochondria&lt;/title&gt;&lt;secondary-title&gt;Biochemistry&lt;/secondary-title&gt;&lt;/titles&gt;&lt;periodical&gt;&lt;full-title&gt;Biochemistry&lt;/full-title&gt;&lt;/periodical&gt;&lt;pages&gt;304-311&lt;/pages&gt;&lt;volume&gt;49&lt;/volume&gt;&lt;number&gt;2&lt;/number&gt;&lt;dates&gt;&lt;year&gt;2010&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59" w:tooltip="Cimen H, 2010 #331" w:history="1">
              <w:r w:rsidR="00AB7E17">
                <w:rPr>
                  <w:rFonts w:cs="Arial"/>
                  <w:noProof/>
                  <w:sz w:val="16"/>
                  <w:szCs w:val="16"/>
                  <w:shd w:val="clear" w:color="auto" w:fill="FFFFFF"/>
                </w:rPr>
                <w:t>59</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Pr>
                <w:rFonts w:cs="Arial"/>
                <w:sz w:val="16"/>
                <w:szCs w:val="16"/>
                <w:shd w:val="clear" w:color="auto" w:fill="FFFFFF"/>
              </w:rPr>
              <w:t>.</w:t>
            </w:r>
          </w:p>
        </w:tc>
      </w:tr>
      <w:tr w:rsidR="00EF1380" w:rsidRPr="008658C5" w:rsidTr="009B40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48" w:type="dxa"/>
            <w:tcBorders>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Fumarase</w:t>
            </w:r>
          </w:p>
        </w:tc>
        <w:tc>
          <w:tcPr>
            <w:tcW w:w="1843" w:type="dxa"/>
            <w:tcBorders>
              <w:left w:val="nil"/>
              <w:right w:val="nil"/>
            </w:tcBorders>
            <w:noWrap/>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61, 66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94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115, 172, 223, 256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263, 292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467, 470, 473, and 477.</w:t>
            </w:r>
          </w:p>
        </w:tc>
        <w:tc>
          <w:tcPr>
            <w:tcW w:w="2551" w:type="dxa"/>
            <w:tcBorders>
              <w:left w:val="nil"/>
              <w:righ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3239" w:type="dxa"/>
            <w:tcBorders>
              <w:left w:val="nil"/>
            </w:tcBorders>
            <w:noWrap/>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8658C5" w:rsidTr="009B400B">
        <w:trPr>
          <w:trHeight w:val="315"/>
          <w:jc w:val="center"/>
        </w:trPr>
        <w:tc>
          <w:tcPr>
            <w:cnfStyle w:val="001000000000" w:firstRow="0" w:lastRow="0" w:firstColumn="1" w:lastColumn="0" w:oddVBand="0" w:evenVBand="0" w:oddHBand="0" w:evenHBand="0" w:firstRowFirstColumn="0" w:firstRowLastColumn="0" w:lastRowFirstColumn="0" w:lastRowLastColumn="0"/>
            <w:tcW w:w="1348" w:type="dxa"/>
            <w:tcBorders>
              <w:top w:val="nil"/>
              <w:left w:val="single" w:sz="8" w:space="0" w:color="000000" w:themeColor="text1"/>
              <w:bottom w:val="single" w:sz="8" w:space="0" w:color="000000" w:themeColor="text1"/>
              <w:right w:val="nil"/>
            </w:tcBorders>
            <w:noWrap/>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Malate dehydrogenase</w:t>
            </w:r>
          </w:p>
        </w:tc>
        <w:tc>
          <w:tcPr>
            <w:tcW w:w="1843" w:type="dxa"/>
            <w:tcBorders>
              <w:top w:val="nil"/>
              <w:left w:val="nil"/>
              <w:bottom w:val="single" w:sz="8" w:space="0" w:color="000000" w:themeColor="text1"/>
              <w:right w:val="nil"/>
            </w:tcBorders>
            <w:noWrap/>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Style w:val="SC118877"/>
                <w:rFonts w:cs="Arial"/>
                <w:iCs/>
                <w:color w:val="auto"/>
                <w:sz w:val="16"/>
                <w:szCs w:val="16"/>
                <w:lang w:val="es-MX"/>
              </w:rPr>
              <w:t xml:space="preserve">74, 78, 91, 118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&lt;EndNote&gt;&lt;Cite&gt;&lt;Author&gt;Kim E&lt;/Author&gt;&lt;Year&gt;2012&lt;/Year&gt;&lt;RecNum&gt;133&lt;/RecNum&gt;&lt;DisplayText&gt;(61)&lt;/DisplayText&gt;&lt;record&gt;&lt;rec-number&gt;133&lt;/rec-number&gt;&lt;foreign-keys&gt;&lt;key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1" w:tooltip="Kim E, 2012 #133" w:history="1">
              <w:r w:rsidR="00AB7E17">
                <w:rPr>
                  <w:rStyle w:val="SC118877"/>
                  <w:rFonts w:cs="Arial"/>
                  <w:iCs/>
                  <w:noProof/>
                  <w:color w:val="auto"/>
                  <w:sz w:val="16"/>
                  <w:szCs w:val="16"/>
                </w:rPr>
                <w:t>61</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121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&lt;EndNote&gt;&lt;Cite&gt;&lt;Author&gt;Kim E&lt;/Author&gt;&lt;Year&gt;2012&lt;/Year&gt;&lt;RecNum&gt;133&lt;/RecNum&gt;&lt;DisplayText&gt;(61)&lt;/DisplayText&gt;&lt;record&gt;&lt;rec-number&gt;133&lt;/rec-number&gt;&lt;foreign-keys&gt;&lt;key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1" w:tooltip="Kim E, 2012 #133" w:history="1">
              <w:r w:rsidR="00AB7E17">
                <w:rPr>
                  <w:rStyle w:val="SC118877"/>
                  <w:rFonts w:cs="Arial"/>
                  <w:iCs/>
                  <w:noProof/>
                  <w:color w:val="auto"/>
                  <w:sz w:val="16"/>
                  <w:szCs w:val="16"/>
                </w:rPr>
                <w:t>61</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156, 157, 165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185 </w:t>
            </w:r>
            <w:r w:rsidR="006C2756" w:rsidRPr="00E33CD3">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 </w:instrText>
            </w:r>
            <w:r w:rsidR="00FC3C1A">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EN.CITE.DATA </w:instrText>
            </w:r>
            <w:r w:rsidR="00FC3C1A">
              <w:rPr>
                <w:rStyle w:val="SC118877"/>
                <w:rFonts w:cs="Arial"/>
                <w:iCs/>
                <w:color w:val="auto"/>
                <w:sz w:val="16"/>
                <w:szCs w:val="16"/>
              </w:rPr>
            </w:r>
            <w:r w:rsidR="00FC3C1A">
              <w:rPr>
                <w:rStyle w:val="SC118877"/>
                <w:rFonts w:cs="Arial"/>
                <w:iCs/>
                <w:color w:val="auto"/>
                <w:sz w:val="16"/>
                <w:szCs w:val="16"/>
              </w:rPr>
              <w:fldChar w:fldCharType="end"/>
            </w:r>
            <w:r w:rsidR="006C2756" w:rsidRPr="00E33CD3">
              <w:rPr>
                <w:rStyle w:val="SC118877"/>
                <w:rFonts w:cs="Arial"/>
                <w:iCs/>
                <w:color w:val="auto"/>
                <w:sz w:val="16"/>
                <w:szCs w:val="16"/>
              </w:rPr>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11" w:tooltip="Zhao S, 2010 #301" w:history="1">
              <w:r w:rsidR="00AB7E17">
                <w:rPr>
                  <w:rStyle w:val="SC118877"/>
                  <w:rFonts w:cs="Arial"/>
                  <w:iCs/>
                  <w:noProof/>
                  <w:color w:val="auto"/>
                  <w:sz w:val="16"/>
                  <w:szCs w:val="16"/>
                </w:rPr>
                <w:t>11</w:t>
              </w:r>
            </w:hyperlink>
            <w:r w:rsidR="00FC3C1A">
              <w:rPr>
                <w:rStyle w:val="SC118877"/>
                <w:rFonts w:cs="Arial"/>
                <w:iCs/>
                <w:noProof/>
                <w:color w:val="auto"/>
                <w:sz w:val="16"/>
                <w:szCs w:val="16"/>
              </w:rPr>
              <w:t xml:space="preserve">, </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203, 215,</w:t>
            </w:r>
            <w:r>
              <w:rPr>
                <w:rStyle w:val="SC118877"/>
                <w:rFonts w:cs="Arial"/>
                <w:iCs/>
                <w:color w:val="auto"/>
                <w:sz w:val="16"/>
                <w:szCs w:val="16"/>
                <w:lang w:val="es-MX"/>
              </w:rPr>
              <w:t xml:space="preserve"> 249 ,</w:t>
            </w:r>
            <w:r w:rsidRPr="00E33CD3">
              <w:rPr>
                <w:rStyle w:val="SC118877"/>
                <w:rFonts w:cs="Arial"/>
                <w:iCs/>
                <w:color w:val="auto"/>
                <w:sz w:val="16"/>
                <w:szCs w:val="16"/>
                <w:lang w:val="es-MX"/>
              </w:rPr>
              <w:t xml:space="preserve"> 296, 297, 298 </w:t>
            </w:r>
            <w:r w:rsidR="006C2756" w:rsidRPr="00E33CD3">
              <w:rPr>
                <w:rStyle w:val="SC118877"/>
                <w:rFonts w:cs="Arial"/>
                <w:iCs/>
                <w:color w:val="auto"/>
                <w:sz w:val="16"/>
                <w:szCs w:val="16"/>
                <w:lang w:val="es-MX"/>
              </w:rPr>
              <w:fldChar w:fldCharType="begin"/>
            </w:r>
            <w:r w:rsidR="00FC3C1A">
              <w:rPr>
                <w:rStyle w:val="SC118877"/>
                <w:rFonts w:cs="Arial"/>
                <w:iCs/>
                <w:color w:val="auto"/>
                <w:sz w:val="16"/>
                <w:szCs w:val="16"/>
                <w:lang w:val="es-MX"/>
              </w:rPr>
              <w:instrText xml:space="preserve"> ADDIN EN.CITE &lt;EndNote&gt;&lt;Cite&gt;&lt;Author&gt;Kim E&lt;/Author&gt;&lt;Year&gt;2012&lt;/Year&gt;&lt;RecNum&gt;133&lt;/RecNum&gt;&lt;DisplayText&gt;(61)&lt;/DisplayText&gt;&lt;record&gt;&lt;rec-number&gt;133&lt;/rec-number&gt;&lt;foreign-keys&gt;&lt;key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Res&lt;/full-title&gt;&lt;/periodical&gt;&lt;pages&gt;1864-1876&lt;/pages&gt;&lt;volume&gt;53&lt;/volume&gt;&lt;number&gt;9&lt;/number&gt;&lt;dates&gt;&lt;year&gt;2012&lt;/year&gt;&lt;/dates&gt;&lt;urls&gt;&lt;/urls&gt;&lt;/record&gt;&lt;/Cite&gt;&lt;/EndNote&gt;</w:instrText>
            </w:r>
            <w:r w:rsidR="006C2756" w:rsidRPr="00E33CD3">
              <w:rPr>
                <w:rStyle w:val="SC118877"/>
                <w:rFonts w:cs="Arial"/>
                <w:iCs/>
                <w:color w:val="auto"/>
                <w:sz w:val="16"/>
                <w:szCs w:val="16"/>
                <w:lang w:val="es-MX"/>
              </w:rPr>
              <w:fldChar w:fldCharType="separate"/>
            </w:r>
            <w:r w:rsidR="00FC3C1A">
              <w:rPr>
                <w:rStyle w:val="SC118877"/>
                <w:rFonts w:cs="Arial"/>
                <w:iCs/>
                <w:noProof/>
                <w:color w:val="auto"/>
                <w:sz w:val="16"/>
                <w:szCs w:val="16"/>
                <w:lang w:val="es-MX"/>
              </w:rPr>
              <w:t>(</w:t>
            </w:r>
            <w:hyperlink w:anchor="_ENREF_61" w:tooltip="Kim E, 2012 #133" w:history="1">
              <w:r w:rsidR="00AB7E17">
                <w:rPr>
                  <w:rStyle w:val="SC118877"/>
                  <w:rFonts w:cs="Arial"/>
                  <w:iCs/>
                  <w:noProof/>
                  <w:color w:val="auto"/>
                  <w:sz w:val="16"/>
                  <w:szCs w:val="16"/>
                  <w:lang w:val="es-MX"/>
                </w:rPr>
                <w:t>61</w:t>
              </w:r>
            </w:hyperlink>
            <w:r w:rsidR="00FC3C1A">
              <w:rPr>
                <w:rStyle w:val="SC118877"/>
                <w:rFonts w:cs="Arial"/>
                <w:iCs/>
                <w:noProof/>
                <w:color w:val="auto"/>
                <w:sz w:val="16"/>
                <w:szCs w:val="16"/>
                <w:lang w:val="es-MX"/>
              </w:rPr>
              <w:t>)</w:t>
            </w:r>
            <w:r w:rsidR="006C2756" w:rsidRPr="00E33CD3">
              <w:rPr>
                <w:rStyle w:val="SC118877"/>
                <w:rFonts w:cs="Arial"/>
                <w:iCs/>
                <w:color w:val="auto"/>
                <w:sz w:val="16"/>
                <w:szCs w:val="16"/>
                <w:lang w:val="es-MX"/>
              </w:rPr>
              <w:fldChar w:fldCharType="end"/>
            </w:r>
            <w:r w:rsidRPr="00E33CD3">
              <w:rPr>
                <w:rStyle w:val="SC118877"/>
                <w:rFonts w:cs="Arial"/>
                <w:iCs/>
                <w:color w:val="auto"/>
                <w:sz w:val="16"/>
                <w:szCs w:val="16"/>
                <w:lang w:val="es-MX"/>
              </w:rPr>
              <w:t xml:space="preserve">, 301 </w:t>
            </w:r>
            <w:r w:rsidR="006C2756" w:rsidRPr="00E33CD3">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 </w:instrText>
            </w:r>
            <w:r w:rsidR="00FC3C1A">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EN.CITE.DATA </w:instrText>
            </w:r>
            <w:r w:rsidR="00FC3C1A">
              <w:rPr>
                <w:rStyle w:val="SC118877"/>
                <w:rFonts w:cs="Arial"/>
                <w:iCs/>
                <w:color w:val="auto"/>
                <w:sz w:val="16"/>
                <w:szCs w:val="16"/>
              </w:rPr>
            </w:r>
            <w:r w:rsidR="00FC3C1A">
              <w:rPr>
                <w:rStyle w:val="SC118877"/>
                <w:rFonts w:cs="Arial"/>
                <w:iCs/>
                <w:color w:val="auto"/>
                <w:sz w:val="16"/>
                <w:szCs w:val="16"/>
              </w:rPr>
              <w:fldChar w:fldCharType="end"/>
            </w:r>
            <w:r w:rsidR="006C2756" w:rsidRPr="00E33CD3">
              <w:rPr>
                <w:rStyle w:val="SC118877"/>
                <w:rFonts w:cs="Arial"/>
                <w:iCs/>
                <w:color w:val="auto"/>
                <w:sz w:val="16"/>
                <w:szCs w:val="16"/>
              </w:rPr>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11" w:tooltip="Zhao S, 2010 #301" w:history="1">
              <w:r w:rsidR="00AB7E17">
                <w:rPr>
                  <w:rStyle w:val="SC118877"/>
                  <w:rFonts w:cs="Arial"/>
                  <w:iCs/>
                  <w:noProof/>
                  <w:color w:val="auto"/>
                  <w:sz w:val="16"/>
                  <w:szCs w:val="16"/>
                </w:rPr>
                <w:t>11</w:t>
              </w:r>
            </w:hyperlink>
            <w:r w:rsidR="00FC3C1A">
              <w:rPr>
                <w:rStyle w:val="SC118877"/>
                <w:rFonts w:cs="Arial"/>
                <w:iCs/>
                <w:noProof/>
                <w:color w:val="auto"/>
                <w:sz w:val="16"/>
                <w:szCs w:val="16"/>
              </w:rPr>
              <w:t xml:space="preserve">, </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307 </w:t>
            </w:r>
            <w:r w:rsidR="006C2756" w:rsidRPr="00E33CD3">
              <w:rPr>
                <w:rStyle w:val="SC118877"/>
                <w:rFonts w:cs="Arial"/>
                <w:iCs/>
                <w:color w:val="auto"/>
                <w:sz w:val="16"/>
                <w:szCs w:val="16"/>
              </w:rPr>
              <w:fldChar w:fldCharType="begin"/>
            </w:r>
            <w:r w:rsidR="000B3EAF">
              <w:rPr>
                <w:rStyle w:val="SC118877"/>
                <w:rFonts w:cs="Arial"/>
                <w:iCs/>
                <w:color w:val="auto"/>
                <w:sz w:val="16"/>
                <w:szCs w:val="16"/>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Style w:val="SC118877"/>
                <w:rFonts w:cs="Arial"/>
                <w:iCs/>
                <w:color w:val="auto"/>
                <w:sz w:val="16"/>
                <w:szCs w:val="16"/>
              </w:rPr>
              <w:fldChar w:fldCharType="separate"/>
            </w:r>
            <w:r w:rsidR="000B3EAF">
              <w:rPr>
                <w:rStyle w:val="SC118877"/>
                <w:rFonts w:cs="Arial"/>
                <w:iCs/>
                <w:noProof/>
                <w:color w:val="auto"/>
                <w:sz w:val="16"/>
                <w:szCs w:val="16"/>
              </w:rPr>
              <w:t>(</w:t>
            </w:r>
            <w:hyperlink w:anchor="_ENREF_11" w:tooltip="Zhao S, 2010 #301" w:history="1">
              <w:r w:rsidR="00AB7E17">
                <w:rPr>
                  <w:rStyle w:val="SC118877"/>
                  <w:rFonts w:cs="Arial"/>
                  <w:iCs/>
                  <w:noProof/>
                  <w:color w:val="auto"/>
                  <w:sz w:val="16"/>
                  <w:szCs w:val="16"/>
                </w:rPr>
                <w:t>11</w:t>
              </w:r>
            </w:hyperlink>
            <w:r w:rsidR="000B3EAF">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314 </w:t>
            </w:r>
            <w:r w:rsidR="006C2756" w:rsidRPr="00E33CD3">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 </w:instrText>
            </w:r>
            <w:r w:rsidR="00FC3C1A">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EN.CITE.DATA </w:instrText>
            </w:r>
            <w:r w:rsidR="00FC3C1A">
              <w:rPr>
                <w:rStyle w:val="SC118877"/>
                <w:rFonts w:cs="Arial"/>
                <w:iCs/>
                <w:color w:val="auto"/>
                <w:sz w:val="16"/>
                <w:szCs w:val="16"/>
              </w:rPr>
            </w:r>
            <w:r w:rsidR="00FC3C1A">
              <w:rPr>
                <w:rStyle w:val="SC118877"/>
                <w:rFonts w:cs="Arial"/>
                <w:iCs/>
                <w:color w:val="auto"/>
                <w:sz w:val="16"/>
                <w:szCs w:val="16"/>
              </w:rPr>
              <w:fldChar w:fldCharType="end"/>
            </w:r>
            <w:r w:rsidR="006C2756" w:rsidRPr="00E33CD3">
              <w:rPr>
                <w:rStyle w:val="SC118877"/>
                <w:rFonts w:cs="Arial"/>
                <w:iCs/>
                <w:color w:val="auto"/>
                <w:sz w:val="16"/>
                <w:szCs w:val="16"/>
              </w:rPr>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11" w:tooltip="Zhao S, 2010 #301" w:history="1">
              <w:r w:rsidR="00AB7E17">
                <w:rPr>
                  <w:rStyle w:val="SC118877"/>
                  <w:rFonts w:cs="Arial"/>
                  <w:iCs/>
                  <w:noProof/>
                  <w:color w:val="auto"/>
                  <w:sz w:val="16"/>
                  <w:szCs w:val="16"/>
                </w:rPr>
                <w:t>11</w:t>
              </w:r>
            </w:hyperlink>
            <w:r w:rsidR="00FC3C1A">
              <w:rPr>
                <w:rStyle w:val="SC118877"/>
                <w:rFonts w:cs="Arial"/>
                <w:iCs/>
                <w:noProof/>
                <w:color w:val="auto"/>
                <w:sz w:val="16"/>
                <w:szCs w:val="16"/>
              </w:rPr>
              <w:t xml:space="preserve">, </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324, 328, 329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lang w:val="es-MX"/>
              </w:rPr>
              <w:t xml:space="preserve">, and 335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w:t>
            </w:r>
          </w:p>
        </w:tc>
        <w:tc>
          <w:tcPr>
            <w:tcW w:w="2551" w:type="dxa"/>
            <w:tcBorders>
              <w:top w:val="nil"/>
              <w:left w:val="nil"/>
              <w:bottom w:val="single" w:sz="8" w:space="0" w:color="000000" w:themeColor="text1"/>
              <w:right w:val="nil"/>
            </w:tcBorders>
            <w:noWrap/>
            <w:hideMark/>
          </w:tcPr>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Reversion of D-amphetamine (mania inducer in rats) inhi</w:t>
            </w:r>
            <w:r>
              <w:rPr>
                <w:rFonts w:eastAsia="Times New Roman" w:cs="Arial"/>
                <w:sz w:val="16"/>
                <w:szCs w:val="16"/>
              </w:rPr>
              <w:t>bitory effect on this enzyme</w:t>
            </w:r>
            <w:r w:rsidRPr="00E33CD3">
              <w:rPr>
                <w:rFonts w:eastAsia="Times New Roman" w:cs="Arial"/>
                <w:sz w:val="16"/>
                <w:szCs w:val="16"/>
              </w:rPr>
              <w:t xml:space="preserve">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&lt;EndNote&gt;&lt;Cite&gt;&lt;Author&gt;Valvassori S&lt;/Author&gt;&lt;Year&gt;2013&lt;/Year&gt;&lt;RecNum&gt;327&lt;/RecNum&gt;&lt;DisplayText&gt;(102)&lt;/DisplayText&gt;&lt;record&gt;&lt;rec-number&gt;327&lt;/rec-number&gt;&lt;foreign-keys&gt;&lt;key app="EN" db-id="zxp9w5sa30aeafes0xox2eem00dz2z2aswad"&gt;327&lt;/key&gt;&lt;/foreign-keys&gt;&lt;ref-type name="Journal Article"&gt;17&lt;/ref-type&gt;&lt;contributors&gt;&lt;authors&gt;&lt;author&gt;Valvassori S,&lt;/author&gt;&lt;author&gt;Calixto K,&lt;/author&gt;&lt;author&gt;Budni J,&lt;/author&gt;&lt;author&gt;Resende W,&lt;/author&gt;&lt;author&gt;Varela R,&lt;/author&gt;&lt;author&gt;de Freitas K,&lt;/author&gt;&lt;author&gt;Gonçalves C,&lt;/author&gt;&lt;author&gt;Streck E,&lt;/author&gt;&lt;author&gt;Quevedo J,&lt;/author&gt;&lt;/authors&gt;&lt;/contributors&gt;&lt;titles&gt;&lt;title&gt;Sodium butyrate reverses the inhibition of Krebs cycle enzymes induced by amphetamine in the rat brain&lt;/title&gt;&lt;secondary-title&gt;J Neural Transm&lt;/secondary-title&gt;&lt;/titles&gt;&lt;periodical&gt;&lt;full-title&gt;J Neural Transm&lt;/full-title&gt;&lt;/periodical&gt;&lt;pages&gt;1737-1742&lt;/pages&gt;&lt;volume&gt;120&lt;/volume&gt;&lt;number&gt;12&lt;/number&gt;&lt;dates&gt;&lt;year&gt;2013&lt;/year&gt;&lt;/dates&gt;&lt;urls&gt;&lt;/urls&gt;&lt;/record&gt;&lt;/Cite&gt;&lt;/EndNote&gt;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02" w:tooltip="Valvassori S, 2013 #327" w:history="1">
              <w:r w:rsidR="00AB7E17">
                <w:rPr>
                  <w:rFonts w:cs="Arial"/>
                  <w:noProof/>
                  <w:sz w:val="16"/>
                  <w:szCs w:val="16"/>
                  <w:shd w:val="clear" w:color="auto" w:fill="FFFFFF"/>
                </w:rPr>
                <w:t>102</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c>
          <w:tcPr>
            <w:tcW w:w="3239" w:type="dxa"/>
            <w:tcBorders>
              <w:top w:val="nil"/>
              <w:left w:val="nil"/>
              <w:bottom w:val="single" w:sz="8" w:space="0" w:color="000000" w:themeColor="text1"/>
              <w:right w:val="single" w:sz="8" w:space="0" w:color="000000" w:themeColor="text1"/>
            </w:tcBorders>
            <w:noWrap/>
          </w:tcPr>
          <w:p w:rsidR="00EF1380" w:rsidRPr="00E33CD3" w:rsidRDefault="00EF1380" w:rsidP="009B400B">
            <w:pPr>
              <w:cnfStyle w:val="000000000000" w:firstRow="0" w:lastRow="0" w:firstColumn="0" w:lastColumn="0" w:oddVBand="0" w:evenVBand="0" w:oddHBand="0" w:evenHBand="0" w:firstRowFirstColumn="0" w:firstRowLastColumn="0" w:lastRowFirstColumn="0" w:lastRowLastColumn="0"/>
              <w:rPr>
                <w:rStyle w:val="SC118877"/>
                <w:rFonts w:cs="Arial"/>
                <w:iCs/>
                <w:color w:val="auto"/>
                <w:sz w:val="16"/>
                <w:szCs w:val="16"/>
              </w:rPr>
            </w:pPr>
            <w:r w:rsidRPr="00E33CD3">
              <w:rPr>
                <w:rFonts w:eastAsia="Times New Roman" w:cs="Arial"/>
                <w:sz w:val="16"/>
                <w:szCs w:val="16"/>
              </w:rPr>
              <w:t xml:space="preserve">Dramatically increased in the late stage of adipogenesis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&lt;EndNote&gt;&lt;Cite&gt;&lt;Author&gt;Kim E&lt;/Author&gt;&lt;Year&gt;2012&lt;/Year&gt;&lt;RecNum&gt;133&lt;/RecNum&gt;&lt;DisplayText&gt;(60, 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Res&lt;/full-title&gt;&lt;/periodical&gt;&lt;pages&gt;1864-1876&lt;/pages&gt;&lt;volume&gt;53&lt;/volume&gt;&lt;number&gt;9&lt;/number&gt;&lt;dates&gt;&lt;year&gt;2012&lt;/year&gt;&lt;/dates&gt;&lt;urls&gt;&lt;/urls&gt;&lt;/record&gt;&lt;/Cite&gt;&lt;Cite&gt;&lt;Author&gt;Kim E&lt;/Author&gt;&lt;Year&gt;2013&lt;/Year&gt;&lt;RecNum&gt;332&lt;/RecNum&gt;&lt;record&gt;&lt;rec-number&gt;332&lt;/rec-number&gt;&lt;foreign-keys&gt;&lt;key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0" w:tooltip="Kim E, 2013 #332" w:history="1">
              <w:r w:rsidR="00AB7E17">
                <w:rPr>
                  <w:rStyle w:val="SC118877"/>
                  <w:rFonts w:cs="Arial"/>
                  <w:iCs/>
                  <w:noProof/>
                  <w:color w:val="auto"/>
                  <w:sz w:val="16"/>
                  <w:szCs w:val="16"/>
                </w:rPr>
                <w:t>60</w:t>
              </w:r>
            </w:hyperlink>
            <w:r w:rsidR="00FC3C1A">
              <w:rPr>
                <w:rStyle w:val="SC118877"/>
                <w:rFonts w:cs="Arial"/>
                <w:iCs/>
                <w:noProof/>
                <w:color w:val="auto"/>
                <w:sz w:val="16"/>
                <w:szCs w:val="16"/>
              </w:rPr>
              <w:t xml:space="preserve">, </w:t>
            </w:r>
            <w:hyperlink w:anchor="_ENREF_61" w:tooltip="Kim E, 2012 #133" w:history="1">
              <w:r w:rsidR="00AB7E17">
                <w:rPr>
                  <w:rStyle w:val="SC118877"/>
                  <w:rFonts w:cs="Arial"/>
                  <w:iCs/>
                  <w:noProof/>
                  <w:color w:val="auto"/>
                  <w:sz w:val="16"/>
                  <w:szCs w:val="16"/>
                </w:rPr>
                <w:t>61</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w:t>
            </w:r>
          </w:p>
          <w:p w:rsidR="00EF1380" w:rsidRPr="00E33CD3" w:rsidRDefault="00EF1380" w:rsidP="009B400B">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val="en-US"/>
              </w:rPr>
            </w:pPr>
            <w:r w:rsidRPr="00E33CD3">
              <w:rPr>
                <w:rFonts w:eastAsia="Times New Roman" w:cs="Arial"/>
                <w:sz w:val="16"/>
                <w:szCs w:val="16"/>
              </w:rPr>
              <w:t xml:space="preserve">Enhances activity in nuclear, cytosolic and mitochondrial fractions of human liver tissue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r w:rsidRPr="00E33CD3">
              <w:rPr>
                <w:rFonts w:eastAsia="Times New Roman" w:cs="Arial"/>
                <w:sz w:val="16"/>
                <w:szCs w:val="16"/>
                <w:lang w:val="en-US"/>
              </w:rPr>
              <w:t xml:space="preserve"> </w:t>
            </w:r>
          </w:p>
          <w:p w:rsidR="00EF1380" w:rsidRPr="00E33CD3" w:rsidRDefault="00EF1380" w:rsidP="009B400B">
            <w:pPr>
              <w:cnfStyle w:val="000000000000" w:firstRow="0" w:lastRow="0" w:firstColumn="0" w:lastColumn="0" w:oddVBand="0" w:evenVBand="0" w:oddHBand="0" w:evenHBand="0" w:firstRowFirstColumn="0" w:firstRowLastColumn="0" w:lastRowFirstColumn="0" w:lastRowLastColumn="0"/>
              <w:rPr>
                <w:rFonts w:cs="Arial"/>
                <w:sz w:val="16"/>
                <w:szCs w:val="16"/>
                <w:shd w:val="clear" w:color="auto" w:fill="FFFFFF"/>
                <w:lang w:val="en-US"/>
              </w:rPr>
            </w:pPr>
          </w:p>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lang w:val="en-US"/>
              </w:rPr>
              <w:t xml:space="preserve">Inhibition in </w:t>
            </w:r>
            <w:r w:rsidRPr="00E33CD3">
              <w:rPr>
                <w:rFonts w:cs="Arial"/>
                <w:i/>
                <w:sz w:val="16"/>
                <w:szCs w:val="16"/>
              </w:rPr>
              <w:t>Arabidopsis thaliana</w:t>
            </w:r>
            <w:r w:rsidRPr="00E33CD3">
              <w:rPr>
                <w:rFonts w:eastAsia="Times New Roman" w:cs="Arial"/>
                <w:sz w:val="16"/>
                <w:szCs w:val="16"/>
                <w:lang w:val="en-US"/>
              </w:rPr>
              <w:t xml:space="preserve">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&lt;EndNote&gt;&lt;Cite&gt;&lt;Author&gt;Finkemeier I&lt;/Author&gt;&lt;Year&gt;2011&lt;/Year&gt;&lt;RecNum&gt;315&lt;/RecNum&gt;&lt;DisplayText&gt;(55)&lt;/DisplayText&gt;&lt;record&gt;&lt;rec-number&gt;315&lt;/rec-number&gt;&lt;foreign-keys&gt;&lt;key app="EN" db-id="zxp9w5sa30aeafes0xox2eem00dz2z2aswad"&gt;315&lt;/key&gt;&lt;/foreign-keys&gt;&lt;ref-type name="Journal Article"&gt;17&lt;/ref-type&gt;&lt;contributors&gt;&lt;authors&gt;&lt;author&gt;Finkemeier I,&lt;/author&gt;&lt;author&gt;Laxa M,&lt;/author&gt;&lt;author&gt;Miguet L,&lt;/author&gt;&lt;author&gt;Howden A,&lt;/author&gt;&lt;author&gt;Sweetlove L,&lt;/author&gt;&lt;/authors&gt;&lt;/contributors&gt;&lt;titles&gt;&lt;title&gt;Proteins of diverse function and subcellular location are lysine acetylated in Arabidopsis&lt;/title&gt;&lt;secondary-title&gt;Plant Physiol&lt;/secondary-title&gt;&lt;/titles&gt;&lt;periodical&gt;&lt;full-title&gt;Plant Physiol&lt;/full-title&gt;&lt;/periodical&gt;&lt;pages&gt;1779-1790&lt;/pages&gt;&lt;volume&gt;155&lt;/volume&gt;&lt;number&gt;4&lt;/number&gt;&lt;dates&gt;&lt;year&gt;2011&lt;/year&gt;&lt;/dates&gt;&lt;urls&gt;&lt;/urls&gt;&lt;/record&gt;&lt;/Cite&gt;&lt;/EndNote&gt;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55" w:tooltip="Finkemeier I, 2011 #315" w:history="1">
              <w:r w:rsidR="00AB7E17">
                <w:rPr>
                  <w:rFonts w:eastAsia="Times New Roman" w:cs="Arial"/>
                  <w:noProof/>
                  <w:sz w:val="16"/>
                  <w:szCs w:val="16"/>
                  <w:lang w:val="en-US"/>
                </w:rPr>
                <w:t>55</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r>
    </w:tbl>
    <w:p w:rsidR="00492DA2" w:rsidRPr="004C2A30" w:rsidRDefault="00EF1380" w:rsidP="00492DA2">
      <w:pPr>
        <w:pStyle w:val="Caption"/>
        <w:jc w:val="both"/>
        <w:rPr>
          <w:rFonts w:ascii="Arial" w:hAnsi="Arial" w:cs="Arial"/>
          <w:i/>
          <w:color w:val="auto"/>
          <w:sz w:val="16"/>
          <w:szCs w:val="16"/>
        </w:rPr>
      </w:pPr>
      <w:bookmarkStart w:id="249" w:name="_Toc413667001"/>
      <w:proofErr w:type="gramStart"/>
      <w:r w:rsidRPr="004C2A30">
        <w:rPr>
          <w:rFonts w:ascii="Arial" w:hAnsi="Arial" w:cs="Arial"/>
          <w:color w:val="auto"/>
          <w:sz w:val="16"/>
          <w:szCs w:val="16"/>
        </w:rPr>
        <w:t xml:space="preserve">Table </w:t>
      </w:r>
      <w:r w:rsidR="006C2756" w:rsidRPr="004C2A30">
        <w:rPr>
          <w:rFonts w:ascii="Arial" w:hAnsi="Arial" w:cs="Arial"/>
          <w:color w:val="auto"/>
          <w:sz w:val="16"/>
          <w:szCs w:val="16"/>
        </w:rPr>
        <w:fldChar w:fldCharType="begin"/>
      </w:r>
      <w:r w:rsidRPr="004C2A30">
        <w:rPr>
          <w:rFonts w:ascii="Arial" w:hAnsi="Arial" w:cs="Arial"/>
          <w:color w:val="auto"/>
          <w:sz w:val="16"/>
          <w:szCs w:val="16"/>
        </w:rPr>
        <w:instrText xml:space="preserve"> SEQ Table \* ARABIC </w:instrText>
      </w:r>
      <w:r w:rsidR="006C2756" w:rsidRPr="004C2A30">
        <w:rPr>
          <w:rFonts w:ascii="Arial" w:hAnsi="Arial" w:cs="Arial"/>
          <w:color w:val="auto"/>
          <w:sz w:val="16"/>
          <w:szCs w:val="16"/>
        </w:rPr>
        <w:fldChar w:fldCharType="separate"/>
      </w:r>
      <w:r w:rsidR="00DC0376">
        <w:rPr>
          <w:rFonts w:ascii="Arial" w:hAnsi="Arial" w:cs="Arial"/>
          <w:noProof/>
          <w:color w:val="auto"/>
          <w:sz w:val="16"/>
          <w:szCs w:val="16"/>
        </w:rPr>
        <w:t>14</w:t>
      </w:r>
      <w:r w:rsidR="006C2756" w:rsidRPr="004C2A30">
        <w:rPr>
          <w:rFonts w:ascii="Arial" w:hAnsi="Arial" w:cs="Arial"/>
          <w:color w:val="auto"/>
          <w:sz w:val="16"/>
          <w:szCs w:val="16"/>
        </w:rPr>
        <w:fldChar w:fldCharType="end"/>
      </w:r>
      <w:r w:rsidRPr="008658C5">
        <w:rPr>
          <w:rFonts w:ascii="Arial" w:hAnsi="Arial" w:cs="Arial"/>
          <w:color w:val="auto"/>
          <w:sz w:val="16"/>
          <w:szCs w:val="16"/>
        </w:rPr>
        <w:t>.</w:t>
      </w:r>
      <w:proofErr w:type="gramEnd"/>
      <w:r w:rsidRPr="008658C5">
        <w:rPr>
          <w:rFonts w:ascii="Arial" w:hAnsi="Arial" w:cs="Arial"/>
          <w:color w:val="auto"/>
          <w:sz w:val="16"/>
          <w:szCs w:val="16"/>
        </w:rPr>
        <w:t xml:space="preserve"> </w:t>
      </w:r>
      <w:proofErr w:type="gramStart"/>
      <w:r w:rsidRPr="008658C5">
        <w:rPr>
          <w:rFonts w:ascii="Arial" w:hAnsi="Arial" w:cs="Arial"/>
          <w:color w:val="auto"/>
          <w:sz w:val="16"/>
          <w:szCs w:val="16"/>
        </w:rPr>
        <w:t xml:space="preserve">Acetylation </w:t>
      </w:r>
      <w:r>
        <w:rPr>
          <w:rFonts w:ascii="Arial" w:hAnsi="Arial" w:cs="Arial"/>
          <w:color w:val="auto"/>
          <w:sz w:val="16"/>
          <w:szCs w:val="16"/>
        </w:rPr>
        <w:t>of l</w:t>
      </w:r>
      <w:r w:rsidRPr="008658C5">
        <w:rPr>
          <w:rFonts w:ascii="Arial" w:hAnsi="Arial" w:cs="Arial"/>
          <w:color w:val="auto"/>
          <w:sz w:val="16"/>
          <w:szCs w:val="16"/>
        </w:rPr>
        <w:t>ys</w:t>
      </w:r>
      <w:r>
        <w:rPr>
          <w:rFonts w:ascii="Arial" w:hAnsi="Arial" w:cs="Arial"/>
          <w:color w:val="auto"/>
          <w:sz w:val="16"/>
          <w:szCs w:val="16"/>
        </w:rPr>
        <w:t>ine residues, variation in respo</w:t>
      </w:r>
      <w:r w:rsidRPr="008658C5">
        <w:rPr>
          <w:rFonts w:ascii="Arial" w:hAnsi="Arial" w:cs="Arial"/>
          <w:color w:val="auto"/>
          <w:sz w:val="16"/>
          <w:szCs w:val="16"/>
        </w:rPr>
        <w:t>n</w:t>
      </w:r>
      <w:r>
        <w:rPr>
          <w:rFonts w:ascii="Arial" w:hAnsi="Arial" w:cs="Arial"/>
          <w:color w:val="auto"/>
          <w:sz w:val="16"/>
          <w:szCs w:val="16"/>
        </w:rPr>
        <w:t>s</w:t>
      </w:r>
      <w:r w:rsidRPr="008658C5">
        <w:rPr>
          <w:rFonts w:ascii="Arial" w:hAnsi="Arial" w:cs="Arial"/>
          <w:color w:val="auto"/>
          <w:sz w:val="16"/>
          <w:szCs w:val="16"/>
        </w:rPr>
        <w:t xml:space="preserve">e to butyrate and impact of </w:t>
      </w:r>
      <w:r>
        <w:rPr>
          <w:rFonts w:ascii="Arial" w:hAnsi="Arial" w:cs="Arial"/>
          <w:color w:val="auto"/>
          <w:sz w:val="16"/>
          <w:szCs w:val="16"/>
        </w:rPr>
        <w:t>l</w:t>
      </w:r>
      <w:r w:rsidRPr="008658C5">
        <w:rPr>
          <w:rFonts w:ascii="Arial" w:hAnsi="Arial" w:cs="Arial"/>
          <w:color w:val="auto"/>
          <w:sz w:val="16"/>
          <w:szCs w:val="16"/>
        </w:rPr>
        <w:t>ys</w:t>
      </w:r>
      <w:r>
        <w:rPr>
          <w:rFonts w:ascii="Arial" w:hAnsi="Arial" w:cs="Arial"/>
          <w:color w:val="auto"/>
          <w:sz w:val="16"/>
          <w:szCs w:val="16"/>
        </w:rPr>
        <w:t>ine residues</w:t>
      </w:r>
      <w:r w:rsidRPr="008658C5">
        <w:rPr>
          <w:rFonts w:ascii="Arial" w:hAnsi="Arial" w:cs="Arial"/>
          <w:color w:val="auto"/>
          <w:sz w:val="16"/>
          <w:szCs w:val="16"/>
        </w:rPr>
        <w:t xml:space="preserve"> acetylation on </w:t>
      </w:r>
      <w:r>
        <w:rPr>
          <w:rFonts w:ascii="Arial" w:hAnsi="Arial" w:cs="Arial"/>
          <w:color w:val="auto"/>
          <w:sz w:val="16"/>
          <w:szCs w:val="16"/>
        </w:rPr>
        <w:t xml:space="preserve">the TCA cycle </w:t>
      </w:r>
      <w:r w:rsidRPr="008658C5">
        <w:rPr>
          <w:rFonts w:ascii="Arial" w:hAnsi="Arial" w:cs="Arial"/>
          <w:color w:val="auto"/>
          <w:sz w:val="16"/>
          <w:szCs w:val="16"/>
        </w:rPr>
        <w:t>enzymes.</w:t>
      </w:r>
      <w:proofErr w:type="gramEnd"/>
      <w:r>
        <w:rPr>
          <w:rFonts w:ascii="Arial" w:hAnsi="Arial" w:cs="Arial"/>
          <w:color w:val="auto"/>
          <w:sz w:val="16"/>
          <w:szCs w:val="16"/>
        </w:rPr>
        <w:t xml:space="preserve"> </w:t>
      </w:r>
      <w:r w:rsidR="00492DA2" w:rsidRPr="00492DA2">
        <w:rPr>
          <w:rFonts w:ascii="Arial" w:hAnsi="Arial" w:cs="Arial"/>
          <w:i/>
          <w:color w:val="auto"/>
          <w:sz w:val="16"/>
          <w:szCs w:val="16"/>
        </w:rPr>
        <w:t>Some of</w:t>
      </w:r>
      <w:r w:rsidR="00492DA2">
        <w:rPr>
          <w:rFonts w:ascii="Arial" w:hAnsi="Arial" w:cs="Arial"/>
          <w:color w:val="auto"/>
          <w:sz w:val="16"/>
          <w:szCs w:val="16"/>
        </w:rPr>
        <w:t xml:space="preserve"> t</w:t>
      </w:r>
      <w:r w:rsidR="00492DA2" w:rsidRPr="004C2A30">
        <w:rPr>
          <w:rFonts w:ascii="Arial" w:hAnsi="Arial" w:cs="Arial"/>
          <w:i/>
          <w:color w:val="auto"/>
          <w:sz w:val="16"/>
          <w:szCs w:val="16"/>
        </w:rPr>
        <w:t xml:space="preserve">he acetylated lysine residues </w:t>
      </w:r>
      <w:r w:rsidR="00492DA2">
        <w:rPr>
          <w:rFonts w:ascii="Arial" w:hAnsi="Arial" w:cs="Arial"/>
          <w:i/>
          <w:color w:val="auto"/>
          <w:sz w:val="16"/>
          <w:szCs w:val="16"/>
        </w:rPr>
        <w:t xml:space="preserve">were found in other species, but match the </w:t>
      </w:r>
      <w:r w:rsidR="00492DA2" w:rsidRPr="004C2A30">
        <w:rPr>
          <w:rFonts w:ascii="Arial" w:hAnsi="Arial" w:cs="Arial"/>
          <w:i/>
          <w:color w:val="auto"/>
          <w:sz w:val="16"/>
          <w:szCs w:val="16"/>
        </w:rPr>
        <w:t>reported in humans.</w:t>
      </w:r>
      <w:bookmarkEnd w:id="249"/>
      <w:r w:rsidR="00492DA2" w:rsidRPr="004C2A30">
        <w:rPr>
          <w:rFonts w:ascii="Arial" w:hAnsi="Arial" w:cs="Arial"/>
          <w:i/>
          <w:color w:val="auto"/>
          <w:sz w:val="16"/>
          <w:szCs w:val="16"/>
        </w:rPr>
        <w:t xml:space="preserve"> </w:t>
      </w:r>
    </w:p>
    <w:p w:rsidR="00EF1380" w:rsidRDefault="00EF1380" w:rsidP="00EF1380">
      <w:pPr>
        <w:rPr>
          <w:lang w:eastAsia="es-MX"/>
        </w:rPr>
      </w:pPr>
    </w:p>
    <w:p w:rsidR="00EF1380" w:rsidRDefault="00EF1380" w:rsidP="00EF1380">
      <w:pPr>
        <w:rPr>
          <w:lang w:eastAsia="es-MX"/>
        </w:rPr>
      </w:pPr>
    </w:p>
    <w:p w:rsidR="00EF1380" w:rsidRDefault="00EF1380" w:rsidP="00EF1380">
      <w:pPr>
        <w:rPr>
          <w:lang w:eastAsia="es-MX"/>
        </w:rPr>
      </w:pPr>
    </w:p>
    <w:p w:rsidR="00EF1380" w:rsidRDefault="00EF1380" w:rsidP="00EF1380">
      <w:pPr>
        <w:rPr>
          <w:lang w:eastAsia="es-MX"/>
        </w:rPr>
      </w:pPr>
    </w:p>
    <w:p w:rsidR="00EF1380" w:rsidRDefault="00EF1380" w:rsidP="00EF1380">
      <w:pPr>
        <w:rPr>
          <w:lang w:eastAsia="es-MX"/>
        </w:rPr>
      </w:pPr>
    </w:p>
    <w:p w:rsidR="00EF1380" w:rsidRDefault="00EF1380" w:rsidP="00EF1380">
      <w:pPr>
        <w:rPr>
          <w:lang w:eastAsia="es-MX"/>
        </w:rPr>
      </w:pPr>
    </w:p>
    <w:p w:rsidR="00EF1380" w:rsidRDefault="00EF1380" w:rsidP="00EF1380">
      <w:pPr>
        <w:rPr>
          <w:lang w:eastAsia="es-MX"/>
        </w:rPr>
      </w:pPr>
    </w:p>
    <w:p w:rsidR="00EF1380" w:rsidRPr="00294A85" w:rsidRDefault="00EF1380" w:rsidP="00EF1380">
      <w:pPr>
        <w:rPr>
          <w:lang w:eastAsia="es-MX"/>
        </w:rPr>
      </w:pPr>
    </w:p>
    <w:tbl>
      <w:tblPr>
        <w:tblStyle w:val="LightList"/>
        <w:tblW w:w="9073" w:type="dxa"/>
        <w:tblInd w:w="-34" w:type="dxa"/>
        <w:tblLook w:val="04A0" w:firstRow="1" w:lastRow="0" w:firstColumn="1" w:lastColumn="0" w:noHBand="0" w:noVBand="1"/>
      </w:tblPr>
      <w:tblGrid>
        <w:gridCol w:w="1239"/>
        <w:gridCol w:w="3284"/>
        <w:gridCol w:w="2205"/>
        <w:gridCol w:w="2345"/>
      </w:tblGrid>
      <w:tr w:rsidR="00EF1380" w:rsidRPr="00155A38" w:rsidTr="009B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Borders>
              <w:top w:val="single" w:sz="8" w:space="0" w:color="000000" w:themeColor="text1"/>
              <w:left w:val="single" w:sz="8" w:space="0" w:color="000000" w:themeColor="text1"/>
              <w:bottom w:val="nil"/>
              <w:right w:val="nil"/>
            </w:tcBorders>
            <w:hideMark/>
          </w:tcPr>
          <w:p w:rsidR="00EF1380" w:rsidRPr="00E33CD3" w:rsidRDefault="00EF1380" w:rsidP="009B400B">
            <w:pPr>
              <w:jc w:val="center"/>
              <w:rPr>
                <w:rFonts w:cs="Arial"/>
                <w:b w:val="0"/>
                <w:bCs w:val="0"/>
                <w:color w:val="auto"/>
                <w:sz w:val="16"/>
                <w:szCs w:val="16"/>
              </w:rPr>
            </w:pPr>
            <w:r w:rsidRPr="00E33CD3">
              <w:rPr>
                <w:rFonts w:cs="Arial"/>
                <w:sz w:val="16"/>
                <w:szCs w:val="16"/>
              </w:rPr>
              <w:lastRenderedPageBreak/>
              <w:t>β-oxidation enzyme</w:t>
            </w:r>
          </w:p>
        </w:tc>
        <w:tc>
          <w:tcPr>
            <w:tcW w:w="3284" w:type="dxa"/>
            <w:tcBorders>
              <w:top w:val="single" w:sz="8" w:space="0" w:color="000000" w:themeColor="text1"/>
              <w:left w:val="nil"/>
              <w:bottom w:val="nil"/>
              <w:right w:val="nil"/>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Acetylated Lys residues</w:t>
            </w:r>
          </w:p>
        </w:tc>
        <w:tc>
          <w:tcPr>
            <w:tcW w:w="2205" w:type="dxa"/>
            <w:tcBorders>
              <w:top w:val="single" w:sz="8" w:space="0" w:color="000000" w:themeColor="text1"/>
              <w:left w:val="nil"/>
              <w:bottom w:val="nil"/>
              <w:right w:val="nil"/>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Variation in response to butyrate</w:t>
            </w:r>
          </w:p>
        </w:tc>
        <w:tc>
          <w:tcPr>
            <w:tcW w:w="2345" w:type="dxa"/>
            <w:tcBorders>
              <w:top w:val="single" w:sz="8" w:space="0" w:color="000000" w:themeColor="text1"/>
              <w:left w:val="nil"/>
              <w:bottom w:val="nil"/>
              <w:right w:val="single" w:sz="8" w:space="0" w:color="000000" w:themeColor="text1"/>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Impact of Lys acetylation on enzyme function</w:t>
            </w:r>
          </w:p>
        </w:tc>
      </w:tr>
      <w:tr w:rsidR="00EF1380" w:rsidRPr="00155A38" w:rsidTr="009B40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9" w:type="dxa"/>
            <w:tcBorders>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Acyl-CoA synthetase</w:t>
            </w:r>
          </w:p>
        </w:tc>
        <w:tc>
          <w:tcPr>
            <w:tcW w:w="3284" w:type="dxa"/>
            <w:tcBorders>
              <w:left w:val="nil"/>
              <w:right w:val="nil"/>
            </w:tcBorders>
            <w:noWrap/>
            <w:vAlign w:val="center"/>
            <w:hideMark/>
          </w:tcPr>
          <w:p w:rsidR="00EF1380" w:rsidRPr="00E33CD3" w:rsidRDefault="00EF1380" w:rsidP="00AB7E17">
            <w:pPr>
              <w:ind w:left="110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33CD3">
              <w:rPr>
                <w:rFonts w:cs="Arial"/>
                <w:sz w:val="16"/>
                <w:szCs w:val="16"/>
              </w:rPr>
              <w:t xml:space="preserve">49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52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217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223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241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250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341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387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w:t>
            </w:r>
            <w:r w:rsidRPr="0060074A">
              <w:rPr>
                <w:rStyle w:val="HTMLCite"/>
                <w:rFonts w:cs="Arial"/>
                <w:i w:val="0"/>
                <w:sz w:val="16"/>
                <w:szCs w:val="16"/>
                <w:lang w:val="en-US"/>
              </w:rPr>
              <w:t>418</w:t>
            </w:r>
            <w:r w:rsidRPr="00E33CD3">
              <w:rPr>
                <w:rStyle w:val="HTMLCite"/>
                <w:rFonts w:cs="Arial"/>
                <w:sz w:val="16"/>
                <w:szCs w:val="16"/>
                <w:lang w:val="en-US"/>
              </w:rPr>
              <w:t xml:space="preserve"> </w:t>
            </w:r>
            <w:r w:rsidR="006C2756" w:rsidRPr="00E33CD3">
              <w:rPr>
                <w:rStyle w:val="HTMLCite"/>
                <w:rFonts w:cs="Arial"/>
                <w:i w:val="0"/>
                <w:sz w:val="16"/>
                <w:szCs w:val="16"/>
                <w:lang w:val="en-US"/>
              </w:rPr>
              <w:fldChar w:fldCharType="begin"/>
            </w:r>
            <w:r w:rsidR="00FC3C1A">
              <w:rPr>
                <w:rStyle w:val="HTMLCite"/>
                <w:rFonts w:cs="Arial"/>
                <w:i w:val="0"/>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HTMLCite"/>
                <w:rFonts w:cs="Arial"/>
                <w:i w:val="0"/>
                <w:sz w:val="16"/>
                <w:szCs w:val="16"/>
                <w:lang w:val="en-US"/>
              </w:rPr>
              <w:fldChar w:fldCharType="separate"/>
            </w:r>
            <w:r w:rsidR="00FC3C1A">
              <w:rPr>
                <w:rStyle w:val="HTMLCite"/>
                <w:rFonts w:cs="Arial"/>
                <w:i w:val="0"/>
                <w:noProof/>
                <w:sz w:val="16"/>
                <w:szCs w:val="16"/>
                <w:lang w:val="en-US"/>
              </w:rPr>
              <w:t>(</w:t>
            </w:r>
            <w:hyperlink w:anchor="_ENREF_64" w:tooltip="Choudhary  C, 2009 #44" w:history="1">
              <w:r w:rsidR="00AB7E17">
                <w:rPr>
                  <w:rStyle w:val="HTMLCite"/>
                  <w:rFonts w:cs="Arial"/>
                  <w:i w:val="0"/>
                  <w:noProof/>
                  <w:sz w:val="16"/>
                  <w:szCs w:val="16"/>
                  <w:lang w:val="en-US"/>
                </w:rPr>
                <w:t>64</w:t>
              </w:r>
            </w:hyperlink>
            <w:r w:rsidR="00FC3C1A">
              <w:rPr>
                <w:rStyle w:val="HTMLCite"/>
                <w:rFonts w:cs="Arial"/>
                <w:i w:val="0"/>
                <w:noProof/>
                <w:sz w:val="16"/>
                <w:szCs w:val="16"/>
                <w:lang w:val="en-US"/>
              </w:rPr>
              <w:t>)</w:t>
            </w:r>
            <w:r w:rsidR="006C2756" w:rsidRPr="00E33CD3">
              <w:rPr>
                <w:rStyle w:val="HTMLCite"/>
                <w:rFonts w:cs="Arial"/>
                <w:i w:val="0"/>
                <w:sz w:val="16"/>
                <w:szCs w:val="16"/>
                <w:lang w:val="en-US"/>
              </w:rPr>
              <w:fldChar w:fldCharType="end"/>
            </w:r>
            <w:r w:rsidRPr="00E33CD3">
              <w:rPr>
                <w:rStyle w:val="HTMLCite"/>
                <w:rFonts w:cs="Arial"/>
                <w:sz w:val="16"/>
                <w:szCs w:val="16"/>
                <w:lang w:val="en-US"/>
              </w:rPr>
              <w:t xml:space="preserve">, </w:t>
            </w:r>
            <w:r w:rsidRPr="00E33CD3">
              <w:rPr>
                <w:rFonts w:cs="Arial"/>
                <w:sz w:val="16"/>
                <w:szCs w:val="16"/>
              </w:rPr>
              <w:t xml:space="preserve">428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504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533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534 , 544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562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641</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 xml:space="preserve">, and 649 </w:t>
            </w:r>
            <w:r w:rsidR="006C2756" w:rsidRPr="00E33CD3">
              <w:rPr>
                <w:rFonts w:cs="Arial"/>
                <w:sz w:val="16"/>
                <w:szCs w:val="16"/>
              </w:rPr>
              <w:fldChar w:fldCharType="begin"/>
            </w:r>
            <w:r w:rsidR="00FC3C1A">
              <w:rPr>
                <w:rFonts w:cs="Arial"/>
                <w:sz w:val="16"/>
                <w:szCs w:val="16"/>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3" w:tooltip="Frahm J, 2011 #334" w:history="1">
              <w:r w:rsidR="00AB7E17">
                <w:rPr>
                  <w:rFonts w:cs="Arial"/>
                  <w:noProof/>
                  <w:sz w:val="16"/>
                  <w:szCs w:val="16"/>
                </w:rPr>
                <w:t>63</w:t>
              </w:r>
            </w:hyperlink>
            <w:r w:rsidR="00FC3C1A">
              <w:rPr>
                <w:rFonts w:cs="Arial"/>
                <w:noProof/>
                <w:sz w:val="16"/>
                <w:szCs w:val="16"/>
              </w:rPr>
              <w:t>)</w:t>
            </w:r>
            <w:r w:rsidR="006C2756" w:rsidRPr="00E33CD3">
              <w:rPr>
                <w:rFonts w:cs="Arial"/>
                <w:sz w:val="16"/>
                <w:szCs w:val="16"/>
              </w:rPr>
              <w:fldChar w:fldCharType="end"/>
            </w:r>
            <w:r w:rsidRPr="00E33CD3">
              <w:rPr>
                <w:rFonts w:cs="Arial"/>
                <w:sz w:val="16"/>
                <w:szCs w:val="16"/>
              </w:rPr>
              <w:t>.</w:t>
            </w:r>
          </w:p>
        </w:tc>
        <w:tc>
          <w:tcPr>
            <w:tcW w:w="2205" w:type="dxa"/>
            <w:tcBorders>
              <w:left w:val="nil"/>
              <w:right w:val="nil"/>
            </w:tcBorders>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345" w:type="dxa"/>
            <w:tcBorders>
              <w:left w:val="nil"/>
            </w:tcBorders>
            <w:noWrap/>
            <w:vAlign w:val="center"/>
            <w:hideMark/>
          </w:tcPr>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Inactivation </w:t>
            </w:r>
            <w:r w:rsidRPr="00E33CD3">
              <w:rPr>
                <w:rStyle w:val="SC118877"/>
                <w:rFonts w:cs="Arial"/>
                <w:iCs/>
                <w:color w:val="auto"/>
                <w:sz w:val="16"/>
                <w:szCs w:val="16"/>
              </w:rPr>
              <w:t xml:space="preserve">in </w:t>
            </w:r>
            <w:r w:rsidRPr="00E33CD3">
              <w:rPr>
                <w:rFonts w:cs="Arial"/>
                <w:i/>
                <w:sz w:val="16"/>
                <w:szCs w:val="16"/>
              </w:rPr>
              <w:t>Rhodopseudomonas palustris</w:t>
            </w:r>
            <w:r w:rsidRPr="00E33CD3">
              <w:rPr>
                <w:rStyle w:val="SC118877"/>
                <w:rFonts w:cs="Arial"/>
                <w:iCs/>
                <w:color w:val="auto"/>
                <w:sz w:val="16"/>
                <w:szCs w:val="16"/>
              </w:rPr>
              <w:t xml:space="preserve">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&lt;EndNote&gt;&lt;Cite&gt;&lt;Author&gt;Crosby H&lt;/Author&gt;&lt;Year&gt;2014&lt;/Year&gt;&lt;RecNum&gt;333&lt;/RecNum&gt;&lt;DisplayText&gt;(65)&lt;/DisplayText&gt;&lt;record&gt;&lt;rec-number&gt;333&lt;/rec-number&gt;&lt;foreign-keys&gt;&lt;key app="EN" db-id="zxp9w5sa30aeafes0xox2eem00dz2z2aswad"&gt;333&lt;/key&gt;&lt;/foreign-keys&gt;&lt;ref-type name="Journal Article"&gt;17&lt;/ref-type&gt;&lt;contributors&gt;&lt;authors&gt;&lt;author&gt;Crosby H,&lt;/author&gt;&lt;author&gt;Escalante-Semerena J,&lt;/author&gt;&lt;/authors&gt;&lt;/contributors&gt;&lt;titles&gt;&lt;title&gt;The acetylation motif in AMP-forming acyl-CoA synthetases contains residues critical for acetylation and recognition by the protein acetyltransferase Pat of Rhodopseudomonas palustris&lt;/title&gt;&lt;secondary-title&gt;J Bacteriol&lt;/secondary-title&gt;&lt;/titles&gt;&lt;periodical&gt;&lt;full-title&gt;J Bacteriol&lt;/full-title&gt;&lt;/periodical&gt;&lt;pages&gt;1496-1504&lt;/pages&gt;&lt;dates&gt;&lt;year&gt;2014&lt;/year&gt;&lt;/dates&gt;&lt;urls&gt;&lt;/urls&gt;&lt;/record&gt;&lt;/Cite&gt;&lt;/EndNote&gt;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5" w:tooltip="Crosby H, 2014 #333" w:history="1">
              <w:r w:rsidR="00AB7E17">
                <w:rPr>
                  <w:rStyle w:val="SC118877"/>
                  <w:rFonts w:cs="Arial"/>
                  <w:iCs/>
                  <w:noProof/>
                  <w:color w:val="auto"/>
                  <w:sz w:val="16"/>
                  <w:szCs w:val="16"/>
                </w:rPr>
                <w:t>65</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w:t>
            </w:r>
            <w:r w:rsidRPr="00E33CD3">
              <w:rPr>
                <w:rFonts w:eastAsia="Times New Roman" w:cs="Arial"/>
                <w:sz w:val="16"/>
                <w:szCs w:val="16"/>
              </w:rPr>
              <w:t xml:space="preserve">  </w:t>
            </w:r>
          </w:p>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Inhibition by mutations at Lys 676 </w:t>
            </w:r>
            <w:r w:rsidRPr="0060074A">
              <w:rPr>
                <w:rFonts w:cs="Arial"/>
                <w:i/>
                <w:sz w:val="16"/>
                <w:szCs w:val="16"/>
                <w:shd w:val="clear" w:color="auto" w:fill="FFFFFF"/>
              </w:rPr>
              <w:t>in</w:t>
            </w:r>
            <w:r>
              <w:rPr>
                <w:rFonts w:cs="Arial"/>
                <w:i/>
                <w:sz w:val="16"/>
                <w:szCs w:val="16"/>
                <w:shd w:val="clear" w:color="auto" w:fill="FFFFFF"/>
              </w:rPr>
              <w:t xml:space="preserve"> </w:t>
            </w:r>
            <w:r w:rsidRPr="0060074A">
              <w:rPr>
                <w:rFonts w:cs="Arial"/>
                <w:i/>
                <w:sz w:val="16"/>
                <w:szCs w:val="16"/>
                <w:shd w:val="clear" w:color="auto" w:fill="FFFFFF"/>
              </w:rPr>
              <w:t>vitro</w:t>
            </w:r>
            <w:r>
              <w:rPr>
                <w:rFonts w:cs="Arial"/>
                <w:sz w:val="16"/>
                <w:szCs w:val="16"/>
                <w:shd w:val="clear" w:color="auto" w:fill="FFFFFF"/>
              </w:rPr>
              <w:t xml:space="preserve"> and </w:t>
            </w:r>
            <w:r>
              <w:rPr>
                <w:rFonts w:cs="Arial"/>
                <w:i/>
                <w:sz w:val="16"/>
                <w:szCs w:val="16"/>
                <w:shd w:val="clear" w:color="auto" w:fill="FFFFFF"/>
              </w:rPr>
              <w:t xml:space="preserve">in </w:t>
            </w:r>
            <w:r w:rsidRPr="00C831A5">
              <w:rPr>
                <w:rFonts w:cs="Arial"/>
                <w:sz w:val="16"/>
                <w:szCs w:val="16"/>
                <w:shd w:val="clear" w:color="auto" w:fill="FFFFFF"/>
              </w:rPr>
              <w:t>vivo</w:t>
            </w:r>
            <w:r>
              <w:rPr>
                <w:rFonts w:cs="Arial"/>
                <w:sz w:val="16"/>
                <w:szCs w:val="16"/>
                <w:shd w:val="clear" w:color="auto" w:fill="FFFFFF"/>
              </w:rPr>
              <w:t xml:space="preserve">. </w:t>
            </w:r>
            <w:r w:rsidRPr="00E33CD3">
              <w:rPr>
                <w:rFonts w:eastAsia="Times New Roman" w:cs="Arial"/>
                <w:sz w:val="16"/>
                <w:szCs w:val="16"/>
              </w:rPr>
              <w:t xml:space="preserve">Decrease in activity by mutations at Lys 285 </w:t>
            </w:r>
            <w:r>
              <w:rPr>
                <w:rFonts w:eastAsia="Times New Roman" w:cs="Arial"/>
                <w:i/>
                <w:sz w:val="16"/>
                <w:szCs w:val="16"/>
              </w:rPr>
              <w:t xml:space="preserve">in vitro </w:t>
            </w:r>
            <w:r>
              <w:rPr>
                <w:rFonts w:eastAsia="Times New Roman" w:cs="Arial"/>
                <w:sz w:val="16"/>
                <w:szCs w:val="16"/>
              </w:rPr>
              <w:t xml:space="preserve">and </w:t>
            </w:r>
            <w:r>
              <w:rPr>
                <w:rFonts w:eastAsia="Times New Roman" w:cs="Arial"/>
                <w:i/>
                <w:sz w:val="16"/>
                <w:szCs w:val="16"/>
              </w:rPr>
              <w:t>in vivo</w:t>
            </w:r>
            <w:r w:rsidRPr="00E33CD3">
              <w:rPr>
                <w:rFonts w:cs="Arial"/>
                <w:sz w:val="16"/>
                <w:szCs w:val="16"/>
                <w:shd w:val="clear" w:color="auto" w:fill="FFFFFF"/>
              </w:rPr>
              <w:t xml:space="preserve">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&lt;EndNote&gt;&lt;Cite&gt;&lt;Author&gt;Frahm J&lt;/Author&gt;&lt;Year&gt;2011&lt;/Year&gt;&lt;RecNum&gt;334&lt;/RecNum&gt;&lt;DisplayText&gt;(63)&lt;/DisplayText&gt;&lt;record&gt;&lt;rec-number&gt;334&lt;/rec-number&gt;&lt;foreign-keys&gt;&lt;key app="EN" db-id="zxp9w5sa30aeafes0xox2eem00dz2z2aswad"&gt;334&lt;/key&gt;&lt;/foreign-keys&gt;&lt;ref-type name="Journal Article"&gt;17&lt;/ref-type&gt;&lt;contributors&gt;&lt;authors&gt;&lt;author&gt;Frahm J,&lt;/author&gt;&lt;author&gt;Li L,&lt;/author&gt;&lt;author&gt;Grevengoed T,&lt;/author&gt;&lt;author&gt;Coleman R,&lt;/author&gt;&lt;/authors&gt;&lt;/contributors&gt;&lt;titles&gt;&lt;title&gt;Phosphorylation and Acetylation of Acyl-CoA Synthetase- I&lt;/title&gt;&lt;secondary-title&gt;J Proteomics Bioinform&lt;/secondary-title&gt;&lt;/titles&gt;&lt;periodical&gt;&lt;full-title&gt;J Proteomics Bioinform&lt;/full-title&gt;&lt;/periodical&gt;&lt;pages&gt;129-137&lt;/pages&gt;&lt;volume&gt;4&lt;/volume&gt;&lt;number&gt;7&lt;/number&gt;&lt;dates&gt;&lt;year&gt;2011&lt;/year&gt;&lt;/dates&gt;&lt;urls&gt;&lt;/urls&gt;&lt;/record&gt;&lt;/Cite&gt;&lt;/EndNote&gt;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63" w:tooltip="Frahm J, 2011 #334" w:history="1">
              <w:r w:rsidR="00AB7E17">
                <w:rPr>
                  <w:rFonts w:cs="Arial"/>
                  <w:noProof/>
                  <w:sz w:val="16"/>
                  <w:szCs w:val="16"/>
                  <w:shd w:val="clear" w:color="auto" w:fill="FFFFFF"/>
                </w:rPr>
                <w:t>63</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r>
      <w:tr w:rsidR="00EF1380" w:rsidRPr="00155A38" w:rsidTr="009B400B">
        <w:trPr>
          <w:trHeight w:val="315"/>
        </w:trPr>
        <w:tc>
          <w:tcPr>
            <w:cnfStyle w:val="001000000000" w:firstRow="0" w:lastRow="0" w:firstColumn="1" w:lastColumn="0" w:oddVBand="0" w:evenVBand="0" w:oddHBand="0" w:evenHBand="0" w:firstRowFirstColumn="0" w:firstRowLastColumn="0" w:lastRowFirstColumn="0" w:lastRowLastColumn="0"/>
            <w:tcW w:w="1239" w:type="dxa"/>
            <w:tcBorders>
              <w:top w:val="nil"/>
              <w:left w:val="single" w:sz="8" w:space="0" w:color="000000" w:themeColor="text1"/>
              <w:bottom w:val="nil"/>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Enoyl-CoA hydratase</w:t>
            </w:r>
          </w:p>
        </w:tc>
        <w:tc>
          <w:tcPr>
            <w:tcW w:w="3284" w:type="dxa"/>
            <w:tcBorders>
              <w:top w:val="nil"/>
              <w:left w:val="nil"/>
              <w:bottom w:val="nil"/>
              <w:right w:val="nil"/>
            </w:tcBorders>
            <w:noWrap/>
            <w:vAlign w:val="center"/>
            <w:hideMark/>
          </w:tcPr>
          <w:p w:rsidR="00EF1380" w:rsidRPr="00E33CD3" w:rsidRDefault="00EF1380" w:rsidP="00AB7E1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33CD3">
              <w:rPr>
                <w:rStyle w:val="HTMLCite"/>
                <w:rFonts w:cs="Arial"/>
                <w:i w:val="0"/>
                <w:sz w:val="16"/>
                <w:szCs w:val="16"/>
                <w:lang w:val="en-US"/>
              </w:rPr>
              <w:t xml:space="preserve">40, 118 </w:t>
            </w:r>
            <w:r w:rsidR="006C2756" w:rsidRPr="00E33CD3">
              <w:rPr>
                <w:rStyle w:val="HTMLCite"/>
                <w:rFonts w:cs="Arial"/>
                <w:i w:val="0"/>
                <w:sz w:val="16"/>
                <w:szCs w:val="16"/>
                <w:lang w:val="en-US"/>
              </w:rPr>
              <w:fldChar w:fldCharType="begin"/>
            </w:r>
            <w:r w:rsidR="00FC3C1A">
              <w:rPr>
                <w:rStyle w:val="HTMLCite"/>
                <w:rFonts w:cs="Arial"/>
                <w:i w:val="0"/>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HTMLCite"/>
                <w:rFonts w:cs="Arial"/>
                <w:i w:val="0"/>
                <w:sz w:val="16"/>
                <w:szCs w:val="16"/>
                <w:lang w:val="en-US"/>
              </w:rPr>
              <w:fldChar w:fldCharType="separate"/>
            </w:r>
            <w:r w:rsidR="00FC3C1A">
              <w:rPr>
                <w:rStyle w:val="HTMLCite"/>
                <w:rFonts w:cs="Arial"/>
                <w:i w:val="0"/>
                <w:noProof/>
                <w:sz w:val="16"/>
                <w:szCs w:val="16"/>
                <w:lang w:val="en-US"/>
              </w:rPr>
              <w:t>(</w:t>
            </w:r>
            <w:hyperlink w:anchor="_ENREF_64" w:tooltip="Choudhary  C, 2009 #44" w:history="1">
              <w:r w:rsidR="00AB7E17">
                <w:rPr>
                  <w:rStyle w:val="HTMLCite"/>
                  <w:rFonts w:cs="Arial"/>
                  <w:i w:val="0"/>
                  <w:noProof/>
                  <w:sz w:val="16"/>
                  <w:szCs w:val="16"/>
                  <w:lang w:val="en-US"/>
                </w:rPr>
                <w:t>64</w:t>
              </w:r>
            </w:hyperlink>
            <w:r w:rsidR="00FC3C1A">
              <w:rPr>
                <w:rStyle w:val="HTMLCite"/>
                <w:rFonts w:cs="Arial"/>
                <w:i w:val="0"/>
                <w:noProof/>
                <w:sz w:val="16"/>
                <w:szCs w:val="16"/>
                <w:lang w:val="en-US"/>
              </w:rPr>
              <w:t>)</w:t>
            </w:r>
            <w:r w:rsidR="006C2756" w:rsidRPr="00E33CD3">
              <w:rPr>
                <w:rStyle w:val="HTMLCite"/>
                <w:rFonts w:cs="Arial"/>
                <w:i w:val="0"/>
                <w:sz w:val="16"/>
                <w:szCs w:val="16"/>
                <w:lang w:val="en-US"/>
              </w:rPr>
              <w:fldChar w:fldCharType="end"/>
            </w:r>
            <w:r w:rsidRPr="00E33CD3">
              <w:rPr>
                <w:rStyle w:val="HTMLCite"/>
                <w:rFonts w:cs="Arial"/>
                <w:i w:val="0"/>
                <w:sz w:val="16"/>
                <w:szCs w:val="16"/>
                <w:lang w:val="en-US"/>
              </w:rPr>
              <w:t>,</w:t>
            </w:r>
            <w:r w:rsidRPr="00E33CD3">
              <w:rPr>
                <w:rStyle w:val="HTMLCite"/>
                <w:rFonts w:cs="Arial"/>
                <w:sz w:val="16"/>
                <w:szCs w:val="16"/>
                <w:lang w:val="en-US"/>
              </w:rPr>
              <w:t xml:space="preserve"> </w:t>
            </w:r>
            <w:r w:rsidRPr="00E33CD3">
              <w:rPr>
                <w:rFonts w:cs="Arial"/>
                <w:sz w:val="16"/>
                <w:szCs w:val="16"/>
              </w:rPr>
              <w:t xml:space="preserve">165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rPr>
              <w:t xml:space="preserve">, 171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rPr>
              <w:t xml:space="preserve">, 346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rPr>
              <w:t xml:space="preserve">, and 584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c>
          <w:tcPr>
            <w:tcW w:w="2205" w:type="dxa"/>
            <w:tcBorders>
              <w:top w:val="nil"/>
              <w:left w:val="nil"/>
              <w:bottom w:val="nil"/>
              <w:right w:val="nil"/>
            </w:tcBorders>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345" w:type="dxa"/>
            <w:tcBorders>
              <w:top w:val="nil"/>
              <w:left w:val="nil"/>
              <w:bottom w:val="nil"/>
              <w:right w:val="single" w:sz="8" w:space="0" w:color="000000" w:themeColor="text1"/>
            </w:tcBorders>
            <w:noWrap/>
            <w:vAlign w:val="center"/>
            <w:hideMark/>
          </w:tcPr>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Enhances activity in nuclear, cytosolic and mitochondrial fractions of human liver tissue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r>
      <w:tr w:rsidR="00EF1380" w:rsidRPr="00155A38" w:rsidTr="009B40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9" w:type="dxa"/>
            <w:tcBorders>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β-hydroxyacyl CoA dehydrogenase</w:t>
            </w:r>
          </w:p>
        </w:tc>
        <w:tc>
          <w:tcPr>
            <w:tcW w:w="3284" w:type="dxa"/>
            <w:tcBorders>
              <w:left w:val="nil"/>
              <w:right w:val="nil"/>
            </w:tcBorders>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None</w:t>
            </w:r>
            <w:r>
              <w:rPr>
                <w:rFonts w:eastAsia="Times New Roman" w:cs="Arial"/>
                <w:sz w:val="16"/>
                <w:szCs w:val="16"/>
              </w:rPr>
              <w:t xml:space="preserve"> reported</w:t>
            </w:r>
          </w:p>
        </w:tc>
        <w:tc>
          <w:tcPr>
            <w:tcW w:w="2205" w:type="dxa"/>
            <w:tcBorders>
              <w:left w:val="nil"/>
              <w:right w:val="nil"/>
            </w:tcBorders>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345" w:type="dxa"/>
            <w:tcBorders>
              <w:left w:val="nil"/>
            </w:tcBorders>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Enhances activity in nuclear, cytosolic and mitochondrial fractions of human liver tissue </w:t>
            </w:r>
            <w:r w:rsidR="006C2756" w:rsidRPr="00E33CD3">
              <w:rPr>
                <w:rFonts w:cs="Arial"/>
                <w:sz w:val="16"/>
                <w:szCs w:val="16"/>
                <w:shd w:val="clear" w:color="auto" w:fill="FFFFFF"/>
              </w:rPr>
              <w:fldChar w:fldCharType="begin"/>
            </w:r>
            <w:r w:rsidR="000B3EAF">
              <w:rPr>
                <w:rFonts w:cs="Arial"/>
                <w:sz w:val="16"/>
                <w:szCs w:val="16"/>
                <w:shd w:val="clear" w:color="auto" w:fill="FFFFFF"/>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cs="Arial"/>
                <w:sz w:val="16"/>
                <w:szCs w:val="16"/>
                <w:shd w:val="clear" w:color="auto" w:fill="FFFFFF"/>
              </w:rPr>
              <w:fldChar w:fldCharType="separate"/>
            </w:r>
            <w:r w:rsidR="000B3EAF">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0B3EAF">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r>
      <w:tr w:rsidR="00EF1380" w:rsidRPr="00155A38" w:rsidTr="009B400B">
        <w:trPr>
          <w:trHeight w:val="315"/>
        </w:trPr>
        <w:tc>
          <w:tcPr>
            <w:cnfStyle w:val="001000000000" w:firstRow="0" w:lastRow="0" w:firstColumn="1" w:lastColumn="0" w:oddVBand="0" w:evenVBand="0" w:oddHBand="0" w:evenHBand="0" w:firstRowFirstColumn="0" w:firstRowLastColumn="0" w:lastRowFirstColumn="0" w:lastRowLastColumn="0"/>
            <w:tcW w:w="1239" w:type="dxa"/>
            <w:tcBorders>
              <w:top w:val="nil"/>
              <w:left w:val="single" w:sz="8" w:space="0" w:color="000000" w:themeColor="text1"/>
              <w:bottom w:val="single" w:sz="8" w:space="0" w:color="000000" w:themeColor="text1"/>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Thiolase</w:t>
            </w:r>
          </w:p>
        </w:tc>
        <w:tc>
          <w:tcPr>
            <w:tcW w:w="3284" w:type="dxa"/>
            <w:tcBorders>
              <w:top w:val="nil"/>
              <w:left w:val="nil"/>
              <w:bottom w:val="single" w:sz="8" w:space="0" w:color="000000" w:themeColor="text1"/>
              <w:right w:val="nil"/>
            </w:tcBorders>
            <w:noWrap/>
            <w:vAlign w:val="center"/>
            <w:hideMark/>
          </w:tcPr>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83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124, 131, 174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Cite&gt;&lt;Author&gt;Choudhary  C&lt;/Author&gt;&lt;Year&gt;2009&lt;/Year&gt;&lt;RecNum&gt;44&lt;/RecNum&gt;&lt;record&gt;&lt;rec-number&gt;44&lt;/rec-number&gt;&lt;foreign-keys&gt;&lt;key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181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190, 202, 203, 251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257, 263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and 302.</w:t>
            </w:r>
          </w:p>
        </w:tc>
        <w:tc>
          <w:tcPr>
            <w:tcW w:w="2205" w:type="dxa"/>
            <w:tcBorders>
              <w:top w:val="nil"/>
              <w:left w:val="nil"/>
              <w:bottom w:val="single" w:sz="8" w:space="0" w:color="000000" w:themeColor="text1"/>
              <w:right w:val="nil"/>
            </w:tcBorders>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345" w:type="dxa"/>
            <w:tcBorders>
              <w:top w:val="nil"/>
              <w:left w:val="nil"/>
              <w:bottom w:val="single" w:sz="8" w:space="0" w:color="000000" w:themeColor="text1"/>
              <w:right w:val="single" w:sz="8" w:space="0" w:color="000000" w:themeColor="text1"/>
            </w:tcBorders>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bl>
    <w:p w:rsidR="00492DA2" w:rsidRPr="004C2A30" w:rsidRDefault="00EF1380" w:rsidP="00492DA2">
      <w:pPr>
        <w:pStyle w:val="Caption"/>
        <w:jc w:val="both"/>
        <w:rPr>
          <w:rFonts w:ascii="Arial" w:hAnsi="Arial" w:cs="Arial"/>
          <w:i/>
          <w:color w:val="auto"/>
          <w:sz w:val="16"/>
          <w:szCs w:val="16"/>
        </w:rPr>
      </w:pPr>
      <w:bookmarkStart w:id="250" w:name="_Toc413667002"/>
      <w:proofErr w:type="gramStart"/>
      <w:r w:rsidRPr="004C2A30">
        <w:rPr>
          <w:rFonts w:ascii="Arial" w:hAnsi="Arial" w:cs="Arial"/>
          <w:color w:val="auto"/>
          <w:sz w:val="16"/>
          <w:szCs w:val="16"/>
        </w:rPr>
        <w:t xml:space="preserve">Table </w:t>
      </w:r>
      <w:r w:rsidR="006C2756" w:rsidRPr="004C2A30">
        <w:rPr>
          <w:rFonts w:ascii="Arial" w:hAnsi="Arial" w:cs="Arial"/>
          <w:color w:val="auto"/>
          <w:sz w:val="16"/>
          <w:szCs w:val="16"/>
        </w:rPr>
        <w:fldChar w:fldCharType="begin"/>
      </w:r>
      <w:r w:rsidRPr="004C2A30">
        <w:rPr>
          <w:rFonts w:ascii="Arial" w:hAnsi="Arial" w:cs="Arial"/>
          <w:color w:val="auto"/>
          <w:sz w:val="16"/>
          <w:szCs w:val="16"/>
        </w:rPr>
        <w:instrText xml:space="preserve"> SEQ Table \* ARABIC </w:instrText>
      </w:r>
      <w:r w:rsidR="006C2756" w:rsidRPr="004C2A30">
        <w:rPr>
          <w:rFonts w:ascii="Arial" w:hAnsi="Arial" w:cs="Arial"/>
          <w:color w:val="auto"/>
          <w:sz w:val="16"/>
          <w:szCs w:val="16"/>
        </w:rPr>
        <w:fldChar w:fldCharType="separate"/>
      </w:r>
      <w:r w:rsidR="00DC0376">
        <w:rPr>
          <w:rFonts w:ascii="Arial" w:hAnsi="Arial" w:cs="Arial"/>
          <w:noProof/>
          <w:color w:val="auto"/>
          <w:sz w:val="16"/>
          <w:szCs w:val="16"/>
        </w:rPr>
        <w:t>15</w:t>
      </w:r>
      <w:r w:rsidR="006C2756" w:rsidRPr="004C2A30">
        <w:rPr>
          <w:rFonts w:ascii="Arial" w:hAnsi="Arial" w:cs="Arial"/>
          <w:color w:val="auto"/>
          <w:sz w:val="16"/>
          <w:szCs w:val="16"/>
        </w:rPr>
        <w:fldChar w:fldCharType="end"/>
      </w:r>
      <w:r w:rsidRPr="0028372B">
        <w:rPr>
          <w:rFonts w:ascii="Arial" w:hAnsi="Arial" w:cs="Arial"/>
          <w:color w:val="auto"/>
          <w:sz w:val="16"/>
          <w:szCs w:val="16"/>
        </w:rPr>
        <w:t>.</w:t>
      </w:r>
      <w:proofErr w:type="gramEnd"/>
      <w:r w:rsidRPr="00831C69">
        <w:rPr>
          <w:rFonts w:ascii="Arial" w:hAnsi="Arial" w:cs="Arial"/>
          <w:b w:val="0"/>
          <w:sz w:val="16"/>
          <w:szCs w:val="16"/>
        </w:rPr>
        <w:t xml:space="preserve"> </w:t>
      </w:r>
      <w:proofErr w:type="gramStart"/>
      <w:r w:rsidRPr="008658C5">
        <w:rPr>
          <w:rFonts w:ascii="Arial" w:hAnsi="Arial" w:cs="Arial"/>
          <w:color w:val="auto"/>
          <w:sz w:val="16"/>
          <w:szCs w:val="16"/>
        </w:rPr>
        <w:t xml:space="preserve">Acetylation </w:t>
      </w:r>
      <w:r>
        <w:rPr>
          <w:rFonts w:ascii="Arial" w:hAnsi="Arial" w:cs="Arial"/>
          <w:color w:val="auto"/>
          <w:sz w:val="16"/>
          <w:szCs w:val="16"/>
        </w:rPr>
        <w:t>of l</w:t>
      </w:r>
      <w:r w:rsidRPr="008658C5">
        <w:rPr>
          <w:rFonts w:ascii="Arial" w:hAnsi="Arial" w:cs="Arial"/>
          <w:color w:val="auto"/>
          <w:sz w:val="16"/>
          <w:szCs w:val="16"/>
        </w:rPr>
        <w:t>ys</w:t>
      </w:r>
      <w:r>
        <w:rPr>
          <w:rFonts w:ascii="Arial" w:hAnsi="Arial" w:cs="Arial"/>
          <w:color w:val="auto"/>
          <w:sz w:val="16"/>
          <w:szCs w:val="16"/>
        </w:rPr>
        <w:t>ine residues, variation in respo</w:t>
      </w:r>
      <w:r w:rsidRPr="008658C5">
        <w:rPr>
          <w:rFonts w:ascii="Arial" w:hAnsi="Arial" w:cs="Arial"/>
          <w:color w:val="auto"/>
          <w:sz w:val="16"/>
          <w:szCs w:val="16"/>
        </w:rPr>
        <w:t>n</w:t>
      </w:r>
      <w:r>
        <w:rPr>
          <w:rFonts w:ascii="Arial" w:hAnsi="Arial" w:cs="Arial"/>
          <w:color w:val="auto"/>
          <w:sz w:val="16"/>
          <w:szCs w:val="16"/>
        </w:rPr>
        <w:t>s</w:t>
      </w:r>
      <w:r w:rsidRPr="008658C5">
        <w:rPr>
          <w:rFonts w:ascii="Arial" w:hAnsi="Arial" w:cs="Arial"/>
          <w:color w:val="auto"/>
          <w:sz w:val="16"/>
          <w:szCs w:val="16"/>
        </w:rPr>
        <w:t xml:space="preserve">e to butyrate and impact of </w:t>
      </w:r>
      <w:r>
        <w:rPr>
          <w:rFonts w:ascii="Arial" w:hAnsi="Arial" w:cs="Arial"/>
          <w:color w:val="auto"/>
          <w:sz w:val="16"/>
          <w:szCs w:val="16"/>
        </w:rPr>
        <w:t>l</w:t>
      </w:r>
      <w:r w:rsidRPr="008658C5">
        <w:rPr>
          <w:rFonts w:ascii="Arial" w:hAnsi="Arial" w:cs="Arial"/>
          <w:color w:val="auto"/>
          <w:sz w:val="16"/>
          <w:szCs w:val="16"/>
        </w:rPr>
        <w:t>ys</w:t>
      </w:r>
      <w:r>
        <w:rPr>
          <w:rFonts w:ascii="Arial" w:hAnsi="Arial" w:cs="Arial"/>
          <w:color w:val="auto"/>
          <w:sz w:val="16"/>
          <w:szCs w:val="16"/>
        </w:rPr>
        <w:t>ine residues</w:t>
      </w:r>
      <w:r w:rsidRPr="008658C5">
        <w:rPr>
          <w:rFonts w:ascii="Arial" w:hAnsi="Arial" w:cs="Arial"/>
          <w:color w:val="auto"/>
          <w:sz w:val="16"/>
          <w:szCs w:val="16"/>
        </w:rPr>
        <w:t xml:space="preserve"> acetylation on </w:t>
      </w:r>
      <w:r>
        <w:rPr>
          <w:rFonts w:ascii="Calibri" w:hAnsi="Calibri" w:cs="Arial"/>
          <w:color w:val="auto"/>
          <w:sz w:val="16"/>
          <w:szCs w:val="16"/>
        </w:rPr>
        <w:t>β</w:t>
      </w:r>
      <w:r>
        <w:rPr>
          <w:rFonts w:ascii="Arial" w:hAnsi="Arial" w:cs="Arial"/>
          <w:color w:val="auto"/>
          <w:sz w:val="16"/>
          <w:szCs w:val="16"/>
        </w:rPr>
        <w:t xml:space="preserve">-oxidation </w:t>
      </w:r>
      <w:r w:rsidRPr="008658C5">
        <w:rPr>
          <w:rFonts w:ascii="Arial" w:hAnsi="Arial" w:cs="Arial"/>
          <w:color w:val="auto"/>
          <w:sz w:val="16"/>
          <w:szCs w:val="16"/>
        </w:rPr>
        <w:t>enzymes.</w:t>
      </w:r>
      <w:proofErr w:type="gramEnd"/>
      <w:r>
        <w:rPr>
          <w:rFonts w:ascii="Arial" w:hAnsi="Arial" w:cs="Arial"/>
          <w:color w:val="auto"/>
          <w:sz w:val="16"/>
          <w:szCs w:val="16"/>
        </w:rPr>
        <w:t xml:space="preserve"> </w:t>
      </w:r>
      <w:r w:rsidR="00492DA2" w:rsidRPr="00492DA2">
        <w:rPr>
          <w:rFonts w:ascii="Arial" w:hAnsi="Arial" w:cs="Arial"/>
          <w:i/>
          <w:color w:val="auto"/>
          <w:sz w:val="16"/>
          <w:szCs w:val="16"/>
        </w:rPr>
        <w:t>Some of</w:t>
      </w:r>
      <w:r w:rsidR="00492DA2">
        <w:rPr>
          <w:rFonts w:ascii="Arial" w:hAnsi="Arial" w:cs="Arial"/>
          <w:color w:val="auto"/>
          <w:sz w:val="16"/>
          <w:szCs w:val="16"/>
        </w:rPr>
        <w:t xml:space="preserve"> t</w:t>
      </w:r>
      <w:r w:rsidR="00492DA2" w:rsidRPr="004C2A30">
        <w:rPr>
          <w:rFonts w:ascii="Arial" w:hAnsi="Arial" w:cs="Arial"/>
          <w:i/>
          <w:color w:val="auto"/>
          <w:sz w:val="16"/>
          <w:szCs w:val="16"/>
        </w:rPr>
        <w:t xml:space="preserve">he acetylated lysine residues </w:t>
      </w:r>
      <w:r w:rsidR="00492DA2">
        <w:rPr>
          <w:rFonts w:ascii="Arial" w:hAnsi="Arial" w:cs="Arial"/>
          <w:i/>
          <w:color w:val="auto"/>
          <w:sz w:val="16"/>
          <w:szCs w:val="16"/>
        </w:rPr>
        <w:t xml:space="preserve">were found in other species, but match the </w:t>
      </w:r>
      <w:r w:rsidR="00492DA2" w:rsidRPr="004C2A30">
        <w:rPr>
          <w:rFonts w:ascii="Arial" w:hAnsi="Arial" w:cs="Arial"/>
          <w:i/>
          <w:color w:val="auto"/>
          <w:sz w:val="16"/>
          <w:szCs w:val="16"/>
        </w:rPr>
        <w:t>reported in humans.</w:t>
      </w:r>
      <w:bookmarkEnd w:id="250"/>
      <w:r w:rsidR="00492DA2" w:rsidRPr="004C2A30">
        <w:rPr>
          <w:rFonts w:ascii="Arial" w:hAnsi="Arial" w:cs="Arial"/>
          <w:i/>
          <w:color w:val="auto"/>
          <w:sz w:val="16"/>
          <w:szCs w:val="16"/>
        </w:rPr>
        <w:t xml:space="preserve"> </w:t>
      </w:r>
    </w:p>
    <w:p w:rsidR="00EF1380" w:rsidRPr="008658C5" w:rsidRDefault="00EF1380" w:rsidP="00EF1380">
      <w:pPr>
        <w:pStyle w:val="Caption"/>
        <w:rPr>
          <w:rFonts w:ascii="Arial" w:hAnsi="Arial" w:cs="Arial"/>
          <w:color w:val="auto"/>
          <w:sz w:val="16"/>
          <w:szCs w:val="16"/>
        </w:rPr>
      </w:pPr>
    </w:p>
    <w:tbl>
      <w:tblPr>
        <w:tblStyle w:val="LightList"/>
        <w:tblW w:w="9073" w:type="dxa"/>
        <w:tblInd w:w="-34" w:type="dxa"/>
        <w:tblLook w:val="04A0" w:firstRow="1" w:lastRow="0" w:firstColumn="1" w:lastColumn="0" w:noHBand="0" w:noVBand="1"/>
      </w:tblPr>
      <w:tblGrid>
        <w:gridCol w:w="1930"/>
        <w:gridCol w:w="2204"/>
        <w:gridCol w:w="2205"/>
        <w:gridCol w:w="2734"/>
      </w:tblGrid>
      <w:tr w:rsidR="00EF1380" w:rsidRPr="00155A38" w:rsidTr="009B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Borders>
              <w:top w:val="single" w:sz="8" w:space="0" w:color="000000" w:themeColor="text1"/>
              <w:left w:val="single" w:sz="8" w:space="0" w:color="000000" w:themeColor="text1"/>
              <w:bottom w:val="nil"/>
              <w:right w:val="nil"/>
            </w:tcBorders>
            <w:hideMark/>
          </w:tcPr>
          <w:p w:rsidR="00EF1380" w:rsidRPr="00E33CD3" w:rsidRDefault="00EF1380" w:rsidP="009B400B">
            <w:pPr>
              <w:jc w:val="center"/>
              <w:rPr>
                <w:rFonts w:cs="Arial"/>
                <w:b w:val="0"/>
                <w:bCs w:val="0"/>
                <w:color w:val="auto"/>
                <w:sz w:val="16"/>
                <w:szCs w:val="16"/>
              </w:rPr>
            </w:pPr>
            <w:r w:rsidRPr="00E33CD3">
              <w:rPr>
                <w:rFonts w:cs="Arial"/>
                <w:sz w:val="16"/>
                <w:szCs w:val="16"/>
              </w:rPr>
              <w:t>Pryruvate metabolism enzyme</w:t>
            </w:r>
          </w:p>
        </w:tc>
        <w:tc>
          <w:tcPr>
            <w:tcW w:w="2204" w:type="dxa"/>
            <w:tcBorders>
              <w:top w:val="single" w:sz="8" w:space="0" w:color="000000" w:themeColor="text1"/>
              <w:left w:val="nil"/>
              <w:bottom w:val="nil"/>
              <w:right w:val="nil"/>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Acetylated Lys residues</w:t>
            </w:r>
          </w:p>
        </w:tc>
        <w:tc>
          <w:tcPr>
            <w:tcW w:w="2205" w:type="dxa"/>
            <w:tcBorders>
              <w:top w:val="single" w:sz="8" w:space="0" w:color="000000" w:themeColor="text1"/>
              <w:left w:val="nil"/>
              <w:bottom w:val="nil"/>
              <w:right w:val="nil"/>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Variation in response to butyrate</w:t>
            </w:r>
          </w:p>
        </w:tc>
        <w:tc>
          <w:tcPr>
            <w:tcW w:w="2734" w:type="dxa"/>
            <w:tcBorders>
              <w:top w:val="single" w:sz="8" w:space="0" w:color="000000" w:themeColor="text1"/>
              <w:left w:val="nil"/>
              <w:bottom w:val="nil"/>
              <w:right w:val="single" w:sz="8" w:space="0" w:color="000000" w:themeColor="text1"/>
            </w:tcBorders>
            <w:hideMark/>
          </w:tcPr>
          <w:p w:rsidR="00EF1380" w:rsidRPr="00E33CD3" w:rsidRDefault="00EF1380" w:rsidP="009B400B">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3CD3">
              <w:rPr>
                <w:rFonts w:cs="Arial"/>
                <w:sz w:val="16"/>
                <w:szCs w:val="16"/>
              </w:rPr>
              <w:t>Impact of Lys acetylation on enzyme function</w:t>
            </w:r>
          </w:p>
        </w:tc>
      </w:tr>
      <w:tr w:rsidR="00EF1380" w:rsidRPr="00155A38" w:rsidTr="009B40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0" w:type="dxa"/>
            <w:tcBorders>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Lactate dehydrogenase</w:t>
            </w:r>
          </w:p>
        </w:tc>
        <w:tc>
          <w:tcPr>
            <w:tcW w:w="2204" w:type="dxa"/>
            <w:tcBorders>
              <w:left w:val="nil"/>
              <w:right w:val="nil"/>
            </w:tcBorders>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 69)&lt;/DisplayText&gt;&lt;record&gt;&lt;rec-number&gt;44&lt;/rec-number&gt;&lt;foreign-keys&gt;&lt;key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Cite&gt;&lt;Author&gt;Zhao D&lt;/Author&gt;&lt;Year&gt;2013&lt;/Year&gt;&lt;RecNum&gt;337&lt;/RecNum&gt;&lt;record&gt;&lt;rec-number&gt;337&lt;/rec-number&gt;&lt;foreign-keys&gt;&lt;key app="EN" db-id="zxp9w5sa30aeafes0xox2eem00dz2z2aswad"&gt;337&lt;/key&gt;&lt;/foreign-keys&gt;&lt;ref-type name="Journal Article"&gt;17&lt;/ref-type&gt;&lt;contributors&gt;&lt;authors&gt;&lt;author&gt;Zhao D,&lt;/author&gt;&lt;author&gt;Zou S,&lt;/author&gt;&lt;author&gt;Liu Y,&lt;/author&gt;&lt;author&gt;Zhou X,&lt;/author&gt;&lt;author&gt;Mo Y,&lt;/author&gt;&lt;author&gt;Wang P,&lt;/author&gt;&lt;author&gt;Xu Y,&lt;/author&gt;&lt;author&gt;Dong B,&lt;/author&gt;&lt;author&gt;Xiong Y,&lt;/author&gt;&lt;author&gt;Lei Q,&lt;/author&gt;&lt;author&gt;Guan K,&lt;/author&gt;&lt;/authors&gt;&lt;/contributors&gt;&lt;titles&gt;&lt;title&gt;Lysine-5 acetylation negatively regulates lactate dehydrogenase A and is decreased in pancreatic cancer.&lt;/title&gt;&lt;secondary-title&gt;Cancer Cell&lt;/secondary-title&gt;&lt;/titles&gt;&lt;periodical&gt;&lt;full-title&gt;Cancer Cell&lt;/full-title&gt;&lt;/periodical&gt;&lt;pages&gt;464-476&lt;/pages&gt;&lt;volume&gt;23&lt;/volume&gt;&lt;number&gt;4&lt;/number&gt;&lt;dates&gt;&lt;year&gt;2013&lt;/year&gt;&lt;/dates&gt;&lt;urls&gt;&lt;/urls&gt;&lt;/record&gt;&lt;/Cite&gt;&lt;/EndNote&gt;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69" w:tooltip="Zhao D, 2013 #337" w:history="1">
              <w:r w:rsidR="00AB7E17">
                <w:rPr>
                  <w:rFonts w:eastAsia="Times New Roman" w:cs="Arial"/>
                  <w:noProof/>
                  <w:sz w:val="16"/>
                  <w:szCs w:val="16"/>
                  <w:lang w:val="en-US"/>
                </w:rPr>
                <w:t>69</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14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aW9uczwvSURUZXh0PjxEaXNwbGF5VGV4dD4oMTEsIDY0KTwvRGlzcGxheVRleHQ+PHJlY29yZD48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cz48dXJscz48L3VybHM+PC9yZWNvcmQ+PC9DaXRlPjxDaXRlPjxBdXRob3I+WmhhbyBTPC9BdXRo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aW9uczwvSURUZXh0PjxEaXNwbGF5VGV4dD4oMTEsIDY0KTwvRGlzcGxheVRleHQ+PHJlY29yZD48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cz48dXJscz48L3VybHM+PC9yZWNvcmQ+PC9DaXRlPjxDaXRlPjxBdXRob3I+WmhhbyBTPC9BdXRo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22, 57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118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126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132, 222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228, 278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318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and 328.</w:t>
            </w:r>
          </w:p>
        </w:tc>
        <w:tc>
          <w:tcPr>
            <w:tcW w:w="2205" w:type="dxa"/>
            <w:tcBorders>
              <w:left w:val="nil"/>
              <w:right w:val="nil"/>
            </w:tcBorders>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734" w:type="dxa"/>
            <w:tcBorders>
              <w:left w:val="nil"/>
            </w:tcBorders>
            <w:noWrap/>
            <w:vAlign w:val="center"/>
            <w:hideMark/>
          </w:tcPr>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Inhibition </w:t>
            </w:r>
            <w:r w:rsidRPr="00193AF8">
              <w:rPr>
                <w:rFonts w:cs="Arial"/>
                <w:i/>
                <w:sz w:val="16"/>
                <w:szCs w:val="16"/>
                <w:shd w:val="clear" w:color="auto" w:fill="FFFFFF"/>
              </w:rPr>
              <w:t>in Littorina littorea</w:t>
            </w:r>
            <w:r w:rsidRPr="00E33CD3">
              <w:rPr>
                <w:rFonts w:cs="Arial"/>
                <w:b/>
                <w:sz w:val="16"/>
                <w:szCs w:val="16"/>
                <w:shd w:val="clear" w:color="auto" w:fill="FFFFFF"/>
              </w:rPr>
              <w:t xml:space="preserve"> </w:t>
            </w:r>
            <w:r w:rsidR="006C2756" w:rsidRPr="00193AF8">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&lt;EndNote&gt;&lt;Cite&gt;&lt;Author&gt;Shahriari A&lt;/Author&gt;&lt;Year&gt;2013&lt;/Year&gt;&lt;RecNum&gt;335&lt;/RecNum&gt;&lt;DisplayText&gt;(103)&lt;/DisplayText&gt;&lt;record&gt;&lt;rec-number&gt;335&lt;/rec-number&gt;&lt;foreign-keys&gt;&lt;key app="EN" db-id="zxp9w5sa30aeafes0xox2eem00dz2z2aswad"&gt;335&lt;/key&gt;&lt;/foreign-keys&gt;&lt;ref-type name="Journal Article"&gt;17&lt;/ref-type&gt;&lt;contributors&gt;&lt;authors&gt;&lt;author&gt;Shahriari A,&lt;/author&gt;&lt;author&gt;Dawson N,&lt;/author&gt;&lt;author&gt;Bell R,&lt;/author&gt;&lt;author&gt;Storey K,&lt;/author&gt;&lt;/authors&gt;&lt;/contributors&gt;&lt;titles&gt;&lt;title&gt;Stable Suppression of Lactate Dehydrogenase Activity during Anoxia in the Foot Muscle of Littorina littorea and the Potential Role of Acetylation as a Novel Posttranslational Regulatory Mechanism&lt;/title&gt;&lt;secondary-title&gt;Enzyme Res&lt;/secondary-title&gt;&lt;/titles&gt;&lt;periodical&gt;&lt;full-title&gt;Enzyme Res&lt;/full-title&gt;&lt;/periodical&gt;&lt;pages&gt;doi: 10.1155/2013/461374&lt;/pages&gt;&lt;volume&gt;2013&lt;/volume&gt;&lt;number&gt;461374&lt;/number&gt;&lt;dates&gt;&lt;year&gt;2013&lt;/year&gt;&lt;/dates&gt;&lt;urls&gt;&lt;/urls&gt;&lt;/record&gt;&lt;/Cite&gt;&lt;/EndNote&gt;</w:instrText>
            </w:r>
            <w:r w:rsidR="006C2756" w:rsidRPr="00193AF8">
              <w:rPr>
                <w:rFonts w:cs="Arial"/>
                <w:sz w:val="16"/>
                <w:szCs w:val="16"/>
                <w:shd w:val="clear" w:color="auto" w:fill="FFFFFF"/>
              </w:rPr>
              <w:fldChar w:fldCharType="separate"/>
            </w:r>
            <w:r w:rsidR="00FC3C1A">
              <w:rPr>
                <w:rFonts w:cs="Arial"/>
                <w:noProof/>
                <w:sz w:val="16"/>
                <w:szCs w:val="16"/>
                <w:shd w:val="clear" w:color="auto" w:fill="FFFFFF"/>
              </w:rPr>
              <w:t>(</w:t>
            </w:r>
            <w:hyperlink w:anchor="_ENREF_103" w:tooltip="Shahriari A, 2013 #335" w:history="1">
              <w:r w:rsidR="00AB7E17">
                <w:rPr>
                  <w:rFonts w:cs="Arial"/>
                  <w:noProof/>
                  <w:sz w:val="16"/>
                  <w:szCs w:val="16"/>
                  <w:shd w:val="clear" w:color="auto" w:fill="FFFFFF"/>
                </w:rPr>
                <w:t>103</w:t>
              </w:r>
            </w:hyperlink>
            <w:r w:rsidR="00FC3C1A">
              <w:rPr>
                <w:rFonts w:cs="Arial"/>
                <w:noProof/>
                <w:sz w:val="16"/>
                <w:szCs w:val="16"/>
                <w:shd w:val="clear" w:color="auto" w:fill="FFFFFF"/>
              </w:rPr>
              <w:t>)</w:t>
            </w:r>
            <w:r w:rsidR="006C2756" w:rsidRPr="00193AF8">
              <w:rPr>
                <w:rFonts w:cs="Arial"/>
                <w:sz w:val="16"/>
                <w:szCs w:val="16"/>
                <w:shd w:val="clear" w:color="auto" w:fill="FFFFFF"/>
              </w:rPr>
              <w:fldChar w:fldCharType="end"/>
            </w:r>
            <w:r w:rsidRPr="00E33CD3">
              <w:rPr>
                <w:rFonts w:eastAsia="Times New Roman" w:cs="Arial"/>
                <w:b/>
                <w:sz w:val="16"/>
                <w:szCs w:val="16"/>
              </w:rPr>
              <w:t xml:space="preserve">. </w:t>
            </w:r>
          </w:p>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Style w:val="HTMLCite"/>
                <w:i w:val="0"/>
                <w:sz w:val="16"/>
                <w:szCs w:val="16"/>
                <w:lang w:val="en-US"/>
              </w:rPr>
            </w:pPr>
            <w:r w:rsidRPr="00E33CD3">
              <w:rPr>
                <w:rFonts w:eastAsia="Times New Roman" w:cs="Arial"/>
                <w:sz w:val="16"/>
                <w:szCs w:val="16"/>
              </w:rPr>
              <w:t xml:space="preserve">Down-regulation at Lys 5 </w:t>
            </w:r>
            <w:r w:rsidRPr="00E33CD3">
              <w:rPr>
                <w:rFonts w:cs="Arial"/>
                <w:sz w:val="16"/>
                <w:szCs w:val="16"/>
                <w:shd w:val="clear" w:color="auto" w:fill="FFFFFF"/>
              </w:rPr>
              <w:t xml:space="preserve">in pancreatic cancer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&lt;EndNote&gt;&lt;Cite&gt;&lt;Author&gt;Zhao D&lt;/Author&gt;&lt;Year&gt;2013&lt;/Year&gt;&lt;RecNum&gt;337&lt;/RecNum&gt;&lt;DisplayText&gt;(69)&lt;/DisplayText&gt;&lt;record&gt;&lt;rec-number&gt;337&lt;/rec-number&gt;&lt;foreign-keys&gt;&lt;key app="EN" db-id="zxp9w5sa30aeafes0xox2eem00dz2z2aswad"&gt;337&lt;/key&gt;&lt;/foreign-keys&gt;&lt;ref-type name="Journal Article"&gt;17&lt;/ref-type&gt;&lt;contributors&gt;&lt;authors&gt;&lt;author&gt;Zhao D,&lt;/author&gt;&lt;author&gt;Zou S,&lt;/author&gt;&lt;author&gt;Liu Y,&lt;/author&gt;&lt;author&gt;Zhou X,&lt;/author&gt;&lt;author&gt;Mo Y,&lt;/author&gt;&lt;author&gt;Wang P,&lt;/author&gt;&lt;author&gt;Xu Y,&lt;/author&gt;&lt;author&gt;Dong B,&lt;/author&gt;&lt;author&gt;Xiong Y,&lt;/author&gt;&lt;author&gt;Lei Q,&lt;/author&gt;&lt;author&gt;Guan K,&lt;/author&gt;&lt;/authors&gt;&lt;/contributors&gt;&lt;titles&gt;&lt;title&gt;Lysine-5 acetylation negatively regulates lactate dehydrogenase A and is decreased in pancreatic cancer.&lt;/title&gt;&lt;secondary-title&gt;Cancer Cell&lt;/secondary-title&gt;&lt;/titles&gt;&lt;periodical&gt;&lt;full-title&gt;Cancer Cell&lt;/full-title&gt;&lt;/periodical&gt;&lt;pages&gt;464-476&lt;/pages&gt;&lt;volume&gt;23&lt;/volume&gt;&lt;number&gt;4&lt;/number&gt;&lt;dates&gt;&lt;year&gt;2013&lt;/year&gt;&lt;/dates&gt;&lt;urls&gt;&lt;/urls&gt;&lt;/record&gt;&lt;/Cite&gt;&lt;/EndNote&gt;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69" w:tooltip="Zhao D, 2013 #337" w:history="1">
              <w:r w:rsidR="00AB7E17">
                <w:rPr>
                  <w:rFonts w:cs="Arial"/>
                  <w:noProof/>
                  <w:sz w:val="16"/>
                  <w:szCs w:val="16"/>
                  <w:shd w:val="clear" w:color="auto" w:fill="FFFFFF"/>
                </w:rPr>
                <w:t>69</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 </w:t>
            </w:r>
          </w:p>
        </w:tc>
      </w:tr>
      <w:tr w:rsidR="00EF1380" w:rsidTr="009B400B">
        <w:trPr>
          <w:trHeight w:val="315"/>
        </w:trPr>
        <w:tc>
          <w:tcPr>
            <w:cnfStyle w:val="001000000000" w:firstRow="0" w:lastRow="0" w:firstColumn="1" w:lastColumn="0" w:oddVBand="0" w:evenVBand="0" w:oddHBand="0" w:evenHBand="0" w:firstRowFirstColumn="0" w:firstRowLastColumn="0" w:lastRowFirstColumn="0" w:lastRowLastColumn="0"/>
            <w:tcW w:w="1930" w:type="dxa"/>
            <w:tcBorders>
              <w:top w:val="nil"/>
              <w:left w:val="single" w:sz="8" w:space="0" w:color="000000" w:themeColor="text1"/>
              <w:bottom w:val="nil"/>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Malic enzyme</w:t>
            </w:r>
          </w:p>
        </w:tc>
        <w:tc>
          <w:tcPr>
            <w:tcW w:w="2204" w:type="dxa"/>
            <w:tcBorders>
              <w:top w:val="nil"/>
              <w:left w:val="nil"/>
              <w:bottom w:val="nil"/>
              <w:right w:val="nil"/>
            </w:tcBorders>
            <w:noWrap/>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24, 94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156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224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240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272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339, and 346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205" w:type="dxa"/>
            <w:tcBorders>
              <w:top w:val="nil"/>
              <w:left w:val="nil"/>
              <w:bottom w:val="nil"/>
              <w:right w:val="nil"/>
            </w:tcBorders>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734" w:type="dxa"/>
            <w:tcBorders>
              <w:top w:val="nil"/>
              <w:left w:val="nil"/>
              <w:bottom w:val="nil"/>
              <w:right w:val="single" w:sz="8" w:space="0" w:color="000000" w:themeColor="text1"/>
            </w:tcBorders>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r>
      <w:tr w:rsidR="00EF1380" w:rsidRPr="00155A38" w:rsidTr="009B400B">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930" w:type="dxa"/>
            <w:tcBorders>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Malate dehydrogenase</w:t>
            </w:r>
          </w:p>
        </w:tc>
        <w:tc>
          <w:tcPr>
            <w:tcW w:w="2204" w:type="dxa"/>
            <w:tcBorders>
              <w:left w:val="nil"/>
              <w:right w:val="nil"/>
            </w:tcBorders>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Style w:val="SC118877"/>
                <w:rFonts w:cs="Arial"/>
                <w:iCs/>
                <w:color w:val="auto"/>
                <w:sz w:val="16"/>
                <w:szCs w:val="16"/>
              </w:rPr>
              <w:t xml:space="preserve">74, 78, 91, 156, 157, 165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 xml:space="preserve">, 185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 xml:space="preserve">, 203, 215, 296, 297, 301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 xml:space="preserve">, 307, 314 </w:t>
            </w:r>
            <w:r w:rsidR="006C2756" w:rsidRPr="00E33CD3">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 </w:instrText>
            </w:r>
            <w:r w:rsidR="00FC3C1A">
              <w:rPr>
                <w:rStyle w:val="SC118877"/>
                <w:rFonts w:cs="Arial"/>
                <w:iCs/>
                <w:color w:val="auto"/>
                <w:sz w:val="16"/>
                <w:szCs w:val="16"/>
              </w:rPr>
              <w:fldChar w:fldCharType="begin">
                <w:fldData xml:space="preserve">PEVuZE5vdGU+PENpdGU+PEF1dGhvcj5DaG91ZGhhcnkgIEM8L0F1dGhvcj48WWVhcj4yMDA5PC9Z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</w:fldData>
              </w:fldChar>
            </w:r>
            <w:r w:rsidR="00FC3C1A">
              <w:rPr>
                <w:rStyle w:val="SC118877"/>
                <w:rFonts w:cs="Arial"/>
                <w:iCs/>
                <w:color w:val="auto"/>
                <w:sz w:val="16"/>
                <w:szCs w:val="16"/>
              </w:rPr>
              <w:instrText xml:space="preserve"> ADDIN EN.CITE.DATA </w:instrText>
            </w:r>
            <w:r w:rsidR="00FC3C1A">
              <w:rPr>
                <w:rStyle w:val="SC118877"/>
                <w:rFonts w:cs="Arial"/>
                <w:iCs/>
                <w:color w:val="auto"/>
                <w:sz w:val="16"/>
                <w:szCs w:val="16"/>
              </w:rPr>
            </w:r>
            <w:r w:rsidR="00FC3C1A">
              <w:rPr>
                <w:rStyle w:val="SC118877"/>
                <w:rFonts w:cs="Arial"/>
                <w:iCs/>
                <w:color w:val="auto"/>
                <w:sz w:val="16"/>
                <w:szCs w:val="16"/>
              </w:rPr>
              <w:fldChar w:fldCharType="end"/>
            </w:r>
            <w:r w:rsidR="006C2756" w:rsidRPr="00E33CD3">
              <w:rPr>
                <w:rStyle w:val="SC118877"/>
                <w:rFonts w:cs="Arial"/>
                <w:iCs/>
                <w:color w:val="auto"/>
                <w:sz w:val="16"/>
                <w:szCs w:val="16"/>
              </w:rPr>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11" w:tooltip="Zhao S, 2010 #301" w:history="1">
              <w:r w:rsidR="00AB7E17">
                <w:rPr>
                  <w:rStyle w:val="SC118877"/>
                  <w:rFonts w:cs="Arial"/>
                  <w:iCs/>
                  <w:noProof/>
                  <w:color w:val="auto"/>
                  <w:sz w:val="16"/>
                  <w:szCs w:val="16"/>
                </w:rPr>
                <w:t>11</w:t>
              </w:r>
            </w:hyperlink>
            <w:r w:rsidR="00FC3C1A">
              <w:rPr>
                <w:rStyle w:val="SC118877"/>
                <w:rFonts w:cs="Arial"/>
                <w:iCs/>
                <w:noProof/>
                <w:color w:val="auto"/>
                <w:sz w:val="16"/>
                <w:szCs w:val="16"/>
              </w:rPr>
              <w:t xml:space="preserve">, </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 xml:space="preserve">, 324, 328, 329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 xml:space="preserve">, and 335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4" w:tooltip="Choudhary  C, 2009 #44" w:history="1">
              <w:r w:rsidR="00AB7E17">
                <w:rPr>
                  <w:rStyle w:val="SC118877"/>
                  <w:rFonts w:cs="Arial"/>
                  <w:iCs/>
                  <w:noProof/>
                  <w:color w:val="auto"/>
                  <w:sz w:val="16"/>
                  <w:szCs w:val="16"/>
                </w:rPr>
                <w:t>64</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w:t>
            </w:r>
          </w:p>
        </w:tc>
        <w:tc>
          <w:tcPr>
            <w:tcW w:w="2205" w:type="dxa"/>
            <w:tcBorders>
              <w:left w:val="nil"/>
              <w:right w:val="nil"/>
            </w:tcBorders>
            <w:noWrap/>
            <w:vAlign w:val="center"/>
            <w:hideMark/>
          </w:tcPr>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Reversion of D-amphetamine (mania inducer in rats) inhi</w:t>
            </w:r>
            <w:r>
              <w:rPr>
                <w:rFonts w:eastAsia="Times New Roman" w:cs="Arial"/>
                <w:sz w:val="16"/>
                <w:szCs w:val="16"/>
              </w:rPr>
              <w:t>bitory effect on this enzyme</w:t>
            </w:r>
            <w:r w:rsidRPr="00E33CD3">
              <w:rPr>
                <w:rFonts w:eastAsia="Times New Roman" w:cs="Arial"/>
                <w:sz w:val="16"/>
                <w:szCs w:val="16"/>
              </w:rPr>
              <w:t xml:space="preserve">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&lt;EndNote&gt;&lt;Cite&gt;&lt;Author&gt;Valvassori S&lt;/Author&gt;&lt;Year&gt;2013&lt;/Year&gt;&lt;RecNum&gt;327&lt;/RecNum&gt;&lt;DisplayText&gt;(102)&lt;/DisplayText&gt;&lt;record&gt;&lt;rec-number&gt;327&lt;/rec-number&gt;&lt;foreign-keys&gt;&lt;key app="EN" db-id="zxp9w5sa30aeafes0xox2eem00dz2z2aswad"&gt;327&lt;/key&gt;&lt;/foreign-keys&gt;&lt;ref-type name="Journal Article"&gt;17&lt;/ref-type&gt;&lt;contributors&gt;&lt;authors&gt;&lt;author&gt;Valvassori S,&lt;/author&gt;&lt;author&gt;Calixto K,&lt;/author&gt;&lt;author&gt;Budni J,&lt;/author&gt;&lt;author&gt;Resende W,&lt;/author&gt;&lt;author&gt;Varela R,&lt;/author&gt;&lt;author&gt;de Freitas K,&lt;/author&gt;&lt;author&gt;Gonçalves C,&lt;/author&gt;&lt;author&gt;Streck E,&lt;/author&gt;&lt;author&gt;Quevedo J,&lt;/author&gt;&lt;/authors&gt;&lt;/contributors&gt;&lt;titles&gt;&lt;title&gt;Sodium butyrate reverses the inhibition of Krebs cycle enzymes induced by amphetamine in the rat brain&lt;/title&gt;&lt;secondary-title&gt;J Neural Transm&lt;/secondary-title&gt;&lt;/titles&gt;&lt;periodical&gt;&lt;full-title&gt;J Neural Transm&lt;/full-title&gt;&lt;/periodical&gt;&lt;pages&gt;1737-1742&lt;/pages&gt;&lt;volume&gt;120&lt;/volume&gt;&lt;number&gt;12&lt;/number&gt;&lt;dates&gt;&lt;year&gt;2013&lt;/year&gt;&lt;/dates&gt;&lt;urls&gt;&lt;/urls&gt;&lt;/record&gt;&lt;/Cite&gt;&lt;/EndNote&gt;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02" w:tooltip="Valvassori S, 2013 #327" w:history="1">
              <w:r w:rsidR="00AB7E17">
                <w:rPr>
                  <w:rFonts w:cs="Arial"/>
                  <w:noProof/>
                  <w:sz w:val="16"/>
                  <w:szCs w:val="16"/>
                  <w:shd w:val="clear" w:color="auto" w:fill="FFFFFF"/>
                </w:rPr>
                <w:t>102</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c>
          <w:tcPr>
            <w:tcW w:w="2734" w:type="dxa"/>
            <w:tcBorders>
              <w:left w:val="nil"/>
            </w:tcBorders>
            <w:noWrap/>
            <w:vAlign w:val="center"/>
            <w:hideMark/>
          </w:tcPr>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Dramatically increased in the late stage of adipogenesis </w:t>
            </w:r>
            <w:r w:rsidR="006C2756" w:rsidRPr="00E33CD3">
              <w:rPr>
                <w:rStyle w:val="SC118877"/>
                <w:rFonts w:cs="Arial"/>
                <w:iCs/>
                <w:color w:val="auto"/>
                <w:sz w:val="16"/>
                <w:szCs w:val="16"/>
              </w:rPr>
              <w:fldChar w:fldCharType="begin"/>
            </w:r>
            <w:r w:rsidR="00FC3C1A">
              <w:rPr>
                <w:rStyle w:val="SC118877"/>
                <w:rFonts w:cs="Arial"/>
                <w:iCs/>
                <w:color w:val="auto"/>
                <w:sz w:val="16"/>
                <w:szCs w:val="16"/>
              </w:rPr>
              <w:instrText xml:space="preserve"> ADDIN EN.CITE &lt;EndNote&gt;&lt;Cite&gt;&lt;Author&gt;Kim E&lt;/Author&gt;&lt;Year&gt;2012&lt;/Year&gt;&lt;RecNum&gt;133&lt;/RecNum&gt;&lt;DisplayText&gt;(60, 61)&lt;/DisplayText&gt;&lt;record&gt;&lt;rec-number&gt;133&lt;/rec-number&gt;&lt;foreign-keys&gt;&lt;key app="EN" db-id="zxp9w5sa30aeafes0xox2eem00dz2z2aswad"&gt;133&lt;/key&gt;&lt;key app="ENWeb" db-id="UG1-3grtqigAAEqvEt0"&gt;367&lt;/key&gt;&lt;/foreign-keys&gt;&lt;ref-type name="Journal Article"&gt;17&lt;/ref-type&gt;&lt;contributors&gt;&lt;authors&gt;&lt;author&gt;Kim E,&lt;/author&gt;&lt;author&gt;Kim W,&lt;/author&gt;&lt;author&gt;Kang H,&lt;/author&gt;&lt;author&gt;Kim J,&lt;/author&gt;&lt;author&gt;Chung S,&lt;/author&gt;&lt;author&gt;Seo Y,&lt;/author&gt;&lt;author&gt;Park S,&lt;/author&gt;&lt;author&gt;Lee S,&lt;/author&gt;&lt;author&gt;Bae K,&lt;/author&gt;&lt;/authors&gt;&lt;/contributors&gt;&lt;titles&gt;&lt;title&gt;Acetylation of malate dehydrogenase 1 promotes adipogenic differentiation via activating its enzymatic activity&lt;/title&gt;&lt;secondary-title&gt;J Lipid Res&lt;/secondary-title&gt;&lt;/titles&gt;&lt;periodical&gt;&lt;full-title&gt;J Lipid Res&lt;/full-title&gt;&lt;/periodical&gt;&lt;pages&gt;1864-1876&lt;/pages&gt;&lt;volume&gt;53&lt;/volume&gt;&lt;number&gt;9&lt;/number&gt;&lt;dates&gt;&lt;year&gt;2012&lt;/year&gt;&lt;/dates&gt;&lt;urls&gt;&lt;/urls&gt;&lt;/record&gt;&lt;/Cite&gt;&lt;Cite&gt;&lt;Author&gt;Kim E&lt;/Author&gt;&lt;Year&gt;2013&lt;/Year&gt;&lt;RecNum&gt;332&lt;/RecNum&gt;&lt;record&gt;&lt;rec-number&gt;332&lt;/rec-number&gt;&lt;foreign-keys&gt;&lt;key app="EN" db-id="zxp9w5sa30aeafes0xox2eem00dz2z2aswad"&gt;332&lt;/key&gt;&lt;/foreign-keys&gt;&lt;ref-type name="Journal Article"&gt;17&lt;/ref-type&gt;&lt;contributors&gt;&lt;authors&gt;&lt;author&gt;Kim E,&lt;/author&gt;&lt;author&gt;Han B,&lt;/author&gt;&lt;author&gt;Kim W,&lt;/author&gt;&lt;author&gt;Lee S,&lt;/author&gt;&lt;author&gt;Bae K,&lt;/author&gt;&lt;/authors&gt;&lt;/contributors&gt;&lt;titles&gt;&lt;title&gt;Acceleration of adipogenic differentiation via acetylation of malate dehydrogenase 2&lt;/title&gt;&lt;secondary-title&gt;Biochem Biophys Res Commun&lt;/secondary-title&gt;&lt;/titles&gt;&lt;periodical&gt;&lt;full-title&gt;Biochem Biophys Res Commun&lt;/full-title&gt;&lt;/periodical&gt;&lt;pages&gt;77-82&lt;/pages&gt;&lt;volume&gt;441&lt;/volume&gt;&lt;number&gt;1&lt;/number&gt;&lt;dates&gt;&lt;year&gt;2013&lt;/year&gt;&lt;/dates&gt;&lt;urls&gt;&lt;/urls&gt;&lt;/record&gt;&lt;/Cite&gt;&lt;/EndNote&gt;</w:instrText>
            </w:r>
            <w:r w:rsidR="006C2756" w:rsidRPr="00E33CD3">
              <w:rPr>
                <w:rStyle w:val="SC118877"/>
                <w:rFonts w:cs="Arial"/>
                <w:iCs/>
                <w:color w:val="auto"/>
                <w:sz w:val="16"/>
                <w:szCs w:val="16"/>
              </w:rPr>
              <w:fldChar w:fldCharType="separate"/>
            </w:r>
            <w:r w:rsidR="00FC3C1A">
              <w:rPr>
                <w:rStyle w:val="SC118877"/>
                <w:rFonts w:cs="Arial"/>
                <w:iCs/>
                <w:noProof/>
                <w:color w:val="auto"/>
                <w:sz w:val="16"/>
                <w:szCs w:val="16"/>
              </w:rPr>
              <w:t>(</w:t>
            </w:r>
            <w:hyperlink w:anchor="_ENREF_60" w:tooltip="Kim E, 2013 #332" w:history="1">
              <w:r w:rsidR="00AB7E17">
                <w:rPr>
                  <w:rStyle w:val="SC118877"/>
                  <w:rFonts w:cs="Arial"/>
                  <w:iCs/>
                  <w:noProof/>
                  <w:color w:val="auto"/>
                  <w:sz w:val="16"/>
                  <w:szCs w:val="16"/>
                </w:rPr>
                <w:t>60</w:t>
              </w:r>
            </w:hyperlink>
            <w:r w:rsidR="00FC3C1A">
              <w:rPr>
                <w:rStyle w:val="SC118877"/>
                <w:rFonts w:cs="Arial"/>
                <w:iCs/>
                <w:noProof/>
                <w:color w:val="auto"/>
                <w:sz w:val="16"/>
                <w:szCs w:val="16"/>
              </w:rPr>
              <w:t xml:space="preserve">, </w:t>
            </w:r>
            <w:hyperlink w:anchor="_ENREF_61" w:tooltip="Kim E, 2012 #133" w:history="1">
              <w:r w:rsidR="00AB7E17">
                <w:rPr>
                  <w:rStyle w:val="SC118877"/>
                  <w:rFonts w:cs="Arial"/>
                  <w:iCs/>
                  <w:noProof/>
                  <w:color w:val="auto"/>
                  <w:sz w:val="16"/>
                  <w:szCs w:val="16"/>
                </w:rPr>
                <w:t>61</w:t>
              </w:r>
            </w:hyperlink>
            <w:r w:rsidR="00FC3C1A">
              <w:rPr>
                <w:rStyle w:val="SC118877"/>
                <w:rFonts w:cs="Arial"/>
                <w:iCs/>
                <w:noProof/>
                <w:color w:val="auto"/>
                <w:sz w:val="16"/>
                <w:szCs w:val="16"/>
              </w:rPr>
              <w:t>)</w:t>
            </w:r>
            <w:r w:rsidR="006C2756" w:rsidRPr="00E33CD3">
              <w:rPr>
                <w:rStyle w:val="SC118877"/>
                <w:rFonts w:cs="Arial"/>
                <w:iCs/>
                <w:color w:val="auto"/>
                <w:sz w:val="16"/>
                <w:szCs w:val="16"/>
              </w:rPr>
              <w:fldChar w:fldCharType="end"/>
            </w:r>
            <w:r w:rsidRPr="00E33CD3">
              <w:rPr>
                <w:rStyle w:val="SC118877"/>
                <w:rFonts w:cs="Arial"/>
                <w:iCs/>
                <w:color w:val="auto"/>
                <w:sz w:val="16"/>
                <w:szCs w:val="16"/>
              </w:rPr>
              <w:t>.</w:t>
            </w:r>
          </w:p>
        </w:tc>
      </w:tr>
      <w:tr w:rsidR="00EF1380" w:rsidRPr="00155A38" w:rsidTr="009B400B">
        <w:trPr>
          <w:trHeight w:val="315"/>
        </w:trPr>
        <w:tc>
          <w:tcPr>
            <w:cnfStyle w:val="001000000000" w:firstRow="0" w:lastRow="0" w:firstColumn="1" w:lastColumn="0" w:oddVBand="0" w:evenVBand="0" w:oddHBand="0" w:evenHBand="0" w:firstRowFirstColumn="0" w:firstRowLastColumn="0" w:lastRowFirstColumn="0" w:lastRowLastColumn="0"/>
            <w:tcW w:w="1930" w:type="dxa"/>
            <w:tcBorders>
              <w:top w:val="nil"/>
              <w:left w:val="single" w:sz="8" w:space="0" w:color="000000" w:themeColor="text1"/>
              <w:bottom w:val="nil"/>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Pyruvate carboxylase</w:t>
            </w:r>
          </w:p>
        </w:tc>
        <w:tc>
          <w:tcPr>
            <w:tcW w:w="2204" w:type="dxa"/>
            <w:tcBorders>
              <w:top w:val="nil"/>
              <w:left w:val="nil"/>
              <w:bottom w:val="nil"/>
              <w:right w:val="nil"/>
            </w:tcBorders>
            <w:noWrap/>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35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148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152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237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241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w:t>
            </w:r>
            <w:r w:rsidR="001A280A">
              <w:rPr>
                <w:rFonts w:eastAsia="Times New Roman" w:cs="Arial"/>
                <w:sz w:val="16"/>
                <w:szCs w:val="16"/>
                <w:lang w:val="en-US"/>
              </w:rPr>
              <w:t xml:space="preserve">316 </w:t>
            </w:r>
            <w:r w:rsidR="006C2756">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Pr>
                <w:rFonts w:eastAsia="Times New Roman" w:cs="Arial"/>
                <w:sz w:val="16"/>
                <w:szCs w:val="16"/>
                <w:lang w:val="en-US"/>
              </w:rPr>
              <w:fldChar w:fldCharType="end"/>
            </w:r>
            <w:r w:rsidR="001A280A">
              <w:rPr>
                <w:rFonts w:eastAsia="Times New Roman" w:cs="Arial"/>
                <w:sz w:val="16"/>
                <w:szCs w:val="16"/>
                <w:lang w:val="en-US"/>
              </w:rPr>
              <w:t xml:space="preserve">, </w:t>
            </w:r>
            <w:r w:rsidRPr="00E33CD3">
              <w:rPr>
                <w:rFonts w:eastAsia="Times New Roman" w:cs="Arial"/>
                <w:sz w:val="16"/>
                <w:szCs w:val="16"/>
                <w:lang w:val="en-US"/>
              </w:rPr>
              <w:t xml:space="preserve">434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589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717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748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892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969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992 </w:t>
            </w:r>
            <w:r w:rsidR="006C2756" w:rsidRPr="00E33CD3">
              <w:rPr>
                <w:rFonts w:eastAsia="Times New Roman" w:cs="Arial"/>
                <w:sz w:val="16"/>
                <w:szCs w:val="16"/>
                <w:lang w:val="en-US"/>
              </w:rPr>
              <w:fldChar w:fldCharType="begin">
                <w:fldData xml:space="preserve">PEVuZE5vdGU+PENpdGU+PEF1dGhvcj5XaXJ0aCBNPC9BdXRob3I+PFllYXI+MjAxMzwvWWVhcj48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=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PEVuZE5vdGU+PENpdGU+PEF1dGhvcj5XaXJ0aCBNPC9BdXRob3I+PFllYXI+MjAxMzwvWWVhcj48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=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and 1090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001A280A">
              <w:rPr>
                <w:rFonts w:eastAsia="Times New Roman" w:cs="Arial"/>
                <w:sz w:val="16"/>
                <w:szCs w:val="16"/>
                <w:lang w:val="en-US"/>
              </w:rPr>
              <w:t xml:space="preserve">, </w:t>
            </w:r>
            <w:r w:rsidR="001A280A" w:rsidRPr="00E33CD3">
              <w:rPr>
                <w:rFonts w:eastAsia="Times New Roman" w:cs="Arial"/>
                <w:sz w:val="16"/>
                <w:szCs w:val="16"/>
                <w:lang w:val="en-US"/>
              </w:rPr>
              <w:t>190</w:t>
            </w:r>
            <w:r w:rsidR="001A280A">
              <w:rPr>
                <w:rFonts w:eastAsia="Times New Roman" w:cs="Arial"/>
                <w:sz w:val="16"/>
                <w:szCs w:val="16"/>
                <w:lang w:val="en-US"/>
              </w:rPr>
              <w:t>9</w:t>
            </w:r>
            <w:r w:rsidR="001A280A" w:rsidRPr="00E33CD3">
              <w:rPr>
                <w:rFonts w:eastAsia="Times New Roman" w:cs="Arial"/>
                <w:sz w:val="16"/>
                <w:szCs w:val="16"/>
                <w:lang w:val="en-US"/>
              </w:rPr>
              <w:t xml:space="preserve">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70" w:tooltip="Wirth M, 2013 #338" w:history="1">
              <w:r w:rsidR="00AB7E17">
                <w:rPr>
                  <w:rFonts w:eastAsia="Times New Roman" w:cs="Arial"/>
                  <w:noProof/>
                  <w:sz w:val="16"/>
                  <w:szCs w:val="16"/>
                  <w:lang w:val="en-US"/>
                </w:rPr>
                <w:t>70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205" w:type="dxa"/>
            <w:tcBorders>
              <w:top w:val="nil"/>
              <w:left w:val="nil"/>
              <w:bottom w:val="nil"/>
              <w:right w:val="nil"/>
            </w:tcBorders>
            <w:noWrap/>
            <w:vAlign w:val="center"/>
            <w:hideMark/>
          </w:tcPr>
          <w:p w:rsidR="00EF1380" w:rsidRPr="00E33CD3" w:rsidRDefault="00EF1380" w:rsidP="009B400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734" w:type="dxa"/>
            <w:tcBorders>
              <w:top w:val="nil"/>
              <w:left w:val="nil"/>
              <w:bottom w:val="nil"/>
              <w:right w:val="single" w:sz="8" w:space="0" w:color="000000" w:themeColor="text1"/>
            </w:tcBorders>
            <w:noWrap/>
            <w:vAlign w:val="center"/>
            <w:hideMark/>
          </w:tcPr>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Activity regulation at Lys 748 in</w:t>
            </w:r>
            <w:r w:rsidRPr="00E33CD3">
              <w:rPr>
                <w:rFonts w:cs="Arial"/>
                <w:sz w:val="16"/>
                <w:szCs w:val="16"/>
                <w:shd w:val="clear" w:color="auto" w:fill="FFFFFF"/>
              </w:rPr>
              <w:t xml:space="preserve"> </w:t>
            </w:r>
            <w:r w:rsidRPr="00E33CD3">
              <w:rPr>
                <w:rFonts w:cs="Arial"/>
                <w:i/>
                <w:sz w:val="16"/>
                <w:szCs w:val="16"/>
                <w:shd w:val="clear" w:color="auto" w:fill="FFFFFF"/>
              </w:rPr>
              <w:t xml:space="preserve">C. elegans, </w:t>
            </w:r>
            <w:r w:rsidRPr="00E33CD3">
              <w:rPr>
                <w:rFonts w:cs="Arial"/>
                <w:sz w:val="16"/>
                <w:szCs w:val="16"/>
                <w:shd w:val="clear" w:color="auto" w:fill="FFFFFF"/>
              </w:rPr>
              <w:t xml:space="preserve">mouse, HEK293 and HEK293T cells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&lt;EndNote&gt;&lt;Cite&gt;&lt;Author&gt;Wirth M&lt;/Author&gt;&lt;Year&gt;2013&lt;/Year&gt;&lt;RecNum&gt;338&lt;/RecNum&gt;&lt;DisplayText&gt;(70)&lt;/DisplayText&gt;&lt;record&gt;&lt;rec-number&gt;338&lt;/rec-number&gt;&lt;foreign-keys&gt;&lt;key app="EN" db-id="zxp9w5sa30aeafes0xox2eem00dz2z2aswad"&gt;338&lt;/key&gt;&lt;/foreign-keys&gt;&lt;ref-type name="Journal Article"&gt;17&lt;/ref-type&gt;&lt;contributors&gt;&lt;authors&gt;&lt;author&gt;Wirth M,&lt;/author&gt;&lt;author&gt;Karaca S,&lt;/author&gt;&lt;author&gt;Wenzel D,&lt;/author&gt;&lt;author&gt;Ho L,&lt;/author&gt;&lt;author&gt;Tishkoff D,&lt;/author&gt;&lt;author&gt;Lombard D,&lt;/author&gt;&lt;author&gt;Verdin E,&lt;/author&gt;&lt;author&gt;Urlaub H,&lt;/author&gt;&lt;author&gt;Jedrusik-Bode M,&lt;/author&gt;&lt;author&gt;Fischle W,&lt;/author&gt;&lt;/authors&gt;&lt;/contributors&gt;&lt;titles&gt;&lt;title&gt;Mitochondrial SIRT4-type proteins in Caenorhabditis elegans and mammals interact with pyruvate carboxylase and other acetylated biotin-dependent carboxylases&lt;/title&gt;&lt;secondary-title&gt;Mitochondrion&lt;/secondary-title&gt;&lt;/titles&gt;&lt;periodical&gt;&lt;full-title&gt;Mitochondrion&lt;/full-title&gt;&lt;/periodical&gt;&lt;pages&gt;705-720&lt;/pages&gt;&lt;volume&gt;13&lt;/volume&gt;&lt;number&gt;6&lt;/number&gt;&lt;dates&gt;&lt;year&gt;2013&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70" w:tooltip="Wirth M, 2013 #338" w:history="1">
              <w:r w:rsidR="00AB7E17">
                <w:rPr>
                  <w:rFonts w:cs="Arial"/>
                  <w:noProof/>
                  <w:sz w:val="16"/>
                  <w:szCs w:val="16"/>
                  <w:shd w:val="clear" w:color="auto" w:fill="FFFFFF"/>
                </w:rPr>
                <w:t>70</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p>
        </w:tc>
      </w:tr>
      <w:tr w:rsidR="00EF1380" w:rsidRPr="00155A38" w:rsidTr="009B40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0" w:type="dxa"/>
            <w:tcBorders>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Phosphoenolpyruvate carboxykinase</w:t>
            </w:r>
          </w:p>
        </w:tc>
        <w:tc>
          <w:tcPr>
            <w:tcW w:w="2204" w:type="dxa"/>
            <w:tcBorders>
              <w:left w:val="nil"/>
              <w:right w:val="nil"/>
            </w:tcBorders>
            <w:noWrap/>
            <w:vAlign w:val="center"/>
            <w:hideMark/>
          </w:tcPr>
          <w:p w:rsidR="00EF1380" w:rsidRPr="00E33CD3" w:rsidRDefault="00EF1380" w:rsidP="00AB7E1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19 , 70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71 </w:t>
            </w:r>
            <w:r w:rsidR="006C2756" w:rsidRPr="00E33CD3">
              <w:rPr>
                <w:rFonts w:eastAsia="Times New Roman" w:cs="Arial"/>
                <w:sz w:val="16"/>
                <w:szCs w:val="16"/>
                <w:lang w:val="en-US"/>
              </w:rPr>
              <w:fldChar w:fldCharType="begin">
                <w:fldData xml:space="preserve">PEVuZE5vdGU+PENpdGU+PEF1dGhvcj5aaGFvIFM8L0F1dGhvcj48WWVhcj4yMDEwPC9ZZWFyPjxS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PEVuZE5vdGU+PENpdGU+PEF1dGhvcj5aaGFvIFM8L0F1dGhvcj48WWVhcj4yMDEwPC9ZZWFyPjxS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68" w:tooltip="Jiang W, 2011 #326" w:history="1">
              <w:r w:rsidR="00AB7E17">
                <w:rPr>
                  <w:rFonts w:eastAsia="Times New Roman" w:cs="Arial"/>
                  <w:noProof/>
                  <w:sz w:val="16"/>
                  <w:szCs w:val="16"/>
                  <w:lang w:val="en-US"/>
                </w:rPr>
                <w:t>68</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72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&lt;EndNote&gt;&lt;Cite&gt;&lt;Author&gt;Jiang W&lt;/Author&gt;&lt;Year&gt;2011&lt;/Year&gt;&lt;RecNum&gt;326&lt;/RecNum&gt;&lt;DisplayText&gt;(68)&lt;/DisplayText&gt;&lt;record&gt;&lt;rec-number&gt;326&lt;/rec-number&gt;&lt;foreign-keys&gt;&lt;key app="EN" db-id="zxp9w5sa30aeafes0xox2eem00dz2z2aswad"&gt;326&lt;/key&gt;&lt;/foreign-keys&gt;&lt;ref-type name="Journal Article"&gt;17&lt;/ref-type&gt;&lt;contributors&gt;&lt;authors&gt;&lt;author&gt;Jiang W,&lt;/author&gt;&lt;author&gt;Wang S,&lt;/author&gt;&lt;author&gt;Xiao M,&lt;/author&gt;&lt;author&gt;Lin Y,&lt;/author&gt;&lt;author&gt;Zhou L,&lt;/author&gt;&lt;author&gt;Lei Q,&lt;/author&gt;&lt;author&gt;Xiong Y,&lt;/author&gt;&lt;author&gt;Guan K,&lt;/author&gt;&lt;author&gt;Zhao S,&lt;/author&gt;&lt;/authors&gt;&lt;/contributors&gt;&lt;titles&gt;&lt;title&gt;Acetylation regulates gluconeogenesis by promoting PEPCK1 degradation via recruiting the UBR5 ubiquitin ligase&lt;/title&gt;&lt;secondary-title&gt;Mol Cell&lt;/secondary-title&gt;&lt;/titles&gt;&lt;periodical&gt;&lt;full-title&gt;Mol Cell&lt;/full-title&gt;&lt;/periodical&gt;&lt;pages&gt;33-44&lt;/pages&gt;&lt;volume&gt;43&lt;/volume&gt;&lt;number&gt;1&lt;/number&gt;&lt;dates&gt;&lt;year&gt;2011&lt;/year&gt;&lt;/dates&gt;&lt;urls&gt;&lt;/urls&gt;&lt;/record&gt;&lt;/Cite&gt;&lt;/EndNote&gt;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8" w:tooltip="Jiang W, 2011 #326" w:history="1">
              <w:r w:rsidR="00AB7E17">
                <w:rPr>
                  <w:rFonts w:eastAsia="Times New Roman" w:cs="Arial"/>
                  <w:noProof/>
                  <w:sz w:val="16"/>
                  <w:szCs w:val="16"/>
                  <w:lang w:val="en-US"/>
                </w:rPr>
                <w:t>68</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514 , 594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and 624 </w:t>
            </w:r>
            <w:r w:rsidR="006C2756" w:rsidRPr="00E33CD3">
              <w:rPr>
                <w:rFonts w:eastAsia="Times New Roman" w:cs="Arial"/>
                <w:sz w:val="16"/>
                <w:szCs w:val="16"/>
                <w:lang w:val="en-US"/>
              </w:rPr>
              <w:fldChar w:fldCharType="begin"/>
            </w:r>
            <w:r w:rsidR="000B3EAF">
              <w:rPr>
                <w:rFonts w:eastAsia="Times New Roman" w:cs="Arial"/>
                <w:sz w:val="16"/>
                <w:szCs w:val="16"/>
                <w:lang w:val="en-US"/>
              </w:rPr>
              <w:instrText xml:space="preserve"> ADDIN EN.CITE &lt;EndNote&gt;&lt;Cite&gt;&lt;Author&gt;Zhao S&lt;/Author&gt;&lt;Year&gt;2010&lt;/Year&gt;&lt;RecNum&gt;301&lt;/RecNum&gt;&lt;DisplayText&gt;(11)&lt;/DisplayText&gt;&lt;record&gt;&lt;rec-number&gt;301&lt;/rec-number&gt;&lt;foreign-keys&gt;&lt;key app="EN" db-id="zxp9w5sa30aeafes0xox2eem00dz2z2aswad"&gt;301&lt;/key&gt;&lt;key app="ENWeb" db-id="UG1-3grtqigAAEqvEt0"&gt;159&lt;/key&gt;&lt;/foreign-keys&gt;&lt;ref-type name="Journal Article"&gt;17&lt;/ref-type&gt;&lt;contributors&gt;&lt;authors&gt;&lt;author&gt;Zhao S,&lt;/author&gt;&lt;author&gt;Xu W,&lt;/author&gt;&lt;author&gt;Jiang W,&lt;/author&gt;&lt;author&gt;Yu W,&lt;/author&gt;&lt;author&gt;Lin Y,&lt;/author&gt;&lt;author&gt;Zhang T,&lt;/author&gt;&lt;author&gt;Yao J,&lt;/author&gt;&lt;author&gt;Zhou L,&lt;/author&gt;&lt;author&gt;Zeng Y,&lt;/author&gt;&lt;author&gt;Li H,&lt;/author&gt;&lt;author&gt;Li Y,&lt;/author&gt;&lt;author&gt;Shi J,&lt;/author&gt;&lt;author&gt;An W,&lt;/author&gt;&lt;author&gt;Hancock S,&lt;/author&gt;&lt;author&gt;He F,&lt;/author&gt;&lt;author&gt;Qin L,&lt;/author&gt;&lt;author&gt;Chin J,&lt;/author&gt;&lt;author&gt;Yang P,&lt;/author&gt;&lt;author&gt;Chen X,&lt;/author&gt;&lt;author&gt;Lei Q,&lt;/author&gt;&lt;author&gt;Xiong Y,&lt;/author&gt;&lt;author&gt;Guan K,&lt;/author&gt;&lt;/authors&gt;&lt;/contributors&gt;&lt;titles&gt;&lt;title&gt;Regulation of cellular metabolism by protein lysine acetylation&lt;/title&gt;&lt;secondary-title&gt;Science&lt;/secondary-title&gt;&lt;/titles&gt;&lt;periodical&gt;&lt;full-title&gt;Science&lt;/full-title&gt;&lt;/periodical&gt;&lt;pages&gt;1000-4&lt;/pages&gt;&lt;volume&gt;327&lt;/volume&gt;&lt;number&gt;5968&lt;/number&gt;&lt;dates&gt;&lt;year&gt;2010&lt;/year&gt;&lt;/dates&gt;&lt;urls&gt;&lt;/urls&gt;&lt;/record&gt;&lt;/Cite&gt;&lt;/EndNote&gt;</w:instrText>
            </w:r>
            <w:r w:rsidR="006C2756" w:rsidRPr="00E33CD3">
              <w:rPr>
                <w:rFonts w:eastAsia="Times New Roman" w:cs="Arial"/>
                <w:sz w:val="16"/>
                <w:szCs w:val="16"/>
                <w:lang w:val="en-US"/>
              </w:rPr>
              <w:fldChar w:fldCharType="separate"/>
            </w:r>
            <w:r w:rsidR="000B3EAF">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0B3EAF">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205" w:type="dxa"/>
            <w:tcBorders>
              <w:left w:val="nil"/>
              <w:right w:val="nil"/>
            </w:tcBorders>
            <w:noWrap/>
            <w:vAlign w:val="center"/>
            <w:hideMark/>
          </w:tcPr>
          <w:p w:rsidR="00EF1380" w:rsidRPr="00E33CD3" w:rsidRDefault="00EF1380" w:rsidP="009B400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No effect reported</w:t>
            </w:r>
          </w:p>
        </w:tc>
        <w:tc>
          <w:tcPr>
            <w:tcW w:w="2734" w:type="dxa"/>
            <w:tcBorders>
              <w:left w:val="nil"/>
            </w:tcBorders>
            <w:noWrap/>
            <w:vAlign w:val="center"/>
            <w:hideMark/>
          </w:tcPr>
          <w:p w:rsidR="00EF1380" w:rsidRPr="00E33CD3" w:rsidRDefault="00EF1380" w:rsidP="009B400B">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rPr>
              <w:t xml:space="preserve">Regulation of stability </w:t>
            </w:r>
            <w:r w:rsidR="006C2756" w:rsidRPr="00E33CD3">
              <w:rPr>
                <w:rFonts w:cs="Arial"/>
                <w:sz w:val="16"/>
                <w:szCs w:val="16"/>
                <w:shd w:val="clear" w:color="auto" w:fill="FFFFFF"/>
              </w:rPr>
              <w:fldChar w:fldCharType="begin">
                <w:fldData xml:space="preserve">PEVuZE5vdGU+PENpdGU+PEF1dGhvcj5KaWFuZyBXPC9BdXRob3I+PFllYXI+MjAxMTwvWWVhcj48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</w:fldData>
              </w:fldChar>
            </w:r>
            <w:r w:rsidR="00FC3C1A">
              <w:rPr>
                <w:rFonts w:cs="Arial"/>
                <w:sz w:val="16"/>
                <w:szCs w:val="16"/>
                <w:shd w:val="clear" w:color="auto" w:fill="FFFFFF"/>
              </w:rPr>
              <w:instrText xml:space="preserve"> ADDIN EN.CITE </w:instrText>
            </w:r>
            <w:r w:rsidR="00FC3C1A">
              <w:rPr>
                <w:rFonts w:cs="Arial"/>
                <w:sz w:val="16"/>
                <w:szCs w:val="16"/>
                <w:shd w:val="clear" w:color="auto" w:fill="FFFFFF"/>
              </w:rPr>
              <w:fldChar w:fldCharType="begin">
                <w:fldData xml:space="preserve">PEVuZE5vdGU+PENpdGU+PEF1dGhvcj5KaWFuZyBXPC9BdXRob3I+PFllYXI+MjAxMTwvWWVhcj48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</w:fldData>
              </w:fldChar>
            </w:r>
            <w:r w:rsidR="00FC3C1A">
              <w:rPr>
                <w:rFonts w:cs="Arial"/>
                <w:sz w:val="16"/>
                <w:szCs w:val="16"/>
                <w:shd w:val="clear" w:color="auto" w:fill="FFFFFF"/>
              </w:rPr>
              <w:instrText xml:space="preserve"> ADDIN EN.CITE.DATA </w:instrText>
            </w:r>
            <w:r w:rsidR="00FC3C1A">
              <w:rPr>
                <w:rFonts w:cs="Arial"/>
                <w:sz w:val="16"/>
                <w:szCs w:val="16"/>
                <w:shd w:val="clear" w:color="auto" w:fill="FFFFFF"/>
              </w:rPr>
            </w:r>
            <w:r w:rsidR="00FC3C1A">
              <w:rPr>
                <w:rFonts w:cs="Arial"/>
                <w:sz w:val="16"/>
                <w:szCs w:val="16"/>
                <w:shd w:val="clear" w:color="auto" w:fill="FFFFFF"/>
              </w:rPr>
              <w:fldChar w:fldCharType="end"/>
            </w:r>
            <w:r w:rsidR="006C2756" w:rsidRPr="00E33CD3">
              <w:rPr>
                <w:rFonts w:cs="Arial"/>
                <w:sz w:val="16"/>
                <w:szCs w:val="16"/>
                <w:shd w:val="clear" w:color="auto" w:fill="FFFFFF"/>
              </w:rPr>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11" w:tooltip="Zhao S, 2010 #301" w:history="1">
              <w:r w:rsidR="00AB7E17">
                <w:rPr>
                  <w:rFonts w:cs="Arial"/>
                  <w:noProof/>
                  <w:sz w:val="16"/>
                  <w:szCs w:val="16"/>
                  <w:shd w:val="clear" w:color="auto" w:fill="FFFFFF"/>
                </w:rPr>
                <w:t>11</w:t>
              </w:r>
            </w:hyperlink>
            <w:r w:rsidR="00FC3C1A">
              <w:rPr>
                <w:rFonts w:cs="Arial"/>
                <w:noProof/>
                <w:sz w:val="16"/>
                <w:szCs w:val="16"/>
                <w:shd w:val="clear" w:color="auto" w:fill="FFFFFF"/>
              </w:rPr>
              <w:t xml:space="preserve">, </w:t>
            </w:r>
            <w:hyperlink w:anchor="_ENREF_68" w:tooltip="Jiang W, 2011 #326" w:history="1">
              <w:r w:rsidR="00AB7E17">
                <w:rPr>
                  <w:rFonts w:cs="Arial"/>
                  <w:noProof/>
                  <w:sz w:val="16"/>
                  <w:szCs w:val="16"/>
                  <w:shd w:val="clear" w:color="auto" w:fill="FFFFFF"/>
                </w:rPr>
                <w:t>68</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cs="Arial"/>
                <w:sz w:val="16"/>
                <w:szCs w:val="16"/>
                <w:shd w:val="clear" w:color="auto" w:fill="FFFFFF"/>
              </w:rPr>
              <w:t>.</w:t>
            </w:r>
            <w:r w:rsidRPr="00E33CD3">
              <w:rPr>
                <w:rFonts w:eastAsia="Times New Roman" w:cs="Arial"/>
                <w:sz w:val="16"/>
                <w:szCs w:val="16"/>
                <w:lang w:val="en-US"/>
              </w:rPr>
              <w:t xml:space="preserve"> </w:t>
            </w:r>
          </w:p>
          <w:p w:rsidR="00EF1380" w:rsidRPr="00E33CD3" w:rsidRDefault="00EF1380" w:rsidP="00AB7E17">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E33CD3">
              <w:rPr>
                <w:rFonts w:eastAsia="Times New Roman" w:cs="Arial"/>
                <w:sz w:val="16"/>
                <w:szCs w:val="16"/>
              </w:rPr>
              <w:t>Acetylation at Lys 514 crucial for enzymatic activity i</w:t>
            </w:r>
            <w:r w:rsidRPr="00E33CD3">
              <w:rPr>
                <w:rFonts w:cs="Arial"/>
                <w:sz w:val="16"/>
                <w:szCs w:val="16"/>
                <w:shd w:val="clear" w:color="auto" w:fill="FFFFFF"/>
              </w:rPr>
              <w:t xml:space="preserve">n </w:t>
            </w:r>
            <w:r w:rsidRPr="00E33CD3">
              <w:rPr>
                <w:rFonts w:cs="Arial"/>
                <w:i/>
                <w:sz w:val="16"/>
                <w:szCs w:val="16"/>
                <w:shd w:val="clear" w:color="auto" w:fill="FFFFFF"/>
              </w:rPr>
              <w:t>Saccharomyces cerevisiae</w:t>
            </w:r>
            <w:r w:rsidRPr="00E33CD3">
              <w:rPr>
                <w:rFonts w:cs="Arial"/>
                <w:sz w:val="16"/>
                <w:szCs w:val="16"/>
                <w:shd w:val="clear" w:color="auto" w:fill="FFFFFF"/>
              </w:rPr>
              <w:t xml:space="preserve"> </w:t>
            </w:r>
            <w:r w:rsidR="006C2756" w:rsidRPr="00E33CD3">
              <w:rPr>
                <w:rFonts w:cs="Arial"/>
                <w:sz w:val="16"/>
                <w:szCs w:val="16"/>
                <w:shd w:val="clear" w:color="auto" w:fill="FFFFFF"/>
              </w:rPr>
              <w:fldChar w:fldCharType="begin"/>
            </w:r>
            <w:r w:rsidR="00FC3C1A">
              <w:rPr>
                <w:rFonts w:cs="Arial"/>
                <w:sz w:val="16"/>
                <w:szCs w:val="16"/>
                <w:shd w:val="clear" w:color="auto" w:fill="FFFFFF"/>
              </w:rPr>
              <w:instrText xml:space="preserve"> ADDIN EN.CITE &lt;EndNote&gt;&lt;Cite&gt;&lt;Author&gt;Lin Y&lt;/Author&gt;&lt;Year&gt;2009&lt;/Year&gt;&lt;RecNum&gt;339&lt;/RecNum&gt;&lt;DisplayText&gt;(67)&lt;/DisplayText&gt;&lt;record&gt;&lt;rec-number&gt;339&lt;/rec-number&gt;&lt;foreign-keys&gt;&lt;key app="EN" db-id="zxp9w5sa30aeafes0xox2eem00dz2z2aswad"&gt;339&lt;/key&gt;&lt;/foreign-keys&gt;&lt;ref-type name="Journal Article"&gt;17&lt;/ref-type&gt;&lt;contributors&gt;&lt;authors&gt;&lt;author&gt;Lin Y,&lt;/author&gt;&lt;author&gt;Lu J,&lt;/author&gt;&lt;author&gt;Zhang J,&lt;/author&gt;&lt;author&gt;Walter W,&lt;/author&gt;&lt;author&gt;Dang W,&lt;/author&gt;&lt;author&gt;Wan J,&lt;/author&gt;&lt;author&gt;Tao S,&lt;/author&gt;&lt;author&gt;Qian J,&lt;/author&gt;&lt;author&gt;Zhao Y,&lt;/author&gt;&lt;author&gt;Boeke J,&lt;/author&gt;&lt;author&gt;Berger S,&lt;/author&gt;&lt;author&gt;Zhu H,&lt;/author&gt;&lt;/authors&gt;&lt;/contributors&gt;&lt;titles&gt;&lt;title&gt;Protein acetylation microarray reveals that NuA4 controls key metabolic target regulating gluconeogenesis&lt;/title&gt;&lt;secondary-title&gt;Cell&lt;/secondary-title&gt;&lt;/titles&gt;&lt;periodical&gt;&lt;full-title&gt;Cell&lt;/full-title&gt;&lt;/periodical&gt;&lt;pages&gt;1073-1084&lt;/pages&gt;&lt;volume&gt;136&lt;/volume&gt;&lt;number&gt;6&lt;/number&gt;&lt;dates&gt;&lt;year&gt;2009&lt;/year&gt;&lt;/dates&gt;&lt;urls&gt;&lt;/urls&gt;&lt;/record&gt;&lt;/Cite&gt;&lt;/EndNote&gt;</w:instrText>
            </w:r>
            <w:r w:rsidR="006C2756" w:rsidRPr="00E33CD3">
              <w:rPr>
                <w:rFonts w:cs="Arial"/>
                <w:sz w:val="16"/>
                <w:szCs w:val="16"/>
                <w:shd w:val="clear" w:color="auto" w:fill="FFFFFF"/>
              </w:rPr>
              <w:fldChar w:fldCharType="separate"/>
            </w:r>
            <w:r w:rsidR="00FC3C1A">
              <w:rPr>
                <w:rFonts w:cs="Arial"/>
                <w:noProof/>
                <w:sz w:val="16"/>
                <w:szCs w:val="16"/>
                <w:shd w:val="clear" w:color="auto" w:fill="FFFFFF"/>
              </w:rPr>
              <w:t>(</w:t>
            </w:r>
            <w:hyperlink w:anchor="_ENREF_67" w:tooltip="Lin Y, 2009 #339" w:history="1">
              <w:r w:rsidR="00AB7E17">
                <w:rPr>
                  <w:rFonts w:cs="Arial"/>
                  <w:noProof/>
                  <w:sz w:val="16"/>
                  <w:szCs w:val="16"/>
                  <w:shd w:val="clear" w:color="auto" w:fill="FFFFFF"/>
                </w:rPr>
                <w:t>67</w:t>
              </w:r>
            </w:hyperlink>
            <w:r w:rsidR="00FC3C1A">
              <w:rPr>
                <w:rFonts w:cs="Arial"/>
                <w:noProof/>
                <w:sz w:val="16"/>
                <w:szCs w:val="16"/>
                <w:shd w:val="clear" w:color="auto" w:fill="FFFFFF"/>
              </w:rPr>
              <w:t>)</w:t>
            </w:r>
            <w:r w:rsidR="006C2756" w:rsidRPr="00E33CD3">
              <w:rPr>
                <w:rFonts w:cs="Arial"/>
                <w:sz w:val="16"/>
                <w:szCs w:val="16"/>
                <w:shd w:val="clear" w:color="auto" w:fill="FFFFFF"/>
              </w:rPr>
              <w:fldChar w:fldCharType="end"/>
            </w:r>
            <w:r w:rsidRPr="00E33CD3">
              <w:rPr>
                <w:rFonts w:eastAsia="Times New Roman" w:cs="Arial"/>
                <w:sz w:val="16"/>
                <w:szCs w:val="16"/>
              </w:rPr>
              <w:t>.</w:t>
            </w:r>
          </w:p>
        </w:tc>
      </w:tr>
      <w:tr w:rsidR="00EF1380" w:rsidRPr="00155A38" w:rsidTr="009B400B">
        <w:trPr>
          <w:trHeight w:val="315"/>
        </w:trPr>
        <w:tc>
          <w:tcPr>
            <w:cnfStyle w:val="001000000000" w:firstRow="0" w:lastRow="0" w:firstColumn="1" w:lastColumn="0" w:oddVBand="0" w:evenVBand="0" w:oddHBand="0" w:evenHBand="0" w:firstRowFirstColumn="0" w:firstRowLastColumn="0" w:lastRowFirstColumn="0" w:lastRowLastColumn="0"/>
            <w:tcW w:w="1930" w:type="dxa"/>
            <w:tcBorders>
              <w:top w:val="nil"/>
              <w:left w:val="single" w:sz="8" w:space="0" w:color="000000" w:themeColor="text1"/>
              <w:bottom w:val="single" w:sz="8" w:space="0" w:color="000000" w:themeColor="text1"/>
              <w:right w:val="nil"/>
            </w:tcBorders>
            <w:noWrap/>
            <w:vAlign w:val="center"/>
            <w:hideMark/>
          </w:tcPr>
          <w:p w:rsidR="00EF1380" w:rsidRPr="00E33CD3" w:rsidRDefault="00EF1380" w:rsidP="009B400B">
            <w:pPr>
              <w:jc w:val="center"/>
              <w:rPr>
                <w:rFonts w:eastAsia="Times New Roman" w:cs="Arial"/>
                <w:sz w:val="16"/>
                <w:szCs w:val="16"/>
              </w:rPr>
            </w:pPr>
            <w:r w:rsidRPr="00E33CD3">
              <w:rPr>
                <w:rFonts w:eastAsia="Times New Roman" w:cs="Arial"/>
                <w:sz w:val="16"/>
                <w:szCs w:val="16"/>
              </w:rPr>
              <w:t>Pyruvate kinase</w:t>
            </w:r>
          </w:p>
        </w:tc>
        <w:tc>
          <w:tcPr>
            <w:tcW w:w="2204" w:type="dxa"/>
            <w:tcBorders>
              <w:top w:val="nil"/>
              <w:left w:val="nil"/>
              <w:bottom w:val="single" w:sz="8" w:space="0" w:color="000000" w:themeColor="text1"/>
              <w:right w:val="nil"/>
            </w:tcBorders>
            <w:noWrap/>
            <w:vAlign w:val="center"/>
            <w:hideMark/>
          </w:tcPr>
          <w:p w:rsidR="00EF1380" w:rsidRPr="00E33CD3" w:rsidRDefault="00EF1380" w:rsidP="00AB7E1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3, 62 </w:t>
            </w:r>
            <w:r w:rsidR="006C2756" w:rsidRPr="00E33CD3">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aW9uczwvSURUZXh0PjxEaXNwbGF5VGV4dD4oNjQsIDY2KTwvRGlzcGxheVRleHQ+PHJlY29yZD48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cz48dXJscz48L3VybHM+PC9yZWNvcmQ+PC9DaXRlPjxDaXRlPjxBdXRob3I+THYgTDwvQXV0aG9y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PEVuZE5vdGU+PENpdGU+PEF1dGhvcj5DaG91ZGhhcnkgIEM8L0F1dGhvcj48WWVhcj4yMDA5PC9Z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66" w:tooltip="Lv L, 2011 #161" w:history="1">
              <w:r w:rsidR="00AB7E17">
                <w:rPr>
                  <w:rFonts w:eastAsia="Times New Roman" w:cs="Arial"/>
                  <w:noProof/>
                  <w:sz w:val="16"/>
                  <w:szCs w:val="16"/>
                  <w:lang w:val="en-US"/>
                </w:rPr>
                <w:t>66</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89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135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151, 162, 166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186, 206, 207, 230, 261, 266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305 </w:t>
            </w:r>
            <w:r w:rsidR="006C2756" w:rsidRPr="00E33CD3">
              <w:rPr>
                <w:rFonts w:eastAsia="Times New Roman" w:cs="Arial"/>
                <w:sz w:val="16"/>
                <w:szCs w:val="16"/>
                <w:lang w:val="en-US"/>
              </w:rPr>
              <w:fldChar w:fldCharType="begin">
                <w:fldData xml:space="preserve">PEVuZE5vdGU+PENpdGU+PEF1dGhvcj5MdiBMPC9BdXRob3I+PFllYXI+MjAxMTwvWWVhcj48UmVj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</w:fldData>
              </w:fldChar>
            </w:r>
            <w:r w:rsidR="00FC3C1A">
              <w:rPr>
                <w:rFonts w:eastAsia="Times New Roman" w:cs="Arial"/>
                <w:sz w:val="16"/>
                <w:szCs w:val="16"/>
                <w:lang w:val="en-US"/>
              </w:rPr>
              <w:instrText xml:space="preserve"> ADDIN EN.CITE </w:instrText>
            </w:r>
            <w:r w:rsidR="00FC3C1A">
              <w:rPr>
                <w:rFonts w:eastAsia="Times New Roman" w:cs="Arial"/>
                <w:sz w:val="16"/>
                <w:szCs w:val="16"/>
                <w:lang w:val="en-US"/>
              </w:rPr>
              <w:fldChar w:fldCharType="begin">
                <w:fldData xml:space="preserve">PEVuZE5vdGU+PENpdGU+PEF1dGhvcj5MdiBMPC9BdXRob3I+PFllYXI+MjAxMTwvWWVhcj48UmVj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</w:fldData>
              </w:fldChar>
            </w:r>
            <w:r w:rsidR="00FC3C1A">
              <w:rPr>
                <w:rFonts w:eastAsia="Times New Roman" w:cs="Arial"/>
                <w:sz w:val="16"/>
                <w:szCs w:val="16"/>
                <w:lang w:val="en-US"/>
              </w:rPr>
              <w:instrText xml:space="preserve"> ADDIN EN.CITE.DATA </w:instrText>
            </w:r>
            <w:r w:rsidR="00FC3C1A">
              <w:rPr>
                <w:rFonts w:eastAsia="Times New Roman" w:cs="Arial"/>
                <w:sz w:val="16"/>
                <w:szCs w:val="16"/>
                <w:lang w:val="en-US"/>
              </w:rPr>
            </w:r>
            <w:r w:rsidR="00FC3C1A">
              <w:rPr>
                <w:rFonts w:eastAsia="Times New Roman" w:cs="Arial"/>
                <w:sz w:val="16"/>
                <w:szCs w:val="16"/>
                <w:lang w:val="en-US"/>
              </w:rPr>
              <w:fldChar w:fldCharType="end"/>
            </w:r>
            <w:r w:rsidR="006C2756" w:rsidRPr="00E33CD3">
              <w:rPr>
                <w:rFonts w:eastAsia="Times New Roman" w:cs="Arial"/>
                <w:sz w:val="16"/>
                <w:szCs w:val="16"/>
                <w:lang w:val="en-US"/>
              </w:rPr>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1" w:tooltip="Zhao S, 2010 #301" w:history="1">
              <w:r w:rsidR="00AB7E17">
                <w:rPr>
                  <w:rFonts w:eastAsia="Times New Roman" w:cs="Arial"/>
                  <w:noProof/>
                  <w:sz w:val="16"/>
                  <w:szCs w:val="16"/>
                  <w:lang w:val="en-US"/>
                </w:rPr>
                <w:t>11</w:t>
              </w:r>
            </w:hyperlink>
            <w:r w:rsidR="00FC3C1A">
              <w:rPr>
                <w:rFonts w:eastAsia="Times New Roman" w:cs="Arial"/>
                <w:noProof/>
                <w:sz w:val="16"/>
                <w:szCs w:val="16"/>
                <w:lang w:val="en-US"/>
              </w:rPr>
              <w:t xml:space="preserve">, </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 xml:space="preserve">, </w:t>
            </w:r>
            <w:hyperlink w:anchor="_ENREF_66" w:tooltip="Lv L, 2011 #161" w:history="1">
              <w:r w:rsidR="00AB7E17">
                <w:rPr>
                  <w:rFonts w:eastAsia="Times New Roman" w:cs="Arial"/>
                  <w:noProof/>
                  <w:sz w:val="16"/>
                  <w:szCs w:val="16"/>
                  <w:lang w:val="en-US"/>
                </w:rPr>
                <w:t>66</w:t>
              </w:r>
            </w:hyperlink>
            <w:r w:rsidR="00FC3C1A">
              <w:rPr>
                <w:rFonts w:eastAsia="Times New Roman" w:cs="Arial"/>
                <w:noProof/>
                <w:sz w:val="16"/>
                <w:szCs w:val="16"/>
                <w:lang w:val="en-US"/>
              </w:rPr>
              <w:t xml:space="preserve">, </w:t>
            </w:r>
            <w:hyperlink w:anchor="_ENREF_89" w:tooltip="Xiong Y, 2011 #286" w:history="1">
              <w:r w:rsidR="00AB7E17">
                <w:rPr>
                  <w:rFonts w:eastAsia="Times New Roman" w:cs="Arial"/>
                  <w:noProof/>
                  <w:sz w:val="16"/>
                  <w:szCs w:val="16"/>
                  <w:lang w:val="en-US"/>
                </w:rPr>
                <w:t>89</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422, 433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&lt;EndNote&gt;&lt;Cite&gt;&lt;Author&gt;Choudhary  C&lt;/Author&gt;&lt;Year&gt;2009&lt;/Year&gt;&lt;RecNum&gt;44&lt;/RecNum&gt;&lt;IDText&gt;Lysine acetylation targets protein complexes and co-regulates major  cellular functions&lt;/IDText&gt;&lt;DisplayText&gt;(64)&lt;/DisplayText&gt;&lt;record&gt;&lt;rec-number&gt;44&lt;/rec-number&gt;&lt;foreign-keys&gt;&lt;key app="EN" db-id="zxp9w5sa30aeafes0xox2eem00dz2z2aswad"&gt;44&lt;/key&gt;&lt;key app="ENWeb" db-id="UG1-3grtqigAAEqvEt0"&gt;183&lt;/key&gt;&lt;/foreign-keys&gt;&lt;ref-type name="Journal Article"&gt;17&lt;/ref-type&gt;&lt;contributors&gt;&lt;authors&gt;&lt;author&gt;Choudhary  C,&lt;/author&gt;&lt;author&gt;Kumar  C,&lt;/author&gt;&lt;author&gt;Gnad  F,&lt;/author&gt;&lt;author&gt;Nielsen  ML,&lt;/author&gt;&lt;author&gt;Rehman  M,&lt;/author&gt;&lt;author&gt;Walther  TC,&lt;/author&gt;&lt;author&gt;Olsen  JV,&lt;/author&gt;&lt;author&gt;Mann  M,&lt;/author&gt;&lt;/authors&gt;&lt;/contributors&gt;&lt;titles&gt;&lt;title&gt;Lysine acetylation targets protein complexes and co-regulates major  cellular functions&lt;/title&gt;&lt;secondary-title&gt;Science&lt;/secondary-title&gt;&lt;/titles&gt;&lt;periodical&gt;&lt;full-title&gt;Science&lt;/full-title&gt;&lt;/periodical&gt;&lt;pages&gt;834-40&lt;/pages&gt;&lt;volume&gt;325&lt;/volume&gt;&lt;number&gt;5942&lt;/number&gt;&lt;dates&gt;&lt;year&gt;2009&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64" w:tooltip="Choudhary  C, 2009 #44" w:history="1">
              <w:r w:rsidR="00AB7E17">
                <w:rPr>
                  <w:rFonts w:eastAsia="Times New Roman" w:cs="Arial"/>
                  <w:noProof/>
                  <w:sz w:val="16"/>
                  <w:szCs w:val="16"/>
                  <w:lang w:val="en-US"/>
                </w:rPr>
                <w:t>64</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and 498.</w:t>
            </w:r>
          </w:p>
        </w:tc>
        <w:tc>
          <w:tcPr>
            <w:tcW w:w="2205" w:type="dxa"/>
            <w:tcBorders>
              <w:top w:val="nil"/>
              <w:left w:val="nil"/>
              <w:bottom w:val="single" w:sz="8" w:space="0" w:color="000000" w:themeColor="text1"/>
              <w:right w:val="nil"/>
            </w:tcBorders>
            <w:noWrap/>
            <w:vAlign w:val="center"/>
            <w:hideMark/>
          </w:tcPr>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Enhanced expression in P-815 mastocytoma cells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&lt;EndNote&gt;&lt;Cite&gt;&lt;Author&gt;Ngo J&lt;/Author&gt;&lt;Year&gt;1983&lt;/Year&gt;&lt;RecNum&gt;319&lt;/RecNum&gt;&lt;DisplayText&gt;(100)&lt;/DisplayText&gt;&lt;record&gt;&lt;rec-number&gt;319&lt;/rec-number&gt;&lt;foreign-keys&gt;&lt;key app="EN" db-id="zxp9w5sa30aeafes0xox2eem00dz2z2aswad"&gt;319&lt;/key&gt;&lt;/foreign-keys&gt;&lt;ref-type name="Journal Article"&gt;17&lt;/ref-type&gt;&lt;contributors&gt;&lt;authors&gt;&lt;author&gt;Ngo J,&lt;/author&gt;&lt;author&gt;Chute H,&lt;/author&gt;&lt;author&gt;Sanders D,&lt;/author&gt;&lt;author&gt;Orlando R,&lt;/author&gt;&lt;author&gt;Ibsen K,&lt;/author&gt;&lt;/authors&gt;&lt;/contributors&gt;&lt;titles&gt;&lt;title&gt;Regulation of pyruvate kinase expression and growth in mastocytoma cells. I. Initial observations&lt;/title&gt;&lt;secondary-title&gt;Exp Cell Res&lt;/secondary-title&gt;&lt;/titles&gt;&lt;periodical&gt;&lt;full-title&gt;Exp Cell Res&lt;/full-title&gt;&lt;/periodical&gt;&lt;pages&gt;565-575&lt;/pages&gt;&lt;volume&gt;149&lt;/volume&gt;&lt;number&gt;2&lt;/number&gt;&lt;dates&gt;&lt;year&gt;1983&lt;/year&gt;&lt;/dates&gt;&lt;urls&gt;&lt;/urls&gt;&lt;/record&gt;&lt;/Cite&gt;&lt;/EndNote&gt;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00" w:tooltip="Ngo J, 1983 #319" w:history="1">
              <w:r w:rsidR="00AB7E17">
                <w:rPr>
                  <w:rFonts w:eastAsia="Times New Roman" w:cs="Arial"/>
                  <w:noProof/>
                  <w:sz w:val="16"/>
                  <w:szCs w:val="16"/>
                  <w:lang w:val="en-US"/>
                </w:rPr>
                <w:t>100</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rPr>
              <w:t>.</w:t>
            </w:r>
          </w:p>
          <w:p w:rsidR="00EF1380" w:rsidRPr="00E33CD3" w:rsidRDefault="00EF1380" w:rsidP="009B400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US"/>
              </w:rPr>
            </w:pPr>
            <w:r w:rsidRPr="00E33CD3">
              <w:rPr>
                <w:rFonts w:eastAsia="Times New Roman" w:cs="Arial"/>
                <w:sz w:val="16"/>
                <w:szCs w:val="16"/>
              </w:rPr>
              <w:t xml:space="preserve">Decrease in the amount of transcripts in human colon tissues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&lt;EndNote&gt;&lt;Cite&gt;&lt;Author&gt;Jahns F&lt;/Author&gt;&lt;Year&gt;2012&lt;/Year&gt;&lt;RecNum&gt;124&lt;/RecNum&gt;&lt;DisplayText&gt;(92)&lt;/DisplayText&gt;&lt;record&gt;&lt;rec-number&gt;124&lt;/rec-number&gt;&lt;foreign-keys&gt;&lt;key app="EN" db-id="zxp9w5sa30aeafes0xox2eem00dz2z2aswad"&gt;124&lt;/key&gt;&lt;key app="ENWeb" db-id="UG1-3grtqigAAEqvEt0"&gt;384&lt;/key&gt;&lt;/foreign-keys&gt;&lt;ref-type name="Journal Article"&gt;17&lt;/ref-type&gt;&lt;contributors&gt;&lt;authors&gt;&lt;author&gt;Jahns F,&lt;/author&gt;&lt;author&gt;Wilhelm A,&lt;/author&gt;&lt;author&gt;Greulich K,&lt;/author&gt;&lt;author&gt;Mothes H,&lt;/author&gt;&lt;author&gt;Radeva M,&lt;/author&gt;&lt;author&gt;Wölfert A,&lt;/author&gt;&lt;author&gt;Glei M,&lt;/author&gt;&lt;/authors&gt;&lt;/contributors&gt;&lt;titles&gt;&lt;title&gt;Impact of butyrate on PKM2 and HSP90β expression in human colon tissues of different transformation stages: a comparison fo gene and protein data&lt;/title&gt;&lt;secondary-title&gt;Genes Nutr&lt;/secondary-title&gt;&lt;/titles&gt;&lt;periodical&gt;&lt;full-title&gt;Genes Nutr&lt;/full-title&gt;&lt;/periodical&gt;&lt;pages&gt;235-246&lt;/pages&gt;&lt;volume&gt;7&lt;/volume&gt;&lt;number&gt;2&lt;/number&gt;&lt;dates&gt;&lt;year&gt;2012&lt;/year&gt;&lt;/dates&gt;&lt;urls&gt;&lt;/urls&gt;&lt;/record&gt;&lt;/Cite&gt;&lt;/EndNote&gt;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92" w:tooltip="Jahns F, 2012 #124" w:history="1">
              <w:r w:rsidR="00AB7E17">
                <w:rPr>
                  <w:rFonts w:eastAsia="Times New Roman" w:cs="Arial"/>
                  <w:noProof/>
                  <w:sz w:val="16"/>
                  <w:szCs w:val="16"/>
                  <w:lang w:val="en-US"/>
                </w:rPr>
                <w:t>92</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 xml:space="preserve">. </w:t>
            </w:r>
          </w:p>
          <w:p w:rsidR="00EF1380" w:rsidRPr="00E33CD3" w:rsidRDefault="00EF1380" w:rsidP="00AB7E17">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lang w:val="en-US"/>
              </w:rPr>
              <w:t xml:space="preserve">Decrease in gene expression in F9 terotocarcinoma cells </w:t>
            </w:r>
            <w:r w:rsidR="006C2756" w:rsidRPr="00E33CD3">
              <w:rPr>
                <w:rFonts w:eastAsia="Times New Roman" w:cs="Arial"/>
                <w:sz w:val="16"/>
                <w:szCs w:val="16"/>
                <w:lang w:val="en-US"/>
              </w:rPr>
              <w:fldChar w:fldCharType="begin"/>
            </w:r>
            <w:r w:rsidR="00FC3C1A">
              <w:rPr>
                <w:rFonts w:eastAsia="Times New Roman" w:cs="Arial"/>
                <w:sz w:val="16"/>
                <w:szCs w:val="16"/>
                <w:lang w:val="en-US"/>
              </w:rPr>
              <w:instrText xml:space="preserve"> ADDIN EN.CITE &lt;EndNote&gt;&lt;Cite&gt;&lt;Author&gt;Shimada N&lt;/Author&gt;&lt;Year&gt;2001&lt;/Year&gt;&lt;RecNum&gt;324&lt;/RecNum&gt;&lt;DisplayText&gt;(101)&lt;/DisplayText&gt;&lt;record&gt;&lt;rec-number&gt;324&lt;/rec-number&gt;&lt;foreign-keys&gt;&lt;key app="EN" db-id="zxp9w5sa30aeafes0xox2eem00dz2z2aswad"&gt;324&lt;/key&gt;&lt;/foreign-keys&gt;&lt;ref-type name="Journal Article"&gt;17&lt;/ref-type&gt;&lt;contributors&gt;&lt;authors&gt;&lt;author&gt;Shimada N,&lt;/author&gt;&lt;author&gt;Yamada K,&lt;/author&gt;&lt;author&gt;Tanaka T,&lt;/author&gt;&lt;author&gt;Kawata H,&lt;/author&gt;&lt;author&gt;Mizutani T,&lt;/author&gt;&lt;author&gt;Miyamoto K,&lt;/author&gt;&lt;author&gt;Matsuzawa T,&lt;/author&gt;&lt;/authors&gt;&lt;/contributors&gt;&lt;titles&gt;&lt;title&gt;Alterations of gene expression in endoderm differentiation of F9 teratocarcinoma cells&lt;/title&gt;&lt;secondary-title&gt;Mol Reprod Dev&lt;/secondary-title&gt;&lt;/titles&gt;&lt;periodical&gt;&lt;full-title&gt;Mol Reprod Dev&lt;/full-title&gt;&lt;/periodical&gt;&lt;pages&gt;165-171&lt;/pages&gt;&lt;volume&gt;60&lt;/volume&gt;&lt;number&gt;2&lt;/number&gt;&lt;dates&gt;&lt;year&gt;2001&lt;/year&gt;&lt;/dates&gt;&lt;urls&gt;&lt;/urls&gt;&lt;/record&gt;&lt;/Cite&gt;&lt;/EndNote&gt;</w:instrText>
            </w:r>
            <w:r w:rsidR="006C2756" w:rsidRPr="00E33CD3">
              <w:rPr>
                <w:rFonts w:eastAsia="Times New Roman" w:cs="Arial"/>
                <w:sz w:val="16"/>
                <w:szCs w:val="16"/>
                <w:lang w:val="en-US"/>
              </w:rPr>
              <w:fldChar w:fldCharType="separate"/>
            </w:r>
            <w:r w:rsidR="00FC3C1A">
              <w:rPr>
                <w:rFonts w:eastAsia="Times New Roman" w:cs="Arial"/>
                <w:noProof/>
                <w:sz w:val="16"/>
                <w:szCs w:val="16"/>
                <w:lang w:val="en-US"/>
              </w:rPr>
              <w:t>(</w:t>
            </w:r>
            <w:hyperlink w:anchor="_ENREF_101" w:tooltip="Shimada N, 2001 #324" w:history="1">
              <w:r w:rsidR="00AB7E17">
                <w:rPr>
                  <w:rFonts w:eastAsia="Times New Roman" w:cs="Arial"/>
                  <w:noProof/>
                  <w:sz w:val="16"/>
                  <w:szCs w:val="16"/>
                  <w:lang w:val="en-US"/>
                </w:rPr>
                <w:t>101</w:t>
              </w:r>
            </w:hyperlink>
            <w:r w:rsidR="00FC3C1A">
              <w:rPr>
                <w:rFonts w:eastAsia="Times New Roman" w:cs="Arial"/>
                <w:noProof/>
                <w:sz w:val="16"/>
                <w:szCs w:val="16"/>
                <w:lang w:val="en-US"/>
              </w:rPr>
              <w:t>)</w:t>
            </w:r>
            <w:r w:rsidR="006C2756" w:rsidRPr="00E33CD3">
              <w:rPr>
                <w:rFonts w:eastAsia="Times New Roman" w:cs="Arial"/>
                <w:sz w:val="16"/>
                <w:szCs w:val="16"/>
                <w:lang w:val="en-US"/>
              </w:rPr>
              <w:fldChar w:fldCharType="end"/>
            </w:r>
            <w:r w:rsidRPr="00E33CD3">
              <w:rPr>
                <w:rFonts w:eastAsia="Times New Roman" w:cs="Arial"/>
                <w:sz w:val="16"/>
                <w:szCs w:val="16"/>
                <w:lang w:val="en-US"/>
              </w:rPr>
              <w:t>.</w:t>
            </w:r>
          </w:p>
        </w:tc>
        <w:tc>
          <w:tcPr>
            <w:tcW w:w="2734" w:type="dxa"/>
            <w:tcBorders>
              <w:top w:val="nil"/>
              <w:left w:val="nil"/>
              <w:bottom w:val="single" w:sz="8" w:space="0" w:color="000000" w:themeColor="text1"/>
              <w:right w:val="single" w:sz="8" w:space="0" w:color="000000" w:themeColor="text1"/>
            </w:tcBorders>
            <w:noWrap/>
            <w:vAlign w:val="center"/>
            <w:hideMark/>
          </w:tcPr>
          <w:p w:rsidR="00EF1380" w:rsidRPr="00E33CD3" w:rsidRDefault="00EF1380" w:rsidP="00AB7E1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E33CD3">
              <w:rPr>
                <w:rFonts w:eastAsia="Times New Roman" w:cs="Arial"/>
                <w:sz w:val="16"/>
                <w:szCs w:val="16"/>
              </w:rPr>
              <w:t xml:space="preserve">Regulation of activity and stability at Lys residue 305 in 293T cells </w:t>
            </w:r>
            <w:r w:rsidR="006C2756" w:rsidRPr="00E33CD3">
              <w:rPr>
                <w:rFonts w:cs="Arial"/>
                <w:sz w:val="16"/>
                <w:szCs w:val="16"/>
              </w:rPr>
              <w:fldChar w:fldCharType="begin"/>
            </w:r>
            <w:r w:rsidR="00FC3C1A">
              <w:rPr>
                <w:rFonts w:cs="Arial"/>
                <w:sz w:val="16"/>
                <w:szCs w:val="16"/>
              </w:rPr>
              <w:instrText xml:space="preserve"> ADDIN EN.CITE &lt;EndNote&gt;&lt;Cite&gt;&lt;Author&gt;Lv L&lt;/Author&gt;&lt;Year&gt;2011&lt;/Year&gt;&lt;RecNum&gt;161&lt;/RecNum&gt;&lt;DisplayText&gt;(66)&lt;/DisplayText&gt;&lt;record&gt;&lt;rec-number&gt;161&lt;/rec-number&gt;&lt;foreign-keys&gt;&lt;key app="EN" db-id="zxp9w5sa30aeafes0xox2eem00dz2z2aswad"&gt;161&lt;/key&gt;&lt;key app="ENWeb" db-id="UG1-3grtqigAAEqvEt0"&gt;140&lt;/key&gt;&lt;/foreign-keys&gt;&lt;ref-type name="Journal Article"&gt;17&lt;/ref-type&gt;&lt;contributors&gt;&lt;authors&gt;&lt;author&gt;Lv L,&lt;/author&gt;&lt;author&gt;Li D,&lt;/author&gt;&lt;author&gt;Zhao D,&lt;/author&gt;&lt;author&gt;Lin R,&lt;/author&gt;&lt;author&gt;Chu Y,&lt;/author&gt;&lt;author&gt;Zhang H,&lt;/author&gt;&lt;author&gt;Zha Z,&lt;/author&gt;&lt;author&gt;Liu Y,&lt;/author&gt;&lt;author&gt;Li Z,&lt;/author&gt;&lt;author&gt;Xu Y,&lt;/author&gt;&lt;author&gt;Wang G,&lt;/author&gt;&lt;author&gt;Huang Y,&lt;/author&gt;&lt;author&gt;Xiong Y,&lt;/author&gt;&lt;author&gt;Guan K,&lt;/author&gt;&lt;author&gt;Lei Q,&lt;/author&gt;&lt;/authors&gt;&lt;/contributors&gt;&lt;titles&gt;&lt;title&gt;Acetylation targets the M2 isoform of pyruvate kinase for degradation through chaperone-mediated autophagy and promotes tumor growth&lt;/title&gt;&lt;secondary-title&gt;Mol Cell&lt;/secondary-title&gt;&lt;/titles&gt;&lt;periodical&gt;&lt;full-title&gt;Mol Cell&lt;/full-title&gt;&lt;/periodical&gt;&lt;pages&gt;719-30&lt;/pages&gt;&lt;volume&gt;42&lt;/volume&gt;&lt;number&gt;6&lt;/number&gt;&lt;dates&gt;&lt;year&gt;2011&lt;/year&gt;&lt;/dates&gt;&lt;urls&gt;&lt;/urls&gt;&lt;/record&gt;&lt;/Cite&gt;&lt;/EndNote&gt;</w:instrText>
            </w:r>
            <w:r w:rsidR="006C2756" w:rsidRPr="00E33CD3">
              <w:rPr>
                <w:rFonts w:cs="Arial"/>
                <w:sz w:val="16"/>
                <w:szCs w:val="16"/>
              </w:rPr>
              <w:fldChar w:fldCharType="separate"/>
            </w:r>
            <w:r w:rsidR="00FC3C1A">
              <w:rPr>
                <w:rFonts w:cs="Arial"/>
                <w:noProof/>
                <w:sz w:val="16"/>
                <w:szCs w:val="16"/>
              </w:rPr>
              <w:t>(</w:t>
            </w:r>
            <w:hyperlink w:anchor="_ENREF_66" w:tooltip="Lv L, 2011 #161" w:history="1">
              <w:r w:rsidR="00AB7E17">
                <w:rPr>
                  <w:rFonts w:cs="Arial"/>
                  <w:noProof/>
                  <w:sz w:val="16"/>
                  <w:szCs w:val="16"/>
                </w:rPr>
                <w:t>66</w:t>
              </w:r>
            </w:hyperlink>
            <w:r w:rsidR="00FC3C1A">
              <w:rPr>
                <w:rFonts w:cs="Arial"/>
                <w:noProof/>
                <w:sz w:val="16"/>
                <w:szCs w:val="16"/>
              </w:rPr>
              <w:t>)</w:t>
            </w:r>
            <w:r w:rsidR="006C2756" w:rsidRPr="00E33CD3">
              <w:rPr>
                <w:rFonts w:cs="Arial"/>
                <w:sz w:val="16"/>
                <w:szCs w:val="16"/>
              </w:rPr>
              <w:fldChar w:fldCharType="end"/>
            </w:r>
            <w:r w:rsidRPr="00E33CD3">
              <w:rPr>
                <w:rFonts w:eastAsia="Times New Roman" w:cs="Arial"/>
                <w:sz w:val="16"/>
                <w:szCs w:val="16"/>
              </w:rPr>
              <w:t xml:space="preserve">. </w:t>
            </w:r>
          </w:p>
        </w:tc>
      </w:tr>
    </w:tbl>
    <w:p w:rsidR="00FE4E86" w:rsidRDefault="00EF1380" w:rsidP="00492DA2">
      <w:pPr>
        <w:pStyle w:val="Caption"/>
        <w:jc w:val="both"/>
        <w:rPr>
          <w:rFonts w:ascii="Arial" w:hAnsi="Arial" w:cs="Arial"/>
          <w:i/>
          <w:color w:val="auto"/>
          <w:sz w:val="16"/>
          <w:szCs w:val="16"/>
        </w:rPr>
      </w:pPr>
      <w:bookmarkStart w:id="251" w:name="_Toc413667003"/>
      <w:proofErr w:type="gramStart"/>
      <w:r w:rsidRPr="004C2A30">
        <w:rPr>
          <w:rFonts w:ascii="Arial" w:hAnsi="Arial" w:cs="Arial"/>
          <w:color w:val="auto"/>
          <w:sz w:val="16"/>
          <w:szCs w:val="16"/>
        </w:rPr>
        <w:t xml:space="preserve">Table </w:t>
      </w:r>
      <w:r w:rsidR="006C2756" w:rsidRPr="004C2A30">
        <w:rPr>
          <w:rFonts w:ascii="Arial" w:hAnsi="Arial" w:cs="Arial"/>
          <w:color w:val="auto"/>
          <w:sz w:val="16"/>
          <w:szCs w:val="16"/>
        </w:rPr>
        <w:fldChar w:fldCharType="begin"/>
      </w:r>
      <w:r w:rsidRPr="004C2A30">
        <w:rPr>
          <w:rFonts w:ascii="Arial" w:hAnsi="Arial" w:cs="Arial"/>
          <w:color w:val="auto"/>
          <w:sz w:val="16"/>
          <w:szCs w:val="16"/>
        </w:rPr>
        <w:instrText xml:space="preserve"> SEQ Table \* ARABIC </w:instrText>
      </w:r>
      <w:r w:rsidR="006C2756" w:rsidRPr="004C2A30">
        <w:rPr>
          <w:rFonts w:ascii="Arial" w:hAnsi="Arial" w:cs="Arial"/>
          <w:color w:val="auto"/>
          <w:sz w:val="16"/>
          <w:szCs w:val="16"/>
        </w:rPr>
        <w:fldChar w:fldCharType="separate"/>
      </w:r>
      <w:r w:rsidR="00DC0376">
        <w:rPr>
          <w:rFonts w:ascii="Arial" w:hAnsi="Arial" w:cs="Arial"/>
          <w:noProof/>
          <w:color w:val="auto"/>
          <w:sz w:val="16"/>
          <w:szCs w:val="16"/>
        </w:rPr>
        <w:t>16</w:t>
      </w:r>
      <w:r w:rsidR="006C2756" w:rsidRPr="004C2A30">
        <w:rPr>
          <w:rFonts w:ascii="Arial" w:hAnsi="Arial" w:cs="Arial"/>
          <w:color w:val="auto"/>
          <w:sz w:val="16"/>
          <w:szCs w:val="16"/>
        </w:rPr>
        <w:fldChar w:fldCharType="end"/>
      </w:r>
      <w:r w:rsidRPr="00155A38">
        <w:rPr>
          <w:rFonts w:ascii="Arial" w:hAnsi="Arial" w:cs="Arial"/>
          <w:color w:val="auto"/>
          <w:sz w:val="16"/>
        </w:rPr>
        <w:t>.</w:t>
      </w:r>
      <w:proofErr w:type="gramEnd"/>
      <w:r w:rsidRPr="00155A38">
        <w:rPr>
          <w:rFonts w:ascii="Arial" w:hAnsi="Arial" w:cs="Arial"/>
          <w:color w:val="auto"/>
          <w:sz w:val="16"/>
        </w:rPr>
        <w:t xml:space="preserve"> </w:t>
      </w:r>
      <w:proofErr w:type="gramStart"/>
      <w:r w:rsidRPr="008658C5">
        <w:rPr>
          <w:rFonts w:ascii="Arial" w:hAnsi="Arial" w:cs="Arial"/>
          <w:color w:val="auto"/>
          <w:sz w:val="16"/>
          <w:szCs w:val="16"/>
        </w:rPr>
        <w:t xml:space="preserve">Acetylation </w:t>
      </w:r>
      <w:r>
        <w:rPr>
          <w:rFonts w:ascii="Arial" w:hAnsi="Arial" w:cs="Arial"/>
          <w:color w:val="auto"/>
          <w:sz w:val="16"/>
          <w:szCs w:val="16"/>
        </w:rPr>
        <w:t>of l</w:t>
      </w:r>
      <w:r w:rsidRPr="008658C5">
        <w:rPr>
          <w:rFonts w:ascii="Arial" w:hAnsi="Arial" w:cs="Arial"/>
          <w:color w:val="auto"/>
          <w:sz w:val="16"/>
          <w:szCs w:val="16"/>
        </w:rPr>
        <w:t>ys</w:t>
      </w:r>
      <w:r>
        <w:rPr>
          <w:rFonts w:ascii="Arial" w:hAnsi="Arial" w:cs="Arial"/>
          <w:color w:val="auto"/>
          <w:sz w:val="16"/>
          <w:szCs w:val="16"/>
        </w:rPr>
        <w:t>ine residues, variation in respo</w:t>
      </w:r>
      <w:r w:rsidRPr="008658C5">
        <w:rPr>
          <w:rFonts w:ascii="Arial" w:hAnsi="Arial" w:cs="Arial"/>
          <w:color w:val="auto"/>
          <w:sz w:val="16"/>
          <w:szCs w:val="16"/>
        </w:rPr>
        <w:t>n</w:t>
      </w:r>
      <w:r>
        <w:rPr>
          <w:rFonts w:ascii="Arial" w:hAnsi="Arial" w:cs="Arial"/>
          <w:color w:val="auto"/>
          <w:sz w:val="16"/>
          <w:szCs w:val="16"/>
        </w:rPr>
        <w:t>s</w:t>
      </w:r>
      <w:r w:rsidRPr="008658C5">
        <w:rPr>
          <w:rFonts w:ascii="Arial" w:hAnsi="Arial" w:cs="Arial"/>
          <w:color w:val="auto"/>
          <w:sz w:val="16"/>
          <w:szCs w:val="16"/>
        </w:rPr>
        <w:t xml:space="preserve">e to butyrate and impact of </w:t>
      </w:r>
      <w:r>
        <w:rPr>
          <w:rFonts w:ascii="Arial" w:hAnsi="Arial" w:cs="Arial"/>
          <w:color w:val="auto"/>
          <w:sz w:val="16"/>
          <w:szCs w:val="16"/>
        </w:rPr>
        <w:t>l</w:t>
      </w:r>
      <w:r w:rsidRPr="008658C5">
        <w:rPr>
          <w:rFonts w:ascii="Arial" w:hAnsi="Arial" w:cs="Arial"/>
          <w:color w:val="auto"/>
          <w:sz w:val="16"/>
          <w:szCs w:val="16"/>
        </w:rPr>
        <w:t>ys</w:t>
      </w:r>
      <w:r>
        <w:rPr>
          <w:rFonts w:ascii="Arial" w:hAnsi="Arial" w:cs="Arial"/>
          <w:color w:val="auto"/>
          <w:sz w:val="16"/>
          <w:szCs w:val="16"/>
        </w:rPr>
        <w:t>ine residues</w:t>
      </w:r>
      <w:r w:rsidRPr="008658C5">
        <w:rPr>
          <w:rFonts w:ascii="Arial" w:hAnsi="Arial" w:cs="Arial"/>
          <w:color w:val="auto"/>
          <w:sz w:val="16"/>
          <w:szCs w:val="16"/>
        </w:rPr>
        <w:t xml:space="preserve"> acetylation on </w:t>
      </w:r>
      <w:r>
        <w:rPr>
          <w:rFonts w:ascii="Arial" w:hAnsi="Arial" w:cs="Arial"/>
          <w:color w:val="auto"/>
          <w:sz w:val="16"/>
          <w:szCs w:val="16"/>
        </w:rPr>
        <w:t xml:space="preserve">Pyruvate metabolism </w:t>
      </w:r>
      <w:r w:rsidRPr="008658C5">
        <w:rPr>
          <w:rFonts w:ascii="Arial" w:hAnsi="Arial" w:cs="Arial"/>
          <w:color w:val="auto"/>
          <w:sz w:val="16"/>
          <w:szCs w:val="16"/>
        </w:rPr>
        <w:t>enzymes.</w:t>
      </w:r>
      <w:proofErr w:type="gramEnd"/>
      <w:r>
        <w:rPr>
          <w:rFonts w:ascii="Arial" w:hAnsi="Arial" w:cs="Arial"/>
          <w:color w:val="auto"/>
          <w:sz w:val="16"/>
          <w:szCs w:val="16"/>
        </w:rPr>
        <w:t xml:space="preserve"> </w:t>
      </w:r>
      <w:r w:rsidR="00492DA2" w:rsidRPr="00492DA2">
        <w:rPr>
          <w:rFonts w:ascii="Arial" w:hAnsi="Arial" w:cs="Arial"/>
          <w:i/>
          <w:color w:val="auto"/>
          <w:sz w:val="16"/>
          <w:szCs w:val="16"/>
        </w:rPr>
        <w:t>Some of</w:t>
      </w:r>
      <w:r w:rsidR="00492DA2">
        <w:rPr>
          <w:rFonts w:ascii="Arial" w:hAnsi="Arial" w:cs="Arial"/>
          <w:color w:val="auto"/>
          <w:sz w:val="16"/>
          <w:szCs w:val="16"/>
        </w:rPr>
        <w:t xml:space="preserve"> t</w:t>
      </w:r>
      <w:r w:rsidR="00492DA2" w:rsidRPr="004C2A30">
        <w:rPr>
          <w:rFonts w:ascii="Arial" w:hAnsi="Arial" w:cs="Arial"/>
          <w:i/>
          <w:color w:val="auto"/>
          <w:sz w:val="16"/>
          <w:szCs w:val="16"/>
        </w:rPr>
        <w:t xml:space="preserve">he acetylated lysine residues </w:t>
      </w:r>
      <w:r w:rsidR="00492DA2">
        <w:rPr>
          <w:rFonts w:ascii="Arial" w:hAnsi="Arial" w:cs="Arial"/>
          <w:i/>
          <w:color w:val="auto"/>
          <w:sz w:val="16"/>
          <w:szCs w:val="16"/>
        </w:rPr>
        <w:t xml:space="preserve">were found in other species, but match the </w:t>
      </w:r>
      <w:r w:rsidR="00492DA2" w:rsidRPr="004C2A30">
        <w:rPr>
          <w:rFonts w:ascii="Arial" w:hAnsi="Arial" w:cs="Arial"/>
          <w:i/>
          <w:color w:val="auto"/>
          <w:sz w:val="16"/>
          <w:szCs w:val="16"/>
        </w:rPr>
        <w:t>reported in humans.</w:t>
      </w:r>
      <w:bookmarkEnd w:id="251"/>
      <w:r w:rsidR="00492DA2" w:rsidRPr="004C2A30">
        <w:rPr>
          <w:rFonts w:ascii="Arial" w:hAnsi="Arial" w:cs="Arial"/>
          <w:i/>
          <w:color w:val="auto"/>
          <w:sz w:val="16"/>
          <w:szCs w:val="16"/>
        </w:rPr>
        <w:t xml:space="preserve"> </w:t>
      </w:r>
    </w:p>
    <w:p w:rsidR="00BF3933" w:rsidRDefault="00BF3933">
      <w:pPr>
        <w:rPr>
          <w:lang w:eastAsia="es-MX"/>
        </w:rPr>
      </w:pPr>
      <w:r>
        <w:rPr>
          <w:lang w:eastAsia="es-MX"/>
        </w:rPr>
        <w:br w:type="page"/>
      </w:r>
    </w:p>
    <w:p w:rsidR="00BF3933" w:rsidRDefault="00BF3933" w:rsidP="00963A03">
      <w:pPr>
        <w:pStyle w:val="Heading1"/>
        <w:jc w:val="both"/>
        <w:rPr>
          <w:rFonts w:ascii="Arial" w:hAnsi="Arial" w:cs="Arial"/>
          <w:sz w:val="28"/>
          <w:szCs w:val="28"/>
          <w:lang w:eastAsia="es-MX"/>
        </w:rPr>
      </w:pPr>
      <w:bookmarkStart w:id="252" w:name="_Toc413753775"/>
      <w:proofErr w:type="gramStart"/>
      <w:r w:rsidRPr="00BF3933">
        <w:rPr>
          <w:rFonts w:ascii="Arial" w:hAnsi="Arial" w:cs="Arial"/>
          <w:sz w:val="28"/>
          <w:szCs w:val="28"/>
          <w:lang w:eastAsia="es-MX"/>
        </w:rPr>
        <w:lastRenderedPageBreak/>
        <w:t>Appendix III.</w:t>
      </w:r>
      <w:proofErr w:type="gramEnd"/>
      <w:r w:rsidRPr="00BF3933">
        <w:rPr>
          <w:rFonts w:ascii="Arial" w:hAnsi="Arial" w:cs="Arial"/>
          <w:sz w:val="28"/>
          <w:szCs w:val="28"/>
          <w:lang w:eastAsia="es-MX"/>
        </w:rPr>
        <w:t xml:space="preserve"> </w:t>
      </w:r>
      <w:proofErr w:type="gramStart"/>
      <w:r w:rsidRPr="00BF3933">
        <w:rPr>
          <w:rFonts w:ascii="Arial" w:hAnsi="Arial" w:cs="Arial"/>
          <w:i/>
          <w:sz w:val="28"/>
          <w:szCs w:val="28"/>
          <w:lang w:eastAsia="es-MX"/>
        </w:rPr>
        <w:t>p</w:t>
      </w:r>
      <w:r w:rsidRPr="00BF3933">
        <w:rPr>
          <w:rFonts w:ascii="Arial" w:hAnsi="Arial" w:cs="Arial"/>
          <w:sz w:val="28"/>
          <w:szCs w:val="28"/>
          <w:lang w:eastAsia="es-MX"/>
        </w:rPr>
        <w:t>-values</w:t>
      </w:r>
      <w:proofErr w:type="gramEnd"/>
      <w:r w:rsidRPr="00BF3933">
        <w:rPr>
          <w:rFonts w:ascii="Arial" w:hAnsi="Arial" w:cs="Arial"/>
          <w:sz w:val="28"/>
          <w:szCs w:val="28"/>
          <w:lang w:eastAsia="es-MX"/>
        </w:rPr>
        <w:t xml:space="preserve"> in every functional annotation of each GO term chosen in the global and acetylated proteome datasets.</w:t>
      </w:r>
      <w:bookmarkEnd w:id="252"/>
    </w:p>
    <w:tbl>
      <w:tblPr>
        <w:tblStyle w:val="LightList5"/>
        <w:tblW w:w="9244" w:type="dxa"/>
        <w:tblLook w:val="04A0" w:firstRow="1" w:lastRow="0" w:firstColumn="1" w:lastColumn="0" w:noHBand="0" w:noVBand="1"/>
      </w:tblPr>
      <w:tblGrid>
        <w:gridCol w:w="4621"/>
        <w:gridCol w:w="2310"/>
        <w:gridCol w:w="2313"/>
      </w:tblGrid>
      <w:tr w:rsidR="00BF3933" w:rsidRPr="00BF3933" w:rsidTr="0096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4" w:type="dxa"/>
            <w:gridSpan w:val="3"/>
          </w:tcPr>
          <w:p w:rsidR="00BF3933" w:rsidRPr="00BF3933" w:rsidRDefault="00BF3933" w:rsidP="00BF3933">
            <w:pPr>
              <w:jc w:val="center"/>
              <w:rPr>
                <w:sz w:val="16"/>
                <w:szCs w:val="16"/>
              </w:rPr>
            </w:pPr>
            <w:r w:rsidRPr="00BF3933">
              <w:rPr>
                <w:sz w:val="16"/>
                <w:szCs w:val="16"/>
              </w:rPr>
              <w:t>Biological process</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F3933" w:rsidRPr="00BF3933" w:rsidRDefault="00BF3933" w:rsidP="00BF3933">
            <w:pPr>
              <w:jc w:val="center"/>
              <w:rPr>
                <w:sz w:val="16"/>
                <w:szCs w:val="16"/>
              </w:rPr>
            </w:pPr>
            <w:r w:rsidRPr="00BF3933">
              <w:rPr>
                <w:sz w:val="16"/>
                <w:szCs w:val="16"/>
              </w:rPr>
              <w:t>Functional annotation</w:t>
            </w:r>
          </w:p>
        </w:tc>
        <w:tc>
          <w:tcPr>
            <w:tcW w:w="4623" w:type="dxa"/>
            <w:gridSpan w:val="2"/>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F3933">
              <w:rPr>
                <w:b/>
                <w:i/>
                <w:sz w:val="16"/>
                <w:szCs w:val="16"/>
              </w:rPr>
              <w:t>p</w:t>
            </w:r>
            <w:r w:rsidRPr="00BF3933">
              <w:rPr>
                <w:b/>
                <w:sz w:val="16"/>
                <w:szCs w:val="16"/>
              </w:rPr>
              <w:t>-value</w:t>
            </w:r>
          </w:p>
        </w:tc>
      </w:tr>
      <w:tr w:rsidR="00BF3933" w:rsidRPr="00BF3933" w:rsidTr="00963A03">
        <w:tc>
          <w:tcPr>
            <w:cnfStyle w:val="001000000000" w:firstRow="0" w:lastRow="0" w:firstColumn="1" w:lastColumn="0" w:oddVBand="0" w:evenVBand="0" w:oddHBand="0" w:evenHBand="0" w:firstRowFirstColumn="0" w:firstRowLastColumn="0" w:lastRowFirstColumn="0" w:lastRowLastColumn="0"/>
            <w:tcW w:w="4621" w:type="dxa"/>
            <w:vMerge w:val="restart"/>
          </w:tcPr>
          <w:p w:rsidR="00BF3933" w:rsidRPr="00BF3933" w:rsidRDefault="00BF3933" w:rsidP="00BF3933">
            <w:pPr>
              <w:jc w:val="center"/>
              <w:rPr>
                <w:sz w:val="16"/>
                <w:szCs w:val="16"/>
              </w:rPr>
            </w:pP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F3933">
              <w:rPr>
                <w:b/>
                <w:sz w:val="16"/>
                <w:szCs w:val="16"/>
              </w:rPr>
              <w:t>Global proteome dataset</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F3933">
              <w:rPr>
                <w:b/>
                <w:sz w:val="16"/>
                <w:szCs w:val="16"/>
              </w:rPr>
              <w:t>Acetylated proteome dataset</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vMerge/>
          </w:tcPr>
          <w:p w:rsidR="00BF3933" w:rsidRPr="00BF3933" w:rsidRDefault="00BF3933" w:rsidP="00BF3933">
            <w:pPr>
              <w:jc w:val="center"/>
              <w:rPr>
                <w:sz w:val="16"/>
                <w:szCs w:val="16"/>
              </w:rPr>
            </w:pP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BF3933" w:rsidRPr="00BF393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RNA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1.25E-63</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1.62E-21</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mRNA metabolic process</w:t>
            </w: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7.06E-53</w:t>
            </w: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2.50E-24</w:t>
            </w:r>
          </w:p>
        </w:tc>
      </w:tr>
      <w:tr w:rsidR="00BF3933" w:rsidRPr="00BF393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Cellular protein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4.92E-38</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4.46E-19</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ncRNA metabolic process</w:t>
            </w: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1.03E-27</w:t>
            </w: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6.72E-08</w:t>
            </w:r>
          </w:p>
        </w:tc>
      </w:tr>
      <w:tr w:rsidR="00BF3933" w:rsidRPr="00BF393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Nucleoside phosphate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8.44E-15</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Negative regulation of cellular protein metabolic process</w:t>
            </w: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3.51E-13</w:t>
            </w: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6.04E-12</w:t>
            </w:r>
          </w:p>
        </w:tc>
      </w:tr>
      <w:tr w:rsidR="00BF3933" w:rsidRPr="00BF393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Negative regulation of protein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9.44E-13</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3.86E-12</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Purine ribonucleotide metabolic process</w:t>
            </w: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3.03E-12</w:t>
            </w: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w:t>
            </w:r>
          </w:p>
        </w:tc>
      </w:tr>
      <w:tr w:rsidR="00BF3933" w:rsidRPr="00BF393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Glucose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1.13E-11</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BF3933" w:rsidRPr="00BF3933" w:rsidRDefault="00BF3933" w:rsidP="00BF3933">
            <w:pPr>
              <w:jc w:val="center"/>
              <w:rPr>
                <w:rFonts w:ascii="Calibri" w:eastAsia="Times New Roman" w:hAnsi="Calibri" w:cs="Times New Roman"/>
                <w:sz w:val="16"/>
                <w:szCs w:val="16"/>
                <w:lang w:eastAsia="en-GB"/>
              </w:rPr>
            </w:pPr>
            <w:r w:rsidRPr="00BF3933">
              <w:rPr>
                <w:rFonts w:ascii="Calibri" w:eastAsia="Times New Roman" w:hAnsi="Calibri" w:cs="Times New Roman"/>
                <w:sz w:val="16"/>
                <w:szCs w:val="16"/>
                <w:lang w:eastAsia="en-GB"/>
              </w:rPr>
              <w:t>Regulation of protein metabolic process</w:t>
            </w: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9.37E-11</w:t>
            </w: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4.78E-09</w:t>
            </w:r>
          </w:p>
        </w:tc>
      </w:tr>
      <w:tr w:rsidR="00BF3933" w:rsidRPr="00BF3933" w:rsidTr="00963A03">
        <w:tc>
          <w:tcPr>
            <w:cnfStyle w:val="001000000000" w:firstRow="0" w:lastRow="0" w:firstColumn="1" w:lastColumn="0" w:oddVBand="0" w:evenVBand="0" w:oddHBand="0" w:evenHBand="0" w:firstRowFirstColumn="0" w:firstRowLastColumn="0" w:lastRowFirstColumn="0" w:lastRowLastColumn="0"/>
            <w:tcW w:w="4621" w:type="dxa"/>
          </w:tcPr>
          <w:p w:rsidR="00BF3933" w:rsidRPr="00BF3933" w:rsidRDefault="00BF3933" w:rsidP="00BF3933">
            <w:pPr>
              <w:jc w:val="center"/>
              <w:rPr>
                <w:sz w:val="16"/>
                <w:szCs w:val="16"/>
              </w:rPr>
            </w:pPr>
            <w:r w:rsidRPr="00BF3933">
              <w:rPr>
                <w:sz w:val="16"/>
                <w:szCs w:val="16"/>
              </w:rPr>
              <w:t>Regulation of cellular protein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9.49E-09</w:t>
            </w:r>
          </w:p>
        </w:tc>
      </w:tr>
      <w:tr w:rsidR="00BF3933" w:rsidRPr="00BF393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F3933" w:rsidRPr="00BF3933" w:rsidRDefault="00BF3933" w:rsidP="00BF3933">
            <w:pPr>
              <w:jc w:val="center"/>
              <w:rPr>
                <w:sz w:val="16"/>
                <w:szCs w:val="16"/>
              </w:rPr>
            </w:pPr>
            <w:r w:rsidRPr="00BF3933">
              <w:rPr>
                <w:sz w:val="16"/>
                <w:szCs w:val="16"/>
              </w:rPr>
              <w:t>Carboxylic acid metabolic process</w:t>
            </w:r>
          </w:p>
        </w:tc>
        <w:tc>
          <w:tcPr>
            <w:tcW w:w="2310"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w:t>
            </w:r>
          </w:p>
        </w:tc>
        <w:tc>
          <w:tcPr>
            <w:tcW w:w="2313" w:type="dxa"/>
          </w:tcPr>
          <w:p w:rsidR="00BF3933" w:rsidRPr="00BF3933" w:rsidRDefault="00BF3933" w:rsidP="00BF393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BF3933">
              <w:rPr>
                <w:rFonts w:ascii="Calibri" w:hAnsi="Calibri"/>
                <w:sz w:val="16"/>
                <w:szCs w:val="16"/>
              </w:rPr>
              <w:t>5.75E-08</w:t>
            </w:r>
          </w:p>
        </w:tc>
      </w:tr>
      <w:tr w:rsidR="00BF3933" w:rsidRPr="00BF3933" w:rsidTr="00963A03">
        <w:tc>
          <w:tcPr>
            <w:cnfStyle w:val="001000000000" w:firstRow="0" w:lastRow="0" w:firstColumn="1" w:lastColumn="0" w:oddVBand="0" w:evenVBand="0" w:oddHBand="0" w:evenHBand="0" w:firstRowFirstColumn="0" w:firstRowLastColumn="0" w:lastRowFirstColumn="0" w:lastRowLastColumn="0"/>
            <w:tcW w:w="4621" w:type="dxa"/>
          </w:tcPr>
          <w:p w:rsidR="00BF3933" w:rsidRPr="00BF3933" w:rsidRDefault="00BF3933" w:rsidP="00BF3933">
            <w:pPr>
              <w:jc w:val="center"/>
              <w:rPr>
                <w:sz w:val="16"/>
                <w:szCs w:val="16"/>
              </w:rPr>
            </w:pPr>
            <w:r w:rsidRPr="00BF3933">
              <w:rPr>
                <w:sz w:val="16"/>
                <w:szCs w:val="16"/>
              </w:rPr>
              <w:t>Positive regulation of cellular protein metabolic process</w:t>
            </w:r>
          </w:p>
        </w:tc>
        <w:tc>
          <w:tcPr>
            <w:tcW w:w="2310"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w:t>
            </w:r>
          </w:p>
        </w:tc>
        <w:tc>
          <w:tcPr>
            <w:tcW w:w="2313" w:type="dxa"/>
          </w:tcPr>
          <w:p w:rsidR="00BF3933" w:rsidRPr="00BF3933" w:rsidRDefault="00BF3933" w:rsidP="00BF393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BF3933">
              <w:rPr>
                <w:rFonts w:ascii="Calibri" w:hAnsi="Calibri"/>
                <w:sz w:val="16"/>
                <w:szCs w:val="16"/>
              </w:rPr>
              <w:t>1.17E-06</w:t>
            </w:r>
          </w:p>
        </w:tc>
      </w:tr>
    </w:tbl>
    <w:p w:rsidR="00BF3933" w:rsidRPr="00963A03" w:rsidRDefault="00BF3933" w:rsidP="00BF3933">
      <w:pPr>
        <w:pStyle w:val="Caption"/>
        <w:rPr>
          <w:rFonts w:ascii="Arial" w:hAnsi="Arial" w:cs="Arial"/>
          <w:i/>
          <w:color w:val="auto"/>
          <w:sz w:val="16"/>
          <w:szCs w:val="16"/>
        </w:rPr>
      </w:pPr>
      <w:bookmarkStart w:id="253" w:name="_Toc413667004"/>
      <w:proofErr w:type="gramStart"/>
      <w:r w:rsidRPr="00963A03">
        <w:rPr>
          <w:rFonts w:ascii="Arial" w:hAnsi="Arial" w:cs="Arial"/>
          <w:color w:val="auto"/>
          <w:sz w:val="16"/>
          <w:szCs w:val="16"/>
        </w:rPr>
        <w:t xml:space="preserve">Table </w:t>
      </w:r>
      <w:r w:rsidRPr="00963A03">
        <w:rPr>
          <w:rFonts w:ascii="Arial" w:hAnsi="Arial" w:cs="Arial"/>
          <w:color w:val="auto"/>
          <w:sz w:val="16"/>
          <w:szCs w:val="16"/>
        </w:rPr>
        <w:fldChar w:fldCharType="begin"/>
      </w:r>
      <w:r w:rsidRPr="00963A03">
        <w:rPr>
          <w:rFonts w:ascii="Arial" w:hAnsi="Arial" w:cs="Arial"/>
          <w:color w:val="auto"/>
          <w:sz w:val="16"/>
          <w:szCs w:val="16"/>
        </w:rPr>
        <w:instrText xml:space="preserve"> SEQ Table \* ARABIC </w:instrText>
      </w:r>
      <w:r w:rsidRPr="00963A03">
        <w:rPr>
          <w:rFonts w:ascii="Arial" w:hAnsi="Arial" w:cs="Arial"/>
          <w:color w:val="auto"/>
          <w:sz w:val="16"/>
          <w:szCs w:val="16"/>
        </w:rPr>
        <w:fldChar w:fldCharType="separate"/>
      </w:r>
      <w:r w:rsidR="00DC0376">
        <w:rPr>
          <w:rFonts w:ascii="Arial" w:hAnsi="Arial" w:cs="Arial"/>
          <w:noProof/>
          <w:color w:val="auto"/>
          <w:sz w:val="16"/>
          <w:szCs w:val="16"/>
        </w:rPr>
        <w:t>17</w:t>
      </w:r>
      <w:r w:rsidRPr="00963A03">
        <w:rPr>
          <w:rFonts w:ascii="Arial" w:hAnsi="Arial" w:cs="Arial"/>
          <w:color w:val="auto"/>
          <w:sz w:val="16"/>
          <w:szCs w:val="16"/>
        </w:rPr>
        <w:fldChar w:fldCharType="end"/>
      </w:r>
      <w:r w:rsidRPr="00963A03">
        <w:rPr>
          <w:rFonts w:ascii="Arial" w:hAnsi="Arial" w:cs="Arial"/>
          <w:color w:val="auto"/>
          <w:sz w:val="16"/>
          <w:szCs w:val="16"/>
        </w:rPr>
        <w:t>.</w:t>
      </w:r>
      <w:proofErr w:type="gramEnd"/>
      <w:r w:rsidRPr="00963A03">
        <w:rPr>
          <w:rFonts w:ascii="Arial" w:hAnsi="Arial" w:cs="Arial"/>
          <w:color w:val="auto"/>
          <w:sz w:val="16"/>
          <w:szCs w:val="16"/>
        </w:rPr>
        <w:t xml:space="preserve"> </w:t>
      </w:r>
      <w:proofErr w:type="gramStart"/>
      <w:r w:rsidR="00963A03" w:rsidRPr="00963A03">
        <w:rPr>
          <w:rFonts w:ascii="Arial" w:hAnsi="Arial" w:cs="Arial"/>
          <w:color w:val="auto"/>
          <w:sz w:val="16"/>
          <w:szCs w:val="16"/>
        </w:rPr>
        <w:t xml:space="preserve">BP GO term </w:t>
      </w:r>
      <w:r w:rsidR="00963A03" w:rsidRPr="00963A03">
        <w:rPr>
          <w:rFonts w:ascii="Arial" w:hAnsi="Arial" w:cs="Arial"/>
          <w:i/>
          <w:color w:val="auto"/>
          <w:sz w:val="16"/>
          <w:szCs w:val="16"/>
        </w:rPr>
        <w:t>p-</w:t>
      </w:r>
      <w:r w:rsidR="00963A03" w:rsidRPr="00963A03">
        <w:rPr>
          <w:rFonts w:ascii="Arial" w:hAnsi="Arial" w:cs="Arial"/>
          <w:color w:val="auto"/>
          <w:sz w:val="16"/>
          <w:szCs w:val="16"/>
        </w:rPr>
        <w:t>values.</w:t>
      </w:r>
      <w:proofErr w:type="gramEnd"/>
      <w:r w:rsidR="00963A03" w:rsidRPr="00963A03">
        <w:rPr>
          <w:rFonts w:ascii="Arial" w:hAnsi="Arial" w:cs="Arial"/>
          <w:color w:val="auto"/>
          <w:sz w:val="16"/>
          <w:szCs w:val="16"/>
        </w:rPr>
        <w:t xml:space="preserve"> </w:t>
      </w:r>
      <w:r w:rsidR="00963A03" w:rsidRPr="00963A03">
        <w:rPr>
          <w:rFonts w:ascii="Arial" w:hAnsi="Arial" w:cs="Arial"/>
          <w:i/>
          <w:color w:val="auto"/>
          <w:sz w:val="16"/>
          <w:szCs w:val="16"/>
        </w:rPr>
        <w:t>This table shows the p-values of the functional annotations in BP GO term for the global and acetylated proteome datasets. * indicates this functional annotation was not found in the dataset.</w:t>
      </w:r>
      <w:bookmarkEnd w:id="253"/>
    </w:p>
    <w:tbl>
      <w:tblPr>
        <w:tblStyle w:val="LightList6"/>
        <w:tblW w:w="9244" w:type="dxa"/>
        <w:tblLook w:val="04A0" w:firstRow="1" w:lastRow="0" w:firstColumn="1" w:lastColumn="0" w:noHBand="0" w:noVBand="1"/>
      </w:tblPr>
      <w:tblGrid>
        <w:gridCol w:w="4621"/>
        <w:gridCol w:w="2270"/>
        <w:gridCol w:w="2353"/>
      </w:tblGrid>
      <w:tr w:rsidR="00963A03" w:rsidRPr="00963A03" w:rsidTr="0096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4" w:type="dxa"/>
            <w:gridSpan w:val="3"/>
          </w:tcPr>
          <w:p w:rsidR="00963A03" w:rsidRPr="00963A03" w:rsidRDefault="00963A03" w:rsidP="00963A03">
            <w:pPr>
              <w:jc w:val="center"/>
              <w:rPr>
                <w:sz w:val="16"/>
                <w:szCs w:val="16"/>
              </w:rPr>
            </w:pPr>
            <w:r w:rsidRPr="00963A03">
              <w:rPr>
                <w:sz w:val="16"/>
                <w:szCs w:val="16"/>
              </w:rPr>
              <w:t>Cellular compartment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A03" w:rsidRPr="00963A03" w:rsidRDefault="00963A03" w:rsidP="00963A03">
            <w:pPr>
              <w:jc w:val="center"/>
              <w:rPr>
                <w:sz w:val="16"/>
                <w:szCs w:val="16"/>
              </w:rPr>
            </w:pPr>
            <w:r w:rsidRPr="00963A03">
              <w:rPr>
                <w:sz w:val="16"/>
                <w:szCs w:val="16"/>
              </w:rPr>
              <w:t>Functional annotation</w:t>
            </w:r>
          </w:p>
        </w:tc>
        <w:tc>
          <w:tcPr>
            <w:tcW w:w="4623" w:type="dxa"/>
            <w:gridSpan w:val="2"/>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63A03">
              <w:rPr>
                <w:b/>
                <w:i/>
                <w:sz w:val="16"/>
                <w:szCs w:val="16"/>
              </w:rPr>
              <w:t>p</w:t>
            </w:r>
            <w:r w:rsidRPr="00963A03">
              <w:rPr>
                <w:b/>
                <w:sz w:val="16"/>
                <w:szCs w:val="16"/>
              </w:rPr>
              <w:t>-value</w:t>
            </w:r>
          </w:p>
        </w:tc>
      </w:tr>
      <w:tr w:rsidR="00963A03" w:rsidRPr="00963A03" w:rsidTr="00963A03">
        <w:tc>
          <w:tcPr>
            <w:cnfStyle w:val="001000000000" w:firstRow="0" w:lastRow="0" w:firstColumn="1" w:lastColumn="0" w:oddVBand="0" w:evenVBand="0" w:oddHBand="0" w:evenHBand="0" w:firstRowFirstColumn="0" w:firstRowLastColumn="0" w:lastRowFirstColumn="0" w:lastRowLastColumn="0"/>
            <w:tcW w:w="4621" w:type="dxa"/>
            <w:vMerge w:val="restart"/>
          </w:tcPr>
          <w:p w:rsidR="00963A03" w:rsidRPr="00963A03" w:rsidRDefault="00963A03" w:rsidP="00963A03">
            <w:pPr>
              <w:jc w:val="center"/>
              <w:rPr>
                <w:sz w:val="16"/>
                <w:szCs w:val="16"/>
              </w:rPr>
            </w:pP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963A03">
              <w:rPr>
                <w:b/>
                <w:sz w:val="16"/>
                <w:szCs w:val="16"/>
              </w:rPr>
              <w:t>Global proteome dataset</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963A03">
              <w:rPr>
                <w:b/>
                <w:sz w:val="16"/>
                <w:szCs w:val="16"/>
              </w:rPr>
              <w:t>Acetylated proteome dataset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vMerge/>
          </w:tcPr>
          <w:p w:rsidR="00963A03" w:rsidRPr="00963A03" w:rsidRDefault="00963A03" w:rsidP="00963A03">
            <w:pPr>
              <w:jc w:val="center"/>
              <w:rPr>
                <w:sz w:val="16"/>
                <w:szCs w:val="16"/>
              </w:rPr>
            </w:pPr>
          </w:p>
        </w:tc>
        <w:tc>
          <w:tcPr>
            <w:tcW w:w="4623" w:type="dxa"/>
            <w:gridSpan w:val="2"/>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part</w:t>
            </w: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1.23E-48</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3.50E-12</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Mitochondrion</w:t>
            </w:r>
          </w:p>
        </w:tc>
        <w:tc>
          <w:tcPr>
            <w:tcW w:w="2270"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3.26E-48</w:t>
            </w:r>
          </w:p>
        </w:tc>
        <w:tc>
          <w:tcPr>
            <w:tcW w:w="2353"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2.59E-13</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lumen</w:t>
            </w: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4.03E-35</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4.05E-11</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matrix</w:t>
            </w:r>
          </w:p>
        </w:tc>
        <w:tc>
          <w:tcPr>
            <w:tcW w:w="2270"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4.03E-35</w:t>
            </w:r>
          </w:p>
        </w:tc>
        <w:tc>
          <w:tcPr>
            <w:tcW w:w="2353"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4.05E-11</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envelope</w:t>
            </w: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5.56E-28</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1.10E-06</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membrane</w:t>
            </w:r>
          </w:p>
        </w:tc>
        <w:tc>
          <w:tcPr>
            <w:tcW w:w="2270"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3.23E-25</w:t>
            </w:r>
          </w:p>
        </w:tc>
        <w:tc>
          <w:tcPr>
            <w:tcW w:w="2353"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3.63E-06</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inner membrane</w:t>
            </w: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1.47E-24</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8.87E-06</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membrane part</w:t>
            </w:r>
          </w:p>
        </w:tc>
        <w:tc>
          <w:tcPr>
            <w:tcW w:w="2270"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5.08E-21</w:t>
            </w:r>
          </w:p>
        </w:tc>
        <w:tc>
          <w:tcPr>
            <w:tcW w:w="2353"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5.13E-04</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respiratory chain</w:t>
            </w: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1.35E-11</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jc w:val="center"/>
              <w:rPr>
                <w:rFonts w:eastAsia="Times New Roman" w:cs="Times New Roman"/>
                <w:sz w:val="16"/>
                <w:szCs w:val="16"/>
                <w:lang w:eastAsia="en-GB"/>
              </w:rPr>
            </w:pPr>
            <w:r w:rsidRPr="00963A03">
              <w:rPr>
                <w:rFonts w:eastAsia="Times New Roman" w:cs="Times New Roman"/>
                <w:sz w:val="16"/>
                <w:szCs w:val="16"/>
                <w:lang w:eastAsia="en-GB"/>
              </w:rPr>
              <w:t>Mitochondrial nucleoid</w:t>
            </w:r>
          </w:p>
        </w:tc>
        <w:tc>
          <w:tcPr>
            <w:tcW w:w="2270"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1.82E-11</w:t>
            </w:r>
          </w:p>
        </w:tc>
        <w:tc>
          <w:tcPr>
            <w:tcW w:w="2353"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5.47E-08</w:t>
            </w:r>
          </w:p>
        </w:tc>
      </w:tr>
      <w:tr w:rsidR="00963A03" w:rsidRPr="00963A03" w:rsidTr="00963A03">
        <w:tc>
          <w:tcPr>
            <w:cnfStyle w:val="001000000000" w:firstRow="0" w:lastRow="0" w:firstColumn="1" w:lastColumn="0" w:oddVBand="0" w:evenVBand="0" w:oddHBand="0" w:evenHBand="0" w:firstRowFirstColumn="0" w:firstRowLastColumn="0" w:lastRowFirstColumn="0" w:lastRowLastColumn="0"/>
            <w:tcW w:w="4621" w:type="dxa"/>
          </w:tcPr>
          <w:p w:rsidR="00963A03" w:rsidRPr="00963A03" w:rsidRDefault="00963A03" w:rsidP="00963A03">
            <w:pPr>
              <w:jc w:val="center"/>
              <w:rPr>
                <w:sz w:val="16"/>
                <w:szCs w:val="16"/>
              </w:rPr>
            </w:pPr>
            <w:r w:rsidRPr="00963A03">
              <w:rPr>
                <w:sz w:val="16"/>
                <w:szCs w:val="16"/>
              </w:rPr>
              <w:t>Mitochondrial outer membrane</w:t>
            </w:r>
          </w:p>
        </w:tc>
        <w:tc>
          <w:tcPr>
            <w:tcW w:w="2270"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w:t>
            </w:r>
          </w:p>
        </w:tc>
        <w:tc>
          <w:tcPr>
            <w:tcW w:w="2353"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sz w:val="16"/>
                <w:szCs w:val="16"/>
              </w:rPr>
            </w:pPr>
            <w:r w:rsidRPr="00963A03">
              <w:rPr>
                <w:sz w:val="16"/>
                <w:szCs w:val="16"/>
              </w:rPr>
              <w:t>0.00731247</w:t>
            </w:r>
          </w:p>
        </w:tc>
      </w:tr>
    </w:tbl>
    <w:p w:rsidR="00963A03" w:rsidRDefault="00963A03" w:rsidP="00963A03">
      <w:pPr>
        <w:pStyle w:val="Caption"/>
        <w:rPr>
          <w:rFonts w:ascii="Arial" w:hAnsi="Arial" w:cs="Arial"/>
          <w:i/>
          <w:color w:val="auto"/>
          <w:sz w:val="16"/>
          <w:szCs w:val="16"/>
        </w:rPr>
      </w:pPr>
      <w:bookmarkStart w:id="254" w:name="_Toc413667005"/>
      <w:proofErr w:type="gramStart"/>
      <w:r w:rsidRPr="00CD2A4C">
        <w:rPr>
          <w:rFonts w:ascii="Arial" w:hAnsi="Arial" w:cs="Arial"/>
          <w:color w:val="auto"/>
          <w:sz w:val="16"/>
          <w:szCs w:val="16"/>
        </w:rPr>
        <w:t xml:space="preserve">Table </w:t>
      </w:r>
      <w:r w:rsidRPr="00CD2A4C">
        <w:rPr>
          <w:rFonts w:ascii="Arial" w:hAnsi="Arial" w:cs="Arial"/>
          <w:color w:val="auto"/>
          <w:sz w:val="16"/>
          <w:szCs w:val="16"/>
        </w:rPr>
        <w:fldChar w:fldCharType="begin"/>
      </w:r>
      <w:r w:rsidRPr="00CD2A4C">
        <w:rPr>
          <w:rFonts w:ascii="Arial" w:hAnsi="Arial" w:cs="Arial"/>
          <w:color w:val="auto"/>
          <w:sz w:val="16"/>
          <w:szCs w:val="16"/>
        </w:rPr>
        <w:instrText xml:space="preserve"> SEQ Table \* ARABIC </w:instrText>
      </w:r>
      <w:r w:rsidRPr="00CD2A4C">
        <w:rPr>
          <w:rFonts w:ascii="Arial" w:hAnsi="Arial" w:cs="Arial"/>
          <w:color w:val="auto"/>
          <w:sz w:val="16"/>
          <w:szCs w:val="16"/>
        </w:rPr>
        <w:fldChar w:fldCharType="separate"/>
      </w:r>
      <w:r w:rsidR="00DC0376">
        <w:rPr>
          <w:rFonts w:ascii="Arial" w:hAnsi="Arial" w:cs="Arial"/>
          <w:noProof/>
          <w:color w:val="auto"/>
          <w:sz w:val="16"/>
          <w:szCs w:val="16"/>
        </w:rPr>
        <w:t>18</w:t>
      </w:r>
      <w:r w:rsidRPr="00CD2A4C">
        <w:rPr>
          <w:rFonts w:ascii="Arial" w:hAnsi="Arial" w:cs="Arial"/>
          <w:color w:val="auto"/>
          <w:sz w:val="16"/>
          <w:szCs w:val="16"/>
        </w:rPr>
        <w:fldChar w:fldCharType="end"/>
      </w:r>
      <w:r w:rsidRPr="00963A03">
        <w:rPr>
          <w:color w:val="auto"/>
        </w:rPr>
        <w:t>.</w:t>
      </w:r>
      <w:proofErr w:type="gramEnd"/>
      <w:r w:rsidRPr="00963A03">
        <w:rPr>
          <w:rFonts w:ascii="Arial" w:hAnsi="Arial" w:cs="Arial"/>
          <w:color w:val="auto"/>
          <w:sz w:val="16"/>
          <w:szCs w:val="16"/>
        </w:rPr>
        <w:t xml:space="preserve"> </w:t>
      </w:r>
      <w:proofErr w:type="gramStart"/>
      <w:r w:rsidRPr="00963A03">
        <w:rPr>
          <w:rFonts w:ascii="Arial" w:hAnsi="Arial" w:cs="Arial"/>
          <w:color w:val="auto"/>
          <w:sz w:val="16"/>
          <w:szCs w:val="16"/>
        </w:rPr>
        <w:t xml:space="preserve">CC GO term </w:t>
      </w:r>
      <w:r w:rsidRPr="00963A03">
        <w:rPr>
          <w:rFonts w:ascii="Arial" w:hAnsi="Arial" w:cs="Arial"/>
          <w:i/>
          <w:color w:val="auto"/>
          <w:sz w:val="16"/>
          <w:szCs w:val="16"/>
        </w:rPr>
        <w:t>p-</w:t>
      </w:r>
      <w:r w:rsidRPr="00963A03">
        <w:rPr>
          <w:rFonts w:ascii="Arial" w:hAnsi="Arial" w:cs="Arial"/>
          <w:color w:val="auto"/>
          <w:sz w:val="16"/>
          <w:szCs w:val="16"/>
        </w:rPr>
        <w:t>values.</w:t>
      </w:r>
      <w:proofErr w:type="gramEnd"/>
      <w:r w:rsidRPr="00963A03">
        <w:rPr>
          <w:rFonts w:ascii="Arial" w:hAnsi="Arial" w:cs="Arial"/>
          <w:color w:val="auto"/>
          <w:sz w:val="16"/>
          <w:szCs w:val="16"/>
        </w:rPr>
        <w:t xml:space="preserve"> </w:t>
      </w:r>
      <w:r w:rsidRPr="00963A03">
        <w:rPr>
          <w:rFonts w:ascii="Arial" w:hAnsi="Arial" w:cs="Arial"/>
          <w:i/>
          <w:color w:val="auto"/>
          <w:sz w:val="16"/>
          <w:szCs w:val="16"/>
        </w:rPr>
        <w:t xml:space="preserve">This table shows the p-values of the functional annotations in </w:t>
      </w:r>
      <w:r>
        <w:rPr>
          <w:rFonts w:ascii="Arial" w:hAnsi="Arial" w:cs="Arial"/>
          <w:i/>
          <w:color w:val="auto"/>
          <w:sz w:val="16"/>
          <w:szCs w:val="16"/>
        </w:rPr>
        <w:t>CC</w:t>
      </w:r>
      <w:r w:rsidRPr="00963A03">
        <w:rPr>
          <w:rFonts w:ascii="Arial" w:hAnsi="Arial" w:cs="Arial"/>
          <w:i/>
          <w:color w:val="auto"/>
          <w:sz w:val="16"/>
          <w:szCs w:val="16"/>
        </w:rPr>
        <w:t xml:space="preserve"> GO term for the global and acetylated proteome datasets. * indicates this functional annotation was not found in the dataset.</w:t>
      </w:r>
      <w:bookmarkEnd w:id="254"/>
    </w:p>
    <w:p w:rsidR="00963A03" w:rsidRDefault="00963A03" w:rsidP="00963A03">
      <w:pPr>
        <w:rPr>
          <w:lang w:eastAsia="es-MX"/>
        </w:rPr>
      </w:pPr>
    </w:p>
    <w:p w:rsidR="00963A03" w:rsidRDefault="00963A03" w:rsidP="00963A03">
      <w:pPr>
        <w:rPr>
          <w:lang w:eastAsia="es-MX"/>
        </w:rPr>
      </w:pPr>
    </w:p>
    <w:p w:rsidR="00963A03" w:rsidRDefault="00963A03" w:rsidP="00963A03">
      <w:pPr>
        <w:rPr>
          <w:lang w:eastAsia="es-MX"/>
        </w:rPr>
      </w:pPr>
    </w:p>
    <w:p w:rsidR="00963A03" w:rsidRPr="00963A03" w:rsidRDefault="00963A03" w:rsidP="00963A03">
      <w:pPr>
        <w:rPr>
          <w:lang w:eastAsia="es-MX"/>
        </w:rPr>
      </w:pPr>
    </w:p>
    <w:tbl>
      <w:tblPr>
        <w:tblStyle w:val="LightList7"/>
        <w:tblW w:w="9245" w:type="dxa"/>
        <w:tblLook w:val="04A0" w:firstRow="1" w:lastRow="0" w:firstColumn="1" w:lastColumn="0" w:noHBand="0" w:noVBand="1"/>
      </w:tblPr>
      <w:tblGrid>
        <w:gridCol w:w="4621"/>
        <w:gridCol w:w="2312"/>
        <w:gridCol w:w="2312"/>
      </w:tblGrid>
      <w:tr w:rsidR="00963A03" w:rsidRPr="00963A03" w:rsidTr="0096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gridSpan w:val="3"/>
          </w:tcPr>
          <w:p w:rsidR="00963A03" w:rsidRPr="00963A03" w:rsidRDefault="00963A03" w:rsidP="00963A03">
            <w:pPr>
              <w:jc w:val="center"/>
              <w:rPr>
                <w:sz w:val="16"/>
                <w:szCs w:val="16"/>
              </w:rPr>
            </w:pPr>
            <w:r w:rsidRPr="00963A03">
              <w:rPr>
                <w:sz w:val="16"/>
                <w:szCs w:val="16"/>
              </w:rPr>
              <w:lastRenderedPageBreak/>
              <w:t>Molecular function</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A03" w:rsidRPr="00963A03" w:rsidRDefault="00963A03" w:rsidP="00963A03">
            <w:pPr>
              <w:rPr>
                <w:sz w:val="16"/>
                <w:szCs w:val="16"/>
              </w:rPr>
            </w:pPr>
            <w:r w:rsidRPr="00963A03">
              <w:rPr>
                <w:sz w:val="16"/>
                <w:szCs w:val="16"/>
              </w:rPr>
              <w:t>Functional annotation</w:t>
            </w:r>
          </w:p>
        </w:tc>
        <w:tc>
          <w:tcPr>
            <w:tcW w:w="4624" w:type="dxa"/>
            <w:gridSpan w:val="2"/>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63A03">
              <w:rPr>
                <w:b/>
                <w:i/>
                <w:sz w:val="16"/>
                <w:szCs w:val="16"/>
              </w:rPr>
              <w:t>p</w:t>
            </w:r>
            <w:r w:rsidRPr="00963A03">
              <w:rPr>
                <w:b/>
                <w:sz w:val="16"/>
                <w:szCs w:val="16"/>
              </w:rPr>
              <w:t>-value</w:t>
            </w:r>
          </w:p>
        </w:tc>
      </w:tr>
      <w:tr w:rsidR="00963A03" w:rsidRPr="00963A03" w:rsidTr="00963A03">
        <w:tc>
          <w:tcPr>
            <w:cnfStyle w:val="001000000000" w:firstRow="0" w:lastRow="0" w:firstColumn="1" w:lastColumn="0" w:oddVBand="0" w:evenVBand="0" w:oddHBand="0" w:evenHBand="0" w:firstRowFirstColumn="0" w:firstRowLastColumn="0" w:lastRowFirstColumn="0" w:lastRowLastColumn="0"/>
            <w:tcW w:w="4621" w:type="dxa"/>
            <w:vMerge w:val="restart"/>
          </w:tcPr>
          <w:p w:rsidR="00963A03" w:rsidRPr="00963A03" w:rsidRDefault="00963A03" w:rsidP="00963A03">
            <w:pPr>
              <w:rPr>
                <w:sz w:val="16"/>
                <w:szCs w:val="16"/>
              </w:rPr>
            </w:pP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963A03">
              <w:rPr>
                <w:b/>
                <w:sz w:val="16"/>
                <w:szCs w:val="16"/>
              </w:rPr>
              <w:t>Global proteome dataset</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963A03">
              <w:rPr>
                <w:b/>
                <w:sz w:val="16"/>
                <w:szCs w:val="16"/>
              </w:rPr>
              <w:t>Acetylated proteome dataset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vMerge/>
          </w:tcPr>
          <w:p w:rsidR="00963A03" w:rsidRPr="00963A03" w:rsidRDefault="00963A03" w:rsidP="00963A03">
            <w:pPr>
              <w:rPr>
                <w:sz w:val="16"/>
                <w:szCs w:val="16"/>
              </w:rPr>
            </w:pPr>
          </w:p>
        </w:tc>
        <w:tc>
          <w:tcPr>
            <w:tcW w:w="4624" w:type="dxa"/>
            <w:gridSpan w:val="2"/>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Lactate dehydrogenase activity</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0.00172786</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beta-hydroxyacyl-CoA dehydrogenase activity</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0.00460503</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Isocitrate dehydrogenase activity</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0.02222638</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Enoyl-CoA hydratase activity</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0.03984772</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Phosphoglycerate kinase activity</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0.05371314</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Fructose-bisphosphate aldolase activity</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0.05371314</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trHeight w:val="300"/>
        </w:trPr>
        <w:tc>
          <w:tcPr>
            <w:cnfStyle w:val="001000000000" w:firstRow="0" w:lastRow="0" w:firstColumn="1" w:lastColumn="0" w:oddVBand="0" w:evenVBand="0" w:oddHBand="0" w:evenHBand="0" w:firstRowFirstColumn="0" w:firstRowLastColumn="0" w:lastRowFirstColumn="0" w:lastRowLastColumn="0"/>
            <w:tcW w:w="4621" w:type="dxa"/>
            <w:noWrap/>
            <w:hideMark/>
          </w:tcPr>
          <w:p w:rsidR="00963A03" w:rsidRPr="00963A03" w:rsidRDefault="00963A03" w:rsidP="00963A03">
            <w:pPr>
              <w:rPr>
                <w:rFonts w:ascii="Calibri" w:eastAsia="Times New Roman" w:hAnsi="Calibri" w:cs="Times New Roman"/>
                <w:sz w:val="16"/>
                <w:szCs w:val="16"/>
                <w:lang w:eastAsia="en-GB"/>
              </w:rPr>
            </w:pPr>
            <w:r w:rsidRPr="00963A03">
              <w:rPr>
                <w:rFonts w:ascii="Calibri" w:eastAsia="Times New Roman" w:hAnsi="Calibri" w:cs="Times New Roman"/>
                <w:sz w:val="16"/>
                <w:szCs w:val="16"/>
                <w:lang w:eastAsia="en-GB"/>
              </w:rPr>
              <w:t>Malic enzyme activity</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0.09749902</w:t>
            </w:r>
          </w:p>
        </w:tc>
        <w:tc>
          <w:tcPr>
            <w:tcW w:w="2312" w:type="dxa"/>
          </w:tcPr>
          <w:p w:rsidR="00963A03" w:rsidRPr="00963A03" w:rsidRDefault="00963A03" w:rsidP="00963A03">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963A03">
              <w:rPr>
                <w:rFonts w:ascii="Calibri" w:hAnsi="Calibri"/>
                <w:sz w:val="16"/>
                <w:szCs w:val="16"/>
              </w:rPr>
              <w:t>*</w:t>
            </w:r>
          </w:p>
        </w:tc>
      </w:tr>
      <w:tr w:rsidR="00963A03" w:rsidRPr="00963A03" w:rsidTr="0096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A03" w:rsidRPr="00963A03" w:rsidRDefault="00963A03" w:rsidP="00963A03">
            <w:pPr>
              <w:rPr>
                <w:rFonts w:ascii="Calibri" w:hAnsi="Calibri"/>
                <w:sz w:val="16"/>
                <w:szCs w:val="16"/>
              </w:rPr>
            </w:pPr>
            <w:r w:rsidRPr="00963A03">
              <w:rPr>
                <w:rFonts w:ascii="Calibri" w:hAnsi="Calibri"/>
                <w:sz w:val="16"/>
                <w:szCs w:val="16"/>
              </w:rPr>
              <w:t>Malate dehydrogenase activity</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sz w:val="16"/>
                <w:szCs w:val="16"/>
              </w:rPr>
            </w:pPr>
            <w:r w:rsidRPr="00963A03">
              <w:rPr>
                <w:sz w:val="16"/>
                <w:szCs w:val="16"/>
              </w:rPr>
              <w:t>*</w:t>
            </w:r>
          </w:p>
        </w:tc>
        <w:tc>
          <w:tcPr>
            <w:tcW w:w="2312" w:type="dxa"/>
          </w:tcPr>
          <w:p w:rsidR="00963A03" w:rsidRPr="00963A03" w:rsidRDefault="00963A03" w:rsidP="00963A03">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963A03">
              <w:rPr>
                <w:rFonts w:ascii="Calibri" w:hAnsi="Calibri"/>
                <w:sz w:val="16"/>
                <w:szCs w:val="16"/>
              </w:rPr>
              <w:t>0.07988411</w:t>
            </w:r>
          </w:p>
        </w:tc>
      </w:tr>
    </w:tbl>
    <w:p w:rsidR="00BF3933" w:rsidRPr="00963A03" w:rsidRDefault="00963A03" w:rsidP="00963A03">
      <w:pPr>
        <w:pStyle w:val="Caption"/>
        <w:rPr>
          <w:rFonts w:ascii="Arial" w:hAnsi="Arial" w:cs="Arial"/>
          <w:color w:val="auto"/>
          <w:sz w:val="28"/>
          <w:szCs w:val="28"/>
        </w:rPr>
      </w:pPr>
      <w:bookmarkStart w:id="255" w:name="_Toc413667006"/>
      <w:proofErr w:type="gramStart"/>
      <w:r w:rsidRPr="009B171E">
        <w:rPr>
          <w:rFonts w:ascii="Arial" w:hAnsi="Arial" w:cs="Arial"/>
          <w:color w:val="auto"/>
          <w:sz w:val="16"/>
        </w:rPr>
        <w:t xml:space="preserve">Table </w:t>
      </w:r>
      <w:r w:rsidRPr="009B171E">
        <w:rPr>
          <w:rFonts w:ascii="Arial" w:hAnsi="Arial" w:cs="Arial"/>
          <w:color w:val="auto"/>
          <w:sz w:val="16"/>
        </w:rPr>
        <w:fldChar w:fldCharType="begin"/>
      </w:r>
      <w:r w:rsidRPr="009B171E">
        <w:rPr>
          <w:rFonts w:ascii="Arial" w:hAnsi="Arial" w:cs="Arial"/>
          <w:color w:val="auto"/>
          <w:sz w:val="16"/>
        </w:rPr>
        <w:instrText xml:space="preserve"> SEQ Table \* ARABIC </w:instrText>
      </w:r>
      <w:r w:rsidRPr="009B171E">
        <w:rPr>
          <w:rFonts w:ascii="Arial" w:hAnsi="Arial" w:cs="Arial"/>
          <w:color w:val="auto"/>
          <w:sz w:val="16"/>
        </w:rPr>
        <w:fldChar w:fldCharType="separate"/>
      </w:r>
      <w:r w:rsidR="00DC0376">
        <w:rPr>
          <w:rFonts w:ascii="Arial" w:hAnsi="Arial" w:cs="Arial"/>
          <w:noProof/>
          <w:color w:val="auto"/>
          <w:sz w:val="16"/>
        </w:rPr>
        <w:t>19</w:t>
      </w:r>
      <w:r w:rsidRPr="009B171E">
        <w:rPr>
          <w:rFonts w:ascii="Arial" w:hAnsi="Arial" w:cs="Arial"/>
          <w:color w:val="auto"/>
          <w:sz w:val="16"/>
        </w:rPr>
        <w:fldChar w:fldCharType="end"/>
      </w:r>
      <w:r w:rsidRPr="00963A03">
        <w:rPr>
          <w:color w:val="auto"/>
        </w:rPr>
        <w:t>.</w:t>
      </w:r>
      <w:proofErr w:type="gramEnd"/>
      <w:r w:rsidRPr="00963A03">
        <w:rPr>
          <w:color w:val="auto"/>
        </w:rPr>
        <w:t xml:space="preserve"> </w:t>
      </w:r>
      <w:proofErr w:type="gramStart"/>
      <w:r w:rsidRPr="00A34CDA">
        <w:rPr>
          <w:rFonts w:ascii="Arial" w:hAnsi="Arial" w:cs="Arial"/>
          <w:color w:val="auto"/>
          <w:sz w:val="16"/>
          <w:szCs w:val="16"/>
        </w:rPr>
        <w:t>MF</w:t>
      </w:r>
      <w:r w:rsidRPr="00963A03">
        <w:rPr>
          <w:rFonts w:ascii="Arial" w:hAnsi="Arial" w:cs="Arial"/>
          <w:color w:val="auto"/>
          <w:sz w:val="16"/>
          <w:szCs w:val="16"/>
        </w:rPr>
        <w:t xml:space="preserve"> GO term </w:t>
      </w:r>
      <w:r w:rsidRPr="00963A03">
        <w:rPr>
          <w:rFonts w:ascii="Arial" w:hAnsi="Arial" w:cs="Arial"/>
          <w:i/>
          <w:color w:val="auto"/>
          <w:sz w:val="16"/>
          <w:szCs w:val="16"/>
        </w:rPr>
        <w:t>p-</w:t>
      </w:r>
      <w:r w:rsidRPr="00963A03">
        <w:rPr>
          <w:rFonts w:ascii="Arial" w:hAnsi="Arial" w:cs="Arial"/>
          <w:color w:val="auto"/>
          <w:sz w:val="16"/>
          <w:szCs w:val="16"/>
        </w:rPr>
        <w:t>values.</w:t>
      </w:r>
      <w:proofErr w:type="gramEnd"/>
      <w:r w:rsidRPr="00963A03">
        <w:rPr>
          <w:rFonts w:ascii="Arial" w:hAnsi="Arial" w:cs="Arial"/>
          <w:color w:val="auto"/>
          <w:sz w:val="16"/>
          <w:szCs w:val="16"/>
        </w:rPr>
        <w:t xml:space="preserve"> </w:t>
      </w:r>
      <w:r w:rsidRPr="00963A03">
        <w:rPr>
          <w:rFonts w:ascii="Arial" w:hAnsi="Arial" w:cs="Arial"/>
          <w:i/>
          <w:color w:val="auto"/>
          <w:sz w:val="16"/>
          <w:szCs w:val="16"/>
        </w:rPr>
        <w:t>This table shows the p-values of the functional annotations in MF GO term for the global and acetylated proteome datasets. * indicates this functional annotation was not found in the dataset.</w:t>
      </w:r>
      <w:bookmarkEnd w:id="255"/>
    </w:p>
    <w:sectPr w:rsidR="00BF3933" w:rsidRPr="00963A03" w:rsidSect="009B400B">
      <w:headerReference w:type="default" r:id="rId63"/>
      <w:pgSz w:w="12240" w:h="15840"/>
      <w:pgMar w:top="1418" w:right="1134"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103" w:rsidRDefault="00221103">
      <w:pPr>
        <w:spacing w:after="0" w:line="240" w:lineRule="auto"/>
      </w:pPr>
      <w:r>
        <w:separator/>
      </w:r>
    </w:p>
  </w:endnote>
  <w:endnote w:type="continuationSeparator" w:id="0">
    <w:p w:rsidR="00221103" w:rsidRDefault="00221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JJFIC N+ 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103" w:rsidRDefault="00221103">
      <w:pPr>
        <w:spacing w:after="0" w:line="240" w:lineRule="auto"/>
      </w:pPr>
      <w:r>
        <w:separator/>
      </w:r>
    </w:p>
  </w:footnote>
  <w:footnote w:type="continuationSeparator" w:id="0">
    <w:p w:rsidR="00221103" w:rsidRDefault="002211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D87" w:rsidRDefault="005C2D87">
    <w:pPr>
      <w:pStyle w:val="Header"/>
      <w:jc w:val="right"/>
    </w:pPr>
  </w:p>
  <w:p w:rsidR="005C2D87" w:rsidRDefault="005C2D8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912997"/>
      <w:docPartObj>
        <w:docPartGallery w:val="Page Numbers (Top of Page)"/>
        <w:docPartUnique/>
      </w:docPartObj>
    </w:sdtPr>
    <w:sdtEndPr>
      <w:rPr>
        <w:noProof/>
      </w:rPr>
    </w:sdtEndPr>
    <w:sdtContent>
      <w:p w:rsidR="005C2D87" w:rsidRDefault="005C2D87">
        <w:pPr>
          <w:pStyle w:val="Header"/>
          <w:jc w:val="right"/>
        </w:pPr>
        <w:r>
          <w:fldChar w:fldCharType="begin"/>
        </w:r>
        <w:r>
          <w:instrText xml:space="preserve"> PAGE   \* MERGEFORMAT </w:instrText>
        </w:r>
        <w:r>
          <w:fldChar w:fldCharType="separate"/>
        </w:r>
        <w:r w:rsidR="001A4B48">
          <w:rPr>
            <w:noProof/>
          </w:rPr>
          <w:t>1</w:t>
        </w:r>
        <w:r>
          <w:rPr>
            <w:noProof/>
          </w:rPr>
          <w:fldChar w:fldCharType="end"/>
        </w:r>
      </w:p>
    </w:sdtContent>
  </w:sdt>
  <w:p w:rsidR="005C2D87" w:rsidRDefault="005C2D8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2C31"/>
    <w:multiLevelType w:val="hybridMultilevel"/>
    <w:tmpl w:val="F042C2F6"/>
    <w:lvl w:ilvl="0" w:tplc="924A8A58">
      <w:start w:val="3"/>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1CB752F9"/>
    <w:multiLevelType w:val="hybridMultilevel"/>
    <w:tmpl w:val="BBA4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CD1E72"/>
    <w:multiLevelType w:val="hybridMultilevel"/>
    <w:tmpl w:val="749030B6"/>
    <w:lvl w:ilvl="0" w:tplc="A3626072">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8C83F39"/>
    <w:multiLevelType w:val="hybridMultilevel"/>
    <w:tmpl w:val="7772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0B1899"/>
    <w:multiLevelType w:val="hybridMultilevel"/>
    <w:tmpl w:val="DC5676AE"/>
    <w:lvl w:ilvl="0" w:tplc="4EB253C4">
      <w:start w:val="1"/>
      <w:numFmt w:val="decimal"/>
      <w:lvlText w:val="%1)"/>
      <w:lvlJc w:val="left"/>
      <w:pPr>
        <w:ind w:left="644" w:hanging="360"/>
      </w:pPr>
      <w:rPr>
        <w:rFonts w:eastAsiaTheme="minorEastAsia"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
  </w:num>
  <w:num w:numId="2">
    <w:abstractNumId w:val="4"/>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p9w5sa30aeafes0xox2eem00dz2z2aswad&quot;&gt;My EndNote Library&lt;record-ids&gt;&lt;item&gt;30&lt;/item&gt;&lt;item&gt;31&lt;/item&gt;&lt;item&gt;34&lt;/item&gt;&lt;item&gt;43&lt;/item&gt;&lt;item&gt;44&lt;/item&gt;&lt;item&gt;48&lt;/item&gt;&lt;item&gt;49&lt;/item&gt;&lt;item&gt;53&lt;/item&gt;&lt;item&gt;59&lt;/item&gt;&lt;item&gt;67&lt;/item&gt;&lt;item&gt;71&lt;/item&gt;&lt;item&gt;76&lt;/item&gt;&lt;item&gt;85&lt;/item&gt;&lt;item&gt;89&lt;/item&gt;&lt;item&gt;99&lt;/item&gt;&lt;item&gt;101&lt;/item&gt;&lt;item&gt;106&lt;/item&gt;&lt;item&gt;109&lt;/item&gt;&lt;item&gt;120&lt;/item&gt;&lt;item&gt;124&lt;/item&gt;&lt;item&gt;125&lt;/item&gt;&lt;item&gt;132&lt;/item&gt;&lt;item&gt;133&lt;/item&gt;&lt;item&gt;135&lt;/item&gt;&lt;item&gt;141&lt;/item&gt;&lt;item&gt;145&lt;/item&gt;&lt;item&gt;148&lt;/item&gt;&lt;item&gt;149&lt;/item&gt;&lt;item&gt;151&lt;/item&gt;&lt;item&gt;155&lt;/item&gt;&lt;item&gt;156&lt;/item&gt;&lt;item&gt;160&lt;/item&gt;&lt;item&gt;161&lt;/item&gt;&lt;item&gt;184&lt;/item&gt;&lt;item&gt;201&lt;/item&gt;&lt;item&gt;209&lt;/item&gt;&lt;item&gt;212&lt;/item&gt;&lt;item&gt;224&lt;/item&gt;&lt;item&gt;235&lt;/item&gt;&lt;item&gt;237&lt;/item&gt;&lt;item&gt;239&lt;/item&gt;&lt;item&gt;242&lt;/item&gt;&lt;item&gt;246&lt;/item&gt;&lt;item&gt;249&lt;/item&gt;&lt;item&gt;253&lt;/item&gt;&lt;item&gt;262&lt;/item&gt;&lt;item&gt;264&lt;/item&gt;&lt;item&gt;265&lt;/item&gt;&lt;item&gt;269&lt;/item&gt;&lt;item&gt;273&lt;/item&gt;&lt;item&gt;277&lt;/item&gt;&lt;item&gt;286&lt;/item&gt;&lt;item&gt;296&lt;/item&gt;&lt;item&gt;298&lt;/item&gt;&lt;item&gt;301&lt;/item&gt;&lt;item&gt;302&lt;/item&gt;&lt;item&gt;303&lt;/item&gt;&lt;item&gt;305&lt;/item&gt;&lt;item&gt;306&lt;/item&gt;&lt;item&gt;307&lt;/item&gt;&lt;item&gt;308&lt;/item&gt;&lt;item&gt;309&lt;/item&gt;&lt;item&gt;310&lt;/item&gt;&lt;item&gt;311&lt;/item&gt;&lt;item&gt;313&lt;/item&gt;&lt;item&gt;314&lt;/item&gt;&lt;item&gt;315&lt;/item&gt;&lt;item&gt;316&lt;/item&gt;&lt;item&gt;317&lt;/item&gt;&lt;item&gt;319&lt;/item&gt;&lt;item&gt;320&lt;/item&gt;&lt;item&gt;322&lt;/item&gt;&lt;item&gt;323&lt;/item&gt;&lt;item&gt;324&lt;/item&gt;&lt;item&gt;325&lt;/item&gt;&lt;item&gt;326&lt;/item&gt;&lt;item&gt;327&lt;/item&gt;&lt;item&gt;329&lt;/item&gt;&lt;item&gt;330&lt;/item&gt;&lt;item&gt;331&lt;/item&gt;&lt;item&gt;332&lt;/item&gt;&lt;item&gt;333&lt;/item&gt;&lt;item&gt;334&lt;/item&gt;&lt;item&gt;335&lt;/item&gt;&lt;item&gt;337&lt;/item&gt;&lt;item&gt;338&lt;/item&gt;&lt;item&gt;339&lt;/item&gt;&lt;item&gt;340&lt;/item&gt;&lt;item&gt;341&lt;/item&gt;&lt;item&gt;342&lt;/item&gt;&lt;item&gt;343&lt;/item&gt;&lt;item&gt;344&lt;/item&gt;&lt;item&gt;345&lt;/item&gt;&lt;item&gt;346&lt;/item&gt;&lt;item&gt;382&lt;/item&gt;&lt;item&gt;393&lt;/item&gt;&lt;item&gt;394&lt;/item&gt;&lt;item&gt;395&lt;/item&gt;&lt;item&gt;396&lt;/item&gt;&lt;item&gt;397&lt;/item&gt;&lt;item&gt;399&lt;/item&gt;&lt;/record-ids&gt;&lt;/item&gt;&lt;/Libraries&gt;"/>
  </w:docVars>
  <w:rsids>
    <w:rsidRoot w:val="00EF1380"/>
    <w:rsid w:val="00002E01"/>
    <w:rsid w:val="00003C1E"/>
    <w:rsid w:val="0000481E"/>
    <w:rsid w:val="00006DFE"/>
    <w:rsid w:val="00012B19"/>
    <w:rsid w:val="00024096"/>
    <w:rsid w:val="0003348D"/>
    <w:rsid w:val="00045A47"/>
    <w:rsid w:val="00091CD3"/>
    <w:rsid w:val="00093711"/>
    <w:rsid w:val="0009438E"/>
    <w:rsid w:val="00096B85"/>
    <w:rsid w:val="000B0C1F"/>
    <w:rsid w:val="000B3EAF"/>
    <w:rsid w:val="000C3D04"/>
    <w:rsid w:val="000C4092"/>
    <w:rsid w:val="000C54C9"/>
    <w:rsid w:val="000D5B64"/>
    <w:rsid w:val="000E28CE"/>
    <w:rsid w:val="000E7399"/>
    <w:rsid w:val="00103642"/>
    <w:rsid w:val="00115A10"/>
    <w:rsid w:val="00117570"/>
    <w:rsid w:val="00131B93"/>
    <w:rsid w:val="00133352"/>
    <w:rsid w:val="00135070"/>
    <w:rsid w:val="0016536D"/>
    <w:rsid w:val="00180432"/>
    <w:rsid w:val="001868E0"/>
    <w:rsid w:val="001A280A"/>
    <w:rsid w:val="001A4B48"/>
    <w:rsid w:val="001D5DBD"/>
    <w:rsid w:val="001E52CA"/>
    <w:rsid w:val="001F1AE5"/>
    <w:rsid w:val="001F77BC"/>
    <w:rsid w:val="00200E11"/>
    <w:rsid w:val="002013D5"/>
    <w:rsid w:val="002045EE"/>
    <w:rsid w:val="0020555B"/>
    <w:rsid w:val="0021126A"/>
    <w:rsid w:val="00221103"/>
    <w:rsid w:val="0024507F"/>
    <w:rsid w:val="00251221"/>
    <w:rsid w:val="00257BAE"/>
    <w:rsid w:val="0027045B"/>
    <w:rsid w:val="00270AE4"/>
    <w:rsid w:val="00275C10"/>
    <w:rsid w:val="00293EBA"/>
    <w:rsid w:val="002A302A"/>
    <w:rsid w:val="002B0DD8"/>
    <w:rsid w:val="002C24D5"/>
    <w:rsid w:val="002C3C03"/>
    <w:rsid w:val="002C46EF"/>
    <w:rsid w:val="002E4C6B"/>
    <w:rsid w:val="00301442"/>
    <w:rsid w:val="003057B9"/>
    <w:rsid w:val="00321557"/>
    <w:rsid w:val="00346EE1"/>
    <w:rsid w:val="003512B8"/>
    <w:rsid w:val="0035478C"/>
    <w:rsid w:val="00355CA4"/>
    <w:rsid w:val="00367FE5"/>
    <w:rsid w:val="00370011"/>
    <w:rsid w:val="003A1DE8"/>
    <w:rsid w:val="003A580F"/>
    <w:rsid w:val="003B0F96"/>
    <w:rsid w:val="003B787E"/>
    <w:rsid w:val="003E35AD"/>
    <w:rsid w:val="004022CD"/>
    <w:rsid w:val="0040430C"/>
    <w:rsid w:val="00407D85"/>
    <w:rsid w:val="0041596D"/>
    <w:rsid w:val="00431914"/>
    <w:rsid w:val="0043424E"/>
    <w:rsid w:val="0043425D"/>
    <w:rsid w:val="0043494A"/>
    <w:rsid w:val="00470033"/>
    <w:rsid w:val="00492DA2"/>
    <w:rsid w:val="00494DBB"/>
    <w:rsid w:val="004A159A"/>
    <w:rsid w:val="004A22A0"/>
    <w:rsid w:val="004B5A56"/>
    <w:rsid w:val="004D6937"/>
    <w:rsid w:val="004E6A50"/>
    <w:rsid w:val="004F12FE"/>
    <w:rsid w:val="004F4CB6"/>
    <w:rsid w:val="004F75B0"/>
    <w:rsid w:val="005221BB"/>
    <w:rsid w:val="00525B98"/>
    <w:rsid w:val="00545079"/>
    <w:rsid w:val="00557EE9"/>
    <w:rsid w:val="00565864"/>
    <w:rsid w:val="00575217"/>
    <w:rsid w:val="005966B9"/>
    <w:rsid w:val="005A43B3"/>
    <w:rsid w:val="005B168C"/>
    <w:rsid w:val="005B44A9"/>
    <w:rsid w:val="005C2D87"/>
    <w:rsid w:val="005E3D78"/>
    <w:rsid w:val="005F0B66"/>
    <w:rsid w:val="00603DDE"/>
    <w:rsid w:val="00606014"/>
    <w:rsid w:val="006073C9"/>
    <w:rsid w:val="006077EF"/>
    <w:rsid w:val="006174E0"/>
    <w:rsid w:val="00622762"/>
    <w:rsid w:val="00627F45"/>
    <w:rsid w:val="006344A6"/>
    <w:rsid w:val="006632BD"/>
    <w:rsid w:val="0067704B"/>
    <w:rsid w:val="00694A58"/>
    <w:rsid w:val="006A2D7E"/>
    <w:rsid w:val="006C2756"/>
    <w:rsid w:val="006E0BE8"/>
    <w:rsid w:val="006F1F87"/>
    <w:rsid w:val="006F3B49"/>
    <w:rsid w:val="006F4644"/>
    <w:rsid w:val="006F4A1C"/>
    <w:rsid w:val="006F7E97"/>
    <w:rsid w:val="00727535"/>
    <w:rsid w:val="0073016A"/>
    <w:rsid w:val="0073333D"/>
    <w:rsid w:val="00736300"/>
    <w:rsid w:val="007432E1"/>
    <w:rsid w:val="0074542B"/>
    <w:rsid w:val="00753455"/>
    <w:rsid w:val="00755EF7"/>
    <w:rsid w:val="00760870"/>
    <w:rsid w:val="00772900"/>
    <w:rsid w:val="007743BA"/>
    <w:rsid w:val="00785543"/>
    <w:rsid w:val="007A0D08"/>
    <w:rsid w:val="007C66F9"/>
    <w:rsid w:val="007C6946"/>
    <w:rsid w:val="007D7370"/>
    <w:rsid w:val="007E1DF1"/>
    <w:rsid w:val="007E5598"/>
    <w:rsid w:val="007E650A"/>
    <w:rsid w:val="00803AB7"/>
    <w:rsid w:val="00806F63"/>
    <w:rsid w:val="00825ACC"/>
    <w:rsid w:val="00841E0A"/>
    <w:rsid w:val="0087074E"/>
    <w:rsid w:val="00876935"/>
    <w:rsid w:val="008A30B1"/>
    <w:rsid w:val="008C09E0"/>
    <w:rsid w:val="008C3CDA"/>
    <w:rsid w:val="008C3F1A"/>
    <w:rsid w:val="008C49BC"/>
    <w:rsid w:val="008D6F02"/>
    <w:rsid w:val="008E3819"/>
    <w:rsid w:val="008E3BF8"/>
    <w:rsid w:val="008E5723"/>
    <w:rsid w:val="008E720F"/>
    <w:rsid w:val="008F33E4"/>
    <w:rsid w:val="009453D5"/>
    <w:rsid w:val="00963A03"/>
    <w:rsid w:val="009644B2"/>
    <w:rsid w:val="00966E91"/>
    <w:rsid w:val="00974F33"/>
    <w:rsid w:val="009809EC"/>
    <w:rsid w:val="009A099C"/>
    <w:rsid w:val="009B171E"/>
    <w:rsid w:val="009B400B"/>
    <w:rsid w:val="009B6DE5"/>
    <w:rsid w:val="009C0CA0"/>
    <w:rsid w:val="009E5BDF"/>
    <w:rsid w:val="009F0FCB"/>
    <w:rsid w:val="009F771C"/>
    <w:rsid w:val="00A20A27"/>
    <w:rsid w:val="00A22B6B"/>
    <w:rsid w:val="00A308AD"/>
    <w:rsid w:val="00A34CDA"/>
    <w:rsid w:val="00A43488"/>
    <w:rsid w:val="00A44109"/>
    <w:rsid w:val="00A54BD3"/>
    <w:rsid w:val="00A72754"/>
    <w:rsid w:val="00A76E64"/>
    <w:rsid w:val="00A82B55"/>
    <w:rsid w:val="00A859E4"/>
    <w:rsid w:val="00A956BF"/>
    <w:rsid w:val="00AA4622"/>
    <w:rsid w:val="00AA62AE"/>
    <w:rsid w:val="00AB7E17"/>
    <w:rsid w:val="00AC4500"/>
    <w:rsid w:val="00AC59A5"/>
    <w:rsid w:val="00AD7DA9"/>
    <w:rsid w:val="00AE45DA"/>
    <w:rsid w:val="00AF0B8D"/>
    <w:rsid w:val="00AF433C"/>
    <w:rsid w:val="00B05AAB"/>
    <w:rsid w:val="00B16A07"/>
    <w:rsid w:val="00B26DFE"/>
    <w:rsid w:val="00B35A96"/>
    <w:rsid w:val="00B44F1C"/>
    <w:rsid w:val="00B45094"/>
    <w:rsid w:val="00B457B3"/>
    <w:rsid w:val="00B528B6"/>
    <w:rsid w:val="00B62DC6"/>
    <w:rsid w:val="00B7345A"/>
    <w:rsid w:val="00B9680E"/>
    <w:rsid w:val="00BA292C"/>
    <w:rsid w:val="00BB2FD1"/>
    <w:rsid w:val="00BB3AA5"/>
    <w:rsid w:val="00BD156A"/>
    <w:rsid w:val="00BD6DF5"/>
    <w:rsid w:val="00BE1B28"/>
    <w:rsid w:val="00BE5FA7"/>
    <w:rsid w:val="00BE7487"/>
    <w:rsid w:val="00BF3933"/>
    <w:rsid w:val="00BF474E"/>
    <w:rsid w:val="00C252F1"/>
    <w:rsid w:val="00C3286F"/>
    <w:rsid w:val="00C3350C"/>
    <w:rsid w:val="00C55169"/>
    <w:rsid w:val="00C73D6D"/>
    <w:rsid w:val="00C975C7"/>
    <w:rsid w:val="00CB358D"/>
    <w:rsid w:val="00CD1253"/>
    <w:rsid w:val="00CD2A4C"/>
    <w:rsid w:val="00CE39F6"/>
    <w:rsid w:val="00CF1947"/>
    <w:rsid w:val="00CF26AF"/>
    <w:rsid w:val="00D01A30"/>
    <w:rsid w:val="00D23D5E"/>
    <w:rsid w:val="00D3305B"/>
    <w:rsid w:val="00D33578"/>
    <w:rsid w:val="00D552F8"/>
    <w:rsid w:val="00D94165"/>
    <w:rsid w:val="00DB2A91"/>
    <w:rsid w:val="00DC0376"/>
    <w:rsid w:val="00DD0FDA"/>
    <w:rsid w:val="00DD2E14"/>
    <w:rsid w:val="00DD3865"/>
    <w:rsid w:val="00DD4EF9"/>
    <w:rsid w:val="00DD6198"/>
    <w:rsid w:val="00DE7937"/>
    <w:rsid w:val="00DF062D"/>
    <w:rsid w:val="00E03825"/>
    <w:rsid w:val="00E2034F"/>
    <w:rsid w:val="00E23CA2"/>
    <w:rsid w:val="00E273D1"/>
    <w:rsid w:val="00E41538"/>
    <w:rsid w:val="00E75BCC"/>
    <w:rsid w:val="00EB04D2"/>
    <w:rsid w:val="00EB150C"/>
    <w:rsid w:val="00EC6345"/>
    <w:rsid w:val="00ED2224"/>
    <w:rsid w:val="00ED3915"/>
    <w:rsid w:val="00ED44D4"/>
    <w:rsid w:val="00ED50B3"/>
    <w:rsid w:val="00EE293A"/>
    <w:rsid w:val="00EE7781"/>
    <w:rsid w:val="00EF1380"/>
    <w:rsid w:val="00F241EA"/>
    <w:rsid w:val="00F3735C"/>
    <w:rsid w:val="00F47107"/>
    <w:rsid w:val="00F723AE"/>
    <w:rsid w:val="00F77520"/>
    <w:rsid w:val="00F9787B"/>
    <w:rsid w:val="00FA0AD1"/>
    <w:rsid w:val="00FA2F30"/>
    <w:rsid w:val="00FB164C"/>
    <w:rsid w:val="00FC3C1A"/>
    <w:rsid w:val="00FC5ADE"/>
    <w:rsid w:val="00FD1EE8"/>
    <w:rsid w:val="00FD4C32"/>
    <w:rsid w:val="00FD70CC"/>
    <w:rsid w:val="00FE4708"/>
    <w:rsid w:val="00FE4E86"/>
    <w:rsid w:val="00FF2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F13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F13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13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380"/>
    <w:rPr>
      <w:rFonts w:ascii="Times New Roman" w:eastAsia="Times New Roman" w:hAnsi="Times New Roman" w:cs="Times New Roman"/>
      <w:b/>
      <w:bCs/>
      <w:kern w:val="36"/>
      <w:sz w:val="48"/>
      <w:szCs w:val="48"/>
      <w:lang w:eastAsia="zh-CN"/>
    </w:rPr>
  </w:style>
  <w:style w:type="character" w:customStyle="1" w:styleId="Heading2Char">
    <w:name w:val="Heading 2 Char"/>
    <w:basedOn w:val="DefaultParagraphFont"/>
    <w:link w:val="Heading2"/>
    <w:uiPriority w:val="9"/>
    <w:rsid w:val="00EF1380"/>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EF1380"/>
    <w:rPr>
      <w:rFonts w:asciiTheme="majorHAnsi" w:eastAsiaTheme="majorEastAsia" w:hAnsiTheme="majorHAnsi" w:cstheme="majorBidi"/>
      <w:b/>
      <w:bCs/>
      <w:color w:val="4F81BD" w:themeColor="accent1"/>
      <w:lang w:eastAsia="zh-CN"/>
    </w:rPr>
  </w:style>
  <w:style w:type="paragraph" w:customStyle="1" w:styleId="Default">
    <w:name w:val="Default"/>
    <w:rsid w:val="00EF1380"/>
    <w:pPr>
      <w:autoSpaceDE w:val="0"/>
      <w:autoSpaceDN w:val="0"/>
      <w:adjustRightInd w:val="0"/>
      <w:spacing w:after="0" w:line="240" w:lineRule="auto"/>
    </w:pPr>
    <w:rPr>
      <w:rFonts w:ascii="JJFIC N+ Times LT Std" w:hAnsi="JJFIC N+ Times LT Std" w:cs="JJFIC N+ Times LT Std"/>
      <w:color w:val="000000"/>
      <w:sz w:val="24"/>
      <w:szCs w:val="24"/>
      <w:lang w:val="es-MX" w:eastAsia="es-MX"/>
    </w:rPr>
  </w:style>
  <w:style w:type="character" w:customStyle="1" w:styleId="BalloonTextChar">
    <w:name w:val="Balloon Text Char"/>
    <w:basedOn w:val="DefaultParagraphFont"/>
    <w:link w:val="BalloonText"/>
    <w:uiPriority w:val="99"/>
    <w:semiHidden/>
    <w:rsid w:val="00EF1380"/>
    <w:rPr>
      <w:rFonts w:ascii="Tahoma" w:hAnsi="Tahoma" w:cs="Tahoma"/>
      <w:sz w:val="16"/>
      <w:szCs w:val="16"/>
      <w:lang w:eastAsia="es-MX"/>
    </w:rPr>
  </w:style>
  <w:style w:type="paragraph" w:styleId="BalloonText">
    <w:name w:val="Balloon Text"/>
    <w:basedOn w:val="Normal"/>
    <w:link w:val="BalloonTextChar"/>
    <w:uiPriority w:val="99"/>
    <w:semiHidden/>
    <w:unhideWhenUsed/>
    <w:rsid w:val="00EF1380"/>
    <w:pPr>
      <w:spacing w:after="0" w:line="240" w:lineRule="auto"/>
    </w:pPr>
    <w:rPr>
      <w:rFonts w:ascii="Tahoma" w:eastAsiaTheme="minorHAnsi" w:hAnsi="Tahoma" w:cs="Tahoma"/>
      <w:sz w:val="16"/>
      <w:szCs w:val="16"/>
      <w:lang w:eastAsia="es-MX"/>
    </w:rPr>
  </w:style>
  <w:style w:type="character" w:customStyle="1" w:styleId="BalloonTextChar1">
    <w:name w:val="Balloon Text Char1"/>
    <w:basedOn w:val="DefaultParagraphFont"/>
    <w:uiPriority w:val="99"/>
    <w:semiHidden/>
    <w:rsid w:val="00EF1380"/>
    <w:rPr>
      <w:rFonts w:ascii="Tahoma" w:eastAsiaTheme="minorEastAsia" w:hAnsi="Tahoma" w:cs="Tahoma"/>
      <w:sz w:val="16"/>
      <w:szCs w:val="16"/>
      <w:lang w:eastAsia="zh-CN"/>
    </w:rPr>
  </w:style>
  <w:style w:type="character" w:customStyle="1" w:styleId="TextodegloboCar1">
    <w:name w:val="Texto de globo Car1"/>
    <w:basedOn w:val="DefaultParagraphFont"/>
    <w:uiPriority w:val="99"/>
    <w:semiHidden/>
    <w:rsid w:val="00EF1380"/>
    <w:rPr>
      <w:rFonts w:ascii="Segoe UI" w:eastAsiaTheme="minorEastAsia" w:hAnsi="Segoe UI" w:cs="Segoe UI"/>
      <w:sz w:val="18"/>
      <w:szCs w:val="18"/>
      <w:lang w:val="en-GB" w:eastAsia="zh-CN"/>
    </w:rPr>
  </w:style>
  <w:style w:type="character" w:customStyle="1" w:styleId="SubtitleChar">
    <w:name w:val="Subtitle Char"/>
    <w:basedOn w:val="DefaultParagraphFont"/>
    <w:link w:val="Subtitle"/>
    <w:uiPriority w:val="11"/>
    <w:rsid w:val="00EF1380"/>
    <w:rPr>
      <w:rFonts w:asciiTheme="majorHAnsi" w:eastAsiaTheme="majorEastAsia" w:hAnsiTheme="majorHAnsi" w:cstheme="majorBidi"/>
      <w:i/>
      <w:iCs/>
      <w:color w:val="4F81BD" w:themeColor="accent1"/>
      <w:spacing w:val="15"/>
      <w:sz w:val="24"/>
      <w:szCs w:val="24"/>
      <w:lang w:eastAsia="es-MX"/>
    </w:rPr>
  </w:style>
  <w:style w:type="paragraph" w:styleId="Subtitle">
    <w:name w:val="Subtitle"/>
    <w:basedOn w:val="Normal"/>
    <w:next w:val="Normal"/>
    <w:link w:val="SubtitleChar"/>
    <w:uiPriority w:val="11"/>
    <w:qFormat/>
    <w:rsid w:val="00EF1380"/>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itleChar1">
    <w:name w:val="Subtitle Char1"/>
    <w:basedOn w:val="DefaultParagraphFont"/>
    <w:uiPriority w:val="11"/>
    <w:rsid w:val="00EF1380"/>
    <w:rPr>
      <w:rFonts w:asciiTheme="majorHAnsi" w:eastAsiaTheme="majorEastAsia" w:hAnsiTheme="majorHAnsi" w:cstheme="majorBidi"/>
      <w:i/>
      <w:iCs/>
      <w:color w:val="4F81BD" w:themeColor="accent1"/>
      <w:spacing w:val="15"/>
      <w:sz w:val="24"/>
      <w:szCs w:val="24"/>
      <w:lang w:eastAsia="zh-CN"/>
    </w:rPr>
  </w:style>
  <w:style w:type="character" w:customStyle="1" w:styleId="SubttuloCar1">
    <w:name w:val="Subtítulo Car1"/>
    <w:basedOn w:val="DefaultParagraphFont"/>
    <w:uiPriority w:val="11"/>
    <w:rsid w:val="00EF1380"/>
    <w:rPr>
      <w:rFonts w:eastAsiaTheme="minorEastAsia"/>
      <w:color w:val="5A5A5A" w:themeColor="text1" w:themeTint="A5"/>
      <w:spacing w:val="15"/>
      <w:lang w:val="en-GB" w:eastAsia="zh-CN"/>
    </w:rPr>
  </w:style>
  <w:style w:type="character" w:styleId="Strong">
    <w:name w:val="Strong"/>
    <w:basedOn w:val="DefaultParagraphFont"/>
    <w:uiPriority w:val="22"/>
    <w:qFormat/>
    <w:rsid w:val="00EF1380"/>
    <w:rPr>
      <w:b/>
      <w:bCs/>
    </w:rPr>
  </w:style>
  <w:style w:type="character" w:customStyle="1" w:styleId="SC118877">
    <w:name w:val="SC118877"/>
    <w:uiPriority w:val="99"/>
    <w:rsid w:val="00EF1380"/>
    <w:rPr>
      <w:rFonts w:cs="JJFIC N+ Times LT Std"/>
      <w:color w:val="000000"/>
      <w:sz w:val="20"/>
      <w:szCs w:val="20"/>
    </w:rPr>
  </w:style>
  <w:style w:type="character" w:customStyle="1" w:styleId="highlight">
    <w:name w:val="highlight"/>
    <w:basedOn w:val="DefaultParagraphFont"/>
    <w:rsid w:val="00EF1380"/>
  </w:style>
  <w:style w:type="character" w:customStyle="1" w:styleId="hps">
    <w:name w:val="hps"/>
    <w:basedOn w:val="DefaultParagraphFont"/>
    <w:rsid w:val="00EF1380"/>
  </w:style>
  <w:style w:type="character" w:customStyle="1" w:styleId="st">
    <w:name w:val="st"/>
    <w:basedOn w:val="DefaultParagraphFont"/>
    <w:rsid w:val="00EF1380"/>
  </w:style>
  <w:style w:type="character" w:customStyle="1" w:styleId="SC118882">
    <w:name w:val="SC118882"/>
    <w:uiPriority w:val="99"/>
    <w:rsid w:val="00EF1380"/>
    <w:rPr>
      <w:rFonts w:cs="JJFIC N+ Times LT Std"/>
      <w:color w:val="000000"/>
      <w:sz w:val="13"/>
      <w:szCs w:val="13"/>
    </w:rPr>
  </w:style>
  <w:style w:type="character" w:styleId="PlaceholderText">
    <w:name w:val="Placeholder Text"/>
    <w:basedOn w:val="DefaultParagraphFont"/>
    <w:uiPriority w:val="99"/>
    <w:semiHidden/>
    <w:rsid w:val="00EF1380"/>
    <w:rPr>
      <w:color w:val="808080"/>
    </w:rPr>
  </w:style>
  <w:style w:type="table" w:customStyle="1" w:styleId="LightList1">
    <w:name w:val="Light List1"/>
    <w:basedOn w:val="TableNormal"/>
    <w:uiPriority w:val="61"/>
    <w:rsid w:val="00EF1380"/>
    <w:pPr>
      <w:spacing w:after="0" w:line="240" w:lineRule="auto"/>
    </w:pPr>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EF1380"/>
    <w:rPr>
      <w:color w:val="0000FF"/>
      <w:u w:val="single"/>
    </w:rPr>
  </w:style>
  <w:style w:type="paragraph" w:styleId="ListParagraph">
    <w:name w:val="List Paragraph"/>
    <w:basedOn w:val="Normal"/>
    <w:uiPriority w:val="34"/>
    <w:qFormat/>
    <w:rsid w:val="00EF1380"/>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80"/>
    <w:rPr>
      <w:rFonts w:eastAsiaTheme="minorEastAsia"/>
      <w:lang w:eastAsia="zh-CN"/>
    </w:rPr>
  </w:style>
  <w:style w:type="paragraph" w:styleId="Footer">
    <w:name w:val="footer"/>
    <w:basedOn w:val="Normal"/>
    <w:link w:val="FooterChar"/>
    <w:uiPriority w:val="99"/>
    <w:unhideWhenUsed/>
    <w:rsid w:val="00EF1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80"/>
    <w:rPr>
      <w:rFonts w:eastAsiaTheme="minorEastAsia"/>
      <w:lang w:eastAsia="zh-CN"/>
    </w:rPr>
  </w:style>
  <w:style w:type="paragraph" w:customStyle="1" w:styleId="SP122926">
    <w:name w:val="SP122926"/>
    <w:basedOn w:val="Normal"/>
    <w:next w:val="Normal"/>
    <w:uiPriority w:val="99"/>
    <w:rsid w:val="00EF1380"/>
    <w:pPr>
      <w:autoSpaceDE w:val="0"/>
      <w:autoSpaceDN w:val="0"/>
      <w:adjustRightInd w:val="0"/>
      <w:spacing w:after="0" w:line="240" w:lineRule="auto"/>
    </w:pPr>
    <w:rPr>
      <w:rFonts w:ascii="JJFIC N+ Times LT Std" w:hAnsi="JJFIC N+ Times LT Std"/>
      <w:sz w:val="24"/>
      <w:szCs w:val="24"/>
    </w:rPr>
  </w:style>
  <w:style w:type="paragraph" w:customStyle="1" w:styleId="SP122899">
    <w:name w:val="SP122899"/>
    <w:basedOn w:val="Default"/>
    <w:next w:val="Default"/>
    <w:uiPriority w:val="99"/>
    <w:rsid w:val="00EF1380"/>
    <w:rPr>
      <w:rFonts w:cstheme="minorBidi"/>
      <w:color w:val="auto"/>
    </w:rPr>
  </w:style>
  <w:style w:type="paragraph" w:styleId="Bibliography">
    <w:name w:val="Bibliography"/>
    <w:basedOn w:val="Normal"/>
    <w:next w:val="Normal"/>
    <w:uiPriority w:val="37"/>
    <w:unhideWhenUsed/>
    <w:rsid w:val="00EF1380"/>
  </w:style>
  <w:style w:type="character" w:customStyle="1" w:styleId="A2">
    <w:name w:val="A2"/>
    <w:uiPriority w:val="99"/>
    <w:rsid w:val="00EF1380"/>
    <w:rPr>
      <w:rFonts w:cs="Minion Pro"/>
      <w:b/>
      <w:bCs/>
      <w:color w:val="000000"/>
      <w:sz w:val="14"/>
      <w:szCs w:val="14"/>
    </w:rPr>
  </w:style>
  <w:style w:type="character" w:customStyle="1" w:styleId="A3">
    <w:name w:val="A3"/>
    <w:uiPriority w:val="99"/>
    <w:rsid w:val="00EF1380"/>
    <w:rPr>
      <w:rFonts w:cs="Times"/>
      <w:i/>
      <w:iCs/>
      <w:color w:val="000000"/>
      <w:sz w:val="12"/>
      <w:szCs w:val="12"/>
    </w:rPr>
  </w:style>
  <w:style w:type="paragraph" w:styleId="TOCHeading">
    <w:name w:val="TOC Heading"/>
    <w:basedOn w:val="Heading1"/>
    <w:next w:val="Normal"/>
    <w:uiPriority w:val="39"/>
    <w:unhideWhenUsed/>
    <w:qFormat/>
    <w:rsid w:val="00EF138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EF1380"/>
    <w:pPr>
      <w:spacing w:after="100"/>
    </w:pPr>
  </w:style>
  <w:style w:type="paragraph" w:styleId="TOC2">
    <w:name w:val="toc 2"/>
    <w:basedOn w:val="Normal"/>
    <w:next w:val="Normal"/>
    <w:autoRedefine/>
    <w:uiPriority w:val="39"/>
    <w:unhideWhenUsed/>
    <w:qFormat/>
    <w:rsid w:val="00EF1380"/>
    <w:pPr>
      <w:spacing w:after="100"/>
      <w:ind w:left="220"/>
    </w:pPr>
  </w:style>
  <w:style w:type="character" w:styleId="SubtleEmphasis">
    <w:name w:val="Subtle Emphasis"/>
    <w:basedOn w:val="DefaultParagraphFont"/>
    <w:uiPriority w:val="19"/>
    <w:qFormat/>
    <w:rsid w:val="00EF1380"/>
    <w:rPr>
      <w:i/>
      <w:iCs/>
      <w:color w:val="808080" w:themeColor="text1" w:themeTint="7F"/>
    </w:rPr>
  </w:style>
  <w:style w:type="paragraph" w:styleId="TOC3">
    <w:name w:val="toc 3"/>
    <w:basedOn w:val="Normal"/>
    <w:next w:val="Normal"/>
    <w:autoRedefine/>
    <w:uiPriority w:val="39"/>
    <w:unhideWhenUsed/>
    <w:qFormat/>
    <w:rsid w:val="00EF1380"/>
    <w:pPr>
      <w:spacing w:after="100"/>
      <w:ind w:left="440"/>
    </w:pPr>
    <w:rPr>
      <w:lang w:val="en-US" w:eastAsia="en-US"/>
    </w:rPr>
  </w:style>
  <w:style w:type="table" w:customStyle="1" w:styleId="LightList2">
    <w:name w:val="Light List2"/>
    <w:basedOn w:val="TableNormal"/>
    <w:uiPriority w:val="61"/>
    <w:rsid w:val="00EF1380"/>
    <w:pPr>
      <w:spacing w:after="0" w:line="240" w:lineRule="auto"/>
    </w:pPr>
    <w:rPr>
      <w:lang w:val="es-MX"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Cite">
    <w:name w:val="HTML Cite"/>
    <w:basedOn w:val="DefaultParagraphFont"/>
    <w:uiPriority w:val="99"/>
    <w:semiHidden/>
    <w:unhideWhenUsed/>
    <w:rsid w:val="00EF1380"/>
    <w:rPr>
      <w:i/>
      <w:iCs/>
    </w:rPr>
  </w:style>
  <w:style w:type="character" w:customStyle="1" w:styleId="CommentTextChar">
    <w:name w:val="Comment Text Char"/>
    <w:basedOn w:val="DefaultParagraphFont"/>
    <w:link w:val="CommentText"/>
    <w:uiPriority w:val="99"/>
    <w:rsid w:val="00EF1380"/>
    <w:rPr>
      <w:sz w:val="24"/>
      <w:szCs w:val="24"/>
      <w:lang w:eastAsia="es-MX"/>
    </w:rPr>
  </w:style>
  <w:style w:type="paragraph" w:styleId="CommentText">
    <w:name w:val="annotation text"/>
    <w:basedOn w:val="Normal"/>
    <w:link w:val="CommentTextChar"/>
    <w:uiPriority w:val="99"/>
    <w:unhideWhenUsed/>
    <w:rsid w:val="00EF1380"/>
    <w:pPr>
      <w:spacing w:line="240" w:lineRule="auto"/>
    </w:pPr>
    <w:rPr>
      <w:rFonts w:eastAsiaTheme="minorHAnsi"/>
      <w:sz w:val="24"/>
      <w:szCs w:val="24"/>
      <w:lang w:eastAsia="es-MX"/>
    </w:rPr>
  </w:style>
  <w:style w:type="character" w:customStyle="1" w:styleId="CommentTextChar1">
    <w:name w:val="Comment Text Char1"/>
    <w:basedOn w:val="DefaultParagraphFont"/>
    <w:uiPriority w:val="99"/>
    <w:semiHidden/>
    <w:rsid w:val="00EF1380"/>
    <w:rPr>
      <w:rFonts w:eastAsiaTheme="minorEastAsia"/>
      <w:sz w:val="20"/>
      <w:szCs w:val="20"/>
      <w:lang w:eastAsia="zh-CN"/>
    </w:rPr>
  </w:style>
  <w:style w:type="character" w:customStyle="1" w:styleId="TextocomentarioCar1">
    <w:name w:val="Texto comentario Car1"/>
    <w:basedOn w:val="DefaultParagraphFont"/>
    <w:uiPriority w:val="99"/>
    <w:semiHidden/>
    <w:rsid w:val="00EF1380"/>
    <w:rPr>
      <w:rFonts w:eastAsiaTheme="minorEastAsia"/>
      <w:sz w:val="20"/>
      <w:szCs w:val="20"/>
      <w:lang w:val="en-GB" w:eastAsia="zh-CN"/>
    </w:rPr>
  </w:style>
  <w:style w:type="character" w:customStyle="1" w:styleId="CommentSubjectChar">
    <w:name w:val="Comment Subject Char"/>
    <w:basedOn w:val="CommentTextChar"/>
    <w:link w:val="CommentSubject"/>
    <w:uiPriority w:val="99"/>
    <w:semiHidden/>
    <w:rsid w:val="00EF1380"/>
    <w:rPr>
      <w:b/>
      <w:bCs/>
      <w:sz w:val="20"/>
      <w:szCs w:val="20"/>
      <w:lang w:eastAsia="es-MX"/>
    </w:rPr>
  </w:style>
  <w:style w:type="paragraph" w:styleId="CommentSubject">
    <w:name w:val="annotation subject"/>
    <w:basedOn w:val="CommentText"/>
    <w:next w:val="CommentText"/>
    <w:link w:val="CommentSubjectChar"/>
    <w:uiPriority w:val="99"/>
    <w:semiHidden/>
    <w:unhideWhenUsed/>
    <w:rsid w:val="00EF1380"/>
    <w:rPr>
      <w:b/>
      <w:bCs/>
      <w:sz w:val="20"/>
      <w:szCs w:val="20"/>
    </w:rPr>
  </w:style>
  <w:style w:type="character" w:customStyle="1" w:styleId="CommentSubjectChar1">
    <w:name w:val="Comment Subject Char1"/>
    <w:basedOn w:val="CommentTextChar1"/>
    <w:uiPriority w:val="99"/>
    <w:semiHidden/>
    <w:rsid w:val="00EF1380"/>
    <w:rPr>
      <w:rFonts w:eastAsiaTheme="minorEastAsia"/>
      <w:b/>
      <w:bCs/>
      <w:sz w:val="20"/>
      <w:szCs w:val="20"/>
      <w:lang w:eastAsia="zh-CN"/>
    </w:rPr>
  </w:style>
  <w:style w:type="character" w:customStyle="1" w:styleId="AsuntodelcomentarioCar1">
    <w:name w:val="Asunto del comentario Car1"/>
    <w:basedOn w:val="TextocomentarioCar1"/>
    <w:uiPriority w:val="99"/>
    <w:semiHidden/>
    <w:rsid w:val="00EF1380"/>
    <w:rPr>
      <w:rFonts w:eastAsiaTheme="minorEastAsia"/>
      <w:b/>
      <w:bCs/>
      <w:sz w:val="20"/>
      <w:szCs w:val="20"/>
      <w:lang w:val="en-GB" w:eastAsia="zh-CN"/>
    </w:rPr>
  </w:style>
  <w:style w:type="paragraph" w:styleId="EndnoteText">
    <w:name w:val="endnote text"/>
    <w:basedOn w:val="Normal"/>
    <w:link w:val="EndnoteTextChar"/>
    <w:uiPriority w:val="99"/>
    <w:semiHidden/>
    <w:unhideWhenUsed/>
    <w:rsid w:val="00EF13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380"/>
    <w:rPr>
      <w:rFonts w:eastAsiaTheme="minorEastAsia"/>
      <w:sz w:val="20"/>
      <w:szCs w:val="20"/>
      <w:lang w:eastAsia="zh-CN"/>
    </w:rPr>
  </w:style>
  <w:style w:type="character" w:styleId="EndnoteReference">
    <w:name w:val="endnote reference"/>
    <w:basedOn w:val="DefaultParagraphFont"/>
    <w:uiPriority w:val="99"/>
    <w:semiHidden/>
    <w:unhideWhenUsed/>
    <w:rsid w:val="00EF1380"/>
    <w:rPr>
      <w:vertAlign w:val="superscript"/>
    </w:rPr>
  </w:style>
  <w:style w:type="paragraph" w:styleId="NormalWeb">
    <w:name w:val="Normal (Web)"/>
    <w:basedOn w:val="Normal"/>
    <w:uiPriority w:val="99"/>
    <w:unhideWhenUsed/>
    <w:rsid w:val="00EF138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skypepnhcontainer">
    <w:name w:val="skype_pnh_container"/>
    <w:basedOn w:val="DefaultParagraphFont"/>
    <w:rsid w:val="00EF1380"/>
  </w:style>
  <w:style w:type="character" w:customStyle="1" w:styleId="skypepnhtextspan">
    <w:name w:val="skype_pnh_text_span"/>
    <w:basedOn w:val="DefaultParagraphFont"/>
    <w:rsid w:val="00EF1380"/>
  </w:style>
  <w:style w:type="character" w:styleId="CommentReference">
    <w:name w:val="annotation reference"/>
    <w:basedOn w:val="DefaultParagraphFont"/>
    <w:uiPriority w:val="99"/>
    <w:semiHidden/>
    <w:unhideWhenUsed/>
    <w:rsid w:val="00EF1380"/>
    <w:rPr>
      <w:sz w:val="18"/>
      <w:szCs w:val="18"/>
    </w:rPr>
  </w:style>
  <w:style w:type="paragraph" w:styleId="Caption">
    <w:name w:val="caption"/>
    <w:basedOn w:val="Normal"/>
    <w:next w:val="Normal"/>
    <w:uiPriority w:val="35"/>
    <w:unhideWhenUsed/>
    <w:qFormat/>
    <w:rsid w:val="00EF1380"/>
    <w:pPr>
      <w:spacing w:line="240" w:lineRule="auto"/>
    </w:pPr>
    <w:rPr>
      <w:b/>
      <w:bCs/>
      <w:color w:val="4F81BD" w:themeColor="accent1"/>
      <w:sz w:val="18"/>
      <w:szCs w:val="18"/>
      <w:lang w:eastAsia="es-MX"/>
    </w:rPr>
  </w:style>
  <w:style w:type="character" w:customStyle="1" w:styleId="sectionname">
    <w:name w:val="sectionname"/>
    <w:basedOn w:val="DefaultParagraphFont"/>
    <w:rsid w:val="00EF1380"/>
  </w:style>
  <w:style w:type="paragraph" w:styleId="TableofFigures">
    <w:name w:val="table of figures"/>
    <w:basedOn w:val="Normal"/>
    <w:next w:val="Normal"/>
    <w:uiPriority w:val="99"/>
    <w:unhideWhenUsed/>
    <w:rsid w:val="00EF1380"/>
    <w:pPr>
      <w:spacing w:after="0"/>
      <w:ind w:left="440" w:hanging="440"/>
    </w:pPr>
    <w:rPr>
      <w:caps/>
      <w:sz w:val="20"/>
      <w:szCs w:val="20"/>
      <w:lang w:eastAsia="es-MX"/>
    </w:rPr>
  </w:style>
  <w:style w:type="character" w:customStyle="1" w:styleId="apple-converted-space">
    <w:name w:val="apple-converted-space"/>
    <w:basedOn w:val="DefaultParagraphFont"/>
    <w:rsid w:val="00EF1380"/>
  </w:style>
  <w:style w:type="character" w:customStyle="1" w:styleId="headlinelg">
    <w:name w:val="headlinelg"/>
    <w:basedOn w:val="DefaultParagraphFont"/>
    <w:rsid w:val="00EF1380"/>
  </w:style>
  <w:style w:type="paragraph" w:customStyle="1" w:styleId="EndNoteBibliographyTitle">
    <w:name w:val="EndNote Bibliography Title"/>
    <w:basedOn w:val="Normal"/>
    <w:link w:val="EndNoteBibliographyTitleCar"/>
    <w:rsid w:val="00EF1380"/>
    <w:pPr>
      <w:spacing w:after="0"/>
      <w:jc w:val="center"/>
    </w:pPr>
    <w:rPr>
      <w:rFonts w:ascii="Calibri" w:hAnsi="Calibri"/>
      <w:noProof/>
    </w:rPr>
  </w:style>
  <w:style w:type="character" w:customStyle="1" w:styleId="EndNoteBibliographyTitleCar">
    <w:name w:val="EndNote Bibliography Title Car"/>
    <w:basedOn w:val="DefaultParagraphFont"/>
    <w:link w:val="EndNoteBibliographyTitle"/>
    <w:rsid w:val="00EF1380"/>
    <w:rPr>
      <w:rFonts w:ascii="Calibri" w:eastAsiaTheme="minorEastAsia" w:hAnsi="Calibri"/>
      <w:noProof/>
      <w:lang w:eastAsia="zh-CN"/>
    </w:rPr>
  </w:style>
  <w:style w:type="paragraph" w:customStyle="1" w:styleId="EndNoteBibliography">
    <w:name w:val="EndNote Bibliography"/>
    <w:basedOn w:val="Normal"/>
    <w:link w:val="EndNoteBibliographyCar"/>
    <w:rsid w:val="00EF1380"/>
    <w:pPr>
      <w:spacing w:line="240" w:lineRule="auto"/>
    </w:pPr>
    <w:rPr>
      <w:rFonts w:ascii="Calibri" w:hAnsi="Calibri"/>
      <w:noProof/>
    </w:rPr>
  </w:style>
  <w:style w:type="character" w:customStyle="1" w:styleId="EndNoteBibliographyCar">
    <w:name w:val="EndNote Bibliography Car"/>
    <w:basedOn w:val="DefaultParagraphFont"/>
    <w:link w:val="EndNoteBibliography"/>
    <w:rsid w:val="00EF1380"/>
    <w:rPr>
      <w:rFonts w:ascii="Calibri" w:eastAsiaTheme="minorEastAsia" w:hAnsi="Calibri"/>
      <w:noProof/>
      <w:lang w:eastAsia="zh-CN"/>
    </w:rPr>
  </w:style>
  <w:style w:type="character" w:customStyle="1" w:styleId="highlight1">
    <w:name w:val="highlight1"/>
    <w:basedOn w:val="DefaultParagraphFont"/>
    <w:rsid w:val="00EF1380"/>
    <w:rPr>
      <w:shd w:val="clear" w:color="auto" w:fill="F2F5F8"/>
    </w:rPr>
  </w:style>
  <w:style w:type="table" w:styleId="LightList">
    <w:name w:val="Light List"/>
    <w:basedOn w:val="TableNormal"/>
    <w:uiPriority w:val="61"/>
    <w:rsid w:val="00EF13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EF1380"/>
    <w:rPr>
      <w:i/>
      <w:iCs/>
    </w:rPr>
  </w:style>
  <w:style w:type="paragraph" w:styleId="TOC4">
    <w:name w:val="toc 4"/>
    <w:basedOn w:val="Normal"/>
    <w:next w:val="Normal"/>
    <w:autoRedefine/>
    <w:uiPriority w:val="39"/>
    <w:unhideWhenUsed/>
    <w:rsid w:val="00EF1380"/>
    <w:pPr>
      <w:spacing w:after="100"/>
      <w:ind w:left="660"/>
    </w:pPr>
  </w:style>
  <w:style w:type="paragraph" w:styleId="TOC5">
    <w:name w:val="toc 5"/>
    <w:basedOn w:val="Normal"/>
    <w:next w:val="Normal"/>
    <w:autoRedefine/>
    <w:uiPriority w:val="39"/>
    <w:unhideWhenUsed/>
    <w:rsid w:val="00EF1380"/>
    <w:pPr>
      <w:spacing w:after="100"/>
      <w:ind w:left="880"/>
    </w:pPr>
  </w:style>
  <w:style w:type="paragraph" w:styleId="TOC6">
    <w:name w:val="toc 6"/>
    <w:basedOn w:val="Normal"/>
    <w:next w:val="Normal"/>
    <w:autoRedefine/>
    <w:uiPriority w:val="39"/>
    <w:unhideWhenUsed/>
    <w:rsid w:val="00EF1380"/>
    <w:pPr>
      <w:spacing w:after="100"/>
      <w:ind w:left="1100"/>
    </w:pPr>
  </w:style>
  <w:style w:type="paragraph" w:styleId="TOC7">
    <w:name w:val="toc 7"/>
    <w:basedOn w:val="Normal"/>
    <w:next w:val="Normal"/>
    <w:autoRedefine/>
    <w:uiPriority w:val="39"/>
    <w:unhideWhenUsed/>
    <w:rsid w:val="00EF1380"/>
    <w:pPr>
      <w:spacing w:after="100"/>
      <w:ind w:left="1320"/>
    </w:pPr>
  </w:style>
  <w:style w:type="paragraph" w:styleId="TOC8">
    <w:name w:val="toc 8"/>
    <w:basedOn w:val="Normal"/>
    <w:next w:val="Normal"/>
    <w:autoRedefine/>
    <w:uiPriority w:val="39"/>
    <w:unhideWhenUsed/>
    <w:rsid w:val="00EF1380"/>
    <w:pPr>
      <w:spacing w:after="100"/>
      <w:ind w:left="1540"/>
    </w:pPr>
  </w:style>
  <w:style w:type="paragraph" w:styleId="TOC9">
    <w:name w:val="toc 9"/>
    <w:basedOn w:val="Normal"/>
    <w:next w:val="Normal"/>
    <w:autoRedefine/>
    <w:uiPriority w:val="39"/>
    <w:unhideWhenUsed/>
    <w:rsid w:val="00EF1380"/>
    <w:pPr>
      <w:spacing w:after="100"/>
      <w:ind w:left="1760"/>
    </w:pPr>
  </w:style>
  <w:style w:type="character" w:styleId="FollowedHyperlink">
    <w:name w:val="FollowedHyperlink"/>
    <w:basedOn w:val="DefaultParagraphFont"/>
    <w:uiPriority w:val="99"/>
    <w:semiHidden/>
    <w:unhideWhenUsed/>
    <w:rsid w:val="00EF1380"/>
    <w:rPr>
      <w:color w:val="800080" w:themeColor="followedHyperlink"/>
      <w:u w:val="single"/>
    </w:rPr>
  </w:style>
  <w:style w:type="character" w:customStyle="1" w:styleId="normaltextrun">
    <w:name w:val="normaltextrun"/>
    <w:basedOn w:val="DefaultParagraphFont"/>
    <w:rsid w:val="00EF1380"/>
  </w:style>
  <w:style w:type="paragraph" w:customStyle="1" w:styleId="paragraph">
    <w:name w:val="paragraph"/>
    <w:basedOn w:val="Normal"/>
    <w:rsid w:val="00EF138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DefaultParagraphFont"/>
    <w:rsid w:val="00EF1380"/>
  </w:style>
  <w:style w:type="table" w:customStyle="1" w:styleId="Cuadrculadetablaclara1">
    <w:name w:val="Cuadrícula de tabla clara1"/>
    <w:basedOn w:val="TableNormal"/>
    <w:uiPriority w:val="40"/>
    <w:rsid w:val="00EF1380"/>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EF138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EF13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4">
    <w:name w:val="Light List4"/>
    <w:basedOn w:val="TableNormal"/>
    <w:next w:val="LightList"/>
    <w:uiPriority w:val="61"/>
    <w:rsid w:val="00EF13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EF1380"/>
    <w:pPr>
      <w:spacing w:after="0" w:line="240" w:lineRule="auto"/>
    </w:pPr>
    <w:rPr>
      <w:lang w:eastAsia="zh-CN"/>
    </w:rPr>
  </w:style>
  <w:style w:type="table" w:customStyle="1" w:styleId="LightList5">
    <w:name w:val="Light List5"/>
    <w:basedOn w:val="TableNormal"/>
    <w:next w:val="LightList"/>
    <w:uiPriority w:val="61"/>
    <w:rsid w:val="00BF3933"/>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6">
    <w:name w:val="Light List6"/>
    <w:basedOn w:val="TableNormal"/>
    <w:next w:val="LightList"/>
    <w:uiPriority w:val="61"/>
    <w:rsid w:val="00963A03"/>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TableNormal"/>
    <w:next w:val="LightList"/>
    <w:uiPriority w:val="61"/>
    <w:rsid w:val="00963A03"/>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F13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F13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13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380"/>
    <w:rPr>
      <w:rFonts w:ascii="Times New Roman" w:eastAsia="Times New Roman" w:hAnsi="Times New Roman" w:cs="Times New Roman"/>
      <w:b/>
      <w:bCs/>
      <w:kern w:val="36"/>
      <w:sz w:val="48"/>
      <w:szCs w:val="48"/>
      <w:lang w:eastAsia="zh-CN"/>
    </w:rPr>
  </w:style>
  <w:style w:type="character" w:customStyle="1" w:styleId="Heading2Char">
    <w:name w:val="Heading 2 Char"/>
    <w:basedOn w:val="DefaultParagraphFont"/>
    <w:link w:val="Heading2"/>
    <w:uiPriority w:val="9"/>
    <w:rsid w:val="00EF1380"/>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EF1380"/>
    <w:rPr>
      <w:rFonts w:asciiTheme="majorHAnsi" w:eastAsiaTheme="majorEastAsia" w:hAnsiTheme="majorHAnsi" w:cstheme="majorBidi"/>
      <w:b/>
      <w:bCs/>
      <w:color w:val="4F81BD" w:themeColor="accent1"/>
      <w:lang w:eastAsia="zh-CN"/>
    </w:rPr>
  </w:style>
  <w:style w:type="paragraph" w:customStyle="1" w:styleId="Default">
    <w:name w:val="Default"/>
    <w:rsid w:val="00EF1380"/>
    <w:pPr>
      <w:autoSpaceDE w:val="0"/>
      <w:autoSpaceDN w:val="0"/>
      <w:adjustRightInd w:val="0"/>
      <w:spacing w:after="0" w:line="240" w:lineRule="auto"/>
    </w:pPr>
    <w:rPr>
      <w:rFonts w:ascii="JJFIC N+ Times LT Std" w:hAnsi="JJFIC N+ Times LT Std" w:cs="JJFIC N+ Times LT Std"/>
      <w:color w:val="000000"/>
      <w:sz w:val="24"/>
      <w:szCs w:val="24"/>
      <w:lang w:val="es-MX" w:eastAsia="es-MX"/>
    </w:rPr>
  </w:style>
  <w:style w:type="character" w:customStyle="1" w:styleId="BalloonTextChar">
    <w:name w:val="Balloon Text Char"/>
    <w:basedOn w:val="DefaultParagraphFont"/>
    <w:link w:val="BalloonText"/>
    <w:uiPriority w:val="99"/>
    <w:semiHidden/>
    <w:rsid w:val="00EF1380"/>
    <w:rPr>
      <w:rFonts w:ascii="Tahoma" w:hAnsi="Tahoma" w:cs="Tahoma"/>
      <w:sz w:val="16"/>
      <w:szCs w:val="16"/>
      <w:lang w:eastAsia="es-MX"/>
    </w:rPr>
  </w:style>
  <w:style w:type="paragraph" w:styleId="BalloonText">
    <w:name w:val="Balloon Text"/>
    <w:basedOn w:val="Normal"/>
    <w:link w:val="BalloonTextChar"/>
    <w:uiPriority w:val="99"/>
    <w:semiHidden/>
    <w:unhideWhenUsed/>
    <w:rsid w:val="00EF1380"/>
    <w:pPr>
      <w:spacing w:after="0" w:line="240" w:lineRule="auto"/>
    </w:pPr>
    <w:rPr>
      <w:rFonts w:ascii="Tahoma" w:eastAsiaTheme="minorHAnsi" w:hAnsi="Tahoma" w:cs="Tahoma"/>
      <w:sz w:val="16"/>
      <w:szCs w:val="16"/>
      <w:lang w:eastAsia="es-MX"/>
    </w:rPr>
  </w:style>
  <w:style w:type="character" w:customStyle="1" w:styleId="BalloonTextChar1">
    <w:name w:val="Balloon Text Char1"/>
    <w:basedOn w:val="DefaultParagraphFont"/>
    <w:uiPriority w:val="99"/>
    <w:semiHidden/>
    <w:rsid w:val="00EF1380"/>
    <w:rPr>
      <w:rFonts w:ascii="Tahoma" w:eastAsiaTheme="minorEastAsia" w:hAnsi="Tahoma" w:cs="Tahoma"/>
      <w:sz w:val="16"/>
      <w:szCs w:val="16"/>
      <w:lang w:eastAsia="zh-CN"/>
    </w:rPr>
  </w:style>
  <w:style w:type="character" w:customStyle="1" w:styleId="TextodegloboCar1">
    <w:name w:val="Texto de globo Car1"/>
    <w:basedOn w:val="DefaultParagraphFont"/>
    <w:uiPriority w:val="99"/>
    <w:semiHidden/>
    <w:rsid w:val="00EF1380"/>
    <w:rPr>
      <w:rFonts w:ascii="Segoe UI" w:eastAsiaTheme="minorEastAsia" w:hAnsi="Segoe UI" w:cs="Segoe UI"/>
      <w:sz w:val="18"/>
      <w:szCs w:val="18"/>
      <w:lang w:val="en-GB" w:eastAsia="zh-CN"/>
    </w:rPr>
  </w:style>
  <w:style w:type="character" w:customStyle="1" w:styleId="SubtitleChar">
    <w:name w:val="Subtitle Char"/>
    <w:basedOn w:val="DefaultParagraphFont"/>
    <w:link w:val="Subtitle"/>
    <w:uiPriority w:val="11"/>
    <w:rsid w:val="00EF1380"/>
    <w:rPr>
      <w:rFonts w:asciiTheme="majorHAnsi" w:eastAsiaTheme="majorEastAsia" w:hAnsiTheme="majorHAnsi" w:cstheme="majorBidi"/>
      <w:i/>
      <w:iCs/>
      <w:color w:val="4F81BD" w:themeColor="accent1"/>
      <w:spacing w:val="15"/>
      <w:sz w:val="24"/>
      <w:szCs w:val="24"/>
      <w:lang w:eastAsia="es-MX"/>
    </w:rPr>
  </w:style>
  <w:style w:type="paragraph" w:styleId="Subtitle">
    <w:name w:val="Subtitle"/>
    <w:basedOn w:val="Normal"/>
    <w:next w:val="Normal"/>
    <w:link w:val="SubtitleChar"/>
    <w:uiPriority w:val="11"/>
    <w:qFormat/>
    <w:rsid w:val="00EF1380"/>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itleChar1">
    <w:name w:val="Subtitle Char1"/>
    <w:basedOn w:val="DefaultParagraphFont"/>
    <w:uiPriority w:val="11"/>
    <w:rsid w:val="00EF1380"/>
    <w:rPr>
      <w:rFonts w:asciiTheme="majorHAnsi" w:eastAsiaTheme="majorEastAsia" w:hAnsiTheme="majorHAnsi" w:cstheme="majorBidi"/>
      <w:i/>
      <w:iCs/>
      <w:color w:val="4F81BD" w:themeColor="accent1"/>
      <w:spacing w:val="15"/>
      <w:sz w:val="24"/>
      <w:szCs w:val="24"/>
      <w:lang w:eastAsia="zh-CN"/>
    </w:rPr>
  </w:style>
  <w:style w:type="character" w:customStyle="1" w:styleId="SubttuloCar1">
    <w:name w:val="Subtítulo Car1"/>
    <w:basedOn w:val="DefaultParagraphFont"/>
    <w:uiPriority w:val="11"/>
    <w:rsid w:val="00EF1380"/>
    <w:rPr>
      <w:rFonts w:eastAsiaTheme="minorEastAsia"/>
      <w:color w:val="5A5A5A" w:themeColor="text1" w:themeTint="A5"/>
      <w:spacing w:val="15"/>
      <w:lang w:val="en-GB" w:eastAsia="zh-CN"/>
    </w:rPr>
  </w:style>
  <w:style w:type="character" w:styleId="Strong">
    <w:name w:val="Strong"/>
    <w:basedOn w:val="DefaultParagraphFont"/>
    <w:uiPriority w:val="22"/>
    <w:qFormat/>
    <w:rsid w:val="00EF1380"/>
    <w:rPr>
      <w:b/>
      <w:bCs/>
    </w:rPr>
  </w:style>
  <w:style w:type="character" w:customStyle="1" w:styleId="SC118877">
    <w:name w:val="SC118877"/>
    <w:uiPriority w:val="99"/>
    <w:rsid w:val="00EF1380"/>
    <w:rPr>
      <w:rFonts w:cs="JJFIC N+ Times LT Std"/>
      <w:color w:val="000000"/>
      <w:sz w:val="20"/>
      <w:szCs w:val="20"/>
    </w:rPr>
  </w:style>
  <w:style w:type="character" w:customStyle="1" w:styleId="highlight">
    <w:name w:val="highlight"/>
    <w:basedOn w:val="DefaultParagraphFont"/>
    <w:rsid w:val="00EF1380"/>
  </w:style>
  <w:style w:type="character" w:customStyle="1" w:styleId="hps">
    <w:name w:val="hps"/>
    <w:basedOn w:val="DefaultParagraphFont"/>
    <w:rsid w:val="00EF1380"/>
  </w:style>
  <w:style w:type="character" w:customStyle="1" w:styleId="st">
    <w:name w:val="st"/>
    <w:basedOn w:val="DefaultParagraphFont"/>
    <w:rsid w:val="00EF1380"/>
  </w:style>
  <w:style w:type="character" w:customStyle="1" w:styleId="SC118882">
    <w:name w:val="SC118882"/>
    <w:uiPriority w:val="99"/>
    <w:rsid w:val="00EF1380"/>
    <w:rPr>
      <w:rFonts w:cs="JJFIC N+ Times LT Std"/>
      <w:color w:val="000000"/>
      <w:sz w:val="13"/>
      <w:szCs w:val="13"/>
    </w:rPr>
  </w:style>
  <w:style w:type="character" w:styleId="PlaceholderText">
    <w:name w:val="Placeholder Text"/>
    <w:basedOn w:val="DefaultParagraphFont"/>
    <w:uiPriority w:val="99"/>
    <w:semiHidden/>
    <w:rsid w:val="00EF1380"/>
    <w:rPr>
      <w:color w:val="808080"/>
    </w:rPr>
  </w:style>
  <w:style w:type="table" w:customStyle="1" w:styleId="LightList1">
    <w:name w:val="Light List1"/>
    <w:basedOn w:val="TableNormal"/>
    <w:uiPriority w:val="61"/>
    <w:rsid w:val="00EF1380"/>
    <w:pPr>
      <w:spacing w:after="0" w:line="240" w:lineRule="auto"/>
    </w:pPr>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EF1380"/>
    <w:rPr>
      <w:color w:val="0000FF"/>
      <w:u w:val="single"/>
    </w:rPr>
  </w:style>
  <w:style w:type="paragraph" w:styleId="ListParagraph">
    <w:name w:val="List Paragraph"/>
    <w:basedOn w:val="Normal"/>
    <w:uiPriority w:val="34"/>
    <w:qFormat/>
    <w:rsid w:val="00EF1380"/>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80"/>
    <w:rPr>
      <w:rFonts w:eastAsiaTheme="minorEastAsia"/>
      <w:lang w:eastAsia="zh-CN"/>
    </w:rPr>
  </w:style>
  <w:style w:type="paragraph" w:styleId="Footer">
    <w:name w:val="footer"/>
    <w:basedOn w:val="Normal"/>
    <w:link w:val="FooterChar"/>
    <w:uiPriority w:val="99"/>
    <w:unhideWhenUsed/>
    <w:rsid w:val="00EF1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80"/>
    <w:rPr>
      <w:rFonts w:eastAsiaTheme="minorEastAsia"/>
      <w:lang w:eastAsia="zh-CN"/>
    </w:rPr>
  </w:style>
  <w:style w:type="paragraph" w:customStyle="1" w:styleId="SP122926">
    <w:name w:val="SP122926"/>
    <w:basedOn w:val="Normal"/>
    <w:next w:val="Normal"/>
    <w:uiPriority w:val="99"/>
    <w:rsid w:val="00EF1380"/>
    <w:pPr>
      <w:autoSpaceDE w:val="0"/>
      <w:autoSpaceDN w:val="0"/>
      <w:adjustRightInd w:val="0"/>
      <w:spacing w:after="0" w:line="240" w:lineRule="auto"/>
    </w:pPr>
    <w:rPr>
      <w:rFonts w:ascii="JJFIC N+ Times LT Std" w:hAnsi="JJFIC N+ Times LT Std"/>
      <w:sz w:val="24"/>
      <w:szCs w:val="24"/>
    </w:rPr>
  </w:style>
  <w:style w:type="paragraph" w:customStyle="1" w:styleId="SP122899">
    <w:name w:val="SP122899"/>
    <w:basedOn w:val="Default"/>
    <w:next w:val="Default"/>
    <w:uiPriority w:val="99"/>
    <w:rsid w:val="00EF1380"/>
    <w:rPr>
      <w:rFonts w:cstheme="minorBidi"/>
      <w:color w:val="auto"/>
    </w:rPr>
  </w:style>
  <w:style w:type="paragraph" w:styleId="Bibliography">
    <w:name w:val="Bibliography"/>
    <w:basedOn w:val="Normal"/>
    <w:next w:val="Normal"/>
    <w:uiPriority w:val="37"/>
    <w:unhideWhenUsed/>
    <w:rsid w:val="00EF1380"/>
  </w:style>
  <w:style w:type="character" w:customStyle="1" w:styleId="A2">
    <w:name w:val="A2"/>
    <w:uiPriority w:val="99"/>
    <w:rsid w:val="00EF1380"/>
    <w:rPr>
      <w:rFonts w:cs="Minion Pro"/>
      <w:b/>
      <w:bCs/>
      <w:color w:val="000000"/>
      <w:sz w:val="14"/>
      <w:szCs w:val="14"/>
    </w:rPr>
  </w:style>
  <w:style w:type="character" w:customStyle="1" w:styleId="A3">
    <w:name w:val="A3"/>
    <w:uiPriority w:val="99"/>
    <w:rsid w:val="00EF1380"/>
    <w:rPr>
      <w:rFonts w:cs="Times"/>
      <w:i/>
      <w:iCs/>
      <w:color w:val="000000"/>
      <w:sz w:val="12"/>
      <w:szCs w:val="12"/>
    </w:rPr>
  </w:style>
  <w:style w:type="paragraph" w:styleId="TOCHeading">
    <w:name w:val="TOC Heading"/>
    <w:basedOn w:val="Heading1"/>
    <w:next w:val="Normal"/>
    <w:uiPriority w:val="39"/>
    <w:unhideWhenUsed/>
    <w:qFormat/>
    <w:rsid w:val="00EF138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EF1380"/>
    <w:pPr>
      <w:spacing w:after="100"/>
    </w:pPr>
  </w:style>
  <w:style w:type="paragraph" w:styleId="TOC2">
    <w:name w:val="toc 2"/>
    <w:basedOn w:val="Normal"/>
    <w:next w:val="Normal"/>
    <w:autoRedefine/>
    <w:uiPriority w:val="39"/>
    <w:unhideWhenUsed/>
    <w:qFormat/>
    <w:rsid w:val="00EF1380"/>
    <w:pPr>
      <w:spacing w:after="100"/>
      <w:ind w:left="220"/>
    </w:pPr>
  </w:style>
  <w:style w:type="character" w:styleId="SubtleEmphasis">
    <w:name w:val="Subtle Emphasis"/>
    <w:basedOn w:val="DefaultParagraphFont"/>
    <w:uiPriority w:val="19"/>
    <w:qFormat/>
    <w:rsid w:val="00EF1380"/>
    <w:rPr>
      <w:i/>
      <w:iCs/>
      <w:color w:val="808080" w:themeColor="text1" w:themeTint="7F"/>
    </w:rPr>
  </w:style>
  <w:style w:type="paragraph" w:styleId="TOC3">
    <w:name w:val="toc 3"/>
    <w:basedOn w:val="Normal"/>
    <w:next w:val="Normal"/>
    <w:autoRedefine/>
    <w:uiPriority w:val="39"/>
    <w:unhideWhenUsed/>
    <w:qFormat/>
    <w:rsid w:val="00EF1380"/>
    <w:pPr>
      <w:spacing w:after="100"/>
      <w:ind w:left="440"/>
    </w:pPr>
    <w:rPr>
      <w:lang w:val="en-US" w:eastAsia="en-US"/>
    </w:rPr>
  </w:style>
  <w:style w:type="table" w:customStyle="1" w:styleId="LightList2">
    <w:name w:val="Light List2"/>
    <w:basedOn w:val="TableNormal"/>
    <w:uiPriority w:val="61"/>
    <w:rsid w:val="00EF1380"/>
    <w:pPr>
      <w:spacing w:after="0" w:line="240" w:lineRule="auto"/>
    </w:pPr>
    <w:rPr>
      <w:lang w:val="es-MX"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Cite">
    <w:name w:val="HTML Cite"/>
    <w:basedOn w:val="DefaultParagraphFont"/>
    <w:uiPriority w:val="99"/>
    <w:semiHidden/>
    <w:unhideWhenUsed/>
    <w:rsid w:val="00EF1380"/>
    <w:rPr>
      <w:i/>
      <w:iCs/>
    </w:rPr>
  </w:style>
  <w:style w:type="character" w:customStyle="1" w:styleId="CommentTextChar">
    <w:name w:val="Comment Text Char"/>
    <w:basedOn w:val="DefaultParagraphFont"/>
    <w:link w:val="CommentText"/>
    <w:uiPriority w:val="99"/>
    <w:rsid w:val="00EF1380"/>
    <w:rPr>
      <w:sz w:val="24"/>
      <w:szCs w:val="24"/>
      <w:lang w:eastAsia="es-MX"/>
    </w:rPr>
  </w:style>
  <w:style w:type="paragraph" w:styleId="CommentText">
    <w:name w:val="annotation text"/>
    <w:basedOn w:val="Normal"/>
    <w:link w:val="CommentTextChar"/>
    <w:uiPriority w:val="99"/>
    <w:unhideWhenUsed/>
    <w:rsid w:val="00EF1380"/>
    <w:pPr>
      <w:spacing w:line="240" w:lineRule="auto"/>
    </w:pPr>
    <w:rPr>
      <w:rFonts w:eastAsiaTheme="minorHAnsi"/>
      <w:sz w:val="24"/>
      <w:szCs w:val="24"/>
      <w:lang w:eastAsia="es-MX"/>
    </w:rPr>
  </w:style>
  <w:style w:type="character" w:customStyle="1" w:styleId="CommentTextChar1">
    <w:name w:val="Comment Text Char1"/>
    <w:basedOn w:val="DefaultParagraphFont"/>
    <w:uiPriority w:val="99"/>
    <w:semiHidden/>
    <w:rsid w:val="00EF1380"/>
    <w:rPr>
      <w:rFonts w:eastAsiaTheme="minorEastAsia"/>
      <w:sz w:val="20"/>
      <w:szCs w:val="20"/>
      <w:lang w:eastAsia="zh-CN"/>
    </w:rPr>
  </w:style>
  <w:style w:type="character" w:customStyle="1" w:styleId="TextocomentarioCar1">
    <w:name w:val="Texto comentario Car1"/>
    <w:basedOn w:val="DefaultParagraphFont"/>
    <w:uiPriority w:val="99"/>
    <w:semiHidden/>
    <w:rsid w:val="00EF1380"/>
    <w:rPr>
      <w:rFonts w:eastAsiaTheme="minorEastAsia"/>
      <w:sz w:val="20"/>
      <w:szCs w:val="20"/>
      <w:lang w:val="en-GB" w:eastAsia="zh-CN"/>
    </w:rPr>
  </w:style>
  <w:style w:type="character" w:customStyle="1" w:styleId="CommentSubjectChar">
    <w:name w:val="Comment Subject Char"/>
    <w:basedOn w:val="CommentTextChar"/>
    <w:link w:val="CommentSubject"/>
    <w:uiPriority w:val="99"/>
    <w:semiHidden/>
    <w:rsid w:val="00EF1380"/>
    <w:rPr>
      <w:b/>
      <w:bCs/>
      <w:sz w:val="20"/>
      <w:szCs w:val="20"/>
      <w:lang w:eastAsia="es-MX"/>
    </w:rPr>
  </w:style>
  <w:style w:type="paragraph" w:styleId="CommentSubject">
    <w:name w:val="annotation subject"/>
    <w:basedOn w:val="CommentText"/>
    <w:next w:val="CommentText"/>
    <w:link w:val="CommentSubjectChar"/>
    <w:uiPriority w:val="99"/>
    <w:semiHidden/>
    <w:unhideWhenUsed/>
    <w:rsid w:val="00EF1380"/>
    <w:rPr>
      <w:b/>
      <w:bCs/>
      <w:sz w:val="20"/>
      <w:szCs w:val="20"/>
    </w:rPr>
  </w:style>
  <w:style w:type="character" w:customStyle="1" w:styleId="CommentSubjectChar1">
    <w:name w:val="Comment Subject Char1"/>
    <w:basedOn w:val="CommentTextChar1"/>
    <w:uiPriority w:val="99"/>
    <w:semiHidden/>
    <w:rsid w:val="00EF1380"/>
    <w:rPr>
      <w:rFonts w:eastAsiaTheme="minorEastAsia"/>
      <w:b/>
      <w:bCs/>
      <w:sz w:val="20"/>
      <w:szCs w:val="20"/>
      <w:lang w:eastAsia="zh-CN"/>
    </w:rPr>
  </w:style>
  <w:style w:type="character" w:customStyle="1" w:styleId="AsuntodelcomentarioCar1">
    <w:name w:val="Asunto del comentario Car1"/>
    <w:basedOn w:val="TextocomentarioCar1"/>
    <w:uiPriority w:val="99"/>
    <w:semiHidden/>
    <w:rsid w:val="00EF1380"/>
    <w:rPr>
      <w:rFonts w:eastAsiaTheme="minorEastAsia"/>
      <w:b/>
      <w:bCs/>
      <w:sz w:val="20"/>
      <w:szCs w:val="20"/>
      <w:lang w:val="en-GB" w:eastAsia="zh-CN"/>
    </w:rPr>
  </w:style>
  <w:style w:type="paragraph" w:styleId="EndnoteText">
    <w:name w:val="endnote text"/>
    <w:basedOn w:val="Normal"/>
    <w:link w:val="EndnoteTextChar"/>
    <w:uiPriority w:val="99"/>
    <w:semiHidden/>
    <w:unhideWhenUsed/>
    <w:rsid w:val="00EF13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380"/>
    <w:rPr>
      <w:rFonts w:eastAsiaTheme="minorEastAsia"/>
      <w:sz w:val="20"/>
      <w:szCs w:val="20"/>
      <w:lang w:eastAsia="zh-CN"/>
    </w:rPr>
  </w:style>
  <w:style w:type="character" w:styleId="EndnoteReference">
    <w:name w:val="endnote reference"/>
    <w:basedOn w:val="DefaultParagraphFont"/>
    <w:uiPriority w:val="99"/>
    <w:semiHidden/>
    <w:unhideWhenUsed/>
    <w:rsid w:val="00EF1380"/>
    <w:rPr>
      <w:vertAlign w:val="superscript"/>
    </w:rPr>
  </w:style>
  <w:style w:type="paragraph" w:styleId="NormalWeb">
    <w:name w:val="Normal (Web)"/>
    <w:basedOn w:val="Normal"/>
    <w:uiPriority w:val="99"/>
    <w:unhideWhenUsed/>
    <w:rsid w:val="00EF138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skypepnhcontainer">
    <w:name w:val="skype_pnh_container"/>
    <w:basedOn w:val="DefaultParagraphFont"/>
    <w:rsid w:val="00EF1380"/>
  </w:style>
  <w:style w:type="character" w:customStyle="1" w:styleId="skypepnhtextspan">
    <w:name w:val="skype_pnh_text_span"/>
    <w:basedOn w:val="DefaultParagraphFont"/>
    <w:rsid w:val="00EF1380"/>
  </w:style>
  <w:style w:type="character" w:styleId="CommentReference">
    <w:name w:val="annotation reference"/>
    <w:basedOn w:val="DefaultParagraphFont"/>
    <w:uiPriority w:val="99"/>
    <w:semiHidden/>
    <w:unhideWhenUsed/>
    <w:rsid w:val="00EF1380"/>
    <w:rPr>
      <w:sz w:val="18"/>
      <w:szCs w:val="18"/>
    </w:rPr>
  </w:style>
  <w:style w:type="paragraph" w:styleId="Caption">
    <w:name w:val="caption"/>
    <w:basedOn w:val="Normal"/>
    <w:next w:val="Normal"/>
    <w:uiPriority w:val="35"/>
    <w:unhideWhenUsed/>
    <w:qFormat/>
    <w:rsid w:val="00EF1380"/>
    <w:pPr>
      <w:spacing w:line="240" w:lineRule="auto"/>
    </w:pPr>
    <w:rPr>
      <w:b/>
      <w:bCs/>
      <w:color w:val="4F81BD" w:themeColor="accent1"/>
      <w:sz w:val="18"/>
      <w:szCs w:val="18"/>
      <w:lang w:eastAsia="es-MX"/>
    </w:rPr>
  </w:style>
  <w:style w:type="character" w:customStyle="1" w:styleId="sectionname">
    <w:name w:val="sectionname"/>
    <w:basedOn w:val="DefaultParagraphFont"/>
    <w:rsid w:val="00EF1380"/>
  </w:style>
  <w:style w:type="paragraph" w:styleId="TableofFigures">
    <w:name w:val="table of figures"/>
    <w:basedOn w:val="Normal"/>
    <w:next w:val="Normal"/>
    <w:uiPriority w:val="99"/>
    <w:unhideWhenUsed/>
    <w:rsid w:val="00EF1380"/>
    <w:pPr>
      <w:spacing w:after="0"/>
      <w:ind w:left="440" w:hanging="440"/>
    </w:pPr>
    <w:rPr>
      <w:caps/>
      <w:sz w:val="20"/>
      <w:szCs w:val="20"/>
      <w:lang w:eastAsia="es-MX"/>
    </w:rPr>
  </w:style>
  <w:style w:type="character" w:customStyle="1" w:styleId="apple-converted-space">
    <w:name w:val="apple-converted-space"/>
    <w:basedOn w:val="DefaultParagraphFont"/>
    <w:rsid w:val="00EF1380"/>
  </w:style>
  <w:style w:type="character" w:customStyle="1" w:styleId="headlinelg">
    <w:name w:val="headlinelg"/>
    <w:basedOn w:val="DefaultParagraphFont"/>
    <w:rsid w:val="00EF1380"/>
  </w:style>
  <w:style w:type="paragraph" w:customStyle="1" w:styleId="EndNoteBibliographyTitle">
    <w:name w:val="EndNote Bibliography Title"/>
    <w:basedOn w:val="Normal"/>
    <w:link w:val="EndNoteBibliographyTitleCar"/>
    <w:rsid w:val="00EF1380"/>
    <w:pPr>
      <w:spacing w:after="0"/>
      <w:jc w:val="center"/>
    </w:pPr>
    <w:rPr>
      <w:rFonts w:ascii="Calibri" w:hAnsi="Calibri"/>
      <w:noProof/>
    </w:rPr>
  </w:style>
  <w:style w:type="character" w:customStyle="1" w:styleId="EndNoteBibliographyTitleCar">
    <w:name w:val="EndNote Bibliography Title Car"/>
    <w:basedOn w:val="DefaultParagraphFont"/>
    <w:link w:val="EndNoteBibliographyTitle"/>
    <w:rsid w:val="00EF1380"/>
    <w:rPr>
      <w:rFonts w:ascii="Calibri" w:eastAsiaTheme="minorEastAsia" w:hAnsi="Calibri"/>
      <w:noProof/>
      <w:lang w:eastAsia="zh-CN"/>
    </w:rPr>
  </w:style>
  <w:style w:type="paragraph" w:customStyle="1" w:styleId="EndNoteBibliography">
    <w:name w:val="EndNote Bibliography"/>
    <w:basedOn w:val="Normal"/>
    <w:link w:val="EndNoteBibliographyCar"/>
    <w:rsid w:val="00EF1380"/>
    <w:pPr>
      <w:spacing w:line="240" w:lineRule="auto"/>
    </w:pPr>
    <w:rPr>
      <w:rFonts w:ascii="Calibri" w:hAnsi="Calibri"/>
      <w:noProof/>
    </w:rPr>
  </w:style>
  <w:style w:type="character" w:customStyle="1" w:styleId="EndNoteBibliographyCar">
    <w:name w:val="EndNote Bibliography Car"/>
    <w:basedOn w:val="DefaultParagraphFont"/>
    <w:link w:val="EndNoteBibliography"/>
    <w:rsid w:val="00EF1380"/>
    <w:rPr>
      <w:rFonts w:ascii="Calibri" w:eastAsiaTheme="minorEastAsia" w:hAnsi="Calibri"/>
      <w:noProof/>
      <w:lang w:eastAsia="zh-CN"/>
    </w:rPr>
  </w:style>
  <w:style w:type="character" w:customStyle="1" w:styleId="highlight1">
    <w:name w:val="highlight1"/>
    <w:basedOn w:val="DefaultParagraphFont"/>
    <w:rsid w:val="00EF1380"/>
    <w:rPr>
      <w:shd w:val="clear" w:color="auto" w:fill="F2F5F8"/>
    </w:rPr>
  </w:style>
  <w:style w:type="table" w:styleId="LightList">
    <w:name w:val="Light List"/>
    <w:basedOn w:val="TableNormal"/>
    <w:uiPriority w:val="61"/>
    <w:rsid w:val="00EF13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EF1380"/>
    <w:rPr>
      <w:i/>
      <w:iCs/>
    </w:rPr>
  </w:style>
  <w:style w:type="paragraph" w:styleId="TOC4">
    <w:name w:val="toc 4"/>
    <w:basedOn w:val="Normal"/>
    <w:next w:val="Normal"/>
    <w:autoRedefine/>
    <w:uiPriority w:val="39"/>
    <w:unhideWhenUsed/>
    <w:rsid w:val="00EF1380"/>
    <w:pPr>
      <w:spacing w:after="100"/>
      <w:ind w:left="660"/>
    </w:pPr>
  </w:style>
  <w:style w:type="paragraph" w:styleId="TOC5">
    <w:name w:val="toc 5"/>
    <w:basedOn w:val="Normal"/>
    <w:next w:val="Normal"/>
    <w:autoRedefine/>
    <w:uiPriority w:val="39"/>
    <w:unhideWhenUsed/>
    <w:rsid w:val="00EF1380"/>
    <w:pPr>
      <w:spacing w:after="100"/>
      <w:ind w:left="880"/>
    </w:pPr>
  </w:style>
  <w:style w:type="paragraph" w:styleId="TOC6">
    <w:name w:val="toc 6"/>
    <w:basedOn w:val="Normal"/>
    <w:next w:val="Normal"/>
    <w:autoRedefine/>
    <w:uiPriority w:val="39"/>
    <w:unhideWhenUsed/>
    <w:rsid w:val="00EF1380"/>
    <w:pPr>
      <w:spacing w:after="100"/>
      <w:ind w:left="1100"/>
    </w:pPr>
  </w:style>
  <w:style w:type="paragraph" w:styleId="TOC7">
    <w:name w:val="toc 7"/>
    <w:basedOn w:val="Normal"/>
    <w:next w:val="Normal"/>
    <w:autoRedefine/>
    <w:uiPriority w:val="39"/>
    <w:unhideWhenUsed/>
    <w:rsid w:val="00EF1380"/>
    <w:pPr>
      <w:spacing w:after="100"/>
      <w:ind w:left="1320"/>
    </w:pPr>
  </w:style>
  <w:style w:type="paragraph" w:styleId="TOC8">
    <w:name w:val="toc 8"/>
    <w:basedOn w:val="Normal"/>
    <w:next w:val="Normal"/>
    <w:autoRedefine/>
    <w:uiPriority w:val="39"/>
    <w:unhideWhenUsed/>
    <w:rsid w:val="00EF1380"/>
    <w:pPr>
      <w:spacing w:after="100"/>
      <w:ind w:left="1540"/>
    </w:pPr>
  </w:style>
  <w:style w:type="paragraph" w:styleId="TOC9">
    <w:name w:val="toc 9"/>
    <w:basedOn w:val="Normal"/>
    <w:next w:val="Normal"/>
    <w:autoRedefine/>
    <w:uiPriority w:val="39"/>
    <w:unhideWhenUsed/>
    <w:rsid w:val="00EF1380"/>
    <w:pPr>
      <w:spacing w:after="100"/>
      <w:ind w:left="1760"/>
    </w:pPr>
  </w:style>
  <w:style w:type="character" w:styleId="FollowedHyperlink">
    <w:name w:val="FollowedHyperlink"/>
    <w:basedOn w:val="DefaultParagraphFont"/>
    <w:uiPriority w:val="99"/>
    <w:semiHidden/>
    <w:unhideWhenUsed/>
    <w:rsid w:val="00EF1380"/>
    <w:rPr>
      <w:color w:val="800080" w:themeColor="followedHyperlink"/>
      <w:u w:val="single"/>
    </w:rPr>
  </w:style>
  <w:style w:type="character" w:customStyle="1" w:styleId="normaltextrun">
    <w:name w:val="normaltextrun"/>
    <w:basedOn w:val="DefaultParagraphFont"/>
    <w:rsid w:val="00EF1380"/>
  </w:style>
  <w:style w:type="paragraph" w:customStyle="1" w:styleId="paragraph">
    <w:name w:val="paragraph"/>
    <w:basedOn w:val="Normal"/>
    <w:rsid w:val="00EF138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DefaultParagraphFont"/>
    <w:rsid w:val="00EF1380"/>
  </w:style>
  <w:style w:type="table" w:customStyle="1" w:styleId="Cuadrculadetablaclara1">
    <w:name w:val="Cuadrícula de tabla clara1"/>
    <w:basedOn w:val="TableNormal"/>
    <w:uiPriority w:val="40"/>
    <w:rsid w:val="00EF1380"/>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EF138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EF13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4">
    <w:name w:val="Light List4"/>
    <w:basedOn w:val="TableNormal"/>
    <w:next w:val="LightList"/>
    <w:uiPriority w:val="61"/>
    <w:rsid w:val="00EF13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EF1380"/>
    <w:pPr>
      <w:spacing w:after="0" w:line="240" w:lineRule="auto"/>
    </w:pPr>
    <w:rPr>
      <w:lang w:eastAsia="zh-CN"/>
    </w:rPr>
  </w:style>
  <w:style w:type="table" w:customStyle="1" w:styleId="LightList5">
    <w:name w:val="Light List5"/>
    <w:basedOn w:val="TableNormal"/>
    <w:next w:val="LightList"/>
    <w:uiPriority w:val="61"/>
    <w:rsid w:val="00BF3933"/>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6">
    <w:name w:val="Light List6"/>
    <w:basedOn w:val="TableNormal"/>
    <w:next w:val="LightList"/>
    <w:uiPriority w:val="61"/>
    <w:rsid w:val="00963A03"/>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TableNormal"/>
    <w:next w:val="LightList"/>
    <w:uiPriority w:val="61"/>
    <w:rsid w:val="00963A03"/>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6933">
      <w:bodyDiv w:val="1"/>
      <w:marLeft w:val="0"/>
      <w:marRight w:val="0"/>
      <w:marTop w:val="0"/>
      <w:marBottom w:val="0"/>
      <w:divBdr>
        <w:top w:val="none" w:sz="0" w:space="0" w:color="auto"/>
        <w:left w:val="none" w:sz="0" w:space="0" w:color="auto"/>
        <w:bottom w:val="none" w:sz="0" w:space="0" w:color="auto"/>
        <w:right w:val="none" w:sz="0" w:space="0" w:color="auto"/>
      </w:divBdr>
    </w:div>
    <w:div w:id="257103146">
      <w:bodyDiv w:val="1"/>
      <w:marLeft w:val="0"/>
      <w:marRight w:val="0"/>
      <w:marTop w:val="0"/>
      <w:marBottom w:val="0"/>
      <w:divBdr>
        <w:top w:val="none" w:sz="0" w:space="0" w:color="auto"/>
        <w:left w:val="none" w:sz="0" w:space="0" w:color="auto"/>
        <w:bottom w:val="none" w:sz="0" w:space="0" w:color="auto"/>
        <w:right w:val="none" w:sz="0" w:space="0" w:color="auto"/>
      </w:divBdr>
    </w:div>
    <w:div w:id="302278622">
      <w:bodyDiv w:val="1"/>
      <w:marLeft w:val="0"/>
      <w:marRight w:val="0"/>
      <w:marTop w:val="0"/>
      <w:marBottom w:val="0"/>
      <w:divBdr>
        <w:top w:val="none" w:sz="0" w:space="0" w:color="auto"/>
        <w:left w:val="none" w:sz="0" w:space="0" w:color="auto"/>
        <w:bottom w:val="none" w:sz="0" w:space="0" w:color="auto"/>
        <w:right w:val="none" w:sz="0" w:space="0" w:color="auto"/>
      </w:divBdr>
    </w:div>
    <w:div w:id="528180122">
      <w:bodyDiv w:val="1"/>
      <w:marLeft w:val="0"/>
      <w:marRight w:val="0"/>
      <w:marTop w:val="0"/>
      <w:marBottom w:val="0"/>
      <w:divBdr>
        <w:top w:val="none" w:sz="0" w:space="0" w:color="auto"/>
        <w:left w:val="none" w:sz="0" w:space="0" w:color="auto"/>
        <w:bottom w:val="none" w:sz="0" w:space="0" w:color="auto"/>
        <w:right w:val="none" w:sz="0" w:space="0" w:color="auto"/>
      </w:divBdr>
    </w:div>
    <w:div w:id="541208740">
      <w:bodyDiv w:val="1"/>
      <w:marLeft w:val="0"/>
      <w:marRight w:val="0"/>
      <w:marTop w:val="0"/>
      <w:marBottom w:val="0"/>
      <w:divBdr>
        <w:top w:val="none" w:sz="0" w:space="0" w:color="auto"/>
        <w:left w:val="none" w:sz="0" w:space="0" w:color="auto"/>
        <w:bottom w:val="none" w:sz="0" w:space="0" w:color="auto"/>
        <w:right w:val="none" w:sz="0" w:space="0" w:color="auto"/>
      </w:divBdr>
    </w:div>
    <w:div w:id="633682454">
      <w:bodyDiv w:val="1"/>
      <w:marLeft w:val="0"/>
      <w:marRight w:val="0"/>
      <w:marTop w:val="0"/>
      <w:marBottom w:val="0"/>
      <w:divBdr>
        <w:top w:val="none" w:sz="0" w:space="0" w:color="auto"/>
        <w:left w:val="none" w:sz="0" w:space="0" w:color="auto"/>
        <w:bottom w:val="none" w:sz="0" w:space="0" w:color="auto"/>
        <w:right w:val="none" w:sz="0" w:space="0" w:color="auto"/>
      </w:divBdr>
    </w:div>
    <w:div w:id="719860325">
      <w:bodyDiv w:val="1"/>
      <w:marLeft w:val="0"/>
      <w:marRight w:val="0"/>
      <w:marTop w:val="0"/>
      <w:marBottom w:val="0"/>
      <w:divBdr>
        <w:top w:val="none" w:sz="0" w:space="0" w:color="auto"/>
        <w:left w:val="none" w:sz="0" w:space="0" w:color="auto"/>
        <w:bottom w:val="none" w:sz="0" w:space="0" w:color="auto"/>
        <w:right w:val="none" w:sz="0" w:space="0" w:color="auto"/>
      </w:divBdr>
    </w:div>
    <w:div w:id="835724505">
      <w:bodyDiv w:val="1"/>
      <w:marLeft w:val="0"/>
      <w:marRight w:val="0"/>
      <w:marTop w:val="0"/>
      <w:marBottom w:val="0"/>
      <w:divBdr>
        <w:top w:val="none" w:sz="0" w:space="0" w:color="auto"/>
        <w:left w:val="none" w:sz="0" w:space="0" w:color="auto"/>
        <w:bottom w:val="none" w:sz="0" w:space="0" w:color="auto"/>
        <w:right w:val="none" w:sz="0" w:space="0" w:color="auto"/>
      </w:divBdr>
    </w:div>
    <w:div w:id="867253310">
      <w:bodyDiv w:val="1"/>
      <w:marLeft w:val="0"/>
      <w:marRight w:val="0"/>
      <w:marTop w:val="0"/>
      <w:marBottom w:val="0"/>
      <w:divBdr>
        <w:top w:val="none" w:sz="0" w:space="0" w:color="auto"/>
        <w:left w:val="none" w:sz="0" w:space="0" w:color="auto"/>
        <w:bottom w:val="none" w:sz="0" w:space="0" w:color="auto"/>
        <w:right w:val="none" w:sz="0" w:space="0" w:color="auto"/>
      </w:divBdr>
    </w:div>
    <w:div w:id="873082721">
      <w:bodyDiv w:val="1"/>
      <w:marLeft w:val="0"/>
      <w:marRight w:val="0"/>
      <w:marTop w:val="0"/>
      <w:marBottom w:val="0"/>
      <w:divBdr>
        <w:top w:val="none" w:sz="0" w:space="0" w:color="auto"/>
        <w:left w:val="none" w:sz="0" w:space="0" w:color="auto"/>
        <w:bottom w:val="none" w:sz="0" w:space="0" w:color="auto"/>
        <w:right w:val="none" w:sz="0" w:space="0" w:color="auto"/>
      </w:divBdr>
    </w:div>
    <w:div w:id="882447669">
      <w:bodyDiv w:val="1"/>
      <w:marLeft w:val="0"/>
      <w:marRight w:val="0"/>
      <w:marTop w:val="0"/>
      <w:marBottom w:val="0"/>
      <w:divBdr>
        <w:top w:val="none" w:sz="0" w:space="0" w:color="auto"/>
        <w:left w:val="none" w:sz="0" w:space="0" w:color="auto"/>
        <w:bottom w:val="none" w:sz="0" w:space="0" w:color="auto"/>
        <w:right w:val="none" w:sz="0" w:space="0" w:color="auto"/>
      </w:divBdr>
    </w:div>
    <w:div w:id="911162716">
      <w:bodyDiv w:val="1"/>
      <w:marLeft w:val="0"/>
      <w:marRight w:val="0"/>
      <w:marTop w:val="0"/>
      <w:marBottom w:val="0"/>
      <w:divBdr>
        <w:top w:val="none" w:sz="0" w:space="0" w:color="auto"/>
        <w:left w:val="none" w:sz="0" w:space="0" w:color="auto"/>
        <w:bottom w:val="none" w:sz="0" w:space="0" w:color="auto"/>
        <w:right w:val="none" w:sz="0" w:space="0" w:color="auto"/>
      </w:divBdr>
    </w:div>
    <w:div w:id="975914333">
      <w:bodyDiv w:val="1"/>
      <w:marLeft w:val="0"/>
      <w:marRight w:val="0"/>
      <w:marTop w:val="0"/>
      <w:marBottom w:val="0"/>
      <w:divBdr>
        <w:top w:val="none" w:sz="0" w:space="0" w:color="auto"/>
        <w:left w:val="none" w:sz="0" w:space="0" w:color="auto"/>
        <w:bottom w:val="none" w:sz="0" w:space="0" w:color="auto"/>
        <w:right w:val="none" w:sz="0" w:space="0" w:color="auto"/>
      </w:divBdr>
    </w:div>
    <w:div w:id="1108352232">
      <w:bodyDiv w:val="1"/>
      <w:marLeft w:val="0"/>
      <w:marRight w:val="0"/>
      <w:marTop w:val="0"/>
      <w:marBottom w:val="0"/>
      <w:divBdr>
        <w:top w:val="none" w:sz="0" w:space="0" w:color="auto"/>
        <w:left w:val="none" w:sz="0" w:space="0" w:color="auto"/>
        <w:bottom w:val="none" w:sz="0" w:space="0" w:color="auto"/>
        <w:right w:val="none" w:sz="0" w:space="0" w:color="auto"/>
      </w:divBdr>
    </w:div>
    <w:div w:id="1254440315">
      <w:bodyDiv w:val="1"/>
      <w:marLeft w:val="0"/>
      <w:marRight w:val="0"/>
      <w:marTop w:val="0"/>
      <w:marBottom w:val="0"/>
      <w:divBdr>
        <w:top w:val="none" w:sz="0" w:space="0" w:color="auto"/>
        <w:left w:val="none" w:sz="0" w:space="0" w:color="auto"/>
        <w:bottom w:val="none" w:sz="0" w:space="0" w:color="auto"/>
        <w:right w:val="none" w:sz="0" w:space="0" w:color="auto"/>
      </w:divBdr>
    </w:div>
    <w:div w:id="1293748891">
      <w:bodyDiv w:val="1"/>
      <w:marLeft w:val="0"/>
      <w:marRight w:val="0"/>
      <w:marTop w:val="0"/>
      <w:marBottom w:val="0"/>
      <w:divBdr>
        <w:top w:val="none" w:sz="0" w:space="0" w:color="auto"/>
        <w:left w:val="none" w:sz="0" w:space="0" w:color="auto"/>
        <w:bottom w:val="none" w:sz="0" w:space="0" w:color="auto"/>
        <w:right w:val="none" w:sz="0" w:space="0" w:color="auto"/>
      </w:divBdr>
    </w:div>
    <w:div w:id="1327906278">
      <w:bodyDiv w:val="1"/>
      <w:marLeft w:val="0"/>
      <w:marRight w:val="0"/>
      <w:marTop w:val="0"/>
      <w:marBottom w:val="0"/>
      <w:divBdr>
        <w:top w:val="none" w:sz="0" w:space="0" w:color="auto"/>
        <w:left w:val="none" w:sz="0" w:space="0" w:color="auto"/>
        <w:bottom w:val="none" w:sz="0" w:space="0" w:color="auto"/>
        <w:right w:val="none" w:sz="0" w:space="0" w:color="auto"/>
      </w:divBdr>
    </w:div>
    <w:div w:id="1402950107">
      <w:bodyDiv w:val="1"/>
      <w:marLeft w:val="0"/>
      <w:marRight w:val="0"/>
      <w:marTop w:val="0"/>
      <w:marBottom w:val="0"/>
      <w:divBdr>
        <w:top w:val="none" w:sz="0" w:space="0" w:color="auto"/>
        <w:left w:val="none" w:sz="0" w:space="0" w:color="auto"/>
        <w:bottom w:val="none" w:sz="0" w:space="0" w:color="auto"/>
        <w:right w:val="none" w:sz="0" w:space="0" w:color="auto"/>
      </w:divBdr>
    </w:div>
    <w:div w:id="1416900745">
      <w:bodyDiv w:val="1"/>
      <w:marLeft w:val="0"/>
      <w:marRight w:val="0"/>
      <w:marTop w:val="0"/>
      <w:marBottom w:val="0"/>
      <w:divBdr>
        <w:top w:val="none" w:sz="0" w:space="0" w:color="auto"/>
        <w:left w:val="none" w:sz="0" w:space="0" w:color="auto"/>
        <w:bottom w:val="none" w:sz="0" w:space="0" w:color="auto"/>
        <w:right w:val="none" w:sz="0" w:space="0" w:color="auto"/>
      </w:divBdr>
    </w:div>
    <w:div w:id="1770735534">
      <w:bodyDiv w:val="1"/>
      <w:marLeft w:val="0"/>
      <w:marRight w:val="0"/>
      <w:marTop w:val="0"/>
      <w:marBottom w:val="0"/>
      <w:divBdr>
        <w:top w:val="none" w:sz="0" w:space="0" w:color="auto"/>
        <w:left w:val="none" w:sz="0" w:space="0" w:color="auto"/>
        <w:bottom w:val="none" w:sz="0" w:space="0" w:color="auto"/>
        <w:right w:val="none" w:sz="0" w:space="0" w:color="auto"/>
      </w:divBdr>
    </w:div>
    <w:div w:id="1882860179">
      <w:bodyDiv w:val="1"/>
      <w:marLeft w:val="0"/>
      <w:marRight w:val="0"/>
      <w:marTop w:val="0"/>
      <w:marBottom w:val="0"/>
      <w:divBdr>
        <w:top w:val="none" w:sz="0" w:space="0" w:color="auto"/>
        <w:left w:val="none" w:sz="0" w:space="0" w:color="auto"/>
        <w:bottom w:val="none" w:sz="0" w:space="0" w:color="auto"/>
        <w:right w:val="none" w:sz="0" w:space="0" w:color="auto"/>
      </w:divBdr>
    </w:div>
    <w:div w:id="208347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david.abcc.ncifcrf.gov/" TargetMode="External"/><Relationship Id="rId42" Type="http://schemas.openxmlformats.org/officeDocument/2006/relationships/image" Target="media/image16.png"/><Relationship Id="rId47" Type="http://schemas.openxmlformats.org/officeDocument/2006/relationships/image" Target="media/image19.jpg"/><Relationship Id="rId50" Type="http://schemas.openxmlformats.org/officeDocument/2006/relationships/image" Target="media/image22.jpg"/><Relationship Id="rId55" Type="http://schemas.openxmlformats.org/officeDocument/2006/relationships/image" Target="media/image26.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hosphosite.org" TargetMode="External"/><Relationship Id="rId20" Type="http://schemas.openxmlformats.org/officeDocument/2006/relationships/image" Target="media/image9.jpeg"/><Relationship Id="rId29" Type="http://schemas.openxmlformats.org/officeDocument/2006/relationships/hyperlink" Target="http://www.reactome.org/" TargetMode="External"/><Relationship Id="rId41" Type="http://schemas.openxmlformats.org/officeDocument/2006/relationships/hyperlink" Target="http://david.abcc.ncifcrf.gov/" TargetMode="External"/><Relationship Id="rId54" Type="http://schemas.openxmlformats.org/officeDocument/2006/relationships/image" Target="media/image25.jpeg"/><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david.abcc.ncifcrf.gov/" TargetMode="External"/><Relationship Id="rId37" Type="http://schemas.openxmlformats.org/officeDocument/2006/relationships/hyperlink" Target="http://www.genome.jp/kegg" TargetMode="External"/><Relationship Id="rId40" Type="http://schemas.openxmlformats.org/officeDocument/2006/relationships/hyperlink" Target="http://www.genome.jp/kegg/" TargetMode="External"/><Relationship Id="rId45" Type="http://schemas.openxmlformats.org/officeDocument/2006/relationships/image" Target="media/image17.jp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phosphosite.org" TargetMode="External"/><Relationship Id="rId28" Type="http://schemas.openxmlformats.org/officeDocument/2006/relationships/hyperlink" Target="http://david.abcc.ncifcrf.gov/" TargetMode="External"/><Relationship Id="rId36" Type="http://schemas.openxmlformats.org/officeDocument/2006/relationships/hyperlink" Target="http://www.uniprot.org/" TargetMode="External"/><Relationship Id="rId49" Type="http://schemas.openxmlformats.org/officeDocument/2006/relationships/image" Target="media/image21.jp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hyperlink" Target="http://www.phosphosite.org" TargetMode="External"/><Relationship Id="rId31" Type="http://schemas.openxmlformats.org/officeDocument/2006/relationships/hyperlink" Target="http://www.phosphosite.org" TargetMode="External"/><Relationship Id="rId44" Type="http://schemas.openxmlformats.org/officeDocument/2006/relationships/hyperlink" Target="http://david.abcc.ncifcrf.gov/" TargetMode="Externa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uniprot.org/" TargetMode="External"/><Relationship Id="rId35" Type="http://schemas.openxmlformats.org/officeDocument/2006/relationships/hyperlink" Target="http://www.reactome.org/" TargetMode="External"/><Relationship Id="rId43" Type="http://schemas.openxmlformats.org/officeDocument/2006/relationships/hyperlink" Target="http://david.abcc.ncifcrf.gov/" TargetMode="External"/><Relationship Id="rId48" Type="http://schemas.openxmlformats.org/officeDocument/2006/relationships/image" Target="media/image20.jpg"/><Relationship Id="rId56" Type="http://schemas.openxmlformats.org/officeDocument/2006/relationships/image" Target="media/image2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reactome.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phosphosite.org" TargetMode="External"/><Relationship Id="rId33" Type="http://schemas.openxmlformats.org/officeDocument/2006/relationships/hyperlink" Target="http://www.genome.jp/kegg/" TargetMode="External"/><Relationship Id="rId38" Type="http://schemas.openxmlformats.org/officeDocument/2006/relationships/hyperlink" Target="http://www.uniprot.org/" TargetMode="External"/><Relationship Id="rId46" Type="http://schemas.openxmlformats.org/officeDocument/2006/relationships/image" Target="media/image18.jpg"/><Relationship Id="rId5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1F36E-3F81-43D6-8445-18BFE937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105189</Words>
  <Characters>599580</Characters>
  <Application>Microsoft Office Word</Application>
  <DocSecurity>0</DocSecurity>
  <Lines>4996</Lines>
  <Paragraphs>1406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703363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UOS</cp:lastModifiedBy>
  <cp:revision>2</cp:revision>
  <cp:lastPrinted>2015-06-15T10:19:00Z</cp:lastPrinted>
  <dcterms:created xsi:type="dcterms:W3CDTF">2015-06-19T14:41:00Z</dcterms:created>
  <dcterms:modified xsi:type="dcterms:W3CDTF">2015-06-19T14:41:00Z</dcterms:modified>
</cp:coreProperties>
</file>